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62" w:rsidRDefault="008F2494" w:rsidP="00EA546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7pt" fillcolor="window">
            <v:imagedata r:id="rId12" o:title=""/>
          </v:shape>
        </w:pict>
      </w:r>
    </w:p>
    <w:p w:rsidR="00E73231" w:rsidRDefault="00E73231" w:rsidP="00E73231">
      <w:pPr>
        <w:pStyle w:val="Title"/>
        <w:pBdr>
          <w:bottom w:val="single" w:sz="4" w:space="3" w:color="auto"/>
        </w:pBdr>
      </w:pPr>
      <w:bookmarkStart w:id="0" w:name="OLE_LINK1"/>
      <w:bookmarkStart w:id="1" w:name="OLE_LINK2"/>
      <w:bookmarkStart w:id="2" w:name="Citation"/>
      <w:r>
        <w:t>Radiocommunications (Trading Rules for Spectrum Licences) Determination 2012</w:t>
      </w:r>
    </w:p>
    <w:p w:rsidR="00341BEB" w:rsidRPr="00341BEB" w:rsidRDefault="00E21250" w:rsidP="00E73231">
      <w:pPr>
        <w:pStyle w:val="Title"/>
        <w:pBdr>
          <w:bottom w:val="single" w:sz="4" w:space="3" w:color="auto"/>
        </w:pBdr>
        <w:rPr>
          <w:b w:val="0"/>
          <w:i/>
          <w:sz w:val="32"/>
          <w:szCs w:val="32"/>
        </w:rPr>
      </w:pPr>
      <w:r w:rsidRPr="00E21250">
        <w:rPr>
          <w:b w:val="0"/>
          <w:i/>
          <w:sz w:val="32"/>
          <w:szCs w:val="32"/>
        </w:rPr>
        <w:t>Radiocommunications Act 1992</w:t>
      </w:r>
    </w:p>
    <w:bookmarkEnd w:id="0"/>
    <w:bookmarkEnd w:id="1"/>
    <w:p w:rsidR="00E73231" w:rsidRPr="00E20DE7" w:rsidRDefault="00E73231" w:rsidP="00E73231">
      <w:pPr>
        <w:spacing w:before="360"/>
        <w:jc w:val="both"/>
      </w:pPr>
      <w:r>
        <w:t xml:space="preserve">The AUSTRALIAN COMMUNICATIONS AND MEDIA AUTHORITY makes this Determination under </w:t>
      </w:r>
      <w:r w:rsidR="00A86D20">
        <w:t>section 88</w:t>
      </w:r>
      <w:r>
        <w:t xml:space="preserve"> of the </w:t>
      </w:r>
      <w:r>
        <w:rPr>
          <w:i/>
        </w:rPr>
        <w:t>Radiocommunications Act 1992</w:t>
      </w:r>
      <w:r>
        <w:t>.</w:t>
      </w:r>
    </w:p>
    <w:p w:rsidR="00E73231" w:rsidRDefault="00E73231" w:rsidP="00E73231">
      <w:pPr>
        <w:tabs>
          <w:tab w:val="left" w:pos="3119"/>
        </w:tabs>
        <w:spacing w:before="300" w:after="600" w:line="300" w:lineRule="atLeast"/>
      </w:pPr>
      <w:r>
        <w:t xml:space="preserve">Dated </w:t>
      </w:r>
      <w:bookmarkStart w:id="3" w:name="Year"/>
      <w:r>
        <w:tab/>
      </w:r>
      <w:r w:rsidR="00FC12BF">
        <w:t xml:space="preserve">15 August </w:t>
      </w:r>
      <w:r>
        <w:t>20</w:t>
      </w:r>
      <w:bookmarkEnd w:id="3"/>
      <w:r>
        <w:t>12</w:t>
      </w:r>
    </w:p>
    <w:p w:rsidR="00FC12BF" w:rsidRDefault="00FC12BF" w:rsidP="00FC12BF">
      <w:pPr>
        <w:tabs>
          <w:tab w:val="left" w:pos="3119"/>
        </w:tabs>
        <w:jc w:val="right"/>
      </w:pPr>
    </w:p>
    <w:p w:rsidR="00FC12BF" w:rsidRDefault="00FC12BF" w:rsidP="00FC12BF">
      <w:pPr>
        <w:tabs>
          <w:tab w:val="left" w:pos="3119"/>
        </w:tabs>
        <w:jc w:val="right"/>
      </w:pPr>
      <w:r>
        <w:t>Chris Chapman</w:t>
      </w:r>
    </w:p>
    <w:p w:rsidR="00FC12BF" w:rsidRDefault="00FC12BF" w:rsidP="00FC12BF">
      <w:pPr>
        <w:tabs>
          <w:tab w:val="left" w:pos="3119"/>
        </w:tabs>
        <w:jc w:val="right"/>
      </w:pPr>
      <w:r>
        <w:t>[signed]</w:t>
      </w:r>
    </w:p>
    <w:p w:rsidR="00E73231" w:rsidRDefault="00E73231" w:rsidP="00FC12BF">
      <w:pPr>
        <w:tabs>
          <w:tab w:val="left" w:pos="3119"/>
        </w:tabs>
        <w:jc w:val="right"/>
      </w:pPr>
      <w:r>
        <w:t>Member</w:t>
      </w:r>
    </w:p>
    <w:p w:rsidR="00FC12BF" w:rsidRDefault="00FC12BF" w:rsidP="00FC12BF">
      <w:pPr>
        <w:tabs>
          <w:tab w:val="left" w:pos="3119"/>
        </w:tabs>
        <w:jc w:val="right"/>
      </w:pPr>
    </w:p>
    <w:p w:rsidR="00FC12BF" w:rsidRDefault="00FC12BF" w:rsidP="00FC12BF">
      <w:pPr>
        <w:tabs>
          <w:tab w:val="left" w:pos="3119"/>
        </w:tabs>
        <w:jc w:val="right"/>
      </w:pPr>
    </w:p>
    <w:p w:rsidR="00FC12BF" w:rsidRDefault="00FC12BF" w:rsidP="00FC12BF">
      <w:pPr>
        <w:tabs>
          <w:tab w:val="left" w:pos="3119"/>
        </w:tabs>
        <w:jc w:val="right"/>
      </w:pPr>
      <w:r>
        <w:t>Richard Bean</w:t>
      </w:r>
    </w:p>
    <w:p w:rsidR="00FC12BF" w:rsidRDefault="00FC12BF" w:rsidP="00FC12BF">
      <w:pPr>
        <w:tabs>
          <w:tab w:val="left" w:pos="3119"/>
        </w:tabs>
        <w:jc w:val="right"/>
      </w:pPr>
      <w:r>
        <w:t>[signed]</w:t>
      </w:r>
    </w:p>
    <w:p w:rsidR="00E73231" w:rsidRDefault="00E73231" w:rsidP="00FC12BF">
      <w:pPr>
        <w:tabs>
          <w:tab w:val="left" w:pos="3119"/>
        </w:tabs>
        <w:jc w:val="right"/>
      </w:pPr>
      <w:r>
        <w:t>Member</w:t>
      </w:r>
      <w:r w:rsidR="00341BEB">
        <w:t>/</w:t>
      </w:r>
      <w:r w:rsidR="00341BEB" w:rsidRPr="00FC12BF">
        <w:rPr>
          <w:strike/>
        </w:rPr>
        <w:t>General Manager</w:t>
      </w:r>
    </w:p>
    <w:p w:rsidR="00E73231" w:rsidRDefault="00E73231" w:rsidP="00E73231">
      <w:pPr>
        <w:tabs>
          <w:tab w:val="left" w:pos="3119"/>
        </w:tabs>
        <w:spacing w:before="600" w:line="300" w:lineRule="atLeast"/>
        <w:jc w:val="right"/>
      </w:pPr>
    </w:p>
    <w:p w:rsidR="00E73231" w:rsidRDefault="00E73231" w:rsidP="00E73231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4" w:name="Minister"/>
      <w:r>
        <w:t>Australian Communications and Media Authority</w:t>
      </w:r>
      <w:bookmarkEnd w:id="4"/>
    </w:p>
    <w:bookmarkEnd w:id="2"/>
    <w:p w:rsidR="00AC2D5C" w:rsidRDefault="00AC2D5C">
      <w:pPr>
        <w:pStyle w:val="SigningPageBreak"/>
        <w:sectPr w:rsidR="00AC2D5C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EA5462" w:rsidRDefault="00EA5462" w:rsidP="00EA5462">
      <w:pPr>
        <w:pStyle w:val="ContentsHead"/>
      </w:pPr>
      <w:r>
        <w:lastRenderedPageBreak/>
        <w:t>Contents</w:t>
      </w:r>
    </w:p>
    <w:p w:rsidR="00D80C19" w:rsidRDefault="008F2494">
      <w:pPr>
        <w:pStyle w:val="TOC5"/>
        <w:rPr>
          <w:rFonts w:ascii="Calibri" w:hAnsi="Calibri"/>
          <w:sz w:val="22"/>
          <w:szCs w:val="22"/>
          <w:lang w:eastAsia="en-AU"/>
        </w:rPr>
      </w:pPr>
      <w:r>
        <w:fldChar w:fldCharType="begin"/>
      </w:r>
      <w:r w:rsidR="0008054D">
        <w:instrText xml:space="preserve"> TOC \o "1-9" \t "HC,1, HP,2, HD,3, HS,4, HR,5, RGHead,7, Schedule title,6, Schedule part,8,Schedule Division,8, RX.SC,8, Dictionary Heading,9, Note Heading,9" </w:instrText>
      </w:r>
      <w:r>
        <w:fldChar w:fldCharType="separate"/>
      </w:r>
      <w:r w:rsidR="00D80C19">
        <w:t>1</w:t>
      </w:r>
      <w:r w:rsidR="00C047E9">
        <w:t xml:space="preserve"> </w:t>
      </w:r>
      <w:r w:rsidR="00D80C19">
        <w:t xml:space="preserve">Title </w:t>
      </w:r>
      <w:r w:rsidR="00C047E9">
        <w:tab/>
      </w:r>
      <w:r w:rsidR="00D80C19">
        <w:tab/>
      </w:r>
      <w:r w:rsidR="00D80C19">
        <w:tab/>
      </w:r>
      <w:r>
        <w:fldChar w:fldCharType="begin"/>
      </w:r>
      <w:r w:rsidR="00D80C19">
        <w:instrText xml:space="preserve"> PAGEREF _Toc312241271 \h </w:instrText>
      </w:r>
      <w:r>
        <w:fldChar w:fldCharType="separate"/>
      </w:r>
      <w:r w:rsidR="0042413F">
        <w:t>3</w:t>
      </w:r>
      <w:r>
        <w:fldChar w:fldCharType="end"/>
      </w:r>
    </w:p>
    <w:p w:rsidR="00D80C19" w:rsidRDefault="00D80C19">
      <w:pPr>
        <w:pStyle w:val="TOC5"/>
        <w:rPr>
          <w:rFonts w:ascii="Calibri" w:hAnsi="Calibri"/>
          <w:sz w:val="22"/>
          <w:szCs w:val="22"/>
          <w:lang w:eastAsia="en-AU"/>
        </w:rPr>
      </w:pPr>
      <w:r>
        <w:t>2</w:t>
      </w:r>
      <w:r>
        <w:rPr>
          <w:rFonts w:ascii="Calibri" w:hAnsi="Calibri"/>
          <w:sz w:val="22"/>
          <w:szCs w:val="22"/>
          <w:lang w:eastAsia="en-AU"/>
        </w:rPr>
        <w:tab/>
      </w:r>
      <w:r w:rsidR="00C047E9">
        <w:rPr>
          <w:rFonts w:ascii="Calibri" w:hAnsi="Calibri"/>
          <w:sz w:val="22"/>
          <w:szCs w:val="22"/>
          <w:lang w:eastAsia="en-AU"/>
        </w:rPr>
        <w:t xml:space="preserve"> </w:t>
      </w:r>
      <w:r>
        <w:t>Commencement</w:t>
      </w:r>
      <w:r>
        <w:tab/>
      </w:r>
      <w:r>
        <w:tab/>
      </w:r>
      <w:r w:rsidR="008F2494">
        <w:fldChar w:fldCharType="begin"/>
      </w:r>
      <w:r>
        <w:instrText xml:space="preserve"> PAGEREF _Toc312241272 \h </w:instrText>
      </w:r>
      <w:r w:rsidR="008F2494">
        <w:fldChar w:fldCharType="separate"/>
      </w:r>
      <w:r w:rsidR="0042413F">
        <w:t>3</w:t>
      </w:r>
      <w:r w:rsidR="008F2494">
        <w:fldChar w:fldCharType="end"/>
      </w:r>
    </w:p>
    <w:p w:rsidR="00D80C19" w:rsidRDefault="00D80C19">
      <w:pPr>
        <w:pStyle w:val="TOC5"/>
        <w:rPr>
          <w:rFonts w:ascii="Calibri" w:hAnsi="Calibri"/>
          <w:sz w:val="22"/>
          <w:szCs w:val="22"/>
          <w:lang w:eastAsia="en-AU"/>
        </w:rPr>
      </w:pPr>
      <w:r>
        <w:t>3</w:t>
      </w:r>
      <w:r w:rsidR="00C047E9">
        <w:t xml:space="preserve"> </w:t>
      </w:r>
      <w:r w:rsidR="00F056B4">
        <w:t>Revocation</w:t>
      </w:r>
      <w:r w:rsidR="00C047E9">
        <w:tab/>
      </w:r>
      <w:r>
        <w:tab/>
      </w:r>
      <w:r>
        <w:tab/>
      </w:r>
      <w:r w:rsidR="008F2494">
        <w:fldChar w:fldCharType="begin"/>
      </w:r>
      <w:r>
        <w:instrText xml:space="preserve"> PAGEREF _Toc312241273 \h </w:instrText>
      </w:r>
      <w:r w:rsidR="008F2494">
        <w:fldChar w:fldCharType="separate"/>
      </w:r>
      <w:r w:rsidR="0042413F">
        <w:t>3</w:t>
      </w:r>
      <w:r w:rsidR="008F2494">
        <w:fldChar w:fldCharType="end"/>
      </w:r>
    </w:p>
    <w:p w:rsidR="00D80C19" w:rsidRDefault="00D80C19">
      <w:pPr>
        <w:pStyle w:val="TOC5"/>
        <w:rPr>
          <w:rFonts w:ascii="Calibri" w:hAnsi="Calibri"/>
          <w:sz w:val="22"/>
          <w:szCs w:val="22"/>
          <w:lang w:eastAsia="en-AU"/>
        </w:rPr>
      </w:pPr>
      <w:r>
        <w:t>4</w:t>
      </w:r>
      <w:r w:rsidR="00C047E9">
        <w:t xml:space="preserve"> </w:t>
      </w:r>
      <w:r w:rsidR="00F056B4">
        <w:t>Purpose</w:t>
      </w:r>
      <w:r w:rsidR="00F056B4">
        <w:tab/>
      </w:r>
      <w:r w:rsidR="00C047E9">
        <w:tab/>
      </w:r>
      <w:r>
        <w:tab/>
      </w:r>
      <w:r w:rsidR="008F2494">
        <w:fldChar w:fldCharType="begin"/>
      </w:r>
      <w:r>
        <w:instrText xml:space="preserve"> PAGEREF _Toc312241274 \h </w:instrText>
      </w:r>
      <w:r w:rsidR="008F2494">
        <w:fldChar w:fldCharType="separate"/>
      </w:r>
      <w:r w:rsidR="0042413F">
        <w:t>3</w:t>
      </w:r>
      <w:r w:rsidR="008F2494">
        <w:fldChar w:fldCharType="end"/>
      </w:r>
    </w:p>
    <w:p w:rsidR="00D80C19" w:rsidRDefault="00D80C19">
      <w:pPr>
        <w:pStyle w:val="TOC5"/>
        <w:rPr>
          <w:rFonts w:ascii="Calibri" w:hAnsi="Calibri"/>
          <w:sz w:val="22"/>
          <w:szCs w:val="22"/>
          <w:lang w:eastAsia="en-AU"/>
        </w:rPr>
      </w:pPr>
      <w:r>
        <w:t>5</w:t>
      </w:r>
      <w:r w:rsidR="00F056B4">
        <w:t xml:space="preserve"> Interpretation </w:t>
      </w:r>
      <w:r>
        <w:tab/>
      </w:r>
      <w:r>
        <w:tab/>
      </w:r>
      <w:r w:rsidR="00F056B4">
        <w:tab/>
        <w:t>3</w:t>
      </w:r>
    </w:p>
    <w:p w:rsidR="00D80C19" w:rsidRDefault="00D80C19">
      <w:pPr>
        <w:pStyle w:val="TOC5"/>
        <w:rPr>
          <w:rFonts w:ascii="Calibri" w:hAnsi="Calibri"/>
          <w:sz w:val="22"/>
          <w:szCs w:val="22"/>
          <w:lang w:eastAsia="en-AU"/>
        </w:rPr>
      </w:pPr>
      <w:r>
        <w:t>6</w:t>
      </w:r>
      <w:r>
        <w:rPr>
          <w:rFonts w:ascii="Calibri" w:hAnsi="Calibri"/>
          <w:sz w:val="22"/>
          <w:szCs w:val="22"/>
          <w:lang w:eastAsia="en-AU"/>
        </w:rPr>
        <w:tab/>
      </w:r>
      <w:r w:rsidR="00C047E9">
        <w:rPr>
          <w:rFonts w:ascii="Calibri" w:hAnsi="Calibri"/>
          <w:sz w:val="22"/>
          <w:szCs w:val="22"/>
          <w:lang w:eastAsia="en-AU"/>
        </w:rPr>
        <w:t xml:space="preserve"> </w:t>
      </w:r>
      <w:r w:rsidR="00F056B4">
        <w:t>Approval of form</w:t>
      </w:r>
      <w:r>
        <w:tab/>
      </w:r>
      <w:r w:rsidR="00F056B4">
        <w:tab/>
      </w:r>
      <w:r w:rsidR="008F2494">
        <w:fldChar w:fldCharType="begin"/>
      </w:r>
      <w:r>
        <w:instrText xml:space="preserve"> PAGEREF _Toc312241276 \h </w:instrText>
      </w:r>
      <w:r w:rsidR="008F2494">
        <w:fldChar w:fldCharType="separate"/>
      </w:r>
      <w:r w:rsidR="0042413F">
        <w:t>4</w:t>
      </w:r>
      <w:r w:rsidR="008F2494">
        <w:fldChar w:fldCharType="end"/>
      </w:r>
    </w:p>
    <w:p w:rsidR="00D80C19" w:rsidRDefault="00D80C19">
      <w:pPr>
        <w:pStyle w:val="TOC5"/>
        <w:rPr>
          <w:rFonts w:ascii="Calibri" w:hAnsi="Calibri"/>
          <w:sz w:val="22"/>
          <w:szCs w:val="22"/>
          <w:lang w:eastAsia="en-AU"/>
        </w:rPr>
      </w:pPr>
      <w:r>
        <w:t>7</w:t>
      </w:r>
      <w:r>
        <w:rPr>
          <w:rFonts w:ascii="Calibri" w:hAnsi="Calibri"/>
          <w:sz w:val="22"/>
          <w:szCs w:val="22"/>
          <w:lang w:eastAsia="en-AU"/>
        </w:rPr>
        <w:tab/>
      </w:r>
      <w:r w:rsidR="00C047E9">
        <w:rPr>
          <w:rFonts w:ascii="Calibri" w:hAnsi="Calibri"/>
          <w:sz w:val="22"/>
          <w:szCs w:val="22"/>
          <w:lang w:eastAsia="en-AU"/>
        </w:rPr>
        <w:t xml:space="preserve"> </w:t>
      </w:r>
      <w:r w:rsidR="00F056B4">
        <w:t>What may be traded</w:t>
      </w:r>
      <w:r>
        <w:tab/>
      </w:r>
      <w:r w:rsidR="008F2494">
        <w:fldChar w:fldCharType="begin"/>
      </w:r>
      <w:r>
        <w:instrText xml:space="preserve"> PAGEREF _Toc312241277 \h </w:instrText>
      </w:r>
      <w:r w:rsidR="008F2494">
        <w:fldChar w:fldCharType="separate"/>
      </w:r>
      <w:r w:rsidR="0042413F">
        <w:t>4</w:t>
      </w:r>
      <w:r w:rsidR="008F2494">
        <w:fldChar w:fldCharType="end"/>
      </w:r>
    </w:p>
    <w:p w:rsidR="00D80C19" w:rsidRDefault="00D80C19">
      <w:pPr>
        <w:pStyle w:val="TOC5"/>
        <w:rPr>
          <w:rFonts w:ascii="Calibri" w:hAnsi="Calibri"/>
          <w:sz w:val="22"/>
          <w:szCs w:val="22"/>
          <w:lang w:eastAsia="en-AU"/>
        </w:rPr>
      </w:pPr>
      <w:r>
        <w:t>8</w:t>
      </w:r>
      <w:r>
        <w:rPr>
          <w:rFonts w:ascii="Calibri" w:hAnsi="Calibri"/>
          <w:sz w:val="22"/>
          <w:szCs w:val="22"/>
          <w:lang w:eastAsia="en-AU"/>
        </w:rPr>
        <w:tab/>
      </w:r>
      <w:r w:rsidR="00C047E9">
        <w:rPr>
          <w:rFonts w:ascii="Calibri" w:hAnsi="Calibri"/>
          <w:sz w:val="22"/>
          <w:szCs w:val="22"/>
          <w:lang w:eastAsia="en-AU"/>
        </w:rPr>
        <w:t xml:space="preserve"> </w:t>
      </w:r>
      <w:r w:rsidR="00F056B4">
        <w:t>Restrictions on trading</w:t>
      </w:r>
      <w:r>
        <w:tab/>
      </w:r>
      <w:r w:rsidR="008F2494">
        <w:fldChar w:fldCharType="begin"/>
      </w:r>
      <w:r>
        <w:instrText xml:space="preserve"> PAGEREF _Toc312241278 \h </w:instrText>
      </w:r>
      <w:r w:rsidR="008F2494">
        <w:fldChar w:fldCharType="separate"/>
      </w:r>
      <w:r w:rsidR="0042413F">
        <w:t>5</w:t>
      </w:r>
      <w:r w:rsidR="008F2494">
        <w:fldChar w:fldCharType="end"/>
      </w:r>
    </w:p>
    <w:p w:rsidR="00D80C19" w:rsidRDefault="00D80C19">
      <w:pPr>
        <w:pStyle w:val="TOC5"/>
        <w:rPr>
          <w:rFonts w:ascii="Calibri" w:hAnsi="Calibri"/>
          <w:sz w:val="22"/>
          <w:szCs w:val="22"/>
          <w:lang w:eastAsia="en-AU"/>
        </w:rPr>
      </w:pPr>
      <w:r>
        <w:t>9</w:t>
      </w:r>
      <w:r>
        <w:rPr>
          <w:rFonts w:ascii="Calibri" w:hAnsi="Calibri"/>
          <w:sz w:val="22"/>
          <w:szCs w:val="22"/>
          <w:lang w:eastAsia="en-AU"/>
        </w:rPr>
        <w:tab/>
      </w:r>
      <w:r w:rsidR="00C047E9">
        <w:rPr>
          <w:rFonts w:ascii="Calibri" w:hAnsi="Calibri"/>
          <w:sz w:val="22"/>
          <w:szCs w:val="22"/>
          <w:lang w:eastAsia="en-AU"/>
        </w:rPr>
        <w:t xml:space="preserve"> </w:t>
      </w:r>
      <w:r w:rsidR="00F056B4">
        <w:t>Information to be given to the ACMA</w:t>
      </w:r>
      <w:r>
        <w:tab/>
      </w:r>
      <w:r w:rsidR="00F056B4">
        <w:t>5</w:t>
      </w:r>
    </w:p>
    <w:p w:rsidR="00D80C19" w:rsidRDefault="007D7B17">
      <w:pPr>
        <w:pStyle w:val="TOC5"/>
        <w:rPr>
          <w:rFonts w:ascii="Calibri" w:hAnsi="Calibri"/>
          <w:sz w:val="22"/>
          <w:szCs w:val="22"/>
          <w:lang w:eastAsia="en-AU"/>
        </w:rPr>
      </w:pPr>
      <w:r>
        <w:t>10</w:t>
      </w:r>
      <w:r w:rsidR="00C047E9">
        <w:t xml:space="preserve"> </w:t>
      </w:r>
      <w:r w:rsidR="00F056B4">
        <w:t>Review of decision</w:t>
      </w:r>
      <w:r w:rsidR="00F056B4">
        <w:tab/>
        <w:t>5</w:t>
      </w:r>
    </w:p>
    <w:p w:rsidR="00D80C19" w:rsidRDefault="00D80C19">
      <w:pPr>
        <w:pStyle w:val="TOC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Minimum contiguous bandwidths</w:t>
      </w:r>
      <w:r>
        <w:rPr>
          <w:noProof/>
        </w:rPr>
        <w:tab/>
      </w:r>
      <w:r w:rsidR="008F2494">
        <w:rPr>
          <w:noProof/>
        </w:rPr>
        <w:fldChar w:fldCharType="begin"/>
      </w:r>
      <w:r>
        <w:rPr>
          <w:noProof/>
        </w:rPr>
        <w:instrText xml:space="preserve"> PAGEREF _Toc312241281 \h </w:instrText>
      </w:r>
      <w:r w:rsidR="008F2494">
        <w:rPr>
          <w:noProof/>
        </w:rPr>
      </w:r>
      <w:r w:rsidR="008F2494">
        <w:rPr>
          <w:noProof/>
        </w:rPr>
        <w:fldChar w:fldCharType="separate"/>
      </w:r>
      <w:r w:rsidR="0042413F">
        <w:rPr>
          <w:noProof/>
        </w:rPr>
        <w:t>6</w:t>
      </w:r>
      <w:r w:rsidR="008F2494">
        <w:rPr>
          <w:noProof/>
        </w:rPr>
        <w:fldChar w:fldCharType="end"/>
      </w:r>
    </w:p>
    <w:p w:rsidR="00EA5462" w:rsidRDefault="008F2494" w:rsidP="00EA5462">
      <w:pPr>
        <w:pStyle w:val="TOC"/>
      </w:pPr>
      <w:r>
        <w:fldChar w:fldCharType="end"/>
      </w:r>
    </w:p>
    <w:p w:rsidR="00AC2D5C" w:rsidRDefault="00AC2D5C">
      <w:pPr>
        <w:pStyle w:val="ContentsSectionBreak"/>
      </w:pPr>
    </w:p>
    <w:p w:rsidR="009B75E7" w:rsidRDefault="009B75E7" w:rsidP="009B75E7">
      <w:pPr>
        <w:pStyle w:val="TOC"/>
      </w:pPr>
    </w:p>
    <w:p w:rsidR="009B75E7" w:rsidRPr="009B75E7" w:rsidRDefault="009B75E7" w:rsidP="009B75E7">
      <w:pPr>
        <w:rPr>
          <w:lang w:eastAsia="en-US"/>
        </w:rPr>
        <w:sectPr w:rsidR="009B75E7" w:rsidRPr="009B75E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EA5462" w:rsidRDefault="00EA5462" w:rsidP="00EA5462">
      <w:pPr>
        <w:pStyle w:val="Header"/>
      </w:pPr>
      <w:r>
        <w:rPr>
          <w:rStyle w:val="CharPartNo"/>
        </w:rPr>
        <w:lastRenderedPageBreak/>
        <w:t xml:space="preserve"> </w:t>
      </w:r>
    </w:p>
    <w:p w:rsidR="00EA5462" w:rsidRPr="004375C8" w:rsidRDefault="00EA5462" w:rsidP="00EA5462">
      <w:pPr>
        <w:pStyle w:val="HR"/>
        <w:rPr>
          <w:b w:val="0"/>
          <w:sz w:val="18"/>
        </w:rPr>
      </w:pPr>
      <w:bookmarkStart w:id="5" w:name="_Toc312241271"/>
      <w:r w:rsidRPr="00B14531">
        <w:rPr>
          <w:rStyle w:val="CharSectno"/>
        </w:rPr>
        <w:t>1</w:t>
      </w:r>
      <w:r>
        <w:rPr>
          <w:rStyle w:val="CharSectno"/>
        </w:rPr>
        <w:tab/>
      </w:r>
      <w:r w:rsidRPr="00356A2F">
        <w:t>Title</w:t>
      </w:r>
      <w:r>
        <w:t xml:space="preserve"> </w:t>
      </w:r>
      <w:bookmarkEnd w:id="5"/>
    </w:p>
    <w:p w:rsidR="00EA5462" w:rsidRDefault="00EA5462" w:rsidP="00EA5462">
      <w:pPr>
        <w:pStyle w:val="R1"/>
        <w:rPr>
          <w:b/>
        </w:rPr>
      </w:pPr>
      <w:r>
        <w:tab/>
      </w:r>
      <w:r>
        <w:tab/>
        <w:t xml:space="preserve">This determination is the </w:t>
      </w:r>
      <w:r w:rsidRPr="004375C8">
        <w:rPr>
          <w:i/>
        </w:rPr>
        <w:t xml:space="preserve">Radiocommunications (Trading Rules for Spectrum Licences) Determination </w:t>
      </w:r>
      <w:r w:rsidR="00DA6D3A">
        <w:rPr>
          <w:i/>
        </w:rPr>
        <w:t>2012</w:t>
      </w:r>
      <w:r w:rsidRPr="00C10209">
        <w:t>.</w:t>
      </w:r>
    </w:p>
    <w:p w:rsidR="00EA5462" w:rsidRDefault="00EA5462" w:rsidP="00EA5462">
      <w:pPr>
        <w:pStyle w:val="HR"/>
      </w:pPr>
      <w:bookmarkStart w:id="6" w:name="_Toc312241272"/>
      <w:r w:rsidRPr="00B14531">
        <w:rPr>
          <w:rStyle w:val="CharSectno"/>
        </w:rPr>
        <w:t>2</w:t>
      </w:r>
      <w:r>
        <w:tab/>
        <w:t>Commencement</w:t>
      </w:r>
      <w:bookmarkEnd w:id="6"/>
    </w:p>
    <w:p w:rsidR="009B2A2D" w:rsidRDefault="00EA5462">
      <w:pPr>
        <w:pStyle w:val="R1"/>
        <w:spacing w:after="120"/>
      </w:pPr>
      <w:r>
        <w:tab/>
      </w:r>
      <w:r>
        <w:tab/>
        <w:t xml:space="preserve">This determination commences on </w:t>
      </w:r>
      <w:r w:rsidR="00232AF5">
        <w:t>the day after it is registered on the Federal Register of Legislative Instruments</w:t>
      </w:r>
      <w:r w:rsidR="00341BEB">
        <w:t>.</w:t>
      </w:r>
    </w:p>
    <w:p w:rsidR="009B2A2D" w:rsidRDefault="00341BEB">
      <w:pPr>
        <w:ind w:left="964" w:hanging="964"/>
      </w:pPr>
      <w:r>
        <w:tab/>
      </w:r>
      <w:r w:rsidRPr="00725856">
        <w:rPr>
          <w:i/>
          <w:sz w:val="20"/>
          <w:szCs w:val="20"/>
        </w:rPr>
        <w:t>Note</w:t>
      </w:r>
      <w:r w:rsidRPr="00725856">
        <w:rPr>
          <w:sz w:val="20"/>
          <w:szCs w:val="20"/>
        </w:rPr>
        <w:tab/>
      </w:r>
      <w:r w:rsidRPr="00725856">
        <w:rPr>
          <w:color w:val="000000"/>
          <w:sz w:val="20"/>
          <w:szCs w:val="20"/>
        </w:rPr>
        <w:t xml:space="preserve">All legislative instruments and compilations are registered on the Federal Register of Legislative Instruments kept under the </w:t>
      </w:r>
      <w:r w:rsidRPr="00725856">
        <w:rPr>
          <w:i/>
          <w:color w:val="000000"/>
          <w:sz w:val="20"/>
          <w:szCs w:val="20"/>
        </w:rPr>
        <w:t xml:space="preserve">Legislative Instruments Act 2003. </w:t>
      </w:r>
      <w:r w:rsidRPr="00725856">
        <w:rPr>
          <w:color w:val="000000"/>
          <w:sz w:val="20"/>
          <w:szCs w:val="20"/>
        </w:rPr>
        <w:t xml:space="preserve">See </w:t>
      </w:r>
      <w:r w:rsidRPr="00725856">
        <w:rPr>
          <w:color w:val="000000"/>
          <w:sz w:val="20"/>
          <w:szCs w:val="20"/>
          <w:u w:val="single"/>
        </w:rPr>
        <w:t>http://www.frli.gov.au</w:t>
      </w:r>
      <w:r w:rsidRPr="00725856">
        <w:rPr>
          <w:color w:val="000000"/>
          <w:sz w:val="20"/>
          <w:szCs w:val="20"/>
        </w:rPr>
        <w:t>.</w:t>
      </w:r>
    </w:p>
    <w:p w:rsidR="00D46219" w:rsidRDefault="00D46219" w:rsidP="00D46219">
      <w:pPr>
        <w:pStyle w:val="HR"/>
      </w:pPr>
      <w:bookmarkStart w:id="7" w:name="_Toc312241273"/>
      <w:r>
        <w:rPr>
          <w:rStyle w:val="CharSectno"/>
        </w:rPr>
        <w:t>3</w:t>
      </w:r>
      <w:r>
        <w:tab/>
        <w:t>Revocation</w:t>
      </w:r>
    </w:p>
    <w:p w:rsidR="00D46219" w:rsidRDefault="00D46219" w:rsidP="00D46219">
      <w:pPr>
        <w:pStyle w:val="R1"/>
        <w:rPr>
          <w:b/>
        </w:rPr>
      </w:pPr>
      <w:r>
        <w:tab/>
      </w:r>
      <w:r>
        <w:tab/>
        <w:t xml:space="preserve">The </w:t>
      </w:r>
      <w:r w:rsidRPr="00E85C32">
        <w:rPr>
          <w:i/>
        </w:rPr>
        <w:t>Radiocommunications (Trading Rules for Spectrum Licences) Determination 199</w:t>
      </w:r>
      <w:r>
        <w:rPr>
          <w:i/>
        </w:rPr>
        <w:t>8</w:t>
      </w:r>
      <w:r>
        <w:t xml:space="preserve"> is revoked.</w:t>
      </w:r>
    </w:p>
    <w:p w:rsidR="00EA5462" w:rsidRDefault="00D46219" w:rsidP="00EA5462">
      <w:pPr>
        <w:pStyle w:val="HR"/>
      </w:pPr>
      <w:r>
        <w:rPr>
          <w:rStyle w:val="CharSectno"/>
        </w:rPr>
        <w:t>4</w:t>
      </w:r>
      <w:r w:rsidR="00EA5462">
        <w:tab/>
        <w:t>Purpose</w:t>
      </w:r>
      <w:bookmarkEnd w:id="7"/>
    </w:p>
    <w:p w:rsidR="00EA5462" w:rsidRDefault="00EA5462" w:rsidP="00EA5462">
      <w:pPr>
        <w:pStyle w:val="R1"/>
      </w:pPr>
      <w:r>
        <w:tab/>
      </w:r>
      <w:r>
        <w:tab/>
        <w:t>This determination sets out the rules for</w:t>
      </w:r>
      <w:r w:rsidR="00DA6D3A">
        <w:t xml:space="preserve"> the</w:t>
      </w:r>
      <w:r>
        <w:t xml:space="preserve"> trading </w:t>
      </w:r>
      <w:r w:rsidR="00DA6D3A">
        <w:t>of</w:t>
      </w:r>
      <w:r>
        <w:t xml:space="preserve"> spectrum licences.</w:t>
      </w:r>
    </w:p>
    <w:p w:rsidR="00EA5462" w:rsidRDefault="00EA5462" w:rsidP="00EA5462">
      <w:pPr>
        <w:pStyle w:val="Note"/>
      </w:pPr>
      <w:r w:rsidRPr="0063442D">
        <w:rPr>
          <w:i/>
        </w:rPr>
        <w:t>Note</w:t>
      </w:r>
      <w:r w:rsidR="00341BEB">
        <w:tab/>
      </w:r>
      <w:r>
        <w:t>Under s</w:t>
      </w:r>
      <w:r w:rsidR="00DA6D3A">
        <w:t>ection</w:t>
      </w:r>
      <w:r>
        <w:t xml:space="preserve"> 88 of the </w:t>
      </w:r>
      <w:r>
        <w:rPr>
          <w:i/>
        </w:rPr>
        <w:t>Radiocommunications Act 1992</w:t>
      </w:r>
      <w:r>
        <w:t xml:space="preserve">, </w:t>
      </w:r>
      <w:r w:rsidR="00E66AC3">
        <w:t xml:space="preserve">the </w:t>
      </w:r>
      <w:r w:rsidR="00D73CBF" w:rsidRPr="00A441C4">
        <w:t>ACMA</w:t>
      </w:r>
      <w:r>
        <w:t xml:space="preserve"> may determine rules for the assignment of spectrum licences and the circumstances in which licences can be varied, issued or cancelled as a result of assignments.</w:t>
      </w:r>
    </w:p>
    <w:p w:rsidR="00EA5462" w:rsidRDefault="00D46219" w:rsidP="00232AF5">
      <w:pPr>
        <w:pStyle w:val="HR"/>
        <w:jc w:val="both"/>
      </w:pPr>
      <w:bookmarkStart w:id="8" w:name="_Toc312241274"/>
      <w:r>
        <w:rPr>
          <w:rStyle w:val="CharSectno"/>
        </w:rPr>
        <w:t>5</w:t>
      </w:r>
      <w:r w:rsidR="00EA5462">
        <w:tab/>
        <w:t>Interpretation</w:t>
      </w:r>
      <w:bookmarkEnd w:id="8"/>
    </w:p>
    <w:p w:rsidR="00EA5462" w:rsidRDefault="00EA5462" w:rsidP="00232AF5">
      <w:pPr>
        <w:pStyle w:val="R1"/>
      </w:pPr>
      <w:r>
        <w:tab/>
      </w:r>
      <w:r>
        <w:tab/>
        <w:t>In this determination, unless the contrary</w:t>
      </w:r>
      <w:r w:rsidR="00F96AD2">
        <w:t xml:space="preserve"> intention</w:t>
      </w:r>
      <w:r>
        <w:t xml:space="preserve"> appears:</w:t>
      </w:r>
    </w:p>
    <w:p w:rsidR="00D73CBF" w:rsidRPr="00A441C4" w:rsidRDefault="00D73CBF" w:rsidP="00232AF5">
      <w:pPr>
        <w:pStyle w:val="definition"/>
        <w:spacing w:before="100" w:beforeAutospacing="1" w:after="100" w:afterAutospacing="1"/>
      </w:pPr>
      <w:r w:rsidRPr="00A441C4">
        <w:rPr>
          <w:b/>
          <w:i/>
        </w:rPr>
        <w:t>ACMA</w:t>
      </w:r>
      <w:r w:rsidRPr="00A441C4">
        <w:t xml:space="preserve"> means the Australian Communications and Media Authority.</w:t>
      </w:r>
    </w:p>
    <w:p w:rsidR="00EA5462" w:rsidRDefault="00EA5462" w:rsidP="00A86D20">
      <w:pPr>
        <w:pStyle w:val="definition"/>
        <w:spacing w:before="100" w:beforeAutospacing="1" w:after="100" w:afterAutospacing="1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Radiocommunications Act 1992</w:t>
      </w:r>
      <w:r w:rsidRPr="00094562">
        <w:t>.</w:t>
      </w:r>
    </w:p>
    <w:p w:rsidR="00E47718" w:rsidRDefault="00D20FF3" w:rsidP="00A86D20">
      <w:pPr>
        <w:pStyle w:val="definition"/>
        <w:spacing w:before="100" w:beforeAutospacing="1" w:after="100" w:afterAutospacing="1"/>
      </w:pPr>
      <w:r>
        <w:rPr>
          <w:b/>
          <w:i/>
        </w:rPr>
        <w:t>Australian S</w:t>
      </w:r>
      <w:r w:rsidR="00DA6D3A">
        <w:rPr>
          <w:b/>
          <w:i/>
        </w:rPr>
        <w:t xml:space="preserve">pectrum </w:t>
      </w:r>
      <w:r>
        <w:rPr>
          <w:b/>
          <w:i/>
        </w:rPr>
        <w:t>M</w:t>
      </w:r>
      <w:r w:rsidR="00DA6D3A">
        <w:rPr>
          <w:b/>
          <w:i/>
        </w:rPr>
        <w:t xml:space="preserve">ap </w:t>
      </w:r>
      <w:r>
        <w:rPr>
          <w:b/>
          <w:i/>
        </w:rPr>
        <w:t>G</w:t>
      </w:r>
      <w:r w:rsidR="00DA6D3A">
        <w:rPr>
          <w:b/>
          <w:i/>
        </w:rPr>
        <w:t xml:space="preserve">rid </w:t>
      </w:r>
      <w:r w:rsidR="008D6116">
        <w:rPr>
          <w:b/>
          <w:i/>
        </w:rPr>
        <w:t xml:space="preserve">(ASMG) </w:t>
      </w:r>
      <w:r w:rsidR="00DA6D3A">
        <w:t>means the</w:t>
      </w:r>
      <w:r w:rsidR="007D7B17">
        <w:t xml:space="preserve"> map grid known as the</w:t>
      </w:r>
      <w:r w:rsidR="00DA6D3A">
        <w:t xml:space="preserve"> </w:t>
      </w:r>
      <w:r w:rsidR="00DA6D3A" w:rsidRPr="008D5C34">
        <w:rPr>
          <w:i/>
        </w:rPr>
        <w:t>Australian Spectrum Map Grid 2012</w:t>
      </w:r>
      <w:r w:rsidR="005E11A9">
        <w:t xml:space="preserve"> published by the ACMA</w:t>
      </w:r>
      <w:r w:rsidR="00CD7613">
        <w:t xml:space="preserve"> as in force from time to time</w:t>
      </w:r>
      <w:r w:rsidR="005E11A9">
        <w:t>.</w:t>
      </w:r>
    </w:p>
    <w:p w:rsidR="009B2A2D" w:rsidRDefault="00CD7613">
      <w:pPr>
        <w:pStyle w:val="definition"/>
        <w:spacing w:before="100" w:beforeAutospacing="1" w:after="100" w:afterAutospacing="1"/>
        <w:rPr>
          <w:i/>
          <w:sz w:val="20"/>
          <w:szCs w:val="20"/>
        </w:rPr>
      </w:pPr>
      <w:r w:rsidRPr="00857AE8">
        <w:rPr>
          <w:i/>
          <w:sz w:val="20"/>
          <w:szCs w:val="20"/>
        </w:rPr>
        <w:t>Note</w:t>
      </w:r>
      <w:r w:rsidR="00341BEB">
        <w:rPr>
          <w:i/>
          <w:sz w:val="20"/>
          <w:szCs w:val="20"/>
        </w:rPr>
        <w:tab/>
      </w:r>
      <w:r w:rsidR="00341BEB">
        <w:rPr>
          <w:sz w:val="20"/>
          <w:szCs w:val="20"/>
        </w:rPr>
        <w:t>T</w:t>
      </w:r>
      <w:r w:rsidR="00E21250" w:rsidRPr="00E21250">
        <w:rPr>
          <w:sz w:val="20"/>
          <w:szCs w:val="20"/>
        </w:rPr>
        <w:t>he Australian Spectrum Map Grid 2012 is available on the ACMA website.</w:t>
      </w:r>
      <w:r w:rsidRPr="00857AE8">
        <w:rPr>
          <w:i/>
          <w:sz w:val="20"/>
          <w:szCs w:val="20"/>
        </w:rPr>
        <w:t xml:space="preserve"> </w:t>
      </w:r>
      <w:r w:rsidRPr="00857AE8">
        <w:rPr>
          <w:sz w:val="20"/>
          <w:szCs w:val="20"/>
        </w:rPr>
        <w:t xml:space="preserve"> </w:t>
      </w:r>
    </w:p>
    <w:p w:rsidR="00A86D20" w:rsidRDefault="00EA5462" w:rsidP="00A86D20">
      <w:pPr>
        <w:pStyle w:val="definition"/>
        <w:spacing w:before="100" w:beforeAutospacing="1" w:after="100" w:afterAutospacing="1"/>
      </w:pPr>
      <w:r>
        <w:rPr>
          <w:b/>
          <w:i/>
        </w:rPr>
        <w:t>geographic area</w:t>
      </w:r>
      <w:r>
        <w:rPr>
          <w:b/>
        </w:rPr>
        <w:t>,</w:t>
      </w:r>
      <w:r>
        <w:t xml:space="preserve"> in relation to a licence, means the area within which operation of a radiocommunications device is authorised under the licence.</w:t>
      </w:r>
    </w:p>
    <w:p w:rsidR="00857AE8" w:rsidRPr="00857AE8" w:rsidRDefault="008A7172" w:rsidP="00A86D20">
      <w:pPr>
        <w:pStyle w:val="definition"/>
        <w:spacing w:before="100" w:beforeAutospacing="1" w:after="100" w:afterAutospacing="1"/>
      </w:pPr>
      <w:r>
        <w:rPr>
          <w:b/>
          <w:i/>
        </w:rPr>
        <w:t xml:space="preserve">Hierarchical Cell Identifier Scheme (HCIS) </w:t>
      </w:r>
      <w:r>
        <w:t xml:space="preserve">means the cell grouping hierarchy scheme used to describe geographic areas in the </w:t>
      </w:r>
      <w:r w:rsidRPr="008A7172">
        <w:rPr>
          <w:i/>
        </w:rPr>
        <w:t>ASMG</w:t>
      </w:r>
      <w:r>
        <w:t>.</w:t>
      </w:r>
    </w:p>
    <w:p w:rsidR="00DA6D3A" w:rsidRPr="00D02512" w:rsidRDefault="00DA6D3A" w:rsidP="00A86D20">
      <w:pPr>
        <w:pStyle w:val="definition"/>
        <w:spacing w:before="100" w:beforeAutospacing="1" w:after="100" w:afterAutospacing="1"/>
      </w:pPr>
      <w:r w:rsidRPr="0078076C">
        <w:rPr>
          <w:b/>
          <w:i/>
        </w:rPr>
        <w:t>Level 1 cell</w:t>
      </w:r>
      <w:r>
        <w:t xml:space="preserve"> means </w:t>
      </w:r>
      <w:r w:rsidR="008D6116">
        <w:t>a</w:t>
      </w:r>
      <w:r w:rsidR="00F33C2A">
        <w:t xml:space="preserve"> </w:t>
      </w:r>
      <w:r w:rsidR="008D6116">
        <w:t xml:space="preserve">Level 1 cell of the HCIS. </w:t>
      </w:r>
    </w:p>
    <w:p w:rsidR="00EA5462" w:rsidRDefault="00EA5462" w:rsidP="00A86D20">
      <w:pPr>
        <w:pStyle w:val="definition"/>
        <w:spacing w:before="100" w:beforeAutospacing="1" w:after="100" w:afterAutospacing="1"/>
      </w:pPr>
      <w:r>
        <w:rPr>
          <w:b/>
          <w:i/>
        </w:rPr>
        <w:t xml:space="preserve">licence </w:t>
      </w:r>
      <w:r>
        <w:t>means a spectrum licence.</w:t>
      </w:r>
    </w:p>
    <w:p w:rsidR="00EA5462" w:rsidRDefault="00EA5462" w:rsidP="00A86D20">
      <w:pPr>
        <w:pStyle w:val="definition"/>
        <w:spacing w:before="100" w:beforeAutospacing="1" w:after="100" w:afterAutospacing="1"/>
      </w:pPr>
      <w:r>
        <w:rPr>
          <w:b/>
          <w:i/>
        </w:rPr>
        <w:t xml:space="preserve">licensee </w:t>
      </w:r>
      <w:r>
        <w:t xml:space="preserve">means the holder of a </w:t>
      </w:r>
      <w:r w:rsidR="00911B5C">
        <w:t xml:space="preserve">spectrum </w:t>
      </w:r>
      <w:r>
        <w:t>licence.</w:t>
      </w:r>
    </w:p>
    <w:p w:rsidR="00DA6D3A" w:rsidRDefault="00282B06" w:rsidP="00A86D20">
      <w:pPr>
        <w:pStyle w:val="definition"/>
        <w:spacing w:before="100" w:beforeAutospacing="1" w:after="100" w:afterAutospacing="1"/>
      </w:pPr>
      <w:r>
        <w:rPr>
          <w:b/>
          <w:i/>
        </w:rPr>
        <w:lastRenderedPageBreak/>
        <w:t>m</w:t>
      </w:r>
      <w:r w:rsidR="00DA6D3A">
        <w:rPr>
          <w:b/>
          <w:i/>
        </w:rPr>
        <w:t xml:space="preserve">inimum contiguous bandwidth (MCB) </w:t>
      </w:r>
      <w:r w:rsidR="00DA6D3A" w:rsidRPr="009D79AE">
        <w:t xml:space="preserve">means </w:t>
      </w:r>
      <w:r w:rsidR="00DA6D3A">
        <w:t xml:space="preserve">the minimum contiguous </w:t>
      </w:r>
      <w:r w:rsidR="00DA6D3A" w:rsidRPr="00AE3B93">
        <w:t xml:space="preserve">bandwidth </w:t>
      </w:r>
      <w:r w:rsidR="00DA6D3A">
        <w:t xml:space="preserve">specified for a </w:t>
      </w:r>
      <w:r w:rsidR="008D0608">
        <w:t xml:space="preserve">frequency </w:t>
      </w:r>
      <w:r w:rsidR="00DA6D3A">
        <w:t>band in Schedule 1 of this determination</w:t>
      </w:r>
      <w:r w:rsidR="00DA6D3A" w:rsidRPr="00AE3B93">
        <w:t>.</w:t>
      </w:r>
    </w:p>
    <w:p w:rsidR="00EA5462" w:rsidRDefault="00EA5462" w:rsidP="00A86D20">
      <w:pPr>
        <w:pStyle w:val="definition"/>
        <w:spacing w:before="100" w:beforeAutospacing="1" w:after="100" w:afterAutospacing="1"/>
      </w:pPr>
      <w:r>
        <w:rPr>
          <w:b/>
          <w:i/>
        </w:rPr>
        <w:t xml:space="preserve">Register </w:t>
      </w:r>
      <w:r>
        <w:t>means the Register of Radiocommunications Licences established under section 143 of the Act.</w:t>
      </w:r>
    </w:p>
    <w:p w:rsidR="005E11A9" w:rsidRPr="00A86D20" w:rsidRDefault="00EA5462" w:rsidP="00EA5462">
      <w:pPr>
        <w:pStyle w:val="definition"/>
      </w:pPr>
      <w:r>
        <w:rPr>
          <w:b/>
          <w:i/>
        </w:rPr>
        <w:t>standard trading unit (STU)</w:t>
      </w:r>
      <w:r>
        <w:t xml:space="preserve"> in relation to a licence,</w:t>
      </w:r>
      <w:r w:rsidR="00DA6D3A">
        <w:t xml:space="preserve"> means a parcel of spectrum space </w:t>
      </w:r>
      <w:r w:rsidR="00F33C2A">
        <w:t xml:space="preserve">that consists </w:t>
      </w:r>
      <w:r w:rsidR="00DA6D3A">
        <w:t>of</w:t>
      </w:r>
      <w:r w:rsidR="005E11A9">
        <w:t>:</w:t>
      </w:r>
    </w:p>
    <w:p w:rsidR="005E11A9" w:rsidRPr="00A86D20" w:rsidRDefault="00E73231" w:rsidP="005E11A9">
      <w:pPr>
        <w:pStyle w:val="definition"/>
        <w:numPr>
          <w:ilvl w:val="0"/>
          <w:numId w:val="17"/>
        </w:numPr>
      </w:pPr>
      <w:r w:rsidRPr="00A86D20">
        <w:t xml:space="preserve">a geographic area </w:t>
      </w:r>
      <w:r w:rsidR="00F33C2A" w:rsidRPr="00A86D20">
        <w:t>equal to a</w:t>
      </w:r>
      <w:r w:rsidR="00DA6D3A" w:rsidRPr="00A86D20">
        <w:t xml:space="preserve"> Level 1 cell</w:t>
      </w:r>
      <w:r w:rsidR="005E11A9" w:rsidRPr="00A86D20">
        <w:t>;</w:t>
      </w:r>
      <w:r w:rsidR="00DA6D3A" w:rsidRPr="00A86D20">
        <w:t xml:space="preserve"> and</w:t>
      </w:r>
    </w:p>
    <w:p w:rsidR="007D7B17" w:rsidRPr="00A86D20" w:rsidRDefault="005E11A9" w:rsidP="00F33C2A">
      <w:pPr>
        <w:pStyle w:val="definition"/>
        <w:ind w:left="1440" w:hanging="476"/>
      </w:pPr>
      <w:r w:rsidRPr="00A86D20">
        <w:t>(b)</w:t>
      </w:r>
      <w:r w:rsidR="00DA6D3A" w:rsidRPr="00A86D20">
        <w:t xml:space="preserve"> </w:t>
      </w:r>
      <w:r w:rsidRPr="00A86D20">
        <w:tab/>
      </w:r>
      <w:r w:rsidR="00DA6D3A" w:rsidRPr="00A86D20">
        <w:t xml:space="preserve">a frequency band </w:t>
      </w:r>
      <w:r w:rsidR="007D7B17" w:rsidRPr="00A86D20">
        <w:t>where the</w:t>
      </w:r>
      <w:r w:rsidR="00F33C2A" w:rsidRPr="00A86D20">
        <w:t xml:space="preserve"> </w:t>
      </w:r>
      <w:r w:rsidR="00DA6D3A" w:rsidRPr="00A86D20">
        <w:t>lower and upper frequency limits</w:t>
      </w:r>
      <w:r w:rsidR="00F33C2A" w:rsidRPr="00A86D20">
        <w:t xml:space="preserve"> of each segment </w:t>
      </w:r>
      <w:r w:rsidR="007D7B17" w:rsidRPr="00A86D20">
        <w:t>are</w:t>
      </w:r>
      <w:r w:rsidR="00F33C2A" w:rsidRPr="00A86D20">
        <w:t xml:space="preserve"> </w:t>
      </w:r>
      <w:r w:rsidR="00DA6D3A" w:rsidRPr="00A86D20">
        <w:t>integer</w:t>
      </w:r>
      <w:r w:rsidR="007D7B17" w:rsidRPr="00A86D20">
        <w:t>s</w:t>
      </w:r>
      <w:r w:rsidR="00DA6D3A" w:rsidRPr="00A86D20">
        <w:t xml:space="preserve"> when described in Hertz.</w:t>
      </w:r>
      <w:r w:rsidR="00EA5462" w:rsidRPr="00A86D20">
        <w:t xml:space="preserve"> </w:t>
      </w:r>
    </w:p>
    <w:p w:rsidR="00EA5462" w:rsidRDefault="00EA5462" w:rsidP="00EA5462">
      <w:pPr>
        <w:pStyle w:val="definition"/>
        <w:rPr>
          <w:b/>
          <w:i/>
        </w:rPr>
      </w:pPr>
      <w:r>
        <w:rPr>
          <w:b/>
          <w:i/>
        </w:rPr>
        <w:t>trade</w:t>
      </w:r>
      <w:r w:rsidRPr="008A22EF">
        <w:rPr>
          <w:i/>
        </w:rPr>
        <w:t>,</w:t>
      </w:r>
      <w:r>
        <w:rPr>
          <w:b/>
          <w:i/>
        </w:rPr>
        <w:t xml:space="preserve"> </w:t>
      </w:r>
      <w:r>
        <w:t xml:space="preserve">in relation to a licence, means </w:t>
      </w:r>
      <w:r w:rsidR="00DA6D3A">
        <w:t xml:space="preserve">to </w:t>
      </w:r>
      <w:r>
        <w:t>assign or otherwise deal with the whole or a</w:t>
      </w:r>
      <w:r w:rsidR="00DA6D3A">
        <w:t>ny</w:t>
      </w:r>
      <w:r>
        <w:t xml:space="preserve"> part of the licence.</w:t>
      </w:r>
    </w:p>
    <w:p w:rsidR="00EA5462" w:rsidRDefault="00EA5462" w:rsidP="00EA5462">
      <w:pPr>
        <w:pStyle w:val="definition"/>
        <w:rPr>
          <w:b/>
        </w:rPr>
      </w:pPr>
      <w:r>
        <w:rPr>
          <w:b/>
          <w:i/>
        </w:rPr>
        <w:t>Trading Form</w:t>
      </w:r>
      <w:r>
        <w:t xml:space="preserve"> means the form approved by </w:t>
      </w:r>
      <w:r w:rsidR="00E414EA">
        <w:t xml:space="preserve">the </w:t>
      </w:r>
      <w:r w:rsidR="00DA25A9" w:rsidRPr="00A441C4">
        <w:t>ACMA</w:t>
      </w:r>
      <w:r>
        <w:t xml:space="preserve"> under </w:t>
      </w:r>
      <w:r w:rsidR="00B678DB">
        <w:t>section 6 of this determination</w:t>
      </w:r>
      <w:r>
        <w:t>.</w:t>
      </w:r>
    </w:p>
    <w:p w:rsidR="00DA6D3A" w:rsidRDefault="00EA5462" w:rsidP="00EA5462">
      <w:pPr>
        <w:pStyle w:val="Note"/>
      </w:pPr>
      <w:r w:rsidRPr="00AD4AA1">
        <w:rPr>
          <w:i/>
        </w:rPr>
        <w:t>Note</w:t>
      </w:r>
      <w:r w:rsidR="005C5099">
        <w:tab/>
      </w:r>
      <w:r>
        <w:t xml:space="preserve">The following terms, used in this determination, are defined in the </w:t>
      </w:r>
      <w:r w:rsidR="008A7172" w:rsidRPr="008A7172">
        <w:t>Act</w:t>
      </w:r>
      <w:r>
        <w:t xml:space="preserve"> and have the meaning given to them by th</w:t>
      </w:r>
      <w:r w:rsidR="00911B5C">
        <w:t>e</w:t>
      </w:r>
      <w:r>
        <w:t xml:space="preserve"> Act: </w:t>
      </w:r>
    </w:p>
    <w:p w:rsidR="00DA6D3A" w:rsidRPr="00D00F26" w:rsidRDefault="00DA6D3A" w:rsidP="00DA6D3A">
      <w:pPr>
        <w:pStyle w:val="Note"/>
        <w:numPr>
          <w:ilvl w:val="0"/>
          <w:numId w:val="14"/>
        </w:numPr>
      </w:pPr>
      <w:r w:rsidRPr="00D00F26">
        <w:t>device</w:t>
      </w:r>
    </w:p>
    <w:p w:rsidR="00DA6D3A" w:rsidRDefault="00EA5462" w:rsidP="00DA6D3A">
      <w:pPr>
        <w:pStyle w:val="Note"/>
        <w:numPr>
          <w:ilvl w:val="0"/>
          <w:numId w:val="14"/>
        </w:numPr>
      </w:pPr>
      <w:r>
        <w:t>frequency band</w:t>
      </w:r>
    </w:p>
    <w:p w:rsidR="00EA5462" w:rsidRDefault="00EA5462" w:rsidP="00DA6D3A">
      <w:pPr>
        <w:pStyle w:val="Note"/>
        <w:numPr>
          <w:ilvl w:val="0"/>
          <w:numId w:val="14"/>
        </w:numPr>
      </w:pPr>
      <w:r>
        <w:t>spectrum licence</w:t>
      </w:r>
    </w:p>
    <w:p w:rsidR="008D0608" w:rsidRDefault="008D0608" w:rsidP="008D0608">
      <w:pPr>
        <w:pStyle w:val="HR"/>
        <w:spacing w:before="0"/>
        <w:ind w:left="0" w:firstLine="0"/>
        <w:rPr>
          <w:rStyle w:val="CharSectno"/>
          <w:rFonts w:ascii="Times New Roman" w:hAnsi="Times New Roman"/>
          <w:b w:val="0"/>
        </w:rPr>
      </w:pPr>
      <w:bookmarkStart w:id="9" w:name="_Toc312241275"/>
    </w:p>
    <w:p w:rsidR="00EA5462" w:rsidRDefault="00D46219" w:rsidP="008D0608">
      <w:pPr>
        <w:pStyle w:val="HR"/>
        <w:spacing w:before="0"/>
      </w:pPr>
      <w:r>
        <w:rPr>
          <w:rStyle w:val="CharSectno"/>
        </w:rPr>
        <w:t>6</w:t>
      </w:r>
      <w:r w:rsidR="00EA5462">
        <w:tab/>
        <w:t>Approval of form</w:t>
      </w:r>
      <w:bookmarkEnd w:id="9"/>
    </w:p>
    <w:p w:rsidR="00EA5462" w:rsidRDefault="00EA5462" w:rsidP="00EA5462">
      <w:pPr>
        <w:pStyle w:val="R1"/>
      </w:pPr>
      <w:r>
        <w:tab/>
      </w:r>
      <w:r>
        <w:tab/>
      </w:r>
      <w:r w:rsidR="00DA6D3A">
        <w:t xml:space="preserve">The </w:t>
      </w:r>
      <w:r w:rsidR="00DA25A9" w:rsidRPr="00A441C4">
        <w:t>ACMA</w:t>
      </w:r>
      <w:r>
        <w:t xml:space="preserve"> must approve, in writing, a Trading Form.</w:t>
      </w:r>
    </w:p>
    <w:p w:rsidR="00EA5462" w:rsidRPr="00E8692E" w:rsidRDefault="00D46219" w:rsidP="00EA5462">
      <w:pPr>
        <w:pStyle w:val="HR"/>
      </w:pPr>
      <w:bookmarkStart w:id="10" w:name="_Toc312241276"/>
      <w:r>
        <w:rPr>
          <w:rStyle w:val="CharSectno"/>
        </w:rPr>
        <w:t>7</w:t>
      </w:r>
      <w:r w:rsidR="00EA5462" w:rsidRPr="00E8692E">
        <w:tab/>
        <w:t>What may be traded</w:t>
      </w:r>
      <w:bookmarkEnd w:id="10"/>
    </w:p>
    <w:p w:rsidR="00EA5462" w:rsidRPr="00E8692E" w:rsidRDefault="00EA5462" w:rsidP="00EA5462">
      <w:pPr>
        <w:pStyle w:val="R1"/>
      </w:pPr>
      <w:r w:rsidRPr="00E8692E">
        <w:tab/>
      </w:r>
      <w:r w:rsidRPr="00E8692E">
        <w:tab/>
      </w:r>
      <w:r w:rsidR="00857AE8">
        <w:t>Subject to section 8, a</w:t>
      </w:r>
      <w:r w:rsidRPr="00E8692E">
        <w:t xml:space="preserve"> licensee may:</w:t>
      </w:r>
    </w:p>
    <w:p w:rsidR="00EA5462" w:rsidRPr="00E8692E" w:rsidRDefault="00EA5462" w:rsidP="007A2DE6">
      <w:pPr>
        <w:pStyle w:val="P1"/>
        <w:numPr>
          <w:ilvl w:val="0"/>
          <w:numId w:val="22"/>
        </w:numPr>
      </w:pPr>
      <w:r w:rsidRPr="00E8692E">
        <w:t xml:space="preserve">trade all or part of </w:t>
      </w:r>
      <w:r w:rsidR="0027393B">
        <w:t>their</w:t>
      </w:r>
      <w:r w:rsidRPr="00E8692E">
        <w:t xml:space="preserve"> licence to an existing licensee or to another person; and</w:t>
      </w:r>
    </w:p>
    <w:p w:rsidR="00EA5462" w:rsidRDefault="00EA5462" w:rsidP="007A2DE6">
      <w:pPr>
        <w:pStyle w:val="P1"/>
        <w:numPr>
          <w:ilvl w:val="0"/>
          <w:numId w:val="22"/>
        </w:numPr>
      </w:pPr>
      <w:r w:rsidRPr="00E8692E">
        <w:t>trade parts of the licence to different</w:t>
      </w:r>
      <w:r w:rsidR="0027393B">
        <w:t xml:space="preserve"> persons</w:t>
      </w:r>
      <w:r w:rsidRPr="00E8692E">
        <w:t>.</w:t>
      </w:r>
    </w:p>
    <w:p w:rsidR="00EA5462" w:rsidRDefault="00EA5462" w:rsidP="00EA5462">
      <w:pPr>
        <w:pStyle w:val="Note"/>
        <w:rPr>
          <w:b/>
        </w:rPr>
      </w:pPr>
      <w:r w:rsidRPr="00C326FA">
        <w:rPr>
          <w:i/>
        </w:rPr>
        <w:t>Note</w:t>
      </w:r>
      <w:r w:rsidR="005C5099">
        <w:tab/>
      </w:r>
      <w:r w:rsidR="00B51599">
        <w:t>Under subsection 86</w:t>
      </w:r>
      <w:r w:rsidR="001A707F">
        <w:t xml:space="preserve"> </w:t>
      </w:r>
      <w:r w:rsidR="00B51599">
        <w:t>(2) of the Act, an assignment covered by subsection 86</w:t>
      </w:r>
      <w:r w:rsidR="001A707F">
        <w:t xml:space="preserve"> </w:t>
      </w:r>
      <w:r w:rsidR="00B51599">
        <w:t xml:space="preserve">(1) cannot take effect before the Register is amended under Part 3.5 of the Act to take it into account. </w:t>
      </w:r>
    </w:p>
    <w:p w:rsidR="00EA5462" w:rsidRDefault="00D46219" w:rsidP="00EA5462">
      <w:pPr>
        <w:pStyle w:val="HR"/>
      </w:pPr>
      <w:bookmarkStart w:id="11" w:name="_Toc312241277"/>
      <w:r>
        <w:rPr>
          <w:rStyle w:val="CharSectno"/>
        </w:rPr>
        <w:t>8</w:t>
      </w:r>
      <w:r w:rsidR="00EA5462">
        <w:tab/>
        <w:t>Restrictions on trading</w:t>
      </w:r>
      <w:bookmarkEnd w:id="11"/>
    </w:p>
    <w:p w:rsidR="008A7172" w:rsidRDefault="00EA5462" w:rsidP="008A7172">
      <w:pPr>
        <w:pStyle w:val="R1"/>
        <w:spacing w:after="120"/>
      </w:pPr>
      <w:r>
        <w:tab/>
        <w:t>(1)</w:t>
      </w:r>
      <w:r>
        <w:tab/>
      </w:r>
      <w:r w:rsidR="003622F5">
        <w:t xml:space="preserve">A licensee </w:t>
      </w:r>
      <w:r w:rsidR="00281C77">
        <w:t xml:space="preserve">must </w:t>
      </w:r>
      <w:r w:rsidR="00772E71">
        <w:t>only trade all or part of their licence as</w:t>
      </w:r>
      <w:r w:rsidR="004B7C8D">
        <w:t>:</w:t>
      </w:r>
    </w:p>
    <w:p w:rsidR="008A7172" w:rsidRDefault="00772E71" w:rsidP="008A7172">
      <w:pPr>
        <w:numPr>
          <w:ilvl w:val="0"/>
          <w:numId w:val="24"/>
        </w:numPr>
        <w:ind w:firstLine="273"/>
      </w:pPr>
      <w:r>
        <w:t>a single whole STU</w:t>
      </w:r>
      <w:r w:rsidR="004B7C8D">
        <w:t>;</w:t>
      </w:r>
      <w:r>
        <w:t xml:space="preserve"> or </w:t>
      </w:r>
    </w:p>
    <w:p w:rsidR="008A7172" w:rsidRDefault="00772E71" w:rsidP="001A707F">
      <w:pPr>
        <w:numPr>
          <w:ilvl w:val="0"/>
          <w:numId w:val="24"/>
        </w:numPr>
        <w:ind w:firstLine="273"/>
      </w:pPr>
      <w:r>
        <w:t xml:space="preserve">a multiple of whole STUs. </w:t>
      </w:r>
    </w:p>
    <w:p w:rsidR="001A707F" w:rsidRDefault="00EA5462" w:rsidP="001A707F">
      <w:pPr>
        <w:pStyle w:val="R2"/>
      </w:pPr>
      <w:r>
        <w:tab/>
        <w:t>(2)</w:t>
      </w:r>
      <w:r>
        <w:tab/>
        <w:t>A licensee must not trade a part of the</w:t>
      </w:r>
      <w:r w:rsidR="00B51599">
        <w:t>ir</w:t>
      </w:r>
      <w:r>
        <w:t xml:space="preserve"> licence </w:t>
      </w:r>
      <w:r w:rsidR="00525BFA">
        <w:t xml:space="preserve">if the trade </w:t>
      </w:r>
      <w:r w:rsidR="00DA6D3A">
        <w:t xml:space="preserve">results in a licence </w:t>
      </w:r>
      <w:r w:rsidR="00BE79C0">
        <w:t xml:space="preserve">with a </w:t>
      </w:r>
      <w:r w:rsidR="00015DF0">
        <w:t>bandwidth</w:t>
      </w:r>
      <w:r w:rsidR="00BE79C0">
        <w:t xml:space="preserve"> that is less than the MCB for the frequency band </w:t>
      </w:r>
      <w:r w:rsidR="0060213F" w:rsidRPr="004D5851">
        <w:t>in which the licence operates</w:t>
      </w:r>
      <w:r w:rsidR="008A7172">
        <w:t>,</w:t>
      </w:r>
      <w:r w:rsidR="00B04DC9">
        <w:t xml:space="preserve"> </w:t>
      </w:r>
      <w:r w:rsidR="00DA6D3A">
        <w:t>without obtaining the ACMA’s prior written permission.</w:t>
      </w:r>
    </w:p>
    <w:p w:rsidR="00232AF5" w:rsidRDefault="001A707F" w:rsidP="001A707F">
      <w:pPr>
        <w:pStyle w:val="R2"/>
      </w:pPr>
      <w:r>
        <w:br w:type="page"/>
      </w:r>
      <w:r w:rsidR="0027393B">
        <w:lastRenderedPageBreak/>
        <w:tab/>
      </w:r>
      <w:r w:rsidR="00EA5462">
        <w:t>(3)</w:t>
      </w:r>
      <w:r w:rsidR="00EA5462">
        <w:tab/>
        <w:t xml:space="preserve">A licensee </w:t>
      </w:r>
      <w:r w:rsidR="00DA6D3A">
        <w:t xml:space="preserve">must </w:t>
      </w:r>
      <w:r w:rsidR="00EA5462">
        <w:t xml:space="preserve">not transfer </w:t>
      </w:r>
      <w:r w:rsidR="0027393B">
        <w:t>their</w:t>
      </w:r>
      <w:r w:rsidR="00EA5462">
        <w:t xml:space="preserve"> licence for the purpose of providing security for a loan.</w:t>
      </w:r>
    </w:p>
    <w:p w:rsidR="00EA5462" w:rsidRDefault="00EA5462" w:rsidP="00EA5462">
      <w:pPr>
        <w:pStyle w:val="Note"/>
      </w:pPr>
      <w:r w:rsidRPr="00ED6067">
        <w:rPr>
          <w:i/>
        </w:rPr>
        <w:t>Note</w:t>
      </w:r>
      <w:r w:rsidR="005C5099">
        <w:tab/>
      </w:r>
      <w:r>
        <w:t>S</w:t>
      </w:r>
      <w:r w:rsidR="00DA6D3A">
        <w:t>ection</w:t>
      </w:r>
      <w:r>
        <w:t xml:space="preserve"> 68 of the Act permits a licensee to authorise other persons to operate devices under the licence.</w:t>
      </w:r>
    </w:p>
    <w:p w:rsidR="00EA5462" w:rsidRDefault="00D46219" w:rsidP="00EA5462">
      <w:pPr>
        <w:pStyle w:val="HR"/>
      </w:pPr>
      <w:bookmarkStart w:id="12" w:name="_Toc312241278"/>
      <w:r>
        <w:rPr>
          <w:rStyle w:val="CharSectno"/>
        </w:rPr>
        <w:t>9</w:t>
      </w:r>
      <w:r w:rsidR="00EA5462">
        <w:tab/>
        <w:t xml:space="preserve">Information to be given to </w:t>
      </w:r>
      <w:r w:rsidR="00DA6D3A">
        <w:t xml:space="preserve">the </w:t>
      </w:r>
      <w:r w:rsidR="00DA25A9" w:rsidRPr="00A441C4">
        <w:t>ACMA</w:t>
      </w:r>
      <w:bookmarkEnd w:id="12"/>
    </w:p>
    <w:p w:rsidR="00EA5462" w:rsidRDefault="00EA5462" w:rsidP="00EA5462">
      <w:pPr>
        <w:pStyle w:val="R1"/>
      </w:pPr>
      <w:r>
        <w:tab/>
        <w:t>(1)</w:t>
      </w:r>
      <w:r>
        <w:tab/>
      </w:r>
      <w:r w:rsidRPr="00E8291D">
        <w:t>T</w:t>
      </w:r>
      <w:r>
        <w:t xml:space="preserve">he information to be given to </w:t>
      </w:r>
      <w:r w:rsidR="00DA6D3A">
        <w:t xml:space="preserve">the </w:t>
      </w:r>
      <w:r w:rsidR="00DA25A9" w:rsidRPr="00A441C4">
        <w:t>ACMA</w:t>
      </w:r>
      <w:r>
        <w:t xml:space="preserve"> under section 86 of the Act must include:</w:t>
      </w:r>
    </w:p>
    <w:p w:rsidR="00EA5462" w:rsidRDefault="00EA5462" w:rsidP="00EA5462">
      <w:pPr>
        <w:pStyle w:val="P1"/>
      </w:pPr>
      <w:r>
        <w:tab/>
        <w:t>(a)</w:t>
      </w:r>
      <w:r>
        <w:tab/>
        <w:t>whether the whole or a part of the licence is traded; and</w:t>
      </w:r>
    </w:p>
    <w:p w:rsidR="00EA5462" w:rsidRDefault="00EA5462" w:rsidP="00EA5462">
      <w:pPr>
        <w:pStyle w:val="P1"/>
      </w:pPr>
      <w:r>
        <w:tab/>
        <w:t>(b)</w:t>
      </w:r>
      <w:r>
        <w:tab/>
        <w:t>the name and postal address of the person to whom the licence or part is traded; and</w:t>
      </w:r>
    </w:p>
    <w:p w:rsidR="00EA5462" w:rsidRDefault="00EA5462" w:rsidP="00EA5462">
      <w:pPr>
        <w:pStyle w:val="P1"/>
      </w:pPr>
      <w:r w:rsidRPr="0098626A">
        <w:tab/>
      </w:r>
      <w:r>
        <w:t>(c)</w:t>
      </w:r>
      <w:r>
        <w:tab/>
        <w:t>if only part of the licence is traded</w:t>
      </w:r>
      <w:r w:rsidR="00C209EC">
        <w:t xml:space="preserve">, </w:t>
      </w:r>
      <w:r w:rsidR="00FE2B93">
        <w:t>a description of the</w:t>
      </w:r>
      <w:r w:rsidR="009A25D8">
        <w:t xml:space="preserve"> frequency band and geographic area </w:t>
      </w:r>
      <w:r w:rsidR="00FE2B93">
        <w:t>of</w:t>
      </w:r>
      <w:r>
        <w:t>:</w:t>
      </w:r>
    </w:p>
    <w:p w:rsidR="00DA6D3A" w:rsidRDefault="009A25D8" w:rsidP="009A25D8">
      <w:pPr>
        <w:pStyle w:val="P2"/>
        <w:numPr>
          <w:ilvl w:val="0"/>
          <w:numId w:val="16"/>
        </w:numPr>
      </w:pPr>
      <w:r>
        <w:t>the part traded</w:t>
      </w:r>
      <w:r w:rsidR="00FE2B93">
        <w:t>; and</w:t>
      </w:r>
      <w:r w:rsidR="00DA6D3A">
        <w:t xml:space="preserve"> </w:t>
      </w:r>
    </w:p>
    <w:p w:rsidR="00CD097F" w:rsidRDefault="009A25D8" w:rsidP="00CD097F">
      <w:pPr>
        <w:pStyle w:val="P2"/>
        <w:ind w:left="2410"/>
      </w:pPr>
      <w:r>
        <w:tab/>
      </w:r>
      <w:r w:rsidR="00DA6D3A">
        <w:tab/>
        <w:t>(ii)</w:t>
      </w:r>
      <w:r w:rsidR="00DA6D3A">
        <w:tab/>
        <w:t>the remaining part of the licence</w:t>
      </w:r>
      <w:r w:rsidR="00FE2B93">
        <w:t>; and</w:t>
      </w:r>
    </w:p>
    <w:p w:rsidR="00EA5462" w:rsidRDefault="00EA5462" w:rsidP="00EA5462">
      <w:pPr>
        <w:pStyle w:val="P1"/>
      </w:pPr>
      <w:r>
        <w:tab/>
        <w:t>(d)</w:t>
      </w:r>
      <w:r>
        <w:tab/>
        <w:t>the certificate issued under subsection 145 (3) of the Act for each device to be operated:</w:t>
      </w:r>
    </w:p>
    <w:p w:rsidR="00EA5462" w:rsidRDefault="00EA5462" w:rsidP="00EA5462">
      <w:pPr>
        <w:pStyle w:val="P2"/>
      </w:pPr>
      <w:r>
        <w:tab/>
        <w:t>(i)</w:t>
      </w:r>
      <w:r>
        <w:tab/>
        <w:t>under the licence or part traded; and</w:t>
      </w:r>
    </w:p>
    <w:p w:rsidR="00EA5462" w:rsidRDefault="00EA5462" w:rsidP="00EA5462">
      <w:pPr>
        <w:pStyle w:val="P2"/>
      </w:pPr>
      <w:r>
        <w:tab/>
        <w:t>(ii)</w:t>
      </w:r>
      <w:r>
        <w:tab/>
        <w:t>if only part of the licence is traded — under the remaining part of the licence;</w:t>
      </w:r>
    </w:p>
    <w:p w:rsidR="00E66AC3" w:rsidRPr="00E66AC3" w:rsidRDefault="00EA5462" w:rsidP="00E66AC3">
      <w:pPr>
        <w:pStyle w:val="Rc"/>
        <w:ind w:firstLine="476"/>
      </w:pPr>
      <w:r>
        <w:t>if a new certificate is required as a result of the trading</w:t>
      </w:r>
      <w:r w:rsidR="00E66AC3">
        <w:t>.</w:t>
      </w:r>
    </w:p>
    <w:p w:rsidR="00EA5462" w:rsidRDefault="00EA5462" w:rsidP="00B36A4F">
      <w:pPr>
        <w:pStyle w:val="Note"/>
        <w:tabs>
          <w:tab w:val="left" w:pos="1418"/>
          <w:tab w:val="left" w:pos="1560"/>
          <w:tab w:val="left" w:pos="2835"/>
        </w:tabs>
      </w:pPr>
      <w:r w:rsidRPr="00483033">
        <w:rPr>
          <w:i/>
        </w:rPr>
        <w:t>Note 1</w:t>
      </w:r>
      <w:r w:rsidR="00B36A4F">
        <w:rPr>
          <w:i/>
        </w:rPr>
        <w:tab/>
      </w:r>
      <w:r>
        <w:t>S</w:t>
      </w:r>
      <w:r w:rsidR="00DA6D3A">
        <w:t>ection</w:t>
      </w:r>
      <w:r>
        <w:t xml:space="preserve"> 86 of the Act requires parties to trading to give </w:t>
      </w:r>
      <w:r w:rsidR="00E414EA">
        <w:t xml:space="preserve">the </w:t>
      </w:r>
      <w:r w:rsidR="00DA25A9" w:rsidRPr="00A441C4">
        <w:t>ACMA</w:t>
      </w:r>
      <w:r>
        <w:t xml:space="preserve"> such information about the assignment as</w:t>
      </w:r>
      <w:r w:rsidR="00E414EA">
        <w:t xml:space="preserve"> the</w:t>
      </w:r>
      <w:r>
        <w:t xml:space="preserve"> </w:t>
      </w:r>
      <w:r w:rsidR="00DA25A9" w:rsidRPr="00A441C4">
        <w:t>ACMA</w:t>
      </w:r>
      <w:r>
        <w:t xml:space="preserve"> requires to</w:t>
      </w:r>
      <w:r w:rsidR="00E414EA">
        <w:t xml:space="preserve"> </w:t>
      </w:r>
      <w:r>
        <w:t>amend the Register.</w:t>
      </w:r>
      <w:r w:rsidR="00E66AC3" w:rsidRPr="00E66AC3">
        <w:t xml:space="preserve"> </w:t>
      </w:r>
    </w:p>
    <w:p w:rsidR="00EA5462" w:rsidRDefault="00EA5462" w:rsidP="00B36A4F">
      <w:pPr>
        <w:pStyle w:val="Note"/>
        <w:tabs>
          <w:tab w:val="left" w:pos="1134"/>
          <w:tab w:val="left" w:pos="1418"/>
          <w:tab w:val="left" w:pos="1560"/>
        </w:tabs>
      </w:pPr>
      <w:r w:rsidRPr="005E4178">
        <w:rPr>
          <w:i/>
        </w:rPr>
        <w:t xml:space="preserve">Note </w:t>
      </w:r>
      <w:r w:rsidRPr="005E4178">
        <w:rPr>
          <w:i/>
          <w:iCs/>
        </w:rPr>
        <w:t>2</w:t>
      </w:r>
      <w:r w:rsidR="005C5099">
        <w:rPr>
          <w:i/>
        </w:rPr>
        <w:tab/>
      </w:r>
      <w:r w:rsidR="00A86D20">
        <w:t xml:space="preserve">To give effect to a trade, the </w:t>
      </w:r>
      <w:r w:rsidR="00DA25A9" w:rsidRPr="00A441C4">
        <w:t>ACMA</w:t>
      </w:r>
      <w:r>
        <w:t xml:space="preserve"> may vary a licence or the conditions of a licence, or issue or cancel licences — </w:t>
      </w:r>
      <w:r w:rsidRPr="00A747E4">
        <w:t>see</w:t>
      </w:r>
      <w:r>
        <w:t xml:space="preserve"> s</w:t>
      </w:r>
      <w:r w:rsidR="00DA6D3A">
        <w:t>ection</w:t>
      </w:r>
      <w:r>
        <w:t xml:space="preserve"> 87 of the Act.</w:t>
      </w:r>
    </w:p>
    <w:p w:rsidR="00EA5462" w:rsidRDefault="00EA5462" w:rsidP="00B36A4F">
      <w:pPr>
        <w:pStyle w:val="Note"/>
        <w:tabs>
          <w:tab w:val="left" w:pos="1560"/>
        </w:tabs>
      </w:pPr>
      <w:r w:rsidRPr="00D84D23">
        <w:rPr>
          <w:i/>
        </w:rPr>
        <w:t xml:space="preserve">Note </w:t>
      </w:r>
      <w:r w:rsidRPr="00D84D23">
        <w:rPr>
          <w:i/>
          <w:iCs/>
        </w:rPr>
        <w:t>3</w:t>
      </w:r>
      <w:r w:rsidR="005C5099">
        <w:rPr>
          <w:i/>
        </w:rPr>
        <w:tab/>
      </w:r>
      <w:r w:rsidR="00E66AC3">
        <w:t>The</w:t>
      </w:r>
      <w:r w:rsidR="00E66AC3" w:rsidRPr="00A441C4">
        <w:t xml:space="preserve"> </w:t>
      </w:r>
      <w:r w:rsidR="00DA25A9" w:rsidRPr="00A441C4">
        <w:t>ACMA</w:t>
      </w:r>
      <w:r>
        <w:t xml:space="preserve"> must make the changes to the Register that are necessary as a result of trading — </w:t>
      </w:r>
      <w:r w:rsidRPr="00A747E4">
        <w:t>see</w:t>
      </w:r>
      <w:r>
        <w:t xml:space="preserve"> s</w:t>
      </w:r>
      <w:r w:rsidR="009E1C00">
        <w:t>ection</w:t>
      </w:r>
      <w:r>
        <w:t xml:space="preserve"> 146 of the Act.</w:t>
      </w:r>
    </w:p>
    <w:p w:rsidR="00EA5462" w:rsidRDefault="00EA5462" w:rsidP="00EA5462">
      <w:pPr>
        <w:pStyle w:val="R2"/>
      </w:pPr>
      <w:r>
        <w:tab/>
        <w:t>(2)</w:t>
      </w:r>
      <w:r>
        <w:tab/>
      </w:r>
      <w:r w:rsidRPr="00E8291D">
        <w:t>The</w:t>
      </w:r>
      <w:r w:rsidRPr="00D77444">
        <w:t xml:space="preserve"> </w:t>
      </w:r>
      <w:r>
        <w:t xml:space="preserve">information must be given to </w:t>
      </w:r>
      <w:r w:rsidR="00DA6D3A">
        <w:t xml:space="preserve">the </w:t>
      </w:r>
      <w:r w:rsidR="00DA25A9" w:rsidRPr="00A441C4">
        <w:t>ACMA</w:t>
      </w:r>
      <w:r>
        <w:t xml:space="preserve"> on the Trading Form.</w:t>
      </w:r>
    </w:p>
    <w:p w:rsidR="00CD3072" w:rsidRPr="00A43CC9" w:rsidRDefault="00D46219" w:rsidP="00CD3072">
      <w:pPr>
        <w:pStyle w:val="HR"/>
      </w:pPr>
      <w:bookmarkStart w:id="13" w:name="_Toc260736861"/>
      <w:bookmarkStart w:id="14" w:name="_Toc312241279"/>
      <w:r>
        <w:rPr>
          <w:rStyle w:val="CharSectno"/>
        </w:rPr>
        <w:t>10</w:t>
      </w:r>
      <w:r w:rsidR="00CD3072" w:rsidRPr="00A43CC9">
        <w:tab/>
        <w:t>Review of decision</w:t>
      </w:r>
      <w:bookmarkEnd w:id="13"/>
      <w:bookmarkEnd w:id="14"/>
    </w:p>
    <w:p w:rsidR="00CD3072" w:rsidRPr="00A43CC9" w:rsidRDefault="00CD3072" w:rsidP="00CD3072">
      <w:pPr>
        <w:pStyle w:val="ZR1"/>
      </w:pPr>
      <w:r w:rsidRPr="00A43CC9">
        <w:tab/>
        <w:t>(1)</w:t>
      </w:r>
      <w:r w:rsidRPr="00A43CC9">
        <w:tab/>
        <w:t>A</w:t>
      </w:r>
      <w:r w:rsidR="009B75E7">
        <w:t xml:space="preserve"> licensee whose interests are affected by a </w:t>
      </w:r>
      <w:r w:rsidR="00A86D20">
        <w:t>refusal by</w:t>
      </w:r>
      <w:r w:rsidR="009B75E7" w:rsidRPr="00A43CC9">
        <w:t xml:space="preserve"> </w:t>
      </w:r>
      <w:r w:rsidR="009B75E7">
        <w:t xml:space="preserve">the </w:t>
      </w:r>
      <w:r w:rsidR="009B75E7" w:rsidRPr="00A43CC9">
        <w:t xml:space="preserve">ACMA </w:t>
      </w:r>
      <w:r w:rsidR="009B75E7">
        <w:t xml:space="preserve">to give written permission </w:t>
      </w:r>
      <w:r w:rsidR="009B75E7" w:rsidRPr="00A43CC9">
        <w:t xml:space="preserve">under subsection </w:t>
      </w:r>
      <w:r w:rsidR="009B75E7">
        <w:t>8</w:t>
      </w:r>
      <w:r w:rsidR="001A707F">
        <w:t xml:space="preserve"> </w:t>
      </w:r>
      <w:r w:rsidR="009B75E7">
        <w:t xml:space="preserve">(2) of this determination may apply </w:t>
      </w:r>
      <w:r w:rsidRPr="00A43CC9">
        <w:t>to the Administrative Appeals Tribunal for review of</w:t>
      </w:r>
      <w:r w:rsidR="009B75E7">
        <w:t xml:space="preserve"> the decision</w:t>
      </w:r>
      <w:r>
        <w:t xml:space="preserve">. </w:t>
      </w:r>
    </w:p>
    <w:p w:rsidR="00CD3072" w:rsidRPr="00A43CC9" w:rsidRDefault="00CD3072" w:rsidP="00CD3072">
      <w:pPr>
        <w:pStyle w:val="R2"/>
      </w:pPr>
      <w:r w:rsidRPr="00A43CC9">
        <w:tab/>
        <w:t>(2)</w:t>
      </w:r>
      <w:r w:rsidRPr="00A43CC9">
        <w:tab/>
        <w:t xml:space="preserve">If </w:t>
      </w:r>
      <w:r>
        <w:t xml:space="preserve">the </w:t>
      </w:r>
      <w:r w:rsidRPr="00A43CC9">
        <w:t xml:space="preserve">ACMA makes a decision mentioned in subsection (1), </w:t>
      </w:r>
      <w:r>
        <w:t xml:space="preserve">the </w:t>
      </w:r>
      <w:r w:rsidRPr="00A43CC9">
        <w:t xml:space="preserve">ACMA must give notice of the decision to </w:t>
      </w:r>
      <w:r w:rsidR="009B75E7">
        <w:t>a licensee</w:t>
      </w:r>
      <w:r w:rsidRPr="00A43CC9">
        <w:t xml:space="preserve"> whose interests it affects.</w:t>
      </w:r>
    </w:p>
    <w:p w:rsidR="00CD3072" w:rsidRPr="00A43CC9" w:rsidRDefault="00CD3072" w:rsidP="00CD3072">
      <w:pPr>
        <w:pStyle w:val="ZR2"/>
      </w:pPr>
      <w:r w:rsidRPr="00A43CC9">
        <w:tab/>
        <w:t>(3)</w:t>
      </w:r>
      <w:r w:rsidRPr="00A43CC9">
        <w:tab/>
        <w:t>The notice must include a statement to the effect that:</w:t>
      </w:r>
    </w:p>
    <w:p w:rsidR="00CD3072" w:rsidRPr="00A43CC9" w:rsidRDefault="00CD3072" w:rsidP="00CD3072">
      <w:pPr>
        <w:pStyle w:val="P1"/>
      </w:pPr>
      <w:r w:rsidRPr="00A43CC9">
        <w:tab/>
        <w:t>(a)</w:t>
      </w:r>
      <w:r w:rsidRPr="00A43CC9">
        <w:tab/>
        <w:t xml:space="preserve">subject to the </w:t>
      </w:r>
      <w:r w:rsidRPr="00A43CC9">
        <w:rPr>
          <w:i/>
          <w:iCs/>
        </w:rPr>
        <w:t>Administrative Appeals Tribunal Act 1975</w:t>
      </w:r>
      <w:r w:rsidRPr="00721270">
        <w:rPr>
          <w:iCs/>
        </w:rPr>
        <w:t>,</w:t>
      </w:r>
      <w:r w:rsidRPr="00A43CC9">
        <w:rPr>
          <w:i/>
          <w:iCs/>
        </w:rPr>
        <w:t xml:space="preserve"> </w:t>
      </w:r>
      <w:r w:rsidRPr="00A43CC9">
        <w:t xml:space="preserve">a </w:t>
      </w:r>
      <w:r w:rsidR="009B75E7">
        <w:t>licensee</w:t>
      </w:r>
      <w:r w:rsidRPr="00A43CC9">
        <w:t xml:space="preserve"> dissatisfied with the decision may apply to the Tribunal for a review of the decision; and</w:t>
      </w:r>
    </w:p>
    <w:p w:rsidR="001A707F" w:rsidRDefault="00CD3072" w:rsidP="00CD3072">
      <w:pPr>
        <w:pStyle w:val="P1"/>
      </w:pPr>
      <w:r w:rsidRPr="00A43CC9">
        <w:tab/>
        <w:t>(b)</w:t>
      </w:r>
      <w:r w:rsidRPr="00A43CC9">
        <w:tab/>
        <w:t xml:space="preserve">the </w:t>
      </w:r>
      <w:r w:rsidR="009B75E7">
        <w:t>licensee</w:t>
      </w:r>
      <w:r w:rsidRPr="00A43CC9">
        <w:t xml:space="preserve"> may request a statement under section 28 of that Act in relation to the decision.</w:t>
      </w:r>
    </w:p>
    <w:p w:rsidR="00D73CBF" w:rsidRPr="001A707F" w:rsidRDefault="001A707F" w:rsidP="001A707F">
      <w:pPr>
        <w:pStyle w:val="P1"/>
        <w:tabs>
          <w:tab w:val="left" w:pos="2410"/>
        </w:tabs>
        <w:rPr>
          <w:rFonts w:ascii="Arial" w:hAnsi="Arial" w:cs="Arial"/>
          <w:b/>
          <w:caps/>
        </w:rPr>
      </w:pPr>
      <w:r>
        <w:br w:type="page"/>
      </w:r>
      <w:bookmarkStart w:id="15" w:name="_Toc312241281"/>
      <w:r w:rsidR="00D73CBF" w:rsidRPr="001A707F">
        <w:rPr>
          <w:rStyle w:val="CharAmSchNo"/>
          <w:rFonts w:ascii="Arial" w:hAnsi="Arial" w:cs="Arial"/>
          <w:b/>
        </w:rPr>
        <w:lastRenderedPageBreak/>
        <w:t>Schedule 1</w:t>
      </w:r>
      <w:r w:rsidR="00D73CBF" w:rsidRPr="001A707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73CBF" w:rsidRPr="001A707F">
        <w:rPr>
          <w:rStyle w:val="CharAmSchText"/>
          <w:rFonts w:ascii="Arial" w:hAnsi="Arial" w:cs="Arial"/>
          <w:b/>
        </w:rPr>
        <w:t>Minimum contiguous bandwidths</w:t>
      </w:r>
      <w:bookmarkEnd w:id="15"/>
    </w:p>
    <w:p w:rsidR="00D73CBF" w:rsidRDefault="00D73CBF" w:rsidP="001A707F">
      <w:pPr>
        <w:pStyle w:val="Schedulereference"/>
        <w:tabs>
          <w:tab w:val="left" w:pos="2410"/>
        </w:tabs>
        <w:spacing w:after="240"/>
        <w:ind w:left="1440" w:firstLine="970"/>
      </w:pPr>
      <w:r>
        <w:t>(s</w:t>
      </w:r>
      <w:r w:rsidR="0027393B">
        <w:t>ection 5</w:t>
      </w:r>
      <w:r w:rsidR="009227FD">
        <w:t>, subsection 8(2)</w:t>
      </w:r>
      <w:r>
        <w:t>)</w:t>
      </w:r>
    </w:p>
    <w:p w:rsidR="00D73CBF" w:rsidRPr="00FB2903" w:rsidRDefault="00D73CBF" w:rsidP="00D73CBF">
      <w:pPr>
        <w:pStyle w:val="Header"/>
        <w:rPr>
          <w:b/>
          <w:vanish/>
          <w:szCs w:val="16"/>
        </w:rPr>
      </w:pPr>
      <w:r w:rsidRPr="00FB2903">
        <w:rPr>
          <w:rStyle w:val="CharSchPTNo"/>
          <w:vanish/>
        </w:rPr>
        <w:t xml:space="preserve"> </w:t>
      </w:r>
      <w:r w:rsidRPr="00FB2903">
        <w:rPr>
          <w:rStyle w:val="CharSchPTText"/>
          <w:vanish/>
        </w:rPr>
        <w:t xml:space="preserve"> </w:t>
      </w:r>
    </w:p>
    <w:tbl>
      <w:tblPr>
        <w:tblW w:w="6000" w:type="dxa"/>
        <w:tblInd w:w="2508" w:type="dxa"/>
        <w:tblLook w:val="01E0"/>
      </w:tblPr>
      <w:tblGrid>
        <w:gridCol w:w="840"/>
        <w:gridCol w:w="1440"/>
        <w:gridCol w:w="3720"/>
      </w:tblGrid>
      <w:tr w:rsidR="00D73CBF" w:rsidRPr="00A441C4" w:rsidTr="00CD3072">
        <w:trPr>
          <w:cantSplit/>
          <w:tblHeader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D73CBF" w:rsidRPr="00A441C4" w:rsidRDefault="00D73CBF" w:rsidP="00D73CBF">
            <w:pPr>
              <w:pStyle w:val="TableColHead"/>
            </w:pPr>
            <w:r w:rsidRPr="00A441C4">
              <w:t>Item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73CBF" w:rsidRPr="00A441C4" w:rsidRDefault="00D73CBF" w:rsidP="00D73CBF">
            <w:pPr>
              <w:pStyle w:val="TableColHead"/>
            </w:pPr>
            <w:r w:rsidRPr="00A441C4">
              <w:t>Band</w:t>
            </w:r>
            <w:r>
              <w:t xml:space="preserve"> </w:t>
            </w:r>
            <w:r w:rsidRPr="00A441C4">
              <w:t>(MHz)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</w:tcPr>
          <w:p w:rsidR="00D73CBF" w:rsidRPr="00A441C4" w:rsidRDefault="00D73CBF" w:rsidP="00D73CBF">
            <w:pPr>
              <w:pStyle w:val="TableColHead"/>
            </w:pPr>
            <w:r w:rsidRPr="00A441C4">
              <w:t>Minimum contiguous bandwidth</w:t>
            </w:r>
            <w:r>
              <w:t xml:space="preserve"> </w:t>
            </w:r>
            <w:r w:rsidRPr="00A441C4">
              <w:t>(MHz)</w:t>
            </w:r>
          </w:p>
        </w:tc>
      </w:tr>
      <w:tr w:rsidR="00CD3072" w:rsidRPr="00A441C4" w:rsidTr="00CD3072">
        <w:trPr>
          <w:cantSplit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:rsidR="00CD3072" w:rsidRPr="00A441C4" w:rsidRDefault="00CD3072" w:rsidP="00DA25A9">
            <w:pPr>
              <w:pStyle w:val="TableText"/>
              <w:ind w:left="227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CD3072" w:rsidRPr="00A441C4" w:rsidRDefault="00CD3072" w:rsidP="00DA25A9">
            <w:pPr>
              <w:pStyle w:val="TableText"/>
            </w:pPr>
            <w:r>
              <w:t>703-748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auto"/>
          </w:tcPr>
          <w:p w:rsidR="00CD3072" w:rsidRPr="00A441C4" w:rsidRDefault="00CD3072" w:rsidP="00DA25A9">
            <w:pPr>
              <w:pStyle w:val="TableText"/>
              <w:ind w:left="1361"/>
            </w:pPr>
            <w:r>
              <w:t>5</w:t>
            </w:r>
          </w:p>
        </w:tc>
      </w:tr>
      <w:tr w:rsidR="00CD3072" w:rsidRPr="00A441C4" w:rsidTr="00CD3072">
        <w:trPr>
          <w:cantSplit/>
        </w:trPr>
        <w:tc>
          <w:tcPr>
            <w:tcW w:w="840" w:type="dxa"/>
            <w:shd w:val="clear" w:color="auto" w:fill="auto"/>
          </w:tcPr>
          <w:p w:rsidR="00CD3072" w:rsidRPr="00A441C4" w:rsidRDefault="00CD3072" w:rsidP="00DA25A9">
            <w:pPr>
              <w:pStyle w:val="TableText"/>
              <w:ind w:left="227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CD3072" w:rsidRPr="00A441C4" w:rsidRDefault="00CD3072" w:rsidP="00DA25A9">
            <w:pPr>
              <w:pStyle w:val="TableText"/>
            </w:pPr>
            <w:r>
              <w:t>758-803</w:t>
            </w:r>
          </w:p>
        </w:tc>
        <w:tc>
          <w:tcPr>
            <w:tcW w:w="3720" w:type="dxa"/>
            <w:shd w:val="clear" w:color="auto" w:fill="auto"/>
          </w:tcPr>
          <w:p w:rsidR="00CD3072" w:rsidRPr="00A441C4" w:rsidRDefault="00CD3072" w:rsidP="00DA25A9">
            <w:pPr>
              <w:pStyle w:val="TableText"/>
              <w:ind w:left="1361"/>
            </w:pPr>
            <w:r>
              <w:t>5</w:t>
            </w:r>
          </w:p>
        </w:tc>
      </w:tr>
      <w:tr w:rsidR="00D73CBF" w:rsidRPr="00A441C4" w:rsidTr="00CD3072">
        <w:trPr>
          <w:cantSplit/>
        </w:trPr>
        <w:tc>
          <w:tcPr>
            <w:tcW w:w="840" w:type="dxa"/>
            <w:shd w:val="clear" w:color="auto" w:fill="auto"/>
          </w:tcPr>
          <w:p w:rsidR="00D73CBF" w:rsidRPr="00A441C4" w:rsidRDefault="00CD3072" w:rsidP="00DA25A9">
            <w:pPr>
              <w:pStyle w:val="TableText"/>
              <w:ind w:left="227"/>
            </w:pPr>
            <w:r>
              <w:t>3</w:t>
            </w:r>
          </w:p>
        </w:tc>
        <w:tc>
          <w:tcPr>
            <w:tcW w:w="1440" w:type="dxa"/>
            <w:shd w:val="clear" w:color="auto" w:fill="auto"/>
          </w:tcPr>
          <w:p w:rsidR="00D73CBF" w:rsidRPr="00A441C4" w:rsidRDefault="00D73CBF" w:rsidP="00DA25A9">
            <w:pPr>
              <w:pStyle w:val="TableText"/>
            </w:pPr>
            <w:r w:rsidRPr="00A441C4">
              <w:t>825–845</w:t>
            </w:r>
          </w:p>
        </w:tc>
        <w:tc>
          <w:tcPr>
            <w:tcW w:w="3720" w:type="dxa"/>
            <w:shd w:val="clear" w:color="auto" w:fill="auto"/>
          </w:tcPr>
          <w:p w:rsidR="00D73CBF" w:rsidRPr="00A441C4" w:rsidRDefault="00D73CBF" w:rsidP="00DA25A9">
            <w:pPr>
              <w:pStyle w:val="TableText"/>
              <w:ind w:left="1361"/>
            </w:pPr>
            <w:r w:rsidRPr="00A441C4">
              <w:t>1</w:t>
            </w:r>
          </w:p>
        </w:tc>
      </w:tr>
      <w:tr w:rsidR="00D73CBF" w:rsidRPr="00A441C4">
        <w:trPr>
          <w:cantSplit/>
        </w:trPr>
        <w:tc>
          <w:tcPr>
            <w:tcW w:w="840" w:type="dxa"/>
            <w:shd w:val="clear" w:color="auto" w:fill="auto"/>
          </w:tcPr>
          <w:p w:rsidR="00D73CBF" w:rsidRPr="00A441C4" w:rsidRDefault="00CD3072" w:rsidP="00DA25A9">
            <w:pPr>
              <w:pStyle w:val="TableText"/>
              <w:ind w:left="227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D73CBF" w:rsidRPr="00A441C4" w:rsidRDefault="00D73CBF" w:rsidP="00DA25A9">
            <w:pPr>
              <w:pStyle w:val="TableText"/>
            </w:pPr>
            <w:r w:rsidRPr="00A441C4">
              <w:t>870–890</w:t>
            </w:r>
          </w:p>
        </w:tc>
        <w:tc>
          <w:tcPr>
            <w:tcW w:w="3720" w:type="dxa"/>
            <w:shd w:val="clear" w:color="auto" w:fill="auto"/>
          </w:tcPr>
          <w:p w:rsidR="00D73CBF" w:rsidRPr="00A441C4" w:rsidRDefault="00D73CBF" w:rsidP="00DA25A9">
            <w:pPr>
              <w:pStyle w:val="TableText"/>
              <w:ind w:left="1361"/>
            </w:pPr>
            <w:r w:rsidRPr="00A441C4">
              <w:t>1</w:t>
            </w:r>
          </w:p>
        </w:tc>
      </w:tr>
      <w:tr w:rsidR="00CD3072" w:rsidRPr="00A441C4">
        <w:trPr>
          <w:cantSplit/>
        </w:trPr>
        <w:tc>
          <w:tcPr>
            <w:tcW w:w="840" w:type="dxa"/>
            <w:shd w:val="clear" w:color="auto" w:fill="auto"/>
          </w:tcPr>
          <w:p w:rsidR="00CD3072" w:rsidRPr="00A441C4" w:rsidRDefault="00CD3072" w:rsidP="00DA25A9">
            <w:pPr>
              <w:pStyle w:val="TableText"/>
              <w:ind w:left="227"/>
            </w:pPr>
            <w:r>
              <w:t>5</w:t>
            </w:r>
          </w:p>
        </w:tc>
        <w:tc>
          <w:tcPr>
            <w:tcW w:w="1440" w:type="dxa"/>
            <w:shd w:val="clear" w:color="auto" w:fill="auto"/>
          </w:tcPr>
          <w:p w:rsidR="00CD3072" w:rsidRPr="00A441C4" w:rsidRDefault="00CD3072" w:rsidP="00DA25A9">
            <w:pPr>
              <w:pStyle w:val="TableText"/>
            </w:pPr>
            <w:r>
              <w:t>1710-1785</w:t>
            </w:r>
          </w:p>
        </w:tc>
        <w:tc>
          <w:tcPr>
            <w:tcW w:w="3720" w:type="dxa"/>
            <w:shd w:val="clear" w:color="auto" w:fill="auto"/>
          </w:tcPr>
          <w:p w:rsidR="00CD3072" w:rsidRPr="00A441C4" w:rsidRDefault="00CD3072" w:rsidP="00DA25A9">
            <w:pPr>
              <w:pStyle w:val="TableText"/>
              <w:ind w:left="1361"/>
            </w:pPr>
            <w:r>
              <w:t>5</w:t>
            </w:r>
          </w:p>
        </w:tc>
      </w:tr>
      <w:tr w:rsidR="00CD3072" w:rsidRPr="00A441C4">
        <w:trPr>
          <w:cantSplit/>
        </w:trPr>
        <w:tc>
          <w:tcPr>
            <w:tcW w:w="840" w:type="dxa"/>
            <w:shd w:val="clear" w:color="auto" w:fill="auto"/>
          </w:tcPr>
          <w:p w:rsidR="00CD3072" w:rsidRPr="00A441C4" w:rsidRDefault="00CD3072" w:rsidP="00DA25A9">
            <w:pPr>
              <w:pStyle w:val="TableText"/>
              <w:ind w:left="227"/>
            </w:pPr>
            <w:r>
              <w:t>6</w:t>
            </w:r>
          </w:p>
        </w:tc>
        <w:tc>
          <w:tcPr>
            <w:tcW w:w="1440" w:type="dxa"/>
            <w:shd w:val="clear" w:color="auto" w:fill="auto"/>
          </w:tcPr>
          <w:p w:rsidR="00CD3072" w:rsidRPr="00A441C4" w:rsidRDefault="00CD3072" w:rsidP="00DA25A9">
            <w:pPr>
              <w:pStyle w:val="TableText"/>
            </w:pPr>
            <w:r>
              <w:t>1805-1880</w:t>
            </w:r>
          </w:p>
        </w:tc>
        <w:tc>
          <w:tcPr>
            <w:tcW w:w="3720" w:type="dxa"/>
            <w:shd w:val="clear" w:color="auto" w:fill="auto"/>
          </w:tcPr>
          <w:p w:rsidR="00CD3072" w:rsidRPr="00A441C4" w:rsidRDefault="00CD3072" w:rsidP="00DA25A9">
            <w:pPr>
              <w:pStyle w:val="TableText"/>
              <w:ind w:left="1361"/>
            </w:pPr>
            <w:r>
              <w:t>5</w:t>
            </w:r>
          </w:p>
        </w:tc>
      </w:tr>
      <w:tr w:rsidR="00D73CBF" w:rsidRPr="00A441C4">
        <w:trPr>
          <w:cantSplit/>
        </w:trPr>
        <w:tc>
          <w:tcPr>
            <w:tcW w:w="840" w:type="dxa"/>
            <w:shd w:val="clear" w:color="auto" w:fill="auto"/>
          </w:tcPr>
          <w:p w:rsidR="00D73CBF" w:rsidRPr="00A441C4" w:rsidRDefault="00CD3072" w:rsidP="00DA25A9">
            <w:pPr>
              <w:pStyle w:val="TableText"/>
              <w:ind w:left="227"/>
            </w:pPr>
            <w:r>
              <w:t>7</w:t>
            </w:r>
          </w:p>
        </w:tc>
        <w:tc>
          <w:tcPr>
            <w:tcW w:w="1440" w:type="dxa"/>
            <w:shd w:val="clear" w:color="auto" w:fill="auto"/>
          </w:tcPr>
          <w:p w:rsidR="00D73CBF" w:rsidRPr="00A441C4" w:rsidRDefault="00D73CBF" w:rsidP="00DA25A9">
            <w:pPr>
              <w:pStyle w:val="TableText"/>
            </w:pPr>
            <w:r w:rsidRPr="00A441C4">
              <w:t>1900–1980</w:t>
            </w:r>
          </w:p>
        </w:tc>
        <w:tc>
          <w:tcPr>
            <w:tcW w:w="3720" w:type="dxa"/>
            <w:shd w:val="clear" w:color="auto" w:fill="auto"/>
          </w:tcPr>
          <w:p w:rsidR="00D73CBF" w:rsidRPr="00A441C4" w:rsidRDefault="00D73CBF" w:rsidP="00DA25A9">
            <w:pPr>
              <w:pStyle w:val="TableText"/>
              <w:ind w:left="1361"/>
            </w:pPr>
            <w:r w:rsidRPr="00A441C4">
              <w:t>5</w:t>
            </w:r>
          </w:p>
        </w:tc>
      </w:tr>
      <w:tr w:rsidR="00D73CBF" w:rsidRPr="00A441C4">
        <w:trPr>
          <w:cantSplit/>
        </w:trPr>
        <w:tc>
          <w:tcPr>
            <w:tcW w:w="840" w:type="dxa"/>
            <w:shd w:val="clear" w:color="auto" w:fill="auto"/>
          </w:tcPr>
          <w:p w:rsidR="00D73CBF" w:rsidRPr="00A441C4" w:rsidRDefault="00CD3072" w:rsidP="00DA25A9">
            <w:pPr>
              <w:pStyle w:val="TableText"/>
              <w:ind w:left="227"/>
            </w:pPr>
            <w:r>
              <w:t>8</w:t>
            </w:r>
          </w:p>
        </w:tc>
        <w:tc>
          <w:tcPr>
            <w:tcW w:w="1440" w:type="dxa"/>
            <w:shd w:val="clear" w:color="auto" w:fill="auto"/>
          </w:tcPr>
          <w:p w:rsidR="00D73CBF" w:rsidRPr="00A441C4" w:rsidRDefault="00D73CBF" w:rsidP="00DA25A9">
            <w:pPr>
              <w:pStyle w:val="TableText"/>
            </w:pPr>
            <w:r w:rsidRPr="00A441C4">
              <w:t>2110–2170</w:t>
            </w:r>
          </w:p>
        </w:tc>
        <w:tc>
          <w:tcPr>
            <w:tcW w:w="3720" w:type="dxa"/>
            <w:shd w:val="clear" w:color="auto" w:fill="auto"/>
          </w:tcPr>
          <w:p w:rsidR="00D73CBF" w:rsidRPr="00A441C4" w:rsidRDefault="00D73CBF" w:rsidP="00DA25A9">
            <w:pPr>
              <w:pStyle w:val="TableText"/>
              <w:ind w:left="1361"/>
            </w:pPr>
            <w:r w:rsidRPr="00A441C4">
              <w:t>5</w:t>
            </w:r>
          </w:p>
        </w:tc>
      </w:tr>
      <w:tr w:rsidR="00D73CBF" w:rsidRPr="00A441C4">
        <w:trPr>
          <w:cantSplit/>
        </w:trPr>
        <w:tc>
          <w:tcPr>
            <w:tcW w:w="840" w:type="dxa"/>
            <w:shd w:val="clear" w:color="auto" w:fill="auto"/>
          </w:tcPr>
          <w:p w:rsidR="00D73CBF" w:rsidRPr="00A441C4" w:rsidRDefault="00CD3072" w:rsidP="00DA25A9">
            <w:pPr>
              <w:pStyle w:val="TableText"/>
              <w:ind w:left="227"/>
            </w:pPr>
            <w:r>
              <w:t>9</w:t>
            </w:r>
          </w:p>
        </w:tc>
        <w:tc>
          <w:tcPr>
            <w:tcW w:w="1440" w:type="dxa"/>
            <w:shd w:val="clear" w:color="auto" w:fill="auto"/>
          </w:tcPr>
          <w:p w:rsidR="00D73CBF" w:rsidRPr="00A441C4" w:rsidRDefault="00D73CBF" w:rsidP="00DA25A9">
            <w:pPr>
              <w:pStyle w:val="TableText"/>
            </w:pPr>
            <w:r w:rsidRPr="00A441C4">
              <w:t>2302–2400</w:t>
            </w:r>
          </w:p>
        </w:tc>
        <w:tc>
          <w:tcPr>
            <w:tcW w:w="3720" w:type="dxa"/>
            <w:shd w:val="clear" w:color="auto" w:fill="auto"/>
          </w:tcPr>
          <w:p w:rsidR="00D73CBF" w:rsidRPr="00A441C4" w:rsidRDefault="00D73CBF" w:rsidP="00DA25A9">
            <w:pPr>
              <w:pStyle w:val="TableText"/>
              <w:ind w:left="1361"/>
            </w:pPr>
            <w:r w:rsidRPr="00A441C4">
              <w:t>3.5</w:t>
            </w:r>
          </w:p>
        </w:tc>
      </w:tr>
      <w:tr w:rsidR="00CD3072" w:rsidRPr="00A441C4">
        <w:trPr>
          <w:cantSplit/>
        </w:trPr>
        <w:tc>
          <w:tcPr>
            <w:tcW w:w="840" w:type="dxa"/>
            <w:shd w:val="clear" w:color="auto" w:fill="auto"/>
          </w:tcPr>
          <w:p w:rsidR="00CD3072" w:rsidRPr="00A441C4" w:rsidRDefault="00CD3072" w:rsidP="00DA25A9">
            <w:pPr>
              <w:pStyle w:val="TableText"/>
              <w:ind w:left="227"/>
            </w:pPr>
            <w:r>
              <w:t>10</w:t>
            </w:r>
          </w:p>
        </w:tc>
        <w:tc>
          <w:tcPr>
            <w:tcW w:w="1440" w:type="dxa"/>
            <w:shd w:val="clear" w:color="auto" w:fill="auto"/>
          </w:tcPr>
          <w:p w:rsidR="00CD3072" w:rsidRPr="00A441C4" w:rsidRDefault="00CD3072" w:rsidP="00DA25A9">
            <w:pPr>
              <w:pStyle w:val="TableText"/>
            </w:pPr>
            <w:r>
              <w:t>2500-2570</w:t>
            </w:r>
          </w:p>
        </w:tc>
        <w:tc>
          <w:tcPr>
            <w:tcW w:w="3720" w:type="dxa"/>
            <w:shd w:val="clear" w:color="auto" w:fill="auto"/>
          </w:tcPr>
          <w:p w:rsidR="00CD3072" w:rsidRPr="00A441C4" w:rsidRDefault="00641C0B" w:rsidP="00DA25A9">
            <w:pPr>
              <w:pStyle w:val="TableText"/>
              <w:ind w:left="1361"/>
            </w:pPr>
            <w:r>
              <w:t>5</w:t>
            </w:r>
          </w:p>
        </w:tc>
      </w:tr>
      <w:tr w:rsidR="00CD3072" w:rsidRPr="00A441C4">
        <w:trPr>
          <w:cantSplit/>
        </w:trPr>
        <w:tc>
          <w:tcPr>
            <w:tcW w:w="840" w:type="dxa"/>
            <w:shd w:val="clear" w:color="auto" w:fill="auto"/>
          </w:tcPr>
          <w:p w:rsidR="00CD3072" w:rsidRPr="00A441C4" w:rsidRDefault="00CD3072" w:rsidP="00DA25A9">
            <w:pPr>
              <w:pStyle w:val="TableText"/>
              <w:ind w:left="227"/>
            </w:pPr>
            <w:r>
              <w:t>11</w:t>
            </w:r>
          </w:p>
        </w:tc>
        <w:tc>
          <w:tcPr>
            <w:tcW w:w="1440" w:type="dxa"/>
            <w:shd w:val="clear" w:color="auto" w:fill="auto"/>
          </w:tcPr>
          <w:p w:rsidR="00CD3072" w:rsidRPr="00A441C4" w:rsidRDefault="00CD3072" w:rsidP="00DA25A9">
            <w:pPr>
              <w:pStyle w:val="TableText"/>
            </w:pPr>
            <w:r>
              <w:t>2620-2690</w:t>
            </w:r>
          </w:p>
        </w:tc>
        <w:tc>
          <w:tcPr>
            <w:tcW w:w="3720" w:type="dxa"/>
            <w:shd w:val="clear" w:color="auto" w:fill="auto"/>
          </w:tcPr>
          <w:p w:rsidR="00CD3072" w:rsidRPr="00A441C4" w:rsidRDefault="00641C0B" w:rsidP="00DA25A9">
            <w:pPr>
              <w:pStyle w:val="TableText"/>
              <w:ind w:left="1361"/>
            </w:pPr>
            <w:r>
              <w:t>5</w:t>
            </w:r>
          </w:p>
        </w:tc>
      </w:tr>
      <w:tr w:rsidR="00D73CBF" w:rsidRPr="00A441C4">
        <w:trPr>
          <w:cantSplit/>
        </w:trPr>
        <w:tc>
          <w:tcPr>
            <w:tcW w:w="840" w:type="dxa"/>
            <w:shd w:val="clear" w:color="auto" w:fill="auto"/>
          </w:tcPr>
          <w:p w:rsidR="00D73CBF" w:rsidRPr="00A441C4" w:rsidRDefault="00CD3072" w:rsidP="00DA25A9">
            <w:pPr>
              <w:pStyle w:val="TableText"/>
              <w:ind w:left="227"/>
            </w:pPr>
            <w:r>
              <w:t>12</w:t>
            </w:r>
          </w:p>
        </w:tc>
        <w:tc>
          <w:tcPr>
            <w:tcW w:w="1440" w:type="dxa"/>
            <w:shd w:val="clear" w:color="auto" w:fill="auto"/>
          </w:tcPr>
          <w:p w:rsidR="00D73CBF" w:rsidRPr="00A441C4" w:rsidRDefault="00D73CBF" w:rsidP="00DA25A9">
            <w:pPr>
              <w:pStyle w:val="TableText"/>
            </w:pPr>
            <w:r w:rsidRPr="00A441C4">
              <w:t>3425–3492.5</w:t>
            </w:r>
          </w:p>
        </w:tc>
        <w:tc>
          <w:tcPr>
            <w:tcW w:w="3720" w:type="dxa"/>
            <w:shd w:val="clear" w:color="auto" w:fill="auto"/>
          </w:tcPr>
          <w:p w:rsidR="00D73CBF" w:rsidRPr="00A441C4" w:rsidRDefault="00D73CBF" w:rsidP="00DA25A9">
            <w:pPr>
              <w:pStyle w:val="TableText"/>
              <w:ind w:left="1361"/>
            </w:pPr>
            <w:r w:rsidRPr="00A441C4">
              <w:t>2.5</w:t>
            </w:r>
          </w:p>
        </w:tc>
      </w:tr>
      <w:tr w:rsidR="00D73CBF" w:rsidRPr="00A441C4" w:rsidTr="00580172">
        <w:trPr>
          <w:cantSplit/>
        </w:trPr>
        <w:tc>
          <w:tcPr>
            <w:tcW w:w="840" w:type="dxa"/>
            <w:shd w:val="clear" w:color="auto" w:fill="auto"/>
          </w:tcPr>
          <w:p w:rsidR="00D73CBF" w:rsidRPr="00A441C4" w:rsidRDefault="00CD3072" w:rsidP="00DA25A9">
            <w:pPr>
              <w:pStyle w:val="TableText"/>
              <w:ind w:left="227"/>
            </w:pPr>
            <w:r>
              <w:t>13</w:t>
            </w:r>
          </w:p>
        </w:tc>
        <w:tc>
          <w:tcPr>
            <w:tcW w:w="1440" w:type="dxa"/>
            <w:shd w:val="clear" w:color="auto" w:fill="auto"/>
          </w:tcPr>
          <w:p w:rsidR="00D73CBF" w:rsidRPr="00A441C4" w:rsidRDefault="00D73CBF" w:rsidP="00DA25A9">
            <w:pPr>
              <w:pStyle w:val="TableText"/>
            </w:pPr>
            <w:r w:rsidRPr="00A441C4">
              <w:t>3542.5–3575</w:t>
            </w:r>
          </w:p>
        </w:tc>
        <w:tc>
          <w:tcPr>
            <w:tcW w:w="3720" w:type="dxa"/>
            <w:shd w:val="clear" w:color="auto" w:fill="auto"/>
          </w:tcPr>
          <w:p w:rsidR="00D73CBF" w:rsidRPr="00A441C4" w:rsidRDefault="00D73CBF" w:rsidP="00DA25A9">
            <w:pPr>
              <w:pStyle w:val="TableText"/>
              <w:ind w:left="1361"/>
            </w:pPr>
            <w:r w:rsidRPr="00A441C4">
              <w:t>2.5</w:t>
            </w:r>
          </w:p>
        </w:tc>
      </w:tr>
      <w:tr w:rsidR="00580172" w:rsidRPr="00A441C4" w:rsidTr="00580172">
        <w:trPr>
          <w:cantSplit/>
        </w:trPr>
        <w:tc>
          <w:tcPr>
            <w:tcW w:w="840" w:type="dxa"/>
            <w:shd w:val="clear" w:color="auto" w:fill="auto"/>
          </w:tcPr>
          <w:p w:rsidR="00580172" w:rsidRDefault="00580172" w:rsidP="00DA25A9">
            <w:pPr>
              <w:pStyle w:val="TableText"/>
              <w:ind w:left="227"/>
            </w:pPr>
            <w:r>
              <w:t>14</w:t>
            </w:r>
          </w:p>
        </w:tc>
        <w:tc>
          <w:tcPr>
            <w:tcW w:w="1440" w:type="dxa"/>
            <w:shd w:val="clear" w:color="auto" w:fill="auto"/>
          </w:tcPr>
          <w:p w:rsidR="00580172" w:rsidRPr="00A441C4" w:rsidRDefault="00580172" w:rsidP="00DA25A9">
            <w:pPr>
              <w:pStyle w:val="TableText"/>
            </w:pPr>
            <w:r>
              <w:t>26500-27500</w:t>
            </w:r>
          </w:p>
        </w:tc>
        <w:tc>
          <w:tcPr>
            <w:tcW w:w="3720" w:type="dxa"/>
            <w:shd w:val="clear" w:color="auto" w:fill="auto"/>
          </w:tcPr>
          <w:p w:rsidR="00580172" w:rsidRPr="00A441C4" w:rsidRDefault="00580172" w:rsidP="00DA25A9">
            <w:pPr>
              <w:pStyle w:val="TableText"/>
              <w:ind w:left="1361"/>
            </w:pPr>
            <w:r>
              <w:t>50</w:t>
            </w:r>
          </w:p>
        </w:tc>
      </w:tr>
      <w:tr w:rsidR="00580172" w:rsidRPr="00A441C4" w:rsidTr="00580172">
        <w:trPr>
          <w:cantSplit/>
        </w:trPr>
        <w:tc>
          <w:tcPr>
            <w:tcW w:w="840" w:type="dxa"/>
            <w:shd w:val="clear" w:color="auto" w:fill="auto"/>
          </w:tcPr>
          <w:p w:rsidR="00580172" w:rsidRDefault="00580172" w:rsidP="00DA25A9">
            <w:pPr>
              <w:pStyle w:val="TableText"/>
              <w:ind w:left="227"/>
            </w:pPr>
            <w:r>
              <w:t>15</w:t>
            </w:r>
          </w:p>
        </w:tc>
        <w:tc>
          <w:tcPr>
            <w:tcW w:w="1440" w:type="dxa"/>
            <w:shd w:val="clear" w:color="auto" w:fill="auto"/>
          </w:tcPr>
          <w:p w:rsidR="00580172" w:rsidRPr="00A441C4" w:rsidRDefault="00580172" w:rsidP="00DA25A9">
            <w:pPr>
              <w:pStyle w:val="TableText"/>
            </w:pPr>
            <w:r>
              <w:t>27500-28350</w:t>
            </w:r>
          </w:p>
        </w:tc>
        <w:tc>
          <w:tcPr>
            <w:tcW w:w="3720" w:type="dxa"/>
            <w:shd w:val="clear" w:color="auto" w:fill="auto"/>
          </w:tcPr>
          <w:p w:rsidR="00580172" w:rsidRPr="00A441C4" w:rsidRDefault="00580172" w:rsidP="00DA25A9">
            <w:pPr>
              <w:pStyle w:val="TableText"/>
              <w:ind w:left="1361"/>
            </w:pPr>
            <w:r>
              <w:t>50</w:t>
            </w:r>
          </w:p>
        </w:tc>
      </w:tr>
      <w:tr w:rsidR="00580172" w:rsidRPr="00A441C4">
        <w:trPr>
          <w:cantSplit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580172" w:rsidRDefault="00580172" w:rsidP="00DA25A9">
            <w:pPr>
              <w:pStyle w:val="TableText"/>
              <w:ind w:left="227"/>
            </w:pPr>
            <w:r>
              <w:t>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80172" w:rsidRPr="00A441C4" w:rsidRDefault="00580172" w:rsidP="00DA25A9">
            <w:pPr>
              <w:pStyle w:val="TableText"/>
            </w:pPr>
            <w:r>
              <w:t>31000-31300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</w:tcPr>
          <w:p w:rsidR="00580172" w:rsidRPr="00A441C4" w:rsidRDefault="00580172" w:rsidP="00DA25A9">
            <w:pPr>
              <w:pStyle w:val="TableText"/>
              <w:ind w:left="1361"/>
            </w:pPr>
            <w:r>
              <w:t>50</w:t>
            </w:r>
          </w:p>
        </w:tc>
      </w:tr>
    </w:tbl>
    <w:p w:rsidR="00EA5462" w:rsidRDefault="00EA5462" w:rsidP="00EA5462">
      <w:pPr>
        <w:pStyle w:val="SchedSectionBreak"/>
      </w:pPr>
    </w:p>
    <w:p w:rsidR="00AC2D5C" w:rsidRDefault="00AC2D5C">
      <w:pPr>
        <w:pStyle w:val="SchedSectionBreak"/>
        <w:sectPr w:rsidR="00AC2D5C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EA5462" w:rsidRDefault="00EA5462" w:rsidP="00EA5462"/>
    <w:sectPr w:rsidR="00EA5462" w:rsidSect="00AC2D5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01" w:rsidRDefault="00277901">
      <w:r>
        <w:separator/>
      </w:r>
    </w:p>
  </w:endnote>
  <w:endnote w:type="continuationSeparator" w:id="0">
    <w:p w:rsidR="00277901" w:rsidRDefault="00277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Pr="00F10D43" w:rsidRDefault="001E7AB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701"/>
      <w:gridCol w:w="4933"/>
      <w:gridCol w:w="1701"/>
    </w:tblGrid>
    <w:tr w:rsidR="001E7ABB" w:rsidRPr="008C43B2">
      <w:tc>
        <w:tcPr>
          <w:tcW w:w="1701" w:type="dxa"/>
          <w:shd w:val="clear" w:color="auto" w:fill="auto"/>
        </w:tcPr>
        <w:p w:rsidR="001E7ABB" w:rsidRPr="008C43B2" w:rsidRDefault="008F2494">
          <w:pPr>
            <w:pStyle w:val="FooterPageEven"/>
          </w:pPr>
          <w:r>
            <w:fldChar w:fldCharType="begin"/>
          </w:r>
          <w:r w:rsidR="00277037">
            <w:instrText xml:space="preserve"> PAGE </w:instrText>
          </w:r>
          <w:r>
            <w:fldChar w:fldCharType="separate"/>
          </w:r>
          <w:r w:rsidR="001E7ABB">
            <w:rPr>
              <w:noProof/>
            </w:rPr>
            <w:t>6</w:t>
          </w:r>
          <w:r>
            <w:fldChar w:fldCharType="end"/>
          </w:r>
        </w:p>
      </w:tc>
      <w:tc>
        <w:tcPr>
          <w:tcW w:w="4933" w:type="dxa"/>
          <w:shd w:val="clear" w:color="auto" w:fill="auto"/>
        </w:tcPr>
        <w:p w:rsidR="001E7ABB" w:rsidRPr="008C43B2" w:rsidRDefault="008F2494">
          <w:pPr>
            <w:pStyle w:val="FooterCitation"/>
          </w:pPr>
          <w:r>
            <w:fldChar w:fldCharType="begin"/>
          </w:r>
          <w:r w:rsidR="00277037">
            <w:instrText xml:space="preserve"> STYLEREF  Title </w:instrText>
          </w:r>
          <w:r>
            <w:fldChar w:fldCharType="separate"/>
          </w:r>
          <w:r w:rsidR="0042413F">
            <w:rPr>
              <w:noProof/>
            </w:rPr>
            <w:t>Radiocommunications (Trading Rules for Spectrum Licences) Determination 2012</w:t>
          </w:r>
          <w:r>
            <w:fldChar w:fldCharType="end"/>
          </w:r>
        </w:p>
      </w:tc>
      <w:tc>
        <w:tcPr>
          <w:tcW w:w="1701" w:type="dxa"/>
          <w:shd w:val="clear" w:color="auto" w:fill="auto"/>
        </w:tcPr>
        <w:p w:rsidR="001E7ABB" w:rsidRPr="008C43B2" w:rsidRDefault="001E7ABB">
          <w:pPr>
            <w:pStyle w:val="FooterPageOdd"/>
          </w:pPr>
        </w:p>
      </w:tc>
    </w:tr>
  </w:tbl>
  <w:p w:rsidR="001E7ABB" w:rsidRPr="00F10D43" w:rsidRDefault="001E7ABB">
    <w:pPr>
      <w:pStyle w:val="Footerinfo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Pr="00F10D43" w:rsidRDefault="001E7ABB" w:rsidP="00AC2D5C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701"/>
      <w:gridCol w:w="4933"/>
      <w:gridCol w:w="1701"/>
    </w:tblGrid>
    <w:tr w:rsidR="001E7ABB" w:rsidRPr="008C43B2">
      <w:tc>
        <w:tcPr>
          <w:tcW w:w="1701" w:type="dxa"/>
          <w:shd w:val="clear" w:color="auto" w:fill="auto"/>
        </w:tcPr>
        <w:p w:rsidR="001E7ABB" w:rsidRPr="008C43B2" w:rsidRDefault="001E7ABB" w:rsidP="00AC2D5C">
          <w:pPr>
            <w:pStyle w:val="FooterPageOdd"/>
          </w:pPr>
        </w:p>
      </w:tc>
      <w:tc>
        <w:tcPr>
          <w:tcW w:w="4933" w:type="dxa"/>
          <w:shd w:val="clear" w:color="auto" w:fill="auto"/>
        </w:tcPr>
        <w:p w:rsidR="001E7ABB" w:rsidRPr="008C43B2" w:rsidRDefault="001E7ABB" w:rsidP="00AC2D5C">
          <w:pPr>
            <w:pStyle w:val="FooterCitation"/>
          </w:pPr>
          <w:r w:rsidRPr="00100B4C">
            <w:rPr>
              <w:sz w:val="20"/>
              <w:szCs w:val="20"/>
            </w:rPr>
            <w:t>Radiocommunications (Trading Rules for Spectrum Licences) Determination 2012</w:t>
          </w:r>
        </w:p>
      </w:tc>
      <w:tc>
        <w:tcPr>
          <w:tcW w:w="1701" w:type="dxa"/>
          <w:shd w:val="clear" w:color="auto" w:fill="auto"/>
        </w:tcPr>
        <w:p w:rsidR="001E7ABB" w:rsidRPr="008C43B2" w:rsidRDefault="008F2494" w:rsidP="00AC2D5C">
          <w:pPr>
            <w:pStyle w:val="FooterPageOdd"/>
          </w:pPr>
          <w:r>
            <w:fldChar w:fldCharType="begin"/>
          </w:r>
          <w:r w:rsidR="00277037">
            <w:instrText xml:space="preserve"> PAGE </w:instrText>
          </w:r>
          <w:r>
            <w:fldChar w:fldCharType="separate"/>
          </w:r>
          <w:r w:rsidR="001E7ABB">
            <w:rPr>
              <w:noProof/>
            </w:rPr>
            <w:t>7</w:t>
          </w:r>
          <w:r>
            <w:fldChar w:fldCharType="end"/>
          </w:r>
        </w:p>
      </w:tc>
    </w:tr>
  </w:tbl>
  <w:p w:rsidR="001E7ABB" w:rsidRPr="00F10D43" w:rsidRDefault="001E7ABB" w:rsidP="00AC2D5C">
    <w:pPr>
      <w:pStyle w:val="Footerinfo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Pr="00556EB9" w:rsidRDefault="001E7ABB" w:rsidP="00AC2D5C">
    <w:pPr>
      <w:pStyle w:val="FooterCitation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Pr="00F10D43" w:rsidRDefault="001E7AB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701"/>
      <w:gridCol w:w="4933"/>
      <w:gridCol w:w="1701"/>
    </w:tblGrid>
    <w:tr w:rsidR="001E7ABB" w:rsidRPr="008C43B2">
      <w:tc>
        <w:tcPr>
          <w:tcW w:w="1701" w:type="dxa"/>
          <w:shd w:val="clear" w:color="auto" w:fill="auto"/>
        </w:tcPr>
        <w:p w:rsidR="001E7ABB" w:rsidRPr="008C43B2" w:rsidRDefault="001E7ABB">
          <w:pPr>
            <w:pStyle w:val="FooterPageOdd"/>
          </w:pPr>
        </w:p>
      </w:tc>
      <w:tc>
        <w:tcPr>
          <w:tcW w:w="4933" w:type="dxa"/>
          <w:shd w:val="clear" w:color="auto" w:fill="auto"/>
        </w:tcPr>
        <w:p w:rsidR="001E7ABB" w:rsidRPr="008C43B2" w:rsidRDefault="008F2494">
          <w:pPr>
            <w:pStyle w:val="FooterCitation"/>
          </w:pPr>
          <w:r>
            <w:fldChar w:fldCharType="begin"/>
          </w:r>
          <w:r w:rsidR="00277037">
            <w:instrText xml:space="preserve"> STYLEREF  Title </w:instrText>
          </w:r>
          <w:r>
            <w:fldChar w:fldCharType="separate"/>
          </w:r>
          <w:r w:rsidR="0042413F">
            <w:rPr>
              <w:noProof/>
            </w:rPr>
            <w:t>Radiocommunications (Trading Rules for Spectrum Licences) Determination 2012</w:t>
          </w:r>
          <w:r>
            <w:fldChar w:fldCharType="end"/>
          </w:r>
        </w:p>
      </w:tc>
      <w:tc>
        <w:tcPr>
          <w:tcW w:w="1701" w:type="dxa"/>
          <w:shd w:val="clear" w:color="auto" w:fill="auto"/>
        </w:tcPr>
        <w:p w:rsidR="001E7ABB" w:rsidRPr="008C43B2" w:rsidRDefault="008F2494">
          <w:pPr>
            <w:pStyle w:val="FooterPageOdd"/>
          </w:pPr>
          <w:r>
            <w:fldChar w:fldCharType="begin"/>
          </w:r>
          <w:r w:rsidR="00277037">
            <w:instrText xml:space="preserve"> PAGE </w:instrText>
          </w:r>
          <w:r>
            <w:fldChar w:fldCharType="separate"/>
          </w:r>
          <w:r w:rsidR="001E7ABB">
            <w:rPr>
              <w:noProof/>
            </w:rPr>
            <w:t>23</w:t>
          </w:r>
          <w:r>
            <w:fldChar w:fldCharType="end"/>
          </w:r>
        </w:p>
      </w:tc>
    </w:tr>
  </w:tbl>
  <w:p w:rsidR="001E7ABB" w:rsidRPr="00F10D43" w:rsidRDefault="001E7ABB">
    <w:pPr>
      <w:pStyle w:val="Footerinf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Pr="00F10D43" w:rsidRDefault="001E7AB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701"/>
      <w:gridCol w:w="4933"/>
      <w:gridCol w:w="1701"/>
    </w:tblGrid>
    <w:tr w:rsidR="001E7ABB" w:rsidRPr="008C43B2">
      <w:tc>
        <w:tcPr>
          <w:tcW w:w="1701" w:type="dxa"/>
          <w:shd w:val="clear" w:color="auto" w:fill="auto"/>
        </w:tcPr>
        <w:p w:rsidR="001E7ABB" w:rsidRPr="008C43B2" w:rsidRDefault="008F2494">
          <w:pPr>
            <w:pStyle w:val="FooterPageEven"/>
          </w:pPr>
          <w:r>
            <w:fldChar w:fldCharType="begin"/>
          </w:r>
          <w:r w:rsidR="00277037">
            <w:instrText xml:space="preserve"> PAGE </w:instrText>
          </w:r>
          <w:r>
            <w:fldChar w:fldCharType="separate"/>
          </w:r>
          <w:r w:rsidR="00FC12BF">
            <w:rPr>
              <w:noProof/>
            </w:rPr>
            <w:t>2</w:t>
          </w:r>
          <w:r>
            <w:fldChar w:fldCharType="end"/>
          </w:r>
        </w:p>
      </w:tc>
      <w:tc>
        <w:tcPr>
          <w:tcW w:w="4933" w:type="dxa"/>
          <w:shd w:val="clear" w:color="auto" w:fill="auto"/>
        </w:tcPr>
        <w:p w:rsidR="001E7ABB" w:rsidRPr="008C43B2" w:rsidRDefault="001E7ABB" w:rsidP="00100B4C">
          <w:pPr>
            <w:pStyle w:val="FooterCitation"/>
          </w:pPr>
          <w:r w:rsidRPr="00100B4C">
            <w:rPr>
              <w:sz w:val="20"/>
              <w:szCs w:val="20"/>
            </w:rPr>
            <w:t>Radiocommunications (Trading Rules for Spectrum Licences) Determination 2012</w:t>
          </w:r>
        </w:p>
      </w:tc>
      <w:tc>
        <w:tcPr>
          <w:tcW w:w="1701" w:type="dxa"/>
          <w:shd w:val="clear" w:color="auto" w:fill="auto"/>
        </w:tcPr>
        <w:p w:rsidR="001E7ABB" w:rsidRPr="008C43B2" w:rsidRDefault="001E7ABB">
          <w:pPr>
            <w:pStyle w:val="FooterPageOdd"/>
          </w:pPr>
        </w:p>
      </w:tc>
    </w:tr>
  </w:tbl>
  <w:p w:rsidR="001E7ABB" w:rsidRPr="00F10D43" w:rsidRDefault="001E7ABB">
    <w:pPr>
      <w:pStyle w:val="Footerinf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Pr="00F10D43" w:rsidRDefault="001E7AB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701"/>
      <w:gridCol w:w="4933"/>
      <w:gridCol w:w="1701"/>
    </w:tblGrid>
    <w:tr w:rsidR="001E7ABB" w:rsidRPr="008C43B2">
      <w:tc>
        <w:tcPr>
          <w:tcW w:w="1701" w:type="dxa"/>
          <w:shd w:val="clear" w:color="auto" w:fill="auto"/>
        </w:tcPr>
        <w:p w:rsidR="001E7ABB" w:rsidRPr="008C43B2" w:rsidRDefault="001E7ABB">
          <w:pPr>
            <w:pStyle w:val="FooterPageOdd"/>
          </w:pPr>
        </w:p>
      </w:tc>
      <w:tc>
        <w:tcPr>
          <w:tcW w:w="4933" w:type="dxa"/>
          <w:shd w:val="clear" w:color="auto" w:fill="auto"/>
        </w:tcPr>
        <w:p w:rsidR="001E7ABB" w:rsidRPr="008C43B2" w:rsidRDefault="008F2494">
          <w:pPr>
            <w:pStyle w:val="FooterCitation"/>
          </w:pPr>
          <w:r>
            <w:fldChar w:fldCharType="begin"/>
          </w:r>
          <w:r w:rsidR="00277037">
            <w:instrText xml:space="preserve"> STYLEREF  Title </w:instrText>
          </w:r>
          <w:r>
            <w:fldChar w:fldCharType="separate"/>
          </w:r>
          <w:r w:rsidR="0042413F">
            <w:rPr>
              <w:noProof/>
            </w:rPr>
            <w:t>Radiocommunications Act 1992</w:t>
          </w:r>
          <w:r>
            <w:fldChar w:fldCharType="end"/>
          </w:r>
        </w:p>
      </w:tc>
      <w:tc>
        <w:tcPr>
          <w:tcW w:w="1701" w:type="dxa"/>
          <w:shd w:val="clear" w:color="auto" w:fill="auto"/>
        </w:tcPr>
        <w:p w:rsidR="001E7ABB" w:rsidRPr="008C43B2" w:rsidRDefault="008F2494">
          <w:pPr>
            <w:pStyle w:val="FooterPageOdd"/>
          </w:pPr>
          <w:r>
            <w:fldChar w:fldCharType="begin"/>
          </w:r>
          <w:r w:rsidR="00277037">
            <w:instrText xml:space="preserve"> PAGE </w:instrText>
          </w:r>
          <w:r>
            <w:fldChar w:fldCharType="separate"/>
          </w:r>
          <w:r w:rsidR="001E7ABB">
            <w:rPr>
              <w:noProof/>
            </w:rPr>
            <w:t>9</w:t>
          </w:r>
          <w:r>
            <w:fldChar w:fldCharType="end"/>
          </w:r>
        </w:p>
      </w:tc>
    </w:tr>
  </w:tbl>
  <w:p w:rsidR="001E7ABB" w:rsidRPr="00F10D43" w:rsidRDefault="001E7ABB">
    <w:pPr>
      <w:pStyle w:val="Footerinf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Pr="00556EB9" w:rsidRDefault="001E7ABB">
    <w:pPr>
      <w:pStyle w:val="FooterCitation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Pr="00F10D43" w:rsidRDefault="001E7AB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701"/>
      <w:gridCol w:w="4933"/>
      <w:gridCol w:w="1701"/>
    </w:tblGrid>
    <w:tr w:rsidR="001E7ABB" w:rsidRPr="008C43B2">
      <w:tc>
        <w:tcPr>
          <w:tcW w:w="1701" w:type="dxa"/>
          <w:shd w:val="clear" w:color="auto" w:fill="auto"/>
        </w:tcPr>
        <w:p w:rsidR="001E7ABB" w:rsidRPr="008C43B2" w:rsidRDefault="008F2494">
          <w:pPr>
            <w:pStyle w:val="FooterPageEven"/>
          </w:pPr>
          <w:r>
            <w:fldChar w:fldCharType="begin"/>
          </w:r>
          <w:r w:rsidR="00277037">
            <w:instrText xml:space="preserve"> PAGE </w:instrText>
          </w:r>
          <w:r>
            <w:fldChar w:fldCharType="separate"/>
          </w:r>
          <w:r w:rsidR="00FC12BF">
            <w:rPr>
              <w:noProof/>
            </w:rPr>
            <w:t>6</w:t>
          </w:r>
          <w:r>
            <w:fldChar w:fldCharType="end"/>
          </w:r>
        </w:p>
      </w:tc>
      <w:tc>
        <w:tcPr>
          <w:tcW w:w="4933" w:type="dxa"/>
          <w:shd w:val="clear" w:color="auto" w:fill="auto"/>
        </w:tcPr>
        <w:p w:rsidR="001E7ABB" w:rsidRPr="008C43B2" w:rsidRDefault="001E7ABB">
          <w:pPr>
            <w:pStyle w:val="FooterCitation"/>
          </w:pPr>
          <w:r w:rsidRPr="00100B4C">
            <w:rPr>
              <w:sz w:val="20"/>
              <w:szCs w:val="20"/>
            </w:rPr>
            <w:t xml:space="preserve"> Radiocommunications (Trading Rules for Spectrum Licences) Determination 2012</w:t>
          </w:r>
        </w:p>
      </w:tc>
      <w:tc>
        <w:tcPr>
          <w:tcW w:w="1701" w:type="dxa"/>
          <w:shd w:val="clear" w:color="auto" w:fill="auto"/>
        </w:tcPr>
        <w:p w:rsidR="001E7ABB" w:rsidRPr="008C43B2" w:rsidRDefault="001E7ABB">
          <w:pPr>
            <w:pStyle w:val="FooterPageOdd"/>
          </w:pPr>
        </w:p>
      </w:tc>
    </w:tr>
  </w:tbl>
  <w:p w:rsidR="001E7ABB" w:rsidRPr="00F10D43" w:rsidRDefault="001E7ABB">
    <w:pPr>
      <w:pStyle w:val="Footerinf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Pr="00F10D43" w:rsidRDefault="001E7AB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701"/>
      <w:gridCol w:w="4933"/>
      <w:gridCol w:w="1701"/>
    </w:tblGrid>
    <w:tr w:rsidR="001E7ABB" w:rsidRPr="008C43B2">
      <w:tc>
        <w:tcPr>
          <w:tcW w:w="1701" w:type="dxa"/>
          <w:shd w:val="clear" w:color="auto" w:fill="auto"/>
        </w:tcPr>
        <w:p w:rsidR="001E7ABB" w:rsidRPr="008C43B2" w:rsidRDefault="001E7ABB">
          <w:pPr>
            <w:pStyle w:val="FooterPageOdd"/>
          </w:pPr>
        </w:p>
      </w:tc>
      <w:tc>
        <w:tcPr>
          <w:tcW w:w="4933" w:type="dxa"/>
          <w:shd w:val="clear" w:color="auto" w:fill="auto"/>
        </w:tcPr>
        <w:p w:rsidR="001E7ABB" w:rsidRPr="008C43B2" w:rsidRDefault="001E7ABB">
          <w:pPr>
            <w:pStyle w:val="FooterCitation"/>
          </w:pPr>
          <w:r w:rsidRPr="00100B4C">
            <w:rPr>
              <w:sz w:val="20"/>
              <w:szCs w:val="20"/>
            </w:rPr>
            <w:t>Radiocommunications (Trading Rules for Spectrum Licences) Determination 2012</w:t>
          </w:r>
        </w:p>
      </w:tc>
      <w:tc>
        <w:tcPr>
          <w:tcW w:w="1701" w:type="dxa"/>
          <w:shd w:val="clear" w:color="auto" w:fill="auto"/>
        </w:tcPr>
        <w:p w:rsidR="001E7ABB" w:rsidRPr="008C43B2" w:rsidRDefault="008F2494">
          <w:pPr>
            <w:pStyle w:val="FooterPageOdd"/>
          </w:pPr>
          <w:r>
            <w:fldChar w:fldCharType="begin"/>
          </w:r>
          <w:r w:rsidR="00277037">
            <w:instrText xml:space="preserve"> PAGE </w:instrText>
          </w:r>
          <w:r>
            <w:fldChar w:fldCharType="separate"/>
          </w:r>
          <w:r w:rsidR="00FC12BF">
            <w:rPr>
              <w:noProof/>
            </w:rPr>
            <w:t>3</w:t>
          </w:r>
          <w:r>
            <w:fldChar w:fldCharType="end"/>
          </w:r>
        </w:p>
      </w:tc>
    </w:tr>
  </w:tbl>
  <w:p w:rsidR="001E7ABB" w:rsidRPr="00F10D43" w:rsidRDefault="001E7ABB">
    <w:pPr>
      <w:pStyle w:val="Footerinfo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Pr="00556EB9" w:rsidRDefault="001E7ABB">
    <w:pPr>
      <w:pStyle w:val="FooterCitation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Pr="00F10D43" w:rsidRDefault="001E7ABB" w:rsidP="00AC2D5C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701"/>
      <w:gridCol w:w="4933"/>
      <w:gridCol w:w="1701"/>
    </w:tblGrid>
    <w:tr w:rsidR="001E7ABB" w:rsidRPr="008C43B2">
      <w:tc>
        <w:tcPr>
          <w:tcW w:w="1701" w:type="dxa"/>
          <w:shd w:val="clear" w:color="auto" w:fill="auto"/>
        </w:tcPr>
        <w:p w:rsidR="001E7ABB" w:rsidRPr="008C43B2" w:rsidRDefault="008F2494" w:rsidP="00AC2D5C">
          <w:pPr>
            <w:pStyle w:val="FooterPageEven"/>
          </w:pPr>
          <w:r>
            <w:fldChar w:fldCharType="begin"/>
          </w:r>
          <w:r w:rsidR="00277037">
            <w:instrText xml:space="preserve"> PAGE </w:instrText>
          </w:r>
          <w:r>
            <w:fldChar w:fldCharType="separate"/>
          </w:r>
          <w:r w:rsidR="001E7ABB">
            <w:rPr>
              <w:noProof/>
            </w:rPr>
            <w:t>8</w:t>
          </w:r>
          <w:r>
            <w:fldChar w:fldCharType="end"/>
          </w:r>
        </w:p>
      </w:tc>
      <w:tc>
        <w:tcPr>
          <w:tcW w:w="4933" w:type="dxa"/>
          <w:shd w:val="clear" w:color="auto" w:fill="auto"/>
        </w:tcPr>
        <w:p w:rsidR="001E7ABB" w:rsidRPr="008C43B2" w:rsidRDefault="001E7ABB" w:rsidP="00AC2D5C">
          <w:pPr>
            <w:pStyle w:val="FooterCitation"/>
          </w:pPr>
          <w:r w:rsidRPr="00100B4C">
            <w:rPr>
              <w:sz w:val="20"/>
              <w:szCs w:val="20"/>
            </w:rPr>
            <w:t>Radiocommunications (Trading Rules for Spectrum Licences) Determination 2012</w:t>
          </w:r>
        </w:p>
      </w:tc>
      <w:tc>
        <w:tcPr>
          <w:tcW w:w="1701" w:type="dxa"/>
          <w:shd w:val="clear" w:color="auto" w:fill="auto"/>
        </w:tcPr>
        <w:p w:rsidR="001E7ABB" w:rsidRPr="008C43B2" w:rsidRDefault="001E7ABB" w:rsidP="00AC2D5C">
          <w:pPr>
            <w:pStyle w:val="FooterPageOdd"/>
          </w:pPr>
        </w:p>
      </w:tc>
    </w:tr>
  </w:tbl>
  <w:p w:rsidR="001E7ABB" w:rsidRPr="00F10D43" w:rsidRDefault="001E7ABB" w:rsidP="00AC2D5C">
    <w:pPr>
      <w:pStyle w:val="Footerinf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01" w:rsidRDefault="00277901">
      <w:r>
        <w:separator/>
      </w:r>
    </w:p>
  </w:footnote>
  <w:footnote w:type="continuationSeparator" w:id="0">
    <w:p w:rsidR="00277901" w:rsidRDefault="00277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ook w:val="01E0"/>
    </w:tblPr>
    <w:tblGrid>
      <w:gridCol w:w="1546"/>
      <w:gridCol w:w="6868"/>
    </w:tblGrid>
    <w:tr w:rsidR="001E7ABB">
      <w:tc>
        <w:tcPr>
          <w:tcW w:w="1546" w:type="dxa"/>
        </w:tcPr>
        <w:p w:rsidR="001E7ABB" w:rsidRDefault="001E7ABB">
          <w:pPr>
            <w:pStyle w:val="HeaderLiteEven"/>
          </w:pPr>
        </w:p>
      </w:tc>
      <w:tc>
        <w:tcPr>
          <w:tcW w:w="6868" w:type="dxa"/>
          <w:vAlign w:val="bottom"/>
        </w:tcPr>
        <w:p w:rsidR="001E7ABB" w:rsidRDefault="001E7ABB">
          <w:pPr>
            <w:pStyle w:val="HeaderLiteEven"/>
          </w:pPr>
        </w:p>
      </w:tc>
    </w:tr>
    <w:tr w:rsidR="001E7ABB">
      <w:tc>
        <w:tcPr>
          <w:tcW w:w="1546" w:type="dxa"/>
        </w:tcPr>
        <w:p w:rsidR="001E7ABB" w:rsidRDefault="001E7ABB">
          <w:pPr>
            <w:pStyle w:val="HeaderLiteEven"/>
          </w:pPr>
        </w:p>
      </w:tc>
      <w:tc>
        <w:tcPr>
          <w:tcW w:w="6868" w:type="dxa"/>
          <w:vAlign w:val="bottom"/>
        </w:tcPr>
        <w:p w:rsidR="001E7ABB" w:rsidRDefault="001E7ABB">
          <w:pPr>
            <w:pStyle w:val="HeaderLiteEven"/>
          </w:pPr>
        </w:p>
      </w:tc>
    </w:tr>
    <w:tr w:rsidR="001E7ABB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E7ABB" w:rsidRDefault="001E7ABB">
          <w:pPr>
            <w:pStyle w:val="HeaderLiteEven"/>
            <w:spacing w:before="120" w:after="60"/>
            <w:ind w:right="-108"/>
          </w:pPr>
        </w:p>
      </w:tc>
    </w:tr>
  </w:tbl>
  <w:p w:rsidR="001E7ABB" w:rsidRDefault="001E7ABB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60" w:type="dxa"/>
      <w:tblLook w:val="01E0"/>
    </w:tblPr>
    <w:tblGrid>
      <w:gridCol w:w="8460"/>
    </w:tblGrid>
    <w:tr w:rsidR="001E7ABB">
      <w:tc>
        <w:tcPr>
          <w:tcW w:w="8460" w:type="dxa"/>
        </w:tcPr>
        <w:p w:rsidR="001E7ABB" w:rsidRDefault="001E7ABB" w:rsidP="00AC2D5C">
          <w:pPr>
            <w:pStyle w:val="HeaderLiteOdd"/>
          </w:pPr>
          <w:r>
            <w:t xml:space="preserve">Notes to the </w:t>
          </w:r>
          <w:r w:rsidR="008F2494" w:rsidRPr="00264A41">
            <w:rPr>
              <w:i/>
            </w:rPr>
            <w:fldChar w:fldCharType="begin"/>
          </w:r>
          <w:r w:rsidRPr="00264A41">
            <w:rPr>
              <w:i/>
            </w:rPr>
            <w:instrText xml:space="preserve"> STYLEREF  Title </w:instrText>
          </w:r>
          <w:r w:rsidR="008F2494" w:rsidRPr="00264A41">
            <w:rPr>
              <w:i/>
            </w:rPr>
            <w:fldChar w:fldCharType="separate"/>
          </w:r>
          <w:r w:rsidR="0042413F">
            <w:rPr>
              <w:i/>
              <w:noProof/>
            </w:rPr>
            <w:t>Radiocommunications Act 1992</w:t>
          </w:r>
          <w:r w:rsidR="008F2494" w:rsidRPr="00264A41">
            <w:rPr>
              <w:i/>
            </w:rPr>
            <w:fldChar w:fldCharType="end"/>
          </w:r>
        </w:p>
      </w:tc>
    </w:tr>
    <w:tr w:rsidR="001E7ABB">
      <w:tc>
        <w:tcPr>
          <w:tcW w:w="8460" w:type="dxa"/>
        </w:tcPr>
        <w:p w:rsidR="001E7ABB" w:rsidRDefault="001E7ABB" w:rsidP="00AC2D5C">
          <w:pPr>
            <w:pStyle w:val="HeaderLiteOdd"/>
          </w:pPr>
        </w:p>
      </w:tc>
    </w:tr>
    <w:tr w:rsidR="001E7ABB">
      <w:tc>
        <w:tcPr>
          <w:tcW w:w="8460" w:type="dxa"/>
          <w:tcBorders>
            <w:bottom w:val="single" w:sz="4" w:space="0" w:color="auto"/>
          </w:tcBorders>
          <w:shd w:val="clear" w:color="auto" w:fill="auto"/>
        </w:tcPr>
        <w:p w:rsidR="001E7ABB" w:rsidRPr="000D4CDA" w:rsidRDefault="008F2494" w:rsidP="00AC2D5C">
          <w:pPr>
            <w:pStyle w:val="HeaderBoldOdd"/>
          </w:pPr>
          <w:r w:rsidRPr="000D4CDA">
            <w:fldChar w:fldCharType="begin"/>
          </w:r>
          <w:r w:rsidR="001E7ABB" w:rsidRPr="000D4CDA">
            <w:instrText xml:space="preserve"> STYLEREF  CharENotesHeading  \* CHARFORMAT </w:instrText>
          </w:r>
          <w:r w:rsidRPr="000D4CDA">
            <w:fldChar w:fldCharType="separate"/>
          </w:r>
          <w:r w:rsidR="0042413F">
            <w:rPr>
              <w:b w:val="0"/>
              <w:bCs/>
              <w:noProof/>
              <w:lang w:val="en-US"/>
            </w:rPr>
            <w:t>Error! No text of specified style in document.</w:t>
          </w:r>
          <w:r w:rsidRPr="000D4CDA">
            <w:fldChar w:fldCharType="end"/>
          </w:r>
        </w:p>
      </w:tc>
    </w:tr>
  </w:tbl>
  <w:p w:rsidR="001E7ABB" w:rsidRDefault="001E7ABB" w:rsidP="00AC2D5C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Default="001E7ABB" w:rsidP="00AC2D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ook w:val="01E0"/>
    </w:tblPr>
    <w:tblGrid>
      <w:gridCol w:w="6840"/>
      <w:gridCol w:w="1574"/>
    </w:tblGrid>
    <w:tr w:rsidR="001E7ABB">
      <w:tc>
        <w:tcPr>
          <w:tcW w:w="6840" w:type="dxa"/>
          <w:vAlign w:val="bottom"/>
        </w:tcPr>
        <w:p w:rsidR="001E7ABB" w:rsidRDefault="001E7ABB">
          <w:pPr>
            <w:pStyle w:val="HeaderLiteEven"/>
          </w:pPr>
        </w:p>
      </w:tc>
      <w:tc>
        <w:tcPr>
          <w:tcW w:w="1574" w:type="dxa"/>
        </w:tcPr>
        <w:p w:rsidR="001E7ABB" w:rsidRDefault="001E7ABB">
          <w:pPr>
            <w:pStyle w:val="HeaderLiteEven"/>
          </w:pPr>
        </w:p>
      </w:tc>
    </w:tr>
    <w:tr w:rsidR="001E7ABB">
      <w:tc>
        <w:tcPr>
          <w:tcW w:w="6840" w:type="dxa"/>
          <w:vAlign w:val="bottom"/>
        </w:tcPr>
        <w:p w:rsidR="001E7ABB" w:rsidRDefault="001E7ABB">
          <w:pPr>
            <w:pStyle w:val="HeaderLiteEven"/>
          </w:pPr>
        </w:p>
      </w:tc>
      <w:tc>
        <w:tcPr>
          <w:tcW w:w="1574" w:type="dxa"/>
        </w:tcPr>
        <w:p w:rsidR="001E7ABB" w:rsidRDefault="001E7ABB">
          <w:pPr>
            <w:pStyle w:val="HeaderLiteEven"/>
          </w:pPr>
        </w:p>
      </w:tc>
    </w:tr>
    <w:tr w:rsidR="001E7ABB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E7ABB" w:rsidRDefault="001E7ABB">
          <w:pPr>
            <w:pStyle w:val="HeaderLiteEven"/>
            <w:spacing w:before="120" w:after="60"/>
            <w:ind w:right="-108"/>
          </w:pPr>
        </w:p>
      </w:tc>
    </w:tr>
  </w:tbl>
  <w:p w:rsidR="001E7ABB" w:rsidRDefault="001E7AB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ook w:val="01E0"/>
    </w:tblPr>
    <w:tblGrid>
      <w:gridCol w:w="1546"/>
      <w:gridCol w:w="6797"/>
    </w:tblGrid>
    <w:tr w:rsidR="001E7ABB">
      <w:tc>
        <w:tcPr>
          <w:tcW w:w="8343" w:type="dxa"/>
          <w:gridSpan w:val="2"/>
        </w:tcPr>
        <w:p w:rsidR="001E7ABB" w:rsidRDefault="001E7ABB">
          <w:pPr>
            <w:pStyle w:val="HeaderLiteEven"/>
            <w:ind w:right="-108"/>
          </w:pPr>
        </w:p>
      </w:tc>
    </w:tr>
    <w:tr w:rsidR="001E7ABB" w:rsidTr="00E5450B">
      <w:tc>
        <w:tcPr>
          <w:tcW w:w="1546" w:type="dxa"/>
        </w:tcPr>
        <w:p w:rsidR="001E7ABB" w:rsidRDefault="001E7ABB">
          <w:pPr>
            <w:pStyle w:val="HeaderLiteEven"/>
            <w:ind w:right="-108"/>
          </w:pPr>
        </w:p>
      </w:tc>
      <w:tc>
        <w:tcPr>
          <w:tcW w:w="6797" w:type="dxa"/>
          <w:vAlign w:val="bottom"/>
        </w:tcPr>
        <w:p w:rsidR="001E7ABB" w:rsidRDefault="001E7ABB">
          <w:pPr>
            <w:pStyle w:val="HeaderLiteEven"/>
            <w:ind w:right="-108"/>
          </w:pPr>
        </w:p>
      </w:tc>
    </w:tr>
    <w:tr w:rsidR="001E7ABB" w:rsidTr="00E5450B">
      <w:tc>
        <w:tcPr>
          <w:tcW w:w="1546" w:type="dxa"/>
          <w:shd w:val="clear" w:color="auto" w:fill="auto"/>
        </w:tcPr>
        <w:p w:rsidR="001E7ABB" w:rsidRDefault="001E7ABB">
          <w:pPr>
            <w:pStyle w:val="HeaderLiteEven"/>
            <w:spacing w:before="120" w:after="60"/>
            <w:ind w:right="-108"/>
          </w:pPr>
        </w:p>
      </w:tc>
      <w:tc>
        <w:tcPr>
          <w:tcW w:w="6797" w:type="dxa"/>
          <w:shd w:val="clear" w:color="auto" w:fill="auto"/>
          <w:vAlign w:val="bottom"/>
        </w:tcPr>
        <w:p w:rsidR="001E7ABB" w:rsidRDefault="001E7ABB">
          <w:pPr>
            <w:pStyle w:val="HeaderLiteEven"/>
            <w:spacing w:before="120" w:after="60"/>
            <w:ind w:right="-108"/>
          </w:pPr>
        </w:p>
      </w:tc>
    </w:tr>
  </w:tbl>
  <w:p w:rsidR="001E7ABB" w:rsidRPr="001269B3" w:rsidRDefault="001E7ABB" w:rsidP="00E868D4">
    <w:pPr>
      <w:pStyle w:val="HeaderContentsPag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ook w:val="01E0"/>
    </w:tblPr>
    <w:tblGrid>
      <w:gridCol w:w="6868"/>
      <w:gridCol w:w="1475"/>
    </w:tblGrid>
    <w:tr w:rsidR="001E7ABB">
      <w:tc>
        <w:tcPr>
          <w:tcW w:w="8343" w:type="dxa"/>
          <w:gridSpan w:val="2"/>
        </w:tcPr>
        <w:p w:rsidR="001E7ABB" w:rsidRDefault="001E7ABB">
          <w:pPr>
            <w:pStyle w:val="HeaderLiteOdd"/>
          </w:pPr>
          <w:r>
            <w:t>Contents</w:t>
          </w:r>
        </w:p>
      </w:tc>
    </w:tr>
    <w:tr w:rsidR="001E7ABB">
      <w:tc>
        <w:tcPr>
          <w:tcW w:w="6868" w:type="dxa"/>
          <w:vAlign w:val="bottom"/>
        </w:tcPr>
        <w:p w:rsidR="001E7ABB" w:rsidRDefault="001E7ABB">
          <w:pPr>
            <w:pStyle w:val="HeaderLiteOdd"/>
          </w:pPr>
        </w:p>
      </w:tc>
      <w:tc>
        <w:tcPr>
          <w:tcW w:w="1475" w:type="dxa"/>
        </w:tcPr>
        <w:p w:rsidR="001E7ABB" w:rsidRDefault="001E7ABB">
          <w:pPr>
            <w:pStyle w:val="HeaderLiteOdd"/>
          </w:pPr>
        </w:p>
      </w:tc>
    </w:tr>
    <w:tr w:rsidR="001E7ABB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1E7ABB" w:rsidRDefault="001E7ABB">
          <w:pPr>
            <w:pStyle w:val="HeaderLiteOdd"/>
            <w:spacing w:before="120" w:after="60"/>
          </w:pPr>
        </w:p>
      </w:tc>
      <w:tc>
        <w:tcPr>
          <w:tcW w:w="1475" w:type="dxa"/>
          <w:tcBorders>
            <w:bottom w:val="single" w:sz="4" w:space="0" w:color="auto"/>
          </w:tcBorders>
          <w:shd w:val="clear" w:color="auto" w:fill="auto"/>
        </w:tcPr>
        <w:p w:rsidR="001E7ABB" w:rsidRDefault="001E7ABB">
          <w:pPr>
            <w:pStyle w:val="HeaderLiteOdd"/>
            <w:spacing w:before="120" w:after="60"/>
          </w:pPr>
        </w:p>
      </w:tc>
    </w:tr>
  </w:tbl>
  <w:p w:rsidR="001E7ABB" w:rsidRDefault="001E7ABB">
    <w:pPr>
      <w:pStyle w:val="HeaderContentsPage"/>
    </w:pPr>
    <w:r>
      <w:t>Page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Default="001E7ABB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ook w:val="01E0"/>
    </w:tblPr>
    <w:tblGrid>
      <w:gridCol w:w="1546"/>
      <w:gridCol w:w="6797"/>
    </w:tblGrid>
    <w:tr w:rsidR="001E7ABB">
      <w:tc>
        <w:tcPr>
          <w:tcW w:w="1546" w:type="dxa"/>
        </w:tcPr>
        <w:p w:rsidR="001E7ABB" w:rsidRDefault="001E7ABB">
          <w:pPr>
            <w:pStyle w:val="HeaderLiteEven"/>
          </w:pPr>
        </w:p>
      </w:tc>
      <w:tc>
        <w:tcPr>
          <w:tcW w:w="6797" w:type="dxa"/>
          <w:vAlign w:val="bottom"/>
        </w:tcPr>
        <w:p w:rsidR="001E7ABB" w:rsidRDefault="001E7ABB">
          <w:pPr>
            <w:pStyle w:val="HeaderLiteEven"/>
          </w:pPr>
        </w:p>
      </w:tc>
    </w:tr>
    <w:tr w:rsidR="001E7ABB" w:rsidTr="00E5450B">
      <w:tc>
        <w:tcPr>
          <w:tcW w:w="1546" w:type="dxa"/>
        </w:tcPr>
        <w:p w:rsidR="001E7ABB" w:rsidRDefault="008F2494">
          <w:pPr>
            <w:pStyle w:val="HeaderLiteEven"/>
          </w:pPr>
          <w:r>
            <w:fldChar w:fldCharType="begin"/>
          </w:r>
          <w:r w:rsidR="001E7ABB">
            <w:instrText xml:space="preserve"> STYLEREF  CharSchPTNo  \* CHARFORMAT </w:instrText>
          </w:r>
          <w:r>
            <w:fldChar w:fldCharType="end"/>
          </w:r>
        </w:p>
      </w:tc>
      <w:tc>
        <w:tcPr>
          <w:tcW w:w="6797" w:type="dxa"/>
          <w:vAlign w:val="bottom"/>
        </w:tcPr>
        <w:p w:rsidR="001E7ABB" w:rsidRDefault="008F2494">
          <w:pPr>
            <w:pStyle w:val="HeaderLiteEven"/>
          </w:pPr>
          <w:r>
            <w:fldChar w:fldCharType="begin"/>
          </w:r>
          <w:r w:rsidR="001E7ABB">
            <w:instrText xml:space="preserve"> STYLEREF  CharSchPTText  \* CHARFORMAT </w:instrText>
          </w:r>
          <w:r>
            <w:fldChar w:fldCharType="end"/>
          </w:r>
        </w:p>
      </w:tc>
    </w:tr>
    <w:tr w:rsidR="001E7ABB" w:rsidTr="00E5450B">
      <w:tc>
        <w:tcPr>
          <w:tcW w:w="8343" w:type="dxa"/>
          <w:gridSpan w:val="2"/>
          <w:shd w:val="clear" w:color="auto" w:fill="auto"/>
        </w:tcPr>
        <w:p w:rsidR="001E7ABB" w:rsidRDefault="001E7ABB">
          <w:pPr>
            <w:pStyle w:val="HeaderLiteEven"/>
            <w:spacing w:before="120" w:after="60"/>
            <w:ind w:right="-108"/>
          </w:pPr>
        </w:p>
      </w:tc>
    </w:tr>
  </w:tbl>
  <w:p w:rsidR="001E7ABB" w:rsidRDefault="001E7AB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ook w:val="01E0"/>
    </w:tblPr>
    <w:tblGrid>
      <w:gridCol w:w="6868"/>
      <w:gridCol w:w="1546"/>
    </w:tblGrid>
    <w:tr w:rsidR="001E7ABB">
      <w:tc>
        <w:tcPr>
          <w:tcW w:w="6868" w:type="dxa"/>
          <w:vAlign w:val="bottom"/>
        </w:tcPr>
        <w:p w:rsidR="001E7ABB" w:rsidRDefault="001E7ABB">
          <w:pPr>
            <w:pStyle w:val="HeaderLiteOdd"/>
          </w:pPr>
        </w:p>
      </w:tc>
      <w:tc>
        <w:tcPr>
          <w:tcW w:w="1546" w:type="dxa"/>
        </w:tcPr>
        <w:p w:rsidR="001E7ABB" w:rsidRDefault="001E7ABB">
          <w:pPr>
            <w:pStyle w:val="HeaderLiteOdd"/>
          </w:pPr>
        </w:p>
      </w:tc>
    </w:tr>
    <w:tr w:rsidR="001E7ABB" w:rsidTr="00E5450B">
      <w:tc>
        <w:tcPr>
          <w:tcW w:w="6868" w:type="dxa"/>
          <w:vAlign w:val="bottom"/>
        </w:tcPr>
        <w:p w:rsidR="001E7ABB" w:rsidRDefault="008F2494">
          <w:pPr>
            <w:pStyle w:val="HeaderLiteOdd"/>
          </w:pPr>
          <w:r>
            <w:fldChar w:fldCharType="begin"/>
          </w:r>
          <w:r w:rsidR="001E7ABB">
            <w:instrText xml:space="preserve"> STYLEREF  CharSchPTText \l   \* CHARFORMAT </w:instrText>
          </w:r>
          <w:r>
            <w:fldChar w:fldCharType="end"/>
          </w:r>
        </w:p>
      </w:tc>
      <w:tc>
        <w:tcPr>
          <w:tcW w:w="1546" w:type="dxa"/>
        </w:tcPr>
        <w:p w:rsidR="001E7ABB" w:rsidRDefault="008F2494">
          <w:pPr>
            <w:pStyle w:val="HeaderLiteOdd"/>
          </w:pPr>
          <w:r>
            <w:fldChar w:fldCharType="begin"/>
          </w:r>
          <w:r w:rsidR="001E7ABB">
            <w:instrText xml:space="preserve"> STYLEREF  CharSchPTNo \l   \* CHARFORMAT </w:instrText>
          </w:r>
          <w:r>
            <w:fldChar w:fldCharType="end"/>
          </w:r>
        </w:p>
      </w:tc>
    </w:tr>
    <w:tr w:rsidR="001E7ABB" w:rsidTr="00E5450B">
      <w:tc>
        <w:tcPr>
          <w:tcW w:w="8414" w:type="dxa"/>
          <w:gridSpan w:val="2"/>
          <w:shd w:val="clear" w:color="auto" w:fill="auto"/>
        </w:tcPr>
        <w:p w:rsidR="001E7ABB" w:rsidRDefault="001E7ABB">
          <w:pPr>
            <w:pStyle w:val="HeaderBoldOdd"/>
          </w:pPr>
        </w:p>
      </w:tc>
    </w:tr>
  </w:tbl>
  <w:p w:rsidR="001E7ABB" w:rsidRDefault="001E7ABB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B" w:rsidRDefault="001E7ABB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ook w:val="01E0"/>
    </w:tblPr>
    <w:tblGrid>
      <w:gridCol w:w="8414"/>
    </w:tblGrid>
    <w:tr w:rsidR="001E7ABB">
      <w:tc>
        <w:tcPr>
          <w:tcW w:w="8414" w:type="dxa"/>
        </w:tcPr>
        <w:p w:rsidR="001E7ABB" w:rsidRDefault="001E7ABB" w:rsidP="00AC2D5C">
          <w:pPr>
            <w:pStyle w:val="HeaderLiteEven"/>
          </w:pPr>
          <w:r>
            <w:t>Notes to the</w:t>
          </w:r>
          <w:r w:rsidRPr="000D4CDA">
            <w:t xml:space="preserve"> </w:t>
          </w:r>
          <w:r w:rsidR="008F2494" w:rsidRPr="00264A41">
            <w:rPr>
              <w:i/>
            </w:rPr>
            <w:fldChar w:fldCharType="begin"/>
          </w:r>
          <w:r w:rsidRPr="00264A41">
            <w:rPr>
              <w:i/>
            </w:rPr>
            <w:instrText xml:space="preserve"> STYLEREF  Title </w:instrText>
          </w:r>
          <w:r w:rsidR="008F2494" w:rsidRPr="00264A41">
            <w:rPr>
              <w:i/>
            </w:rPr>
            <w:fldChar w:fldCharType="separate"/>
          </w:r>
          <w:r w:rsidR="0042413F">
            <w:rPr>
              <w:i/>
              <w:noProof/>
            </w:rPr>
            <w:t>Radiocommunications Act 1992</w:t>
          </w:r>
          <w:r w:rsidR="008F2494" w:rsidRPr="00264A41">
            <w:rPr>
              <w:i/>
            </w:rPr>
            <w:fldChar w:fldCharType="end"/>
          </w:r>
        </w:p>
      </w:tc>
    </w:tr>
    <w:tr w:rsidR="001E7ABB">
      <w:tc>
        <w:tcPr>
          <w:tcW w:w="8414" w:type="dxa"/>
        </w:tcPr>
        <w:p w:rsidR="001E7ABB" w:rsidRDefault="001E7ABB" w:rsidP="00AC2D5C">
          <w:pPr>
            <w:pStyle w:val="HeaderLiteEven"/>
          </w:pPr>
        </w:p>
      </w:tc>
    </w:tr>
    <w:tr w:rsidR="001E7ABB">
      <w:tc>
        <w:tcPr>
          <w:tcW w:w="8414" w:type="dxa"/>
          <w:tcBorders>
            <w:bottom w:val="single" w:sz="4" w:space="0" w:color="auto"/>
          </w:tcBorders>
          <w:shd w:val="clear" w:color="auto" w:fill="auto"/>
        </w:tcPr>
        <w:p w:rsidR="001E7ABB" w:rsidRPr="000D4CDA" w:rsidRDefault="008F2494" w:rsidP="00AC2D5C">
          <w:pPr>
            <w:pStyle w:val="HeaderBoldEven"/>
          </w:pPr>
          <w:r w:rsidRPr="000D4CDA">
            <w:fldChar w:fldCharType="begin"/>
          </w:r>
          <w:r w:rsidR="001E7ABB" w:rsidRPr="000D4CDA">
            <w:instrText xml:space="preserve"> STYLEREF  CharENotesHeading  \* CHARFORMAT </w:instrText>
          </w:r>
          <w:r w:rsidRPr="000D4CDA">
            <w:fldChar w:fldCharType="separate"/>
          </w:r>
          <w:r w:rsidR="0042413F">
            <w:rPr>
              <w:b w:val="0"/>
              <w:bCs/>
              <w:noProof/>
              <w:lang w:val="en-US"/>
            </w:rPr>
            <w:t>Error! No text of specified style in document.</w:t>
          </w:r>
          <w:r w:rsidRPr="000D4CDA">
            <w:fldChar w:fldCharType="end"/>
          </w:r>
        </w:p>
      </w:tc>
    </w:tr>
  </w:tbl>
  <w:p w:rsidR="001E7ABB" w:rsidRDefault="001E7ABB" w:rsidP="00AC2D5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8C36F1"/>
    <w:multiLevelType w:val="hybridMultilevel"/>
    <w:tmpl w:val="5DA62210"/>
    <w:lvl w:ilvl="0" w:tplc="67AA79B4">
      <w:start w:val="1"/>
      <w:numFmt w:val="lowerLetter"/>
      <w:lvlText w:val="(%1)"/>
      <w:lvlJc w:val="left"/>
      <w:pPr>
        <w:ind w:left="1324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>
    <w:nsid w:val="10776388"/>
    <w:multiLevelType w:val="hybridMultilevel"/>
    <w:tmpl w:val="30245E5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2D134F"/>
    <w:multiLevelType w:val="hybridMultilevel"/>
    <w:tmpl w:val="176E1884"/>
    <w:lvl w:ilvl="0" w:tplc="FF6C80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036B5"/>
    <w:multiLevelType w:val="hybridMultilevel"/>
    <w:tmpl w:val="CD98EBB2"/>
    <w:lvl w:ilvl="0" w:tplc="6CB00890">
      <w:start w:val="1"/>
      <w:numFmt w:val="lowerRoman"/>
      <w:lvlText w:val="(%1)"/>
      <w:lvlJc w:val="left"/>
      <w:pPr>
        <w:ind w:left="287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38" w:hanging="360"/>
      </w:pPr>
    </w:lvl>
    <w:lvl w:ilvl="2" w:tplc="0C09001B" w:tentative="1">
      <w:start w:val="1"/>
      <w:numFmt w:val="lowerRoman"/>
      <w:lvlText w:val="%3."/>
      <w:lvlJc w:val="right"/>
      <w:pPr>
        <w:ind w:left="3958" w:hanging="180"/>
      </w:pPr>
    </w:lvl>
    <w:lvl w:ilvl="3" w:tplc="0C09000F" w:tentative="1">
      <w:start w:val="1"/>
      <w:numFmt w:val="decimal"/>
      <w:lvlText w:val="%4."/>
      <w:lvlJc w:val="left"/>
      <w:pPr>
        <w:ind w:left="4678" w:hanging="360"/>
      </w:pPr>
    </w:lvl>
    <w:lvl w:ilvl="4" w:tplc="0C090019" w:tentative="1">
      <w:start w:val="1"/>
      <w:numFmt w:val="lowerLetter"/>
      <w:lvlText w:val="%5."/>
      <w:lvlJc w:val="left"/>
      <w:pPr>
        <w:ind w:left="5398" w:hanging="360"/>
      </w:pPr>
    </w:lvl>
    <w:lvl w:ilvl="5" w:tplc="0C09001B" w:tentative="1">
      <w:start w:val="1"/>
      <w:numFmt w:val="lowerRoman"/>
      <w:lvlText w:val="%6."/>
      <w:lvlJc w:val="right"/>
      <w:pPr>
        <w:ind w:left="6118" w:hanging="180"/>
      </w:pPr>
    </w:lvl>
    <w:lvl w:ilvl="6" w:tplc="0C09000F" w:tentative="1">
      <w:start w:val="1"/>
      <w:numFmt w:val="decimal"/>
      <w:lvlText w:val="%7."/>
      <w:lvlJc w:val="left"/>
      <w:pPr>
        <w:ind w:left="6838" w:hanging="360"/>
      </w:pPr>
    </w:lvl>
    <w:lvl w:ilvl="7" w:tplc="0C090019" w:tentative="1">
      <w:start w:val="1"/>
      <w:numFmt w:val="lowerLetter"/>
      <w:lvlText w:val="%8."/>
      <w:lvlJc w:val="left"/>
      <w:pPr>
        <w:ind w:left="7558" w:hanging="360"/>
      </w:pPr>
    </w:lvl>
    <w:lvl w:ilvl="8" w:tplc="0C09001B" w:tentative="1">
      <w:start w:val="1"/>
      <w:numFmt w:val="lowerRoman"/>
      <w:lvlText w:val="%9."/>
      <w:lvlJc w:val="right"/>
      <w:pPr>
        <w:ind w:left="8278" w:hanging="180"/>
      </w:pPr>
    </w:lvl>
  </w:abstractNum>
  <w:abstractNum w:abstractNumId="16">
    <w:nsid w:val="33C83FD6"/>
    <w:multiLevelType w:val="hybridMultilevel"/>
    <w:tmpl w:val="5A281D16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5DB1F87"/>
    <w:multiLevelType w:val="hybridMultilevel"/>
    <w:tmpl w:val="DB165E62"/>
    <w:lvl w:ilvl="0" w:tplc="945C1ADC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>
    <w:nsid w:val="573672E9"/>
    <w:multiLevelType w:val="hybridMultilevel"/>
    <w:tmpl w:val="47BEAA26"/>
    <w:lvl w:ilvl="0" w:tplc="08447B60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9C81E1E"/>
    <w:multiLevelType w:val="hybridMultilevel"/>
    <w:tmpl w:val="22602CEE"/>
    <w:lvl w:ilvl="0" w:tplc="740C4B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56083C"/>
    <w:multiLevelType w:val="hybridMultilevel"/>
    <w:tmpl w:val="974A91B2"/>
    <w:lvl w:ilvl="0" w:tplc="CA2CAB50">
      <w:start w:val="1"/>
      <w:numFmt w:val="lowerLetter"/>
      <w:lvlText w:val="(%1)"/>
      <w:lvlJc w:val="left"/>
      <w:pPr>
        <w:ind w:left="1504" w:hanging="54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2">
    <w:nsid w:val="797C582A"/>
    <w:multiLevelType w:val="hybridMultilevel"/>
    <w:tmpl w:val="80303576"/>
    <w:lvl w:ilvl="0" w:tplc="D43CBC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A2ADA"/>
    <w:multiLevelType w:val="hybridMultilevel"/>
    <w:tmpl w:val="6ECC0FB8"/>
    <w:lvl w:ilvl="0" w:tplc="08447B60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2"/>
  </w:num>
  <w:num w:numId="16">
    <w:abstractNumId w:val="15"/>
  </w:num>
  <w:num w:numId="17">
    <w:abstractNumId w:val="21"/>
  </w:num>
  <w:num w:numId="18">
    <w:abstractNumId w:val="14"/>
  </w:num>
  <w:num w:numId="19">
    <w:abstractNumId w:val="11"/>
  </w:num>
  <w:num w:numId="20">
    <w:abstractNumId w:val="20"/>
  </w:num>
  <w:num w:numId="21">
    <w:abstractNumId w:val="19"/>
  </w:num>
  <w:num w:numId="22">
    <w:abstractNumId w:val="23"/>
  </w:num>
  <w:num w:numId="23">
    <w:abstractNumId w:val="18"/>
  </w:num>
  <w:num w:numId="24">
    <w:abstractNumId w:val="2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0004"/>
  <w:doNotTrackMove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A71"/>
    <w:rsid w:val="000056EE"/>
    <w:rsid w:val="00011852"/>
    <w:rsid w:val="00013E3A"/>
    <w:rsid w:val="00015DF0"/>
    <w:rsid w:val="00021676"/>
    <w:rsid w:val="00024697"/>
    <w:rsid w:val="00024D2D"/>
    <w:rsid w:val="00027EB9"/>
    <w:rsid w:val="00032756"/>
    <w:rsid w:val="0003498B"/>
    <w:rsid w:val="0005680C"/>
    <w:rsid w:val="0006076C"/>
    <w:rsid w:val="00070A26"/>
    <w:rsid w:val="0008054D"/>
    <w:rsid w:val="000821BA"/>
    <w:rsid w:val="000A124D"/>
    <w:rsid w:val="000A705B"/>
    <w:rsid w:val="000A7AF2"/>
    <w:rsid w:val="000B52F3"/>
    <w:rsid w:val="000C0E9A"/>
    <w:rsid w:val="000D39B7"/>
    <w:rsid w:val="000E16F3"/>
    <w:rsid w:val="000E6727"/>
    <w:rsid w:val="00100B4C"/>
    <w:rsid w:val="00114286"/>
    <w:rsid w:val="00115072"/>
    <w:rsid w:val="00123183"/>
    <w:rsid w:val="001241C9"/>
    <w:rsid w:val="00124BF6"/>
    <w:rsid w:val="001312CF"/>
    <w:rsid w:val="00137445"/>
    <w:rsid w:val="00137655"/>
    <w:rsid w:val="001410A9"/>
    <w:rsid w:val="001415D1"/>
    <w:rsid w:val="00141B4E"/>
    <w:rsid w:val="00142CB2"/>
    <w:rsid w:val="00145C33"/>
    <w:rsid w:val="0014660D"/>
    <w:rsid w:val="00147077"/>
    <w:rsid w:val="0015004C"/>
    <w:rsid w:val="00150F5C"/>
    <w:rsid w:val="00160DB0"/>
    <w:rsid w:val="0016121F"/>
    <w:rsid w:val="00165EF5"/>
    <w:rsid w:val="0017099C"/>
    <w:rsid w:val="00183AC8"/>
    <w:rsid w:val="00187B15"/>
    <w:rsid w:val="00190752"/>
    <w:rsid w:val="0019199A"/>
    <w:rsid w:val="001930FA"/>
    <w:rsid w:val="00193675"/>
    <w:rsid w:val="001A707F"/>
    <w:rsid w:val="001B2225"/>
    <w:rsid w:val="001B4AE0"/>
    <w:rsid w:val="001B503D"/>
    <w:rsid w:val="001B6644"/>
    <w:rsid w:val="001B680B"/>
    <w:rsid w:val="001B7538"/>
    <w:rsid w:val="001C7CAC"/>
    <w:rsid w:val="001D09D3"/>
    <w:rsid w:val="001D217A"/>
    <w:rsid w:val="001D49E7"/>
    <w:rsid w:val="001E7ABB"/>
    <w:rsid w:val="001F3D4C"/>
    <w:rsid w:val="002019B4"/>
    <w:rsid w:val="00204409"/>
    <w:rsid w:val="002108D2"/>
    <w:rsid w:val="00211F14"/>
    <w:rsid w:val="002125DA"/>
    <w:rsid w:val="00213748"/>
    <w:rsid w:val="00213EC8"/>
    <w:rsid w:val="0021465E"/>
    <w:rsid w:val="00217C64"/>
    <w:rsid w:val="00220EDA"/>
    <w:rsid w:val="00222DA1"/>
    <w:rsid w:val="0022369F"/>
    <w:rsid w:val="00223A7F"/>
    <w:rsid w:val="00224DA4"/>
    <w:rsid w:val="00232AF5"/>
    <w:rsid w:val="00234FDE"/>
    <w:rsid w:val="00241B74"/>
    <w:rsid w:val="0024635E"/>
    <w:rsid w:val="00251437"/>
    <w:rsid w:val="00251920"/>
    <w:rsid w:val="00253675"/>
    <w:rsid w:val="00254B2F"/>
    <w:rsid w:val="00256425"/>
    <w:rsid w:val="00263CA6"/>
    <w:rsid w:val="00264C74"/>
    <w:rsid w:val="0027393B"/>
    <w:rsid w:val="00277037"/>
    <w:rsid w:val="00277901"/>
    <w:rsid w:val="00281C77"/>
    <w:rsid w:val="00282B06"/>
    <w:rsid w:val="00284A2C"/>
    <w:rsid w:val="002929F2"/>
    <w:rsid w:val="00296E0B"/>
    <w:rsid w:val="00296E69"/>
    <w:rsid w:val="002A57A4"/>
    <w:rsid w:val="002B0FB1"/>
    <w:rsid w:val="002B4431"/>
    <w:rsid w:val="002C2F88"/>
    <w:rsid w:val="002C34B3"/>
    <w:rsid w:val="002D24DD"/>
    <w:rsid w:val="002D3EED"/>
    <w:rsid w:val="002D68AE"/>
    <w:rsid w:val="002E0C9A"/>
    <w:rsid w:val="0030627F"/>
    <w:rsid w:val="003263DD"/>
    <w:rsid w:val="00331F91"/>
    <w:rsid w:val="003327E3"/>
    <w:rsid w:val="003334E0"/>
    <w:rsid w:val="00341BEB"/>
    <w:rsid w:val="00342DD9"/>
    <w:rsid w:val="003467A8"/>
    <w:rsid w:val="00347278"/>
    <w:rsid w:val="00347ABE"/>
    <w:rsid w:val="00352893"/>
    <w:rsid w:val="003535E0"/>
    <w:rsid w:val="00355115"/>
    <w:rsid w:val="003560DB"/>
    <w:rsid w:val="003570F6"/>
    <w:rsid w:val="00360F57"/>
    <w:rsid w:val="003622F5"/>
    <w:rsid w:val="00366209"/>
    <w:rsid w:val="0038236C"/>
    <w:rsid w:val="00382EAF"/>
    <w:rsid w:val="00383571"/>
    <w:rsid w:val="00383D0E"/>
    <w:rsid w:val="00384027"/>
    <w:rsid w:val="003843EC"/>
    <w:rsid w:val="00385376"/>
    <w:rsid w:val="0039460E"/>
    <w:rsid w:val="00395F7B"/>
    <w:rsid w:val="00396732"/>
    <w:rsid w:val="003A2BF9"/>
    <w:rsid w:val="003A3291"/>
    <w:rsid w:val="003C3C69"/>
    <w:rsid w:val="003C700C"/>
    <w:rsid w:val="003C7D9A"/>
    <w:rsid w:val="003D20DD"/>
    <w:rsid w:val="003E6AE2"/>
    <w:rsid w:val="003F43C5"/>
    <w:rsid w:val="00403CA6"/>
    <w:rsid w:val="00405625"/>
    <w:rsid w:val="00411C6B"/>
    <w:rsid w:val="00414793"/>
    <w:rsid w:val="00415F5C"/>
    <w:rsid w:val="004162D6"/>
    <w:rsid w:val="004174C2"/>
    <w:rsid w:val="00420A7B"/>
    <w:rsid w:val="0042413F"/>
    <w:rsid w:val="00432EF3"/>
    <w:rsid w:val="00435455"/>
    <w:rsid w:val="0043600E"/>
    <w:rsid w:val="00440BE1"/>
    <w:rsid w:val="00447669"/>
    <w:rsid w:val="00453973"/>
    <w:rsid w:val="00454D0B"/>
    <w:rsid w:val="0046344B"/>
    <w:rsid w:val="00471C7B"/>
    <w:rsid w:val="0047221D"/>
    <w:rsid w:val="00473443"/>
    <w:rsid w:val="00482B0A"/>
    <w:rsid w:val="00484DBA"/>
    <w:rsid w:val="004853CC"/>
    <w:rsid w:val="00487822"/>
    <w:rsid w:val="004A28F1"/>
    <w:rsid w:val="004A4722"/>
    <w:rsid w:val="004B7C8D"/>
    <w:rsid w:val="004C0E42"/>
    <w:rsid w:val="004D2CCB"/>
    <w:rsid w:val="004D5851"/>
    <w:rsid w:val="004D7964"/>
    <w:rsid w:val="004E01BE"/>
    <w:rsid w:val="004F00BE"/>
    <w:rsid w:val="004F3A0D"/>
    <w:rsid w:val="004F4139"/>
    <w:rsid w:val="004F4E12"/>
    <w:rsid w:val="004F6457"/>
    <w:rsid w:val="0050017F"/>
    <w:rsid w:val="00505817"/>
    <w:rsid w:val="00506C1C"/>
    <w:rsid w:val="00510C36"/>
    <w:rsid w:val="00516F09"/>
    <w:rsid w:val="00525BFA"/>
    <w:rsid w:val="00526A68"/>
    <w:rsid w:val="00530A4B"/>
    <w:rsid w:val="00533AB5"/>
    <w:rsid w:val="00551FD3"/>
    <w:rsid w:val="00552309"/>
    <w:rsid w:val="00555714"/>
    <w:rsid w:val="00564001"/>
    <w:rsid w:val="00564A57"/>
    <w:rsid w:val="00580172"/>
    <w:rsid w:val="00584A71"/>
    <w:rsid w:val="00590B66"/>
    <w:rsid w:val="005944CF"/>
    <w:rsid w:val="00596122"/>
    <w:rsid w:val="00596F0D"/>
    <w:rsid w:val="005971A1"/>
    <w:rsid w:val="005A0F53"/>
    <w:rsid w:val="005A2A56"/>
    <w:rsid w:val="005A45DD"/>
    <w:rsid w:val="005B6D02"/>
    <w:rsid w:val="005C00F6"/>
    <w:rsid w:val="005C3646"/>
    <w:rsid w:val="005C5099"/>
    <w:rsid w:val="005D2392"/>
    <w:rsid w:val="005D6F22"/>
    <w:rsid w:val="005D74CB"/>
    <w:rsid w:val="005D7FE4"/>
    <w:rsid w:val="005E11A9"/>
    <w:rsid w:val="005E5309"/>
    <w:rsid w:val="005F0786"/>
    <w:rsid w:val="005F5365"/>
    <w:rsid w:val="0060213F"/>
    <w:rsid w:val="006133D2"/>
    <w:rsid w:val="006136E1"/>
    <w:rsid w:val="0061472F"/>
    <w:rsid w:val="006165B3"/>
    <w:rsid w:val="00617061"/>
    <w:rsid w:val="00623919"/>
    <w:rsid w:val="0062619F"/>
    <w:rsid w:val="00636345"/>
    <w:rsid w:val="00636578"/>
    <w:rsid w:val="00641C0B"/>
    <w:rsid w:val="00644B8D"/>
    <w:rsid w:val="006503AC"/>
    <w:rsid w:val="00657047"/>
    <w:rsid w:val="00662FCC"/>
    <w:rsid w:val="00672003"/>
    <w:rsid w:val="00686231"/>
    <w:rsid w:val="00693D62"/>
    <w:rsid w:val="006B28EE"/>
    <w:rsid w:val="006B5348"/>
    <w:rsid w:val="006C2F02"/>
    <w:rsid w:val="006C42CE"/>
    <w:rsid w:val="006C4BED"/>
    <w:rsid w:val="006C53D2"/>
    <w:rsid w:val="006D1971"/>
    <w:rsid w:val="006D3756"/>
    <w:rsid w:val="006D41A0"/>
    <w:rsid w:val="006D4B7F"/>
    <w:rsid w:val="006D6872"/>
    <w:rsid w:val="006E06EA"/>
    <w:rsid w:val="006E69DC"/>
    <w:rsid w:val="006F266D"/>
    <w:rsid w:val="006F3964"/>
    <w:rsid w:val="006F6D23"/>
    <w:rsid w:val="007037DD"/>
    <w:rsid w:val="00703B38"/>
    <w:rsid w:val="00710DC7"/>
    <w:rsid w:val="00717563"/>
    <w:rsid w:val="00725A8A"/>
    <w:rsid w:val="00735B24"/>
    <w:rsid w:val="00742AC4"/>
    <w:rsid w:val="00742BE4"/>
    <w:rsid w:val="00744A25"/>
    <w:rsid w:val="00750F54"/>
    <w:rsid w:val="0075789A"/>
    <w:rsid w:val="00761759"/>
    <w:rsid w:val="00771B1D"/>
    <w:rsid w:val="00772E71"/>
    <w:rsid w:val="00784E9C"/>
    <w:rsid w:val="00787D5F"/>
    <w:rsid w:val="007A1349"/>
    <w:rsid w:val="007A2DE6"/>
    <w:rsid w:val="007A3567"/>
    <w:rsid w:val="007A56B8"/>
    <w:rsid w:val="007C0378"/>
    <w:rsid w:val="007D0B55"/>
    <w:rsid w:val="007D2042"/>
    <w:rsid w:val="007D7B17"/>
    <w:rsid w:val="007E21C3"/>
    <w:rsid w:val="007E2AB6"/>
    <w:rsid w:val="007E4DC1"/>
    <w:rsid w:val="007F3913"/>
    <w:rsid w:val="00802693"/>
    <w:rsid w:val="00802C50"/>
    <w:rsid w:val="0080309D"/>
    <w:rsid w:val="00804233"/>
    <w:rsid w:val="00806B35"/>
    <w:rsid w:val="008200F1"/>
    <w:rsid w:val="00820E6A"/>
    <w:rsid w:val="00821F9F"/>
    <w:rsid w:val="00822E1A"/>
    <w:rsid w:val="00827C9C"/>
    <w:rsid w:val="00830795"/>
    <w:rsid w:val="00833F72"/>
    <w:rsid w:val="00840204"/>
    <w:rsid w:val="00851BB2"/>
    <w:rsid w:val="00855B7C"/>
    <w:rsid w:val="00856AC8"/>
    <w:rsid w:val="00857AE8"/>
    <w:rsid w:val="008621D6"/>
    <w:rsid w:val="00870B97"/>
    <w:rsid w:val="00876979"/>
    <w:rsid w:val="00884A21"/>
    <w:rsid w:val="00890A16"/>
    <w:rsid w:val="00891412"/>
    <w:rsid w:val="008949D1"/>
    <w:rsid w:val="008A0372"/>
    <w:rsid w:val="008A0D3A"/>
    <w:rsid w:val="008A483B"/>
    <w:rsid w:val="008A5870"/>
    <w:rsid w:val="008A7172"/>
    <w:rsid w:val="008D0608"/>
    <w:rsid w:val="008D6116"/>
    <w:rsid w:val="008D68C0"/>
    <w:rsid w:val="008E02E5"/>
    <w:rsid w:val="008E3156"/>
    <w:rsid w:val="008E5537"/>
    <w:rsid w:val="008E71BF"/>
    <w:rsid w:val="008E74ED"/>
    <w:rsid w:val="008F2494"/>
    <w:rsid w:val="008F54DF"/>
    <w:rsid w:val="008F5EC2"/>
    <w:rsid w:val="008F6B57"/>
    <w:rsid w:val="009070F5"/>
    <w:rsid w:val="009071A0"/>
    <w:rsid w:val="00911B5C"/>
    <w:rsid w:val="00914CC9"/>
    <w:rsid w:val="00915B19"/>
    <w:rsid w:val="00920456"/>
    <w:rsid w:val="009227FD"/>
    <w:rsid w:val="0093033C"/>
    <w:rsid w:val="009356C5"/>
    <w:rsid w:val="009553F5"/>
    <w:rsid w:val="00962521"/>
    <w:rsid w:val="009625BC"/>
    <w:rsid w:val="0096686E"/>
    <w:rsid w:val="0096767F"/>
    <w:rsid w:val="0097307E"/>
    <w:rsid w:val="00977116"/>
    <w:rsid w:val="00982FFF"/>
    <w:rsid w:val="009830DC"/>
    <w:rsid w:val="00992710"/>
    <w:rsid w:val="00993093"/>
    <w:rsid w:val="009A0DED"/>
    <w:rsid w:val="009A25D8"/>
    <w:rsid w:val="009A43F4"/>
    <w:rsid w:val="009A595E"/>
    <w:rsid w:val="009B2A2D"/>
    <w:rsid w:val="009B68AD"/>
    <w:rsid w:val="009B75E7"/>
    <w:rsid w:val="009C0DE1"/>
    <w:rsid w:val="009C1C01"/>
    <w:rsid w:val="009C27D7"/>
    <w:rsid w:val="009C6917"/>
    <w:rsid w:val="009C7B2F"/>
    <w:rsid w:val="009D13E9"/>
    <w:rsid w:val="009D17D3"/>
    <w:rsid w:val="009D4A5E"/>
    <w:rsid w:val="009E1C00"/>
    <w:rsid w:val="009E3171"/>
    <w:rsid w:val="009F47BC"/>
    <w:rsid w:val="00A00812"/>
    <w:rsid w:val="00A0253C"/>
    <w:rsid w:val="00A1281A"/>
    <w:rsid w:val="00A208AB"/>
    <w:rsid w:val="00A232BF"/>
    <w:rsid w:val="00A31BE9"/>
    <w:rsid w:val="00A34BDA"/>
    <w:rsid w:val="00A40923"/>
    <w:rsid w:val="00A41C4F"/>
    <w:rsid w:val="00A453B8"/>
    <w:rsid w:val="00A45D09"/>
    <w:rsid w:val="00A64F24"/>
    <w:rsid w:val="00A7238F"/>
    <w:rsid w:val="00A72A46"/>
    <w:rsid w:val="00A742C6"/>
    <w:rsid w:val="00A82D4B"/>
    <w:rsid w:val="00A867B2"/>
    <w:rsid w:val="00A86D20"/>
    <w:rsid w:val="00A87051"/>
    <w:rsid w:val="00A93472"/>
    <w:rsid w:val="00A93484"/>
    <w:rsid w:val="00AA2C0E"/>
    <w:rsid w:val="00AA31CC"/>
    <w:rsid w:val="00AA4606"/>
    <w:rsid w:val="00AB1DBC"/>
    <w:rsid w:val="00AC2D5C"/>
    <w:rsid w:val="00AD1621"/>
    <w:rsid w:val="00AD3815"/>
    <w:rsid w:val="00AD4C82"/>
    <w:rsid w:val="00AF18CA"/>
    <w:rsid w:val="00B010BD"/>
    <w:rsid w:val="00B02301"/>
    <w:rsid w:val="00B04CE7"/>
    <w:rsid w:val="00B04DC9"/>
    <w:rsid w:val="00B117D1"/>
    <w:rsid w:val="00B11FF4"/>
    <w:rsid w:val="00B17BA9"/>
    <w:rsid w:val="00B27130"/>
    <w:rsid w:val="00B3591D"/>
    <w:rsid w:val="00B36A4F"/>
    <w:rsid w:val="00B41A08"/>
    <w:rsid w:val="00B4372D"/>
    <w:rsid w:val="00B440EB"/>
    <w:rsid w:val="00B50B2D"/>
    <w:rsid w:val="00B51599"/>
    <w:rsid w:val="00B54BE3"/>
    <w:rsid w:val="00B564FE"/>
    <w:rsid w:val="00B61BD7"/>
    <w:rsid w:val="00B64D46"/>
    <w:rsid w:val="00B65355"/>
    <w:rsid w:val="00B65B18"/>
    <w:rsid w:val="00B65C9B"/>
    <w:rsid w:val="00B678DB"/>
    <w:rsid w:val="00B67F25"/>
    <w:rsid w:val="00B7226E"/>
    <w:rsid w:val="00B73ED2"/>
    <w:rsid w:val="00B74AE5"/>
    <w:rsid w:val="00B8004D"/>
    <w:rsid w:val="00B82B9D"/>
    <w:rsid w:val="00B82EAA"/>
    <w:rsid w:val="00B93121"/>
    <w:rsid w:val="00B95A97"/>
    <w:rsid w:val="00BA46A3"/>
    <w:rsid w:val="00BA5A4E"/>
    <w:rsid w:val="00BA61EE"/>
    <w:rsid w:val="00BB5CE5"/>
    <w:rsid w:val="00BC053C"/>
    <w:rsid w:val="00BD2512"/>
    <w:rsid w:val="00BE1C46"/>
    <w:rsid w:val="00BE2947"/>
    <w:rsid w:val="00BE6504"/>
    <w:rsid w:val="00BE79C0"/>
    <w:rsid w:val="00BF25FA"/>
    <w:rsid w:val="00BF365C"/>
    <w:rsid w:val="00BF7E18"/>
    <w:rsid w:val="00C021DB"/>
    <w:rsid w:val="00C02DBF"/>
    <w:rsid w:val="00C03332"/>
    <w:rsid w:val="00C047E9"/>
    <w:rsid w:val="00C143E8"/>
    <w:rsid w:val="00C144DF"/>
    <w:rsid w:val="00C15633"/>
    <w:rsid w:val="00C209EC"/>
    <w:rsid w:val="00C25519"/>
    <w:rsid w:val="00C354E3"/>
    <w:rsid w:val="00C44ECD"/>
    <w:rsid w:val="00C4697F"/>
    <w:rsid w:val="00C62CF6"/>
    <w:rsid w:val="00C63448"/>
    <w:rsid w:val="00C63F35"/>
    <w:rsid w:val="00C7037E"/>
    <w:rsid w:val="00C71889"/>
    <w:rsid w:val="00C71A74"/>
    <w:rsid w:val="00C7214E"/>
    <w:rsid w:val="00C73541"/>
    <w:rsid w:val="00C7648E"/>
    <w:rsid w:val="00C8165C"/>
    <w:rsid w:val="00C82D38"/>
    <w:rsid w:val="00C849ED"/>
    <w:rsid w:val="00C85D0E"/>
    <w:rsid w:val="00C86D30"/>
    <w:rsid w:val="00C92281"/>
    <w:rsid w:val="00C9472B"/>
    <w:rsid w:val="00C95A4E"/>
    <w:rsid w:val="00C97166"/>
    <w:rsid w:val="00CA0AAF"/>
    <w:rsid w:val="00CA3A68"/>
    <w:rsid w:val="00CA4B0E"/>
    <w:rsid w:val="00CB5EDC"/>
    <w:rsid w:val="00CC03EF"/>
    <w:rsid w:val="00CC4EF4"/>
    <w:rsid w:val="00CC7753"/>
    <w:rsid w:val="00CD097F"/>
    <w:rsid w:val="00CD3072"/>
    <w:rsid w:val="00CD7613"/>
    <w:rsid w:val="00CF6B79"/>
    <w:rsid w:val="00CF7042"/>
    <w:rsid w:val="00D00741"/>
    <w:rsid w:val="00D00F26"/>
    <w:rsid w:val="00D02CCC"/>
    <w:rsid w:val="00D064C9"/>
    <w:rsid w:val="00D06D89"/>
    <w:rsid w:val="00D10555"/>
    <w:rsid w:val="00D108FD"/>
    <w:rsid w:val="00D14DDD"/>
    <w:rsid w:val="00D20FF3"/>
    <w:rsid w:val="00D22684"/>
    <w:rsid w:val="00D305D7"/>
    <w:rsid w:val="00D33F64"/>
    <w:rsid w:val="00D405C2"/>
    <w:rsid w:val="00D4341A"/>
    <w:rsid w:val="00D449AE"/>
    <w:rsid w:val="00D46219"/>
    <w:rsid w:val="00D558BA"/>
    <w:rsid w:val="00D55BBF"/>
    <w:rsid w:val="00D5643B"/>
    <w:rsid w:val="00D5738A"/>
    <w:rsid w:val="00D62BA7"/>
    <w:rsid w:val="00D62C81"/>
    <w:rsid w:val="00D632AF"/>
    <w:rsid w:val="00D73CBF"/>
    <w:rsid w:val="00D771D4"/>
    <w:rsid w:val="00D779B3"/>
    <w:rsid w:val="00D80399"/>
    <w:rsid w:val="00D80C19"/>
    <w:rsid w:val="00D86301"/>
    <w:rsid w:val="00D9415C"/>
    <w:rsid w:val="00D96401"/>
    <w:rsid w:val="00D96FAA"/>
    <w:rsid w:val="00DA25A9"/>
    <w:rsid w:val="00DA6D3A"/>
    <w:rsid w:val="00DB3C97"/>
    <w:rsid w:val="00DB49C9"/>
    <w:rsid w:val="00DB4C88"/>
    <w:rsid w:val="00DB78AA"/>
    <w:rsid w:val="00DC1628"/>
    <w:rsid w:val="00DC413A"/>
    <w:rsid w:val="00DD0812"/>
    <w:rsid w:val="00DD3616"/>
    <w:rsid w:val="00DE0263"/>
    <w:rsid w:val="00DE0A50"/>
    <w:rsid w:val="00DE4D4D"/>
    <w:rsid w:val="00DF5346"/>
    <w:rsid w:val="00E01F26"/>
    <w:rsid w:val="00E0273C"/>
    <w:rsid w:val="00E07150"/>
    <w:rsid w:val="00E21250"/>
    <w:rsid w:val="00E371BB"/>
    <w:rsid w:val="00E414EA"/>
    <w:rsid w:val="00E42EB5"/>
    <w:rsid w:val="00E44771"/>
    <w:rsid w:val="00E47718"/>
    <w:rsid w:val="00E5450B"/>
    <w:rsid w:val="00E56B25"/>
    <w:rsid w:val="00E654E4"/>
    <w:rsid w:val="00E66AC3"/>
    <w:rsid w:val="00E714AD"/>
    <w:rsid w:val="00E73231"/>
    <w:rsid w:val="00E759B1"/>
    <w:rsid w:val="00E77EFF"/>
    <w:rsid w:val="00E868D4"/>
    <w:rsid w:val="00E96385"/>
    <w:rsid w:val="00E96AC1"/>
    <w:rsid w:val="00EA1998"/>
    <w:rsid w:val="00EA2BF9"/>
    <w:rsid w:val="00EA3E08"/>
    <w:rsid w:val="00EA521A"/>
    <w:rsid w:val="00EA5462"/>
    <w:rsid w:val="00EB160C"/>
    <w:rsid w:val="00EB4EA0"/>
    <w:rsid w:val="00EC6938"/>
    <w:rsid w:val="00ED07E0"/>
    <w:rsid w:val="00ED2990"/>
    <w:rsid w:val="00EE7D3C"/>
    <w:rsid w:val="00EF4628"/>
    <w:rsid w:val="00F056B4"/>
    <w:rsid w:val="00F06B43"/>
    <w:rsid w:val="00F246BB"/>
    <w:rsid w:val="00F253A0"/>
    <w:rsid w:val="00F25838"/>
    <w:rsid w:val="00F325AA"/>
    <w:rsid w:val="00F33C2A"/>
    <w:rsid w:val="00F35817"/>
    <w:rsid w:val="00F43BAF"/>
    <w:rsid w:val="00F46434"/>
    <w:rsid w:val="00F532FC"/>
    <w:rsid w:val="00F63A79"/>
    <w:rsid w:val="00F72662"/>
    <w:rsid w:val="00F73865"/>
    <w:rsid w:val="00F74980"/>
    <w:rsid w:val="00F83E23"/>
    <w:rsid w:val="00F86AD1"/>
    <w:rsid w:val="00F96AD2"/>
    <w:rsid w:val="00FA108D"/>
    <w:rsid w:val="00FB2A3E"/>
    <w:rsid w:val="00FB515C"/>
    <w:rsid w:val="00FB68C5"/>
    <w:rsid w:val="00FC12BF"/>
    <w:rsid w:val="00FC1CF1"/>
    <w:rsid w:val="00FC25B8"/>
    <w:rsid w:val="00FD212A"/>
    <w:rsid w:val="00FD4B3A"/>
    <w:rsid w:val="00FE2B93"/>
    <w:rsid w:val="00FE3FC6"/>
    <w:rsid w:val="00FE6EEA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DC"/>
    <w:rPr>
      <w:sz w:val="24"/>
      <w:szCs w:val="24"/>
    </w:rPr>
  </w:style>
  <w:style w:type="paragraph" w:styleId="Heading1">
    <w:name w:val="heading 1"/>
    <w:basedOn w:val="Normal"/>
    <w:next w:val="Normal"/>
    <w:qFormat/>
    <w:rsid w:val="008A48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A48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A48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48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A48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A483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A483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A483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A48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8A483B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8A483B"/>
    <w:rPr>
      <w:lang w:eastAsia="en-US"/>
    </w:rPr>
  </w:style>
  <w:style w:type="paragraph" w:styleId="Footer">
    <w:name w:val="footer"/>
    <w:basedOn w:val="Normal"/>
    <w:rsid w:val="009A43F4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8A483B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Citation">
    <w:name w:val="FooterCitation"/>
    <w:basedOn w:val="Footer"/>
    <w:rsid w:val="00E01F26"/>
    <w:pPr>
      <w:spacing w:before="20" w:line="240" w:lineRule="exact"/>
      <w:jc w:val="center"/>
    </w:pPr>
    <w:rPr>
      <w:i/>
    </w:rPr>
  </w:style>
  <w:style w:type="paragraph" w:customStyle="1" w:styleId="HeaderBoldEven">
    <w:name w:val="HeaderBoldEven"/>
    <w:basedOn w:val="Normal"/>
    <w:rsid w:val="008A483B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8A483B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8A483B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8A483B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8A483B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8A483B"/>
    <w:rPr>
      <w:lang w:eastAsia="en-US"/>
    </w:rPr>
  </w:style>
  <w:style w:type="paragraph" w:customStyle="1" w:styleId="NotesSectionBreak">
    <w:name w:val="NotesSectionBreak"/>
    <w:basedOn w:val="Normal"/>
    <w:next w:val="Normal"/>
    <w:rsid w:val="008A483B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8A483B"/>
    <w:rPr>
      <w:lang w:eastAsia="en-US"/>
    </w:rPr>
  </w:style>
  <w:style w:type="paragraph" w:customStyle="1" w:styleId="SchedSectionBreak">
    <w:name w:val="SchedSectionBreak"/>
    <w:basedOn w:val="Normal"/>
    <w:next w:val="Normal"/>
    <w:rsid w:val="008A483B"/>
    <w:rPr>
      <w:lang w:eastAsia="en-US"/>
    </w:rPr>
  </w:style>
  <w:style w:type="paragraph" w:customStyle="1" w:styleId="SigningPageBreak">
    <w:name w:val="SigningPageBreak"/>
    <w:basedOn w:val="Normal"/>
    <w:next w:val="Normal"/>
    <w:rsid w:val="008A483B"/>
    <w:rPr>
      <w:lang w:eastAsia="en-US"/>
    </w:rPr>
  </w:style>
  <w:style w:type="numbering" w:styleId="111111">
    <w:name w:val="Outline List 2"/>
    <w:basedOn w:val="NoList"/>
    <w:rsid w:val="008A483B"/>
    <w:pPr>
      <w:numPr>
        <w:numId w:val="1"/>
      </w:numPr>
    </w:pPr>
  </w:style>
  <w:style w:type="numbering" w:styleId="1ai">
    <w:name w:val="Outline List 1"/>
    <w:basedOn w:val="NoList"/>
    <w:rsid w:val="008A483B"/>
    <w:pPr>
      <w:numPr>
        <w:numId w:val="2"/>
      </w:numPr>
    </w:pPr>
  </w:style>
  <w:style w:type="numbering" w:styleId="ArticleSection">
    <w:name w:val="Outline List 3"/>
    <w:basedOn w:val="NoList"/>
    <w:rsid w:val="008A483B"/>
    <w:pPr>
      <w:numPr>
        <w:numId w:val="3"/>
      </w:numPr>
    </w:pPr>
  </w:style>
  <w:style w:type="paragraph" w:styleId="BlockText">
    <w:name w:val="Block Text"/>
    <w:basedOn w:val="Normal"/>
    <w:rsid w:val="008A483B"/>
    <w:pPr>
      <w:spacing w:after="120"/>
      <w:ind w:left="1440" w:right="1440"/>
    </w:pPr>
  </w:style>
  <w:style w:type="paragraph" w:styleId="BodyText">
    <w:name w:val="Body Text"/>
    <w:basedOn w:val="Normal"/>
    <w:rsid w:val="008A483B"/>
    <w:pPr>
      <w:spacing w:after="120"/>
    </w:pPr>
  </w:style>
  <w:style w:type="paragraph" w:styleId="BodyText2">
    <w:name w:val="Body Text 2"/>
    <w:basedOn w:val="Normal"/>
    <w:rsid w:val="008A483B"/>
    <w:pPr>
      <w:spacing w:after="120" w:line="480" w:lineRule="auto"/>
    </w:pPr>
  </w:style>
  <w:style w:type="paragraph" w:styleId="BodyText3">
    <w:name w:val="Body Text 3"/>
    <w:basedOn w:val="Normal"/>
    <w:rsid w:val="008A483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A483B"/>
    <w:pPr>
      <w:ind w:firstLine="210"/>
    </w:pPr>
  </w:style>
  <w:style w:type="paragraph" w:styleId="BodyTextIndent">
    <w:name w:val="Body Text Indent"/>
    <w:basedOn w:val="Normal"/>
    <w:rsid w:val="008A483B"/>
    <w:pPr>
      <w:spacing w:after="120"/>
      <w:ind w:left="283"/>
    </w:pPr>
  </w:style>
  <w:style w:type="paragraph" w:styleId="BodyTextFirstIndent2">
    <w:name w:val="Body Text First Indent 2"/>
    <w:basedOn w:val="BodyTextIndent"/>
    <w:rsid w:val="008A483B"/>
    <w:pPr>
      <w:ind w:firstLine="210"/>
    </w:pPr>
  </w:style>
  <w:style w:type="paragraph" w:styleId="BodyTextIndent2">
    <w:name w:val="Body Text Indent 2"/>
    <w:basedOn w:val="Normal"/>
    <w:rsid w:val="008A483B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A483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8A483B"/>
    <w:pPr>
      <w:ind w:left="4252"/>
    </w:pPr>
  </w:style>
  <w:style w:type="paragraph" w:styleId="Date">
    <w:name w:val="Date"/>
    <w:basedOn w:val="Normal"/>
    <w:next w:val="Normal"/>
    <w:rsid w:val="008A483B"/>
  </w:style>
  <w:style w:type="paragraph" w:styleId="E-mailSignature">
    <w:name w:val="E-mail Signature"/>
    <w:basedOn w:val="Normal"/>
    <w:rsid w:val="008A483B"/>
  </w:style>
  <w:style w:type="character" w:styleId="Emphasis">
    <w:name w:val="Emphasis"/>
    <w:basedOn w:val="DefaultParagraphFont"/>
    <w:qFormat/>
    <w:rsid w:val="008A483B"/>
    <w:rPr>
      <w:i/>
      <w:iCs/>
    </w:rPr>
  </w:style>
  <w:style w:type="paragraph" w:styleId="EnvelopeAddress">
    <w:name w:val="envelope address"/>
    <w:basedOn w:val="Normal"/>
    <w:rsid w:val="008A483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A483B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8A483B"/>
    <w:rPr>
      <w:color w:val="800080"/>
      <w:u w:val="single"/>
    </w:rPr>
  </w:style>
  <w:style w:type="paragraph" w:styleId="Header">
    <w:name w:val="header"/>
    <w:basedOn w:val="Normal"/>
    <w:rsid w:val="0061472F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8A483B"/>
  </w:style>
  <w:style w:type="paragraph" w:styleId="HTMLAddress">
    <w:name w:val="HTML Address"/>
    <w:basedOn w:val="Normal"/>
    <w:rsid w:val="008A483B"/>
    <w:rPr>
      <w:i/>
      <w:iCs/>
    </w:rPr>
  </w:style>
  <w:style w:type="character" w:styleId="HTMLCite">
    <w:name w:val="HTML Cite"/>
    <w:basedOn w:val="DefaultParagraphFont"/>
    <w:rsid w:val="008A483B"/>
    <w:rPr>
      <w:i/>
      <w:iCs/>
    </w:rPr>
  </w:style>
  <w:style w:type="character" w:styleId="HTMLCode">
    <w:name w:val="HTML Code"/>
    <w:basedOn w:val="DefaultParagraphFont"/>
    <w:rsid w:val="008A48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A483B"/>
    <w:rPr>
      <w:i/>
      <w:iCs/>
    </w:rPr>
  </w:style>
  <w:style w:type="character" w:styleId="HTMLKeyboard">
    <w:name w:val="HTML Keyboard"/>
    <w:basedOn w:val="DefaultParagraphFont"/>
    <w:rsid w:val="008A483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8A483B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8A483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A483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A483B"/>
    <w:rPr>
      <w:i/>
      <w:iCs/>
    </w:rPr>
  </w:style>
  <w:style w:type="character" w:styleId="Hyperlink">
    <w:name w:val="Hyperlink"/>
    <w:basedOn w:val="DefaultParagraphFont"/>
    <w:rsid w:val="008A483B"/>
    <w:rPr>
      <w:color w:val="0000FF"/>
      <w:u w:val="single"/>
    </w:rPr>
  </w:style>
  <w:style w:type="character" w:styleId="LineNumber">
    <w:name w:val="line number"/>
    <w:basedOn w:val="DefaultParagraphFont"/>
    <w:rsid w:val="008A483B"/>
  </w:style>
  <w:style w:type="paragraph" w:styleId="List">
    <w:name w:val="List"/>
    <w:basedOn w:val="Normal"/>
    <w:rsid w:val="008A483B"/>
    <w:pPr>
      <w:ind w:left="283" w:hanging="283"/>
    </w:pPr>
  </w:style>
  <w:style w:type="paragraph" w:styleId="List2">
    <w:name w:val="List 2"/>
    <w:basedOn w:val="Normal"/>
    <w:rsid w:val="008A483B"/>
    <w:pPr>
      <w:ind w:left="566" w:hanging="283"/>
    </w:pPr>
  </w:style>
  <w:style w:type="paragraph" w:styleId="List3">
    <w:name w:val="List 3"/>
    <w:basedOn w:val="Normal"/>
    <w:rsid w:val="008A483B"/>
    <w:pPr>
      <w:ind w:left="849" w:hanging="283"/>
    </w:pPr>
  </w:style>
  <w:style w:type="paragraph" w:styleId="List4">
    <w:name w:val="List 4"/>
    <w:basedOn w:val="Normal"/>
    <w:rsid w:val="008A483B"/>
    <w:pPr>
      <w:ind w:left="1132" w:hanging="283"/>
    </w:pPr>
  </w:style>
  <w:style w:type="paragraph" w:styleId="List5">
    <w:name w:val="List 5"/>
    <w:basedOn w:val="Normal"/>
    <w:rsid w:val="008A483B"/>
    <w:pPr>
      <w:ind w:left="1415" w:hanging="283"/>
    </w:pPr>
  </w:style>
  <w:style w:type="paragraph" w:styleId="ListBullet">
    <w:name w:val="List Bullet"/>
    <w:basedOn w:val="Normal"/>
    <w:rsid w:val="008A483B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rsid w:val="008A483B"/>
    <w:pPr>
      <w:tabs>
        <w:tab w:val="num" w:pos="360"/>
      </w:tabs>
    </w:pPr>
  </w:style>
  <w:style w:type="paragraph" w:styleId="ListBullet3">
    <w:name w:val="List Bullet 3"/>
    <w:basedOn w:val="Normal"/>
    <w:rsid w:val="008A483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rsid w:val="008A483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rsid w:val="008A483B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8A483B"/>
    <w:pPr>
      <w:spacing w:after="120"/>
      <w:ind w:left="283"/>
    </w:pPr>
  </w:style>
  <w:style w:type="paragraph" w:styleId="ListContinue2">
    <w:name w:val="List Continue 2"/>
    <w:basedOn w:val="Normal"/>
    <w:rsid w:val="008A483B"/>
    <w:pPr>
      <w:spacing w:after="120"/>
      <w:ind w:left="566"/>
    </w:pPr>
  </w:style>
  <w:style w:type="paragraph" w:styleId="ListContinue3">
    <w:name w:val="List Continue 3"/>
    <w:basedOn w:val="Normal"/>
    <w:rsid w:val="008A483B"/>
    <w:pPr>
      <w:spacing w:after="120"/>
      <w:ind w:left="849"/>
    </w:pPr>
  </w:style>
  <w:style w:type="paragraph" w:styleId="ListContinue4">
    <w:name w:val="List Continue 4"/>
    <w:basedOn w:val="Normal"/>
    <w:rsid w:val="008A483B"/>
    <w:pPr>
      <w:spacing w:after="120"/>
      <w:ind w:left="1132"/>
    </w:pPr>
  </w:style>
  <w:style w:type="paragraph" w:styleId="ListContinue5">
    <w:name w:val="List Continue 5"/>
    <w:basedOn w:val="Normal"/>
    <w:rsid w:val="008A483B"/>
    <w:pPr>
      <w:spacing w:after="120"/>
      <w:ind w:left="1415"/>
    </w:pPr>
  </w:style>
  <w:style w:type="paragraph" w:styleId="ListNumber">
    <w:name w:val="List Number"/>
    <w:basedOn w:val="Normal"/>
    <w:rsid w:val="008A483B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8A483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A483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A483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A483B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8A48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A483B"/>
  </w:style>
  <w:style w:type="paragraph" w:styleId="NormalIndent">
    <w:name w:val="Normal Indent"/>
    <w:basedOn w:val="Normal"/>
    <w:rsid w:val="008A483B"/>
    <w:pPr>
      <w:ind w:left="720"/>
    </w:pPr>
  </w:style>
  <w:style w:type="paragraph" w:styleId="NoteHeading">
    <w:name w:val="Note Heading"/>
    <w:aliases w:val="HN"/>
    <w:basedOn w:val="Normal"/>
    <w:next w:val="Normal"/>
    <w:rsid w:val="00BA46A3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D07E0"/>
    <w:rPr>
      <w:rFonts w:ascii="Arial" w:hAnsi="Arial"/>
      <w:sz w:val="22"/>
      <w:szCs w:val="22"/>
    </w:rPr>
  </w:style>
  <w:style w:type="paragraph" w:styleId="PlainText">
    <w:name w:val="Plain Text"/>
    <w:basedOn w:val="Normal"/>
    <w:rsid w:val="008A483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8A483B"/>
  </w:style>
  <w:style w:type="paragraph" w:styleId="Signature">
    <w:name w:val="Signature"/>
    <w:basedOn w:val="Normal"/>
    <w:rsid w:val="008A483B"/>
    <w:pPr>
      <w:ind w:left="4252"/>
    </w:pPr>
  </w:style>
  <w:style w:type="character" w:styleId="Strong">
    <w:name w:val="Strong"/>
    <w:basedOn w:val="DefaultParagraphFont"/>
    <w:qFormat/>
    <w:rsid w:val="008A483B"/>
    <w:rPr>
      <w:b/>
      <w:bCs/>
    </w:rPr>
  </w:style>
  <w:style w:type="paragraph" w:styleId="Subtitle">
    <w:name w:val="Subtitle"/>
    <w:basedOn w:val="Normal"/>
    <w:qFormat/>
    <w:rsid w:val="008A483B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8A483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A483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A48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A483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A483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A483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A483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A483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A483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A483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A483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483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A483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A483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A483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A483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A483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162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1">
    <w:name w:val="Table Grid 1"/>
    <w:basedOn w:val="TableNormal"/>
    <w:rsid w:val="008A483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A483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A483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A483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A483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A483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A483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A483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A483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A483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A483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483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483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A483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A483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A483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A483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A483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A483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A483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A483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A483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A4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8A48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A483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A483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8A483B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8A483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8A483B"/>
  </w:style>
  <w:style w:type="character" w:customStyle="1" w:styleId="CharAmSchText">
    <w:name w:val="CharAmSchText"/>
    <w:basedOn w:val="DefaultParagraphFont"/>
    <w:rsid w:val="008A483B"/>
  </w:style>
  <w:style w:type="character" w:customStyle="1" w:styleId="CharChapNo">
    <w:name w:val="CharChapNo"/>
    <w:basedOn w:val="DefaultParagraphFont"/>
    <w:rsid w:val="008A483B"/>
  </w:style>
  <w:style w:type="character" w:customStyle="1" w:styleId="CharChapText">
    <w:name w:val="CharChapText"/>
    <w:basedOn w:val="DefaultParagraphFont"/>
    <w:rsid w:val="008A483B"/>
  </w:style>
  <w:style w:type="character" w:customStyle="1" w:styleId="CharDivNo">
    <w:name w:val="CharDivNo"/>
    <w:basedOn w:val="DefaultParagraphFont"/>
    <w:rsid w:val="008A483B"/>
  </w:style>
  <w:style w:type="character" w:customStyle="1" w:styleId="CharDivText">
    <w:name w:val="CharDivText"/>
    <w:basedOn w:val="DefaultParagraphFont"/>
    <w:rsid w:val="008A483B"/>
  </w:style>
  <w:style w:type="character" w:customStyle="1" w:styleId="CharPartNo">
    <w:name w:val="CharPartNo"/>
    <w:basedOn w:val="DefaultParagraphFont"/>
    <w:rsid w:val="008A483B"/>
  </w:style>
  <w:style w:type="character" w:customStyle="1" w:styleId="CharPartText">
    <w:name w:val="CharPartText"/>
    <w:basedOn w:val="DefaultParagraphFont"/>
    <w:rsid w:val="008A483B"/>
  </w:style>
  <w:style w:type="character" w:customStyle="1" w:styleId="CharSchPTNo">
    <w:name w:val="CharSchPTNo"/>
    <w:basedOn w:val="DefaultParagraphFont"/>
    <w:rsid w:val="008A483B"/>
  </w:style>
  <w:style w:type="character" w:customStyle="1" w:styleId="CharSchPTText">
    <w:name w:val="CharSchPTText"/>
    <w:basedOn w:val="DefaultParagraphFont"/>
    <w:rsid w:val="008A483B"/>
  </w:style>
  <w:style w:type="character" w:customStyle="1" w:styleId="CharSectno">
    <w:name w:val="CharSectno"/>
    <w:basedOn w:val="DefaultParagraphFont"/>
    <w:rsid w:val="008A483B"/>
  </w:style>
  <w:style w:type="character" w:customStyle="1" w:styleId="CharENotesHeading">
    <w:name w:val="CharENotesHeading"/>
    <w:basedOn w:val="DefaultParagraphFont"/>
    <w:rsid w:val="008A483B"/>
  </w:style>
  <w:style w:type="character" w:customStyle="1" w:styleId="Citation">
    <w:name w:val="Citation"/>
    <w:basedOn w:val="DefaultParagraphFont"/>
    <w:rsid w:val="008A483B"/>
  </w:style>
  <w:style w:type="paragraph" w:customStyle="1" w:styleId="A1">
    <w:name w:val="A1"/>
    <w:aliases w:val="Heading Amendment,1. Amendment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8A483B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Normal"/>
    <w:rsid w:val="008A483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8A483B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8A483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8A483B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8A483B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8A483B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8A483B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8A483B"/>
    <w:pPr>
      <w:keepNext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8A483B"/>
    <w:pPr>
      <w:keepNext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Normal"/>
    <w:rsid w:val="008A483B"/>
    <w:pPr>
      <w:keepNext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8A483B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8A483B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8A483B"/>
    <w:pPr>
      <w:keepNext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8A483B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8A483B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8A483B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8A483B"/>
    <w:rPr>
      <w:vertAlign w:val="superscript"/>
    </w:rPr>
  </w:style>
  <w:style w:type="paragraph" w:styleId="EndnoteText">
    <w:name w:val="endnote text"/>
    <w:basedOn w:val="Normal"/>
    <w:rsid w:val="008A483B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8A483B"/>
    <w:pPr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8A483B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8A483B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8A483B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8A483B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8E5537"/>
    <w:pPr>
      <w:keepNext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8A483B"/>
  </w:style>
  <w:style w:type="paragraph" w:customStyle="1" w:styleId="HE">
    <w:name w:val="HE"/>
    <w:aliases w:val="Example heading"/>
    <w:basedOn w:val="Normal"/>
    <w:next w:val="ExampleBody"/>
    <w:rsid w:val="008A483B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Normal"/>
    <w:rsid w:val="008A483B"/>
    <w:pPr>
      <w:keepNext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Normal"/>
    <w:rsid w:val="008A483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8A483B"/>
    <w:pPr>
      <w:keepNext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8A483B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8A483B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8A483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8A483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8A483B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8A483B"/>
    <w:pPr>
      <w:keepNext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8A483B"/>
    <w:pPr>
      <w:keepNext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8A483B"/>
    <w:pPr>
      <w:keepNext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8A483B"/>
    <w:pPr>
      <w:keepNext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8A483B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rsid w:val="008A483B"/>
    <w:pPr>
      <w:spacing w:before="120" w:line="220" w:lineRule="exact"/>
      <w:ind w:left="964"/>
      <w:jc w:val="both"/>
    </w:pPr>
    <w:rPr>
      <w:szCs w:val="24"/>
    </w:rPr>
  </w:style>
  <w:style w:type="paragraph" w:customStyle="1" w:styleId="NoteEnd">
    <w:name w:val="Note End"/>
    <w:basedOn w:val="Normal"/>
    <w:rsid w:val="008A483B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8A483B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8A483B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8A483B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8A483B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8A483B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8A483B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8A483B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Normal"/>
    <w:rsid w:val="00533AB5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533AB5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8A483B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8A483B"/>
    <w:pPr>
      <w:keepNext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8A483B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8A483B"/>
    <w:pPr>
      <w:keepNext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8A483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8A483B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8A483B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8A483B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8A483B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8A483B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8A483B"/>
    <w:pPr>
      <w:keepNext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8A483B"/>
    <w:pPr>
      <w:keepNext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8A483B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8A483B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8A483B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8A483B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8A483B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8A483B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8A483B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8A483B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8A483B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DC413A"/>
    <w:pPr>
      <w:keepNext/>
      <w:keepLines/>
      <w:pageBreakBefore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8A483B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A00812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A93472"/>
    <w:pPr>
      <w:tabs>
        <w:tab w:val="right" w:pos="408"/>
      </w:tabs>
      <w:spacing w:after="60" w:line="240" w:lineRule="exact"/>
      <w:ind w:left="533" w:hanging="533"/>
    </w:pPr>
    <w:rPr>
      <w:sz w:val="22"/>
      <w:lang w:eastAsia="en-US"/>
    </w:rPr>
  </w:style>
  <w:style w:type="paragraph" w:customStyle="1" w:styleId="TableP2i">
    <w:name w:val="TableP2(i)"/>
    <w:basedOn w:val="Normal"/>
    <w:rsid w:val="00A93472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8A483B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8A483B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8A483B"/>
    <w:pPr>
      <w:keepNext/>
      <w:tabs>
        <w:tab w:val="right" w:pos="827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8A483B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8A483B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8A483B"/>
    <w:pPr>
      <w:keepNext/>
      <w:tabs>
        <w:tab w:val="right" w:pos="827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uiPriority w:val="39"/>
    <w:rsid w:val="008A483B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noProof/>
      <w:sz w:val="20"/>
      <w:lang w:eastAsia="en-US"/>
    </w:rPr>
  </w:style>
  <w:style w:type="paragraph" w:styleId="TOC6">
    <w:name w:val="toc 6"/>
    <w:basedOn w:val="Normal"/>
    <w:next w:val="Normal"/>
    <w:uiPriority w:val="39"/>
    <w:rsid w:val="008A483B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8A483B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8A483B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8A483B"/>
    <w:pPr>
      <w:tabs>
        <w:tab w:val="right" w:pos="827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8A483B"/>
    <w:pPr>
      <w:keepNext/>
    </w:pPr>
  </w:style>
  <w:style w:type="paragraph" w:customStyle="1" w:styleId="ZA3">
    <w:name w:val="ZA3"/>
    <w:basedOn w:val="A3"/>
    <w:rsid w:val="008A483B"/>
    <w:pPr>
      <w:keepNext/>
    </w:pPr>
  </w:style>
  <w:style w:type="paragraph" w:customStyle="1" w:styleId="ZA4">
    <w:name w:val="ZA4"/>
    <w:basedOn w:val="Normal"/>
    <w:next w:val="A4"/>
    <w:rsid w:val="008A483B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8A483B"/>
    <w:pPr>
      <w:keepNext/>
    </w:pPr>
  </w:style>
  <w:style w:type="paragraph" w:customStyle="1" w:styleId="Zdefinition">
    <w:name w:val="Zdefinition"/>
    <w:basedOn w:val="definition"/>
    <w:rsid w:val="008A483B"/>
    <w:pPr>
      <w:keepNext/>
    </w:pPr>
  </w:style>
  <w:style w:type="paragraph" w:customStyle="1" w:styleId="ZDP1">
    <w:name w:val="ZDP1"/>
    <w:basedOn w:val="DP1a"/>
    <w:rsid w:val="008A483B"/>
    <w:pPr>
      <w:keepNext/>
    </w:pPr>
  </w:style>
  <w:style w:type="paragraph" w:customStyle="1" w:styleId="ZExampleBody">
    <w:name w:val="ZExample Body"/>
    <w:basedOn w:val="ExampleBody"/>
    <w:rsid w:val="008A483B"/>
    <w:pPr>
      <w:keepNext/>
    </w:pPr>
  </w:style>
  <w:style w:type="paragraph" w:customStyle="1" w:styleId="ZNote">
    <w:name w:val="ZNote"/>
    <w:basedOn w:val="Normal"/>
    <w:rsid w:val="008A483B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8A483B"/>
    <w:pPr>
      <w:keepNext/>
    </w:pPr>
  </w:style>
  <w:style w:type="paragraph" w:customStyle="1" w:styleId="ZP2">
    <w:name w:val="ZP2"/>
    <w:basedOn w:val="P2"/>
    <w:rsid w:val="008A483B"/>
    <w:pPr>
      <w:keepNext/>
    </w:pPr>
  </w:style>
  <w:style w:type="paragraph" w:customStyle="1" w:styleId="ZP3">
    <w:name w:val="ZP3"/>
    <w:basedOn w:val="P3"/>
    <w:rsid w:val="008A483B"/>
    <w:pPr>
      <w:keepNext/>
    </w:pPr>
  </w:style>
  <w:style w:type="paragraph" w:customStyle="1" w:styleId="ZR1">
    <w:name w:val="ZR1"/>
    <w:basedOn w:val="R1"/>
    <w:rsid w:val="008A483B"/>
    <w:pPr>
      <w:keepNext/>
    </w:pPr>
  </w:style>
  <w:style w:type="paragraph" w:customStyle="1" w:styleId="ZR2">
    <w:name w:val="ZR2"/>
    <w:basedOn w:val="R2"/>
    <w:rsid w:val="008A483B"/>
    <w:pPr>
      <w:keepNext/>
    </w:pPr>
  </w:style>
  <w:style w:type="paragraph" w:customStyle="1" w:styleId="ZRcN">
    <w:name w:val="ZRcN"/>
    <w:basedOn w:val="Rc"/>
    <w:rsid w:val="008A483B"/>
    <w:pPr>
      <w:keepNext/>
    </w:pPr>
  </w:style>
  <w:style w:type="paragraph" w:customStyle="1" w:styleId="ZRx2">
    <w:name w:val="ZRx(2)"/>
    <w:basedOn w:val="Rx2"/>
    <w:rsid w:val="008A483B"/>
    <w:pPr>
      <w:keepNext/>
    </w:pPr>
  </w:style>
  <w:style w:type="paragraph" w:customStyle="1" w:styleId="ZRxA">
    <w:name w:val="ZRx(A)"/>
    <w:basedOn w:val="RxA0"/>
    <w:rsid w:val="008A483B"/>
    <w:pPr>
      <w:keepNext/>
    </w:pPr>
  </w:style>
  <w:style w:type="paragraph" w:customStyle="1" w:styleId="ZRxa0">
    <w:name w:val="ZRx(a)"/>
    <w:basedOn w:val="Rxa"/>
    <w:rsid w:val="008A483B"/>
    <w:pPr>
      <w:keepNext/>
    </w:pPr>
  </w:style>
  <w:style w:type="paragraph" w:customStyle="1" w:styleId="ZRxi">
    <w:name w:val="ZRx(i)"/>
    <w:basedOn w:val="Rxi"/>
    <w:rsid w:val="008A483B"/>
    <w:pPr>
      <w:keepNext/>
    </w:pPr>
  </w:style>
  <w:style w:type="paragraph" w:customStyle="1" w:styleId="ZRx123">
    <w:name w:val="ZRx.123"/>
    <w:basedOn w:val="Rx123"/>
    <w:rsid w:val="008A483B"/>
    <w:pPr>
      <w:keepNext/>
    </w:pPr>
  </w:style>
  <w:style w:type="paragraph" w:customStyle="1" w:styleId="TableOfAmend">
    <w:name w:val="TableOfAmend"/>
    <w:basedOn w:val="Normal"/>
    <w:rsid w:val="006C42CE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rsid w:val="00DA6D3A"/>
  </w:style>
  <w:style w:type="paragraph" w:customStyle="1" w:styleId="TableOfAmend0pt">
    <w:name w:val="TableOfAmend0pt"/>
    <w:basedOn w:val="TableOfAmend"/>
    <w:rsid w:val="006C42CE"/>
    <w:pPr>
      <w:spacing w:before="0"/>
    </w:pPr>
  </w:style>
  <w:style w:type="paragraph" w:customStyle="1" w:styleId="TableOfAmendHead">
    <w:name w:val="TableOfAmendHead"/>
    <w:basedOn w:val="TableOfAmend"/>
    <w:next w:val="Normal"/>
    <w:rsid w:val="006C42CE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B61BD7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8A483B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8A483B"/>
    <w:pPr>
      <w:ind w:left="0"/>
      <w:jc w:val="both"/>
    </w:pPr>
  </w:style>
  <w:style w:type="paragraph" w:customStyle="1" w:styleId="RegNotesa">
    <w:name w:val="RegNotes(a)"/>
    <w:basedOn w:val="Normal"/>
    <w:rsid w:val="008A483B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8A483B"/>
    <w:pPr>
      <w:ind w:left="850"/>
    </w:pPr>
  </w:style>
  <w:style w:type="paragraph" w:customStyle="1" w:styleId="FooterText">
    <w:name w:val="Footer Text"/>
    <w:basedOn w:val="Normal"/>
    <w:rsid w:val="008A483B"/>
    <w:rPr>
      <w:sz w:val="20"/>
    </w:rPr>
  </w:style>
  <w:style w:type="paragraph" w:customStyle="1" w:styleId="EndNotes">
    <w:name w:val="EndNotes"/>
    <w:basedOn w:val="Normal"/>
    <w:rsid w:val="008A483B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8A483B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8A483B"/>
    <w:pPr>
      <w:spacing w:before="240"/>
    </w:pPr>
  </w:style>
  <w:style w:type="paragraph" w:customStyle="1" w:styleId="CoverAct">
    <w:name w:val="CoverAct"/>
    <w:basedOn w:val="Normal"/>
    <w:next w:val="CoverUpdate"/>
    <w:rsid w:val="008A483B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8A483B"/>
    <w:pPr>
      <w:spacing w:before="240" w:after="240"/>
    </w:pPr>
    <w:rPr>
      <w:rFonts w:ascii="Arial" w:hAnsi="Arial"/>
    </w:rPr>
  </w:style>
  <w:style w:type="paragraph" w:customStyle="1" w:styleId="CoverStatRule">
    <w:name w:val="CoverStatRule"/>
    <w:basedOn w:val="Normal"/>
    <w:next w:val="Normal"/>
    <w:rsid w:val="008A483B"/>
    <w:pPr>
      <w:spacing w:before="240"/>
    </w:pPr>
    <w:rPr>
      <w:rFonts w:ascii="Arial" w:hAnsi="Arial"/>
      <w:b/>
    </w:rPr>
  </w:style>
  <w:style w:type="paragraph" w:customStyle="1" w:styleId="ContentsStatRule">
    <w:name w:val="ContentsStatRule"/>
    <w:basedOn w:val="Normal"/>
    <w:rsid w:val="008A483B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8A483B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8A483B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8A483B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8A483B"/>
    <w:rPr>
      <w:sz w:val="16"/>
      <w:szCs w:val="20"/>
    </w:rPr>
  </w:style>
  <w:style w:type="paragraph" w:styleId="Revision">
    <w:name w:val="Revision"/>
    <w:hidden/>
    <w:uiPriority w:val="99"/>
    <w:semiHidden/>
    <w:rsid w:val="00E44771"/>
    <w:rPr>
      <w:sz w:val="24"/>
      <w:szCs w:val="24"/>
    </w:rPr>
  </w:style>
  <w:style w:type="paragraph" w:customStyle="1" w:styleId="Tablepara">
    <w:name w:val="Table para"/>
    <w:basedOn w:val="Normal"/>
    <w:rsid w:val="008A483B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8A483B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TableTextpa">
    <w:name w:val="TableText p(a)"/>
    <w:basedOn w:val="TableText"/>
    <w:rsid w:val="008A483B"/>
    <w:pPr>
      <w:spacing w:after="0"/>
      <w:ind w:left="318" w:hanging="318"/>
    </w:pPr>
    <w:rPr>
      <w:sz w:val="18"/>
      <w:szCs w:val="20"/>
      <w:lang w:eastAsia="en-AU"/>
    </w:rPr>
  </w:style>
  <w:style w:type="character" w:customStyle="1" w:styleId="CharSchText">
    <w:name w:val="CharSchText"/>
    <w:basedOn w:val="DefaultParagraphFont"/>
    <w:rsid w:val="008A483B"/>
  </w:style>
  <w:style w:type="paragraph" w:customStyle="1" w:styleId="TableENotesHeadingAmdt">
    <w:name w:val="TableENotesHeadingAmdt"/>
    <w:basedOn w:val="Normal"/>
    <w:rsid w:val="008A483B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8A483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A483B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8A48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483B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8A483B"/>
    <w:rPr>
      <w:b/>
      <w:bCs/>
    </w:rPr>
  </w:style>
  <w:style w:type="paragraph" w:styleId="DocumentMap">
    <w:name w:val="Document Map"/>
    <w:basedOn w:val="Normal"/>
    <w:rsid w:val="008A483B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rsid w:val="008A483B"/>
    <w:pPr>
      <w:ind w:left="240" w:hanging="240"/>
    </w:pPr>
  </w:style>
  <w:style w:type="paragraph" w:styleId="Index2">
    <w:name w:val="index 2"/>
    <w:basedOn w:val="Normal"/>
    <w:next w:val="Normal"/>
    <w:rsid w:val="008A483B"/>
    <w:pPr>
      <w:ind w:left="480" w:hanging="240"/>
    </w:pPr>
  </w:style>
  <w:style w:type="paragraph" w:styleId="Index3">
    <w:name w:val="index 3"/>
    <w:basedOn w:val="Normal"/>
    <w:next w:val="Normal"/>
    <w:rsid w:val="008A483B"/>
    <w:pPr>
      <w:ind w:left="720" w:hanging="240"/>
    </w:pPr>
  </w:style>
  <w:style w:type="paragraph" w:styleId="Index4">
    <w:name w:val="index 4"/>
    <w:basedOn w:val="Normal"/>
    <w:next w:val="Normal"/>
    <w:rsid w:val="008A483B"/>
    <w:pPr>
      <w:ind w:left="960" w:hanging="240"/>
    </w:pPr>
  </w:style>
  <w:style w:type="paragraph" w:styleId="Index5">
    <w:name w:val="index 5"/>
    <w:basedOn w:val="Normal"/>
    <w:next w:val="Normal"/>
    <w:rsid w:val="008A483B"/>
    <w:pPr>
      <w:ind w:left="1200" w:hanging="240"/>
    </w:pPr>
  </w:style>
  <w:style w:type="paragraph" w:styleId="Index6">
    <w:name w:val="index 6"/>
    <w:basedOn w:val="Normal"/>
    <w:next w:val="Normal"/>
    <w:rsid w:val="008A483B"/>
    <w:pPr>
      <w:ind w:left="1440" w:hanging="240"/>
    </w:pPr>
  </w:style>
  <w:style w:type="paragraph" w:styleId="Index7">
    <w:name w:val="index 7"/>
    <w:basedOn w:val="Normal"/>
    <w:next w:val="Normal"/>
    <w:rsid w:val="008A483B"/>
    <w:pPr>
      <w:ind w:left="1680" w:hanging="240"/>
    </w:pPr>
  </w:style>
  <w:style w:type="paragraph" w:styleId="Index8">
    <w:name w:val="index 8"/>
    <w:basedOn w:val="Normal"/>
    <w:next w:val="Normal"/>
    <w:rsid w:val="008A483B"/>
    <w:pPr>
      <w:ind w:left="1920" w:hanging="240"/>
    </w:pPr>
  </w:style>
  <w:style w:type="paragraph" w:styleId="Index9">
    <w:name w:val="index 9"/>
    <w:basedOn w:val="Normal"/>
    <w:next w:val="Normal"/>
    <w:rsid w:val="008A483B"/>
    <w:pPr>
      <w:ind w:left="2160" w:hanging="240"/>
    </w:pPr>
  </w:style>
  <w:style w:type="paragraph" w:styleId="IndexHeading">
    <w:name w:val="index heading"/>
    <w:basedOn w:val="Normal"/>
    <w:next w:val="Index1"/>
    <w:rsid w:val="008A483B"/>
    <w:rPr>
      <w:rFonts w:ascii="Arial" w:hAnsi="Arial" w:cs="Arial"/>
      <w:b/>
      <w:bCs/>
    </w:rPr>
  </w:style>
  <w:style w:type="paragraph" w:styleId="MacroText">
    <w:name w:val="macro"/>
    <w:rsid w:val="008A48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8A483B"/>
    <w:pPr>
      <w:ind w:left="240" w:hanging="240"/>
    </w:pPr>
  </w:style>
  <w:style w:type="paragraph" w:styleId="TableofFigures">
    <w:name w:val="table of figures"/>
    <w:basedOn w:val="Normal"/>
    <w:next w:val="Normal"/>
    <w:rsid w:val="008A483B"/>
    <w:pPr>
      <w:ind w:left="480" w:hanging="480"/>
    </w:pPr>
  </w:style>
  <w:style w:type="paragraph" w:styleId="TOAHeading">
    <w:name w:val="toa heading"/>
    <w:basedOn w:val="Normal"/>
    <w:next w:val="Normal"/>
    <w:rsid w:val="008A483B"/>
    <w:pPr>
      <w:spacing w:before="120"/>
    </w:pPr>
    <w:rPr>
      <w:rFonts w:ascii="Arial" w:hAnsi="Arial" w:cs="Arial"/>
      <w:b/>
      <w:bCs/>
    </w:rPr>
  </w:style>
  <w:style w:type="paragraph" w:customStyle="1" w:styleId="top1">
    <w:name w:val="top1"/>
    <w:basedOn w:val="Normal"/>
    <w:rsid w:val="008A483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8A483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8A483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ScheduleDivision">
    <w:name w:val="Schedule Division"/>
    <w:basedOn w:val="Normal"/>
    <w:next w:val="ScheduleHeading"/>
    <w:rsid w:val="008A483B"/>
    <w:pPr>
      <w:keepNext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notetext">
    <w:name w:val="note(text)"/>
    <w:aliases w:val="n"/>
    <w:rsid w:val="008A483B"/>
    <w:pPr>
      <w:spacing w:before="122" w:line="198" w:lineRule="exact"/>
      <w:ind w:left="1985" w:hanging="851"/>
    </w:pPr>
    <w:rPr>
      <w:sz w:val="18"/>
      <w:szCs w:val="24"/>
    </w:rPr>
  </w:style>
  <w:style w:type="paragraph" w:customStyle="1" w:styleId="FooterPageOdd">
    <w:name w:val="FooterPageOdd"/>
    <w:basedOn w:val="Footer"/>
    <w:rsid w:val="00D62BA7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FooterPageEven">
    <w:name w:val="FooterPageEven"/>
    <w:basedOn w:val="FooterPageOdd"/>
    <w:rsid w:val="00D62BA7"/>
    <w:pPr>
      <w:jc w:val="left"/>
    </w:pPr>
  </w:style>
  <w:style w:type="paragraph" w:customStyle="1" w:styleId="Footerinfo">
    <w:name w:val="Footerinfo"/>
    <w:basedOn w:val="Footer"/>
    <w:rsid w:val="008A483B"/>
    <w:pPr>
      <w:tabs>
        <w:tab w:val="clear" w:pos="4153"/>
        <w:tab w:val="clear" w:pos="8306"/>
        <w:tab w:val="center" w:pos="3600"/>
        <w:tab w:val="right" w:pos="7201"/>
      </w:tabs>
    </w:pPr>
    <w:rPr>
      <w:sz w:val="12"/>
      <w:szCs w:val="18"/>
      <w:lang w:eastAsia="en-US"/>
    </w:rPr>
  </w:style>
  <w:style w:type="paragraph" w:customStyle="1" w:styleId="TableOfStatRules">
    <w:name w:val="TableOfStatRules"/>
    <w:basedOn w:val="Normal"/>
    <w:rsid w:val="006C42CE"/>
    <w:pPr>
      <w:spacing w:before="60" w:line="200" w:lineRule="exact"/>
    </w:pPr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footer" Target="footer1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header" Target="header10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87CF1831231499AB06102660F5006" ma:contentTypeVersion="0" ma:contentTypeDescription="Create a new document." ma:contentTypeScope="" ma:versionID="7c9fac8a034485a9a283bf1d2873c2a3">
  <xsd:schema xmlns:xsd="http://www.w3.org/2001/XMLSchema" xmlns:p="http://schemas.microsoft.com/office/2006/metadata/properties" xmlns:ns2="6db8f3c6-01a1-4322-b043-a3b2a190f7a8" targetNamespace="http://schemas.microsoft.com/office/2006/metadata/properties" ma:root="true" ma:fieldsID="08fd8ed56bc4c63e248c838960af90a7" ns2:_="">
    <xsd:import namespace="6db8f3c6-01a1-4322-b043-a3b2a190f7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db8f3c6-01a1-4322-b043-a3b2a190f7a8" elementFormDefault="qualified">
    <xsd:import namespace="http://schemas.microsoft.com/office/2006/documentManagement/type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6db8f3c6-01a1-4322-b043-a3b2a190f7a8">KNAH4PPFC442-1229-84</_dlc_DocId>
    <_dlc_DocIdUrl xmlns="6db8f3c6-01a1-4322-b043-a3b2a190f7a8">
      <Url>http://collaboration/organisation/CID/IRB/SORS/_layouts/DocIdRedir.aspx?ID=KNAH4PPFC442-1229-84</Url>
      <Description>KNAH4PPFC442-1229-84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B579-97D5-4A4A-A315-9E6641FC4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E5FB9-6242-4E87-B2B3-018556764F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BBD1D1-907B-4CF0-B3AC-1D7B7F1EB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f3c6-01a1-4322-b043-a3b2a190f7a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5329A87-C091-4FD4-B0A4-00A1AFAB3A03}">
  <ds:schemaRefs>
    <ds:schemaRef ds:uri="http://schemas.microsoft.com/office/2006/metadata/properties"/>
    <ds:schemaRef ds:uri="6db8f3c6-01a1-4322-b043-a3b2a190f7a8"/>
  </ds:schemaRefs>
</ds:datastoreItem>
</file>

<file path=customXml/itemProps5.xml><?xml version="1.0" encoding="utf-8"?>
<ds:datastoreItem xmlns:ds="http://schemas.openxmlformats.org/officeDocument/2006/customXml" ds:itemID="{FC399330-16C8-4479-9F2D-DAA7DCC7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Radiocommunications (Trading Rules for Spectrum Licences) Determination 2012</vt:lpstr>
    </vt:vector>
  </TitlesOfParts>
  <Company>Australian Communications and Media Authority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Radiocommunications (Trading Rules for Spectrum Licences) Determination 2012</dc:title>
  <dc:creator>skaloge</dc:creator>
  <cp:lastModifiedBy>Morgan Vaudrey</cp:lastModifiedBy>
  <cp:revision>4</cp:revision>
  <cp:lastPrinted>2012-08-01T07:58:00Z</cp:lastPrinted>
  <dcterms:created xsi:type="dcterms:W3CDTF">2012-08-01T04:25:00Z</dcterms:created>
  <dcterms:modified xsi:type="dcterms:W3CDTF">2012-08-16T01:30:00Z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0x010100F3B87CF1831231499AB06102660F5006</vt:lpwstr>
  </property>
  <property fmtid="{D5CDD505-2E9C-101B-9397-08002B2CF9AE}" pid="3" name="_dlc_DocIdItemGuid">
    <vt:lpwstr>9ee93ed1-cd48-48fb-a377-dd24ed22d679</vt:lpwstr>
  </property>
</Properties>
</file>