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A5" w:rsidRDefault="00EF48A5" w:rsidP="00311683">
      <w:pPr>
        <w:jc w:val="center"/>
        <w:rPr>
          <w:b/>
          <w:lang w:val="en-AU"/>
        </w:rPr>
      </w:pPr>
      <w:r w:rsidRPr="00EF48A5">
        <w:rPr>
          <w:b/>
          <w:lang w:val="en-AU"/>
        </w:rPr>
        <w:t xml:space="preserve">EXPLANATORY </w:t>
      </w:r>
      <w:r w:rsidR="001F60D7">
        <w:rPr>
          <w:b/>
          <w:lang w:val="en-AU"/>
        </w:rPr>
        <w:t>STATEMENT</w:t>
      </w:r>
    </w:p>
    <w:p w:rsidR="005B040D" w:rsidRDefault="005B040D" w:rsidP="00311683">
      <w:pPr>
        <w:jc w:val="center"/>
        <w:rPr>
          <w:lang w:val="en-AU"/>
        </w:rPr>
      </w:pPr>
    </w:p>
    <w:p w:rsidR="005B040D" w:rsidRDefault="005B040D" w:rsidP="00311683">
      <w:pPr>
        <w:autoSpaceDE w:val="0"/>
        <w:autoSpaceDN w:val="0"/>
        <w:adjustRightInd w:val="0"/>
        <w:jc w:val="center"/>
        <w:rPr>
          <w:b/>
          <w:bCs/>
          <w:lang w:bidi="hi-IN"/>
        </w:rPr>
      </w:pPr>
      <w:r>
        <w:rPr>
          <w:b/>
          <w:bCs/>
          <w:lang w:bidi="hi-IN"/>
        </w:rPr>
        <w:t xml:space="preserve">Issued by Authority of the Minister for Health </w:t>
      </w:r>
    </w:p>
    <w:p w:rsidR="009A3BC0" w:rsidRDefault="009A3BC0" w:rsidP="00311683">
      <w:pPr>
        <w:pStyle w:val="Subtitle"/>
        <w:rPr>
          <w:i/>
          <w:u w:val="none"/>
        </w:rPr>
      </w:pPr>
    </w:p>
    <w:p w:rsidR="009A3BC0" w:rsidRPr="005B040D" w:rsidRDefault="009A3BC0" w:rsidP="00EA36F1">
      <w:pPr>
        <w:pStyle w:val="Subtitle"/>
        <w:jc w:val="center"/>
        <w:rPr>
          <w:b/>
          <w:bCs/>
          <w:i/>
          <w:u w:val="none"/>
        </w:rPr>
      </w:pPr>
      <w:r w:rsidRPr="005B040D">
        <w:rPr>
          <w:b/>
          <w:bCs/>
          <w:i/>
          <w:u w:val="none"/>
        </w:rPr>
        <w:t xml:space="preserve">Personally Controlled Electronic Health Records </w:t>
      </w:r>
      <w:r w:rsidR="005B040D">
        <w:rPr>
          <w:b/>
          <w:bCs/>
          <w:i/>
          <w:u w:val="none"/>
        </w:rPr>
        <w:t>Act</w:t>
      </w:r>
      <w:r w:rsidRPr="005B040D">
        <w:rPr>
          <w:b/>
          <w:bCs/>
          <w:i/>
          <w:u w:val="none"/>
        </w:rPr>
        <w:t xml:space="preserve"> 2012</w:t>
      </w:r>
    </w:p>
    <w:p w:rsidR="009A3BC0" w:rsidRDefault="009A3BC0" w:rsidP="00EA36F1">
      <w:pPr>
        <w:pStyle w:val="Subtitle"/>
        <w:jc w:val="center"/>
        <w:rPr>
          <w:u w:val="none"/>
        </w:rPr>
      </w:pPr>
    </w:p>
    <w:p w:rsidR="005B040D" w:rsidRPr="005B040D" w:rsidRDefault="005B040D" w:rsidP="00EA36F1">
      <w:pPr>
        <w:pStyle w:val="Subtitle"/>
        <w:jc w:val="center"/>
        <w:rPr>
          <w:b/>
          <w:bCs/>
          <w:i/>
          <w:u w:val="none"/>
        </w:rPr>
      </w:pPr>
      <w:r w:rsidRPr="005B040D">
        <w:rPr>
          <w:b/>
          <w:bCs/>
          <w:i/>
          <w:u w:val="none"/>
        </w:rPr>
        <w:t>P</w:t>
      </w:r>
      <w:r w:rsidR="003D0C9B">
        <w:rPr>
          <w:b/>
          <w:bCs/>
          <w:i/>
          <w:u w:val="none"/>
        </w:rPr>
        <w:t xml:space="preserve">CEHR </w:t>
      </w:r>
      <w:r w:rsidR="003B26EC">
        <w:rPr>
          <w:b/>
          <w:bCs/>
          <w:i/>
          <w:u w:val="none"/>
        </w:rPr>
        <w:t xml:space="preserve">(Participation Agreements) </w:t>
      </w:r>
      <w:r w:rsidRPr="005B040D">
        <w:rPr>
          <w:b/>
          <w:bCs/>
          <w:i/>
          <w:u w:val="none"/>
        </w:rPr>
        <w:t>R</w:t>
      </w:r>
      <w:r>
        <w:rPr>
          <w:b/>
          <w:bCs/>
          <w:i/>
          <w:u w:val="none"/>
        </w:rPr>
        <w:t>ules</w:t>
      </w:r>
      <w:r w:rsidR="003B26EC">
        <w:rPr>
          <w:b/>
          <w:bCs/>
          <w:i/>
          <w:u w:val="none"/>
        </w:rPr>
        <w:t> </w:t>
      </w:r>
      <w:r w:rsidRPr="005B040D">
        <w:rPr>
          <w:b/>
          <w:bCs/>
          <w:i/>
          <w:u w:val="none"/>
        </w:rPr>
        <w:t>2012</w:t>
      </w:r>
    </w:p>
    <w:p w:rsidR="005B040D" w:rsidRDefault="005B040D" w:rsidP="00EA36F1">
      <w:pPr>
        <w:pStyle w:val="Subtitle"/>
        <w:rPr>
          <w:u w:val="none"/>
        </w:rPr>
      </w:pPr>
    </w:p>
    <w:p w:rsidR="005B040D" w:rsidRDefault="005B040D" w:rsidP="00EA36F1">
      <w:pPr>
        <w:autoSpaceDE w:val="0"/>
        <w:autoSpaceDN w:val="0"/>
        <w:adjustRightInd w:val="0"/>
        <w:rPr>
          <w:lang w:bidi="hi-IN"/>
        </w:rPr>
      </w:pPr>
    </w:p>
    <w:p w:rsidR="005B040D" w:rsidRPr="00E46EAD" w:rsidRDefault="00802A2E" w:rsidP="00311683">
      <w:pPr>
        <w:autoSpaceDE w:val="0"/>
        <w:autoSpaceDN w:val="0"/>
        <w:adjustRightInd w:val="0"/>
        <w:rPr>
          <w:lang w:bidi="hi-IN"/>
        </w:rPr>
      </w:pPr>
      <w:r>
        <w:rPr>
          <w:lang w:bidi="hi-IN"/>
        </w:rPr>
        <w:t xml:space="preserve">The </w:t>
      </w:r>
      <w:r w:rsidRPr="005B040D">
        <w:rPr>
          <w:i/>
          <w:iCs/>
          <w:lang w:bidi="hi-IN"/>
        </w:rPr>
        <w:t>Personally Controlled Electronic Health Records Act 2012</w:t>
      </w:r>
      <w:r>
        <w:rPr>
          <w:lang w:bidi="hi-IN"/>
        </w:rPr>
        <w:t xml:space="preserve"> (the Act) establishes the personally controlled electronic health record (PCEHR) system.  </w:t>
      </w:r>
      <w:r w:rsidR="005B040D">
        <w:rPr>
          <w:lang w:bidi="hi-IN"/>
        </w:rPr>
        <w:t xml:space="preserve">Section 109 of the </w:t>
      </w:r>
      <w:r>
        <w:rPr>
          <w:lang w:bidi="hi-IN"/>
        </w:rPr>
        <w:t xml:space="preserve">Act </w:t>
      </w:r>
      <w:r w:rsidR="00815D70">
        <w:rPr>
          <w:lang w:bidi="hi-IN"/>
        </w:rPr>
        <w:t>p</w:t>
      </w:r>
      <w:r w:rsidR="005B040D">
        <w:rPr>
          <w:lang w:bidi="hi-IN"/>
        </w:rPr>
        <w:t xml:space="preserve">rovides that the Minister may make rules about matters that are required or permitted by </w:t>
      </w:r>
      <w:r w:rsidR="003D0C9B">
        <w:rPr>
          <w:lang w:bidi="hi-IN"/>
        </w:rPr>
        <w:t xml:space="preserve">the </w:t>
      </w:r>
      <w:r w:rsidR="005B040D">
        <w:rPr>
          <w:lang w:bidi="hi-IN"/>
        </w:rPr>
        <w:t xml:space="preserve">Act to be dealt with in the </w:t>
      </w:r>
      <w:r w:rsidR="007159B6">
        <w:rPr>
          <w:lang w:bidi="hi-IN"/>
        </w:rPr>
        <w:t>PCEHR R</w:t>
      </w:r>
      <w:r w:rsidR="005B040D">
        <w:rPr>
          <w:lang w:bidi="hi-IN"/>
        </w:rPr>
        <w:t>ules.</w:t>
      </w:r>
      <w:r w:rsidR="00E46EAD">
        <w:rPr>
          <w:lang w:bidi="hi-IN"/>
        </w:rPr>
        <w:t xml:space="preserve">  These rules are the </w:t>
      </w:r>
      <w:r w:rsidR="00E46EAD" w:rsidRPr="00E46EAD">
        <w:rPr>
          <w:i/>
          <w:lang w:bidi="hi-IN"/>
        </w:rPr>
        <w:t>PCEHR (Participation Agreements) Rules 2012</w:t>
      </w:r>
      <w:r w:rsidR="00E46EAD">
        <w:rPr>
          <w:lang w:bidi="hi-IN"/>
        </w:rPr>
        <w:t xml:space="preserve"> (the Participation Agreements Rules)</w:t>
      </w:r>
    </w:p>
    <w:p w:rsidR="00030A5C" w:rsidRDefault="00030A5C" w:rsidP="00311683"/>
    <w:p w:rsidR="00583202" w:rsidRDefault="00583202" w:rsidP="00583202">
      <w:r>
        <w:t xml:space="preserve">The purpose of the PCEHR </w:t>
      </w:r>
      <w:r w:rsidR="005430DA">
        <w:t xml:space="preserve">(Participation Agreements) </w:t>
      </w:r>
      <w:r>
        <w:t xml:space="preserve">Rules is to prescribe </w:t>
      </w:r>
      <w:r w:rsidR="00F93346">
        <w:t xml:space="preserve">for the purposes of subsection 109(4A) of the Act </w:t>
      </w:r>
      <w:r w:rsidR="003D0C9B">
        <w:t xml:space="preserve">a </w:t>
      </w:r>
      <w:r>
        <w:t xml:space="preserve">requirement </w:t>
      </w:r>
      <w:r w:rsidR="003D0C9B">
        <w:t xml:space="preserve">that </w:t>
      </w:r>
      <w:r w:rsidR="003B26EC">
        <w:t>healthcare provider organisations, repository operators, portal operators and contracted service providers</w:t>
      </w:r>
      <w:r w:rsidR="003D0C9B">
        <w:t xml:space="preserve"> enter into a participation agreement in order to be, and remain, registered as a participant in the PCEHR system</w:t>
      </w:r>
      <w:r w:rsidR="003B26EC">
        <w:t>.</w:t>
      </w:r>
    </w:p>
    <w:p w:rsidR="00F93346" w:rsidRDefault="00F93346" w:rsidP="00583202"/>
    <w:p w:rsidR="009B0D7B" w:rsidRDefault="00F93346" w:rsidP="00583202">
      <w:r>
        <w:t xml:space="preserve">Each person wishing to </w:t>
      </w:r>
      <w:r w:rsidR="009B0D7B">
        <w:t xml:space="preserve">participate in the PCEHR system </w:t>
      </w:r>
      <w:r>
        <w:t xml:space="preserve">as a healthcare provider organisation, repository operator, portal operator or contracted service provider will need to enter into a participation agreement with the System Operator.  </w:t>
      </w:r>
      <w:r w:rsidR="009B0D7B">
        <w:t>Entering into a participation agreement is a pre</w:t>
      </w:r>
      <w:r w:rsidR="00DF2655">
        <w:t>requisite to being registered as a participant in the PCEHR system.  A person must continue to be a party to a participation agreement in order to remain registered as a healthcare provider organisation, repository operator, portal operator or contracted service provider.</w:t>
      </w:r>
    </w:p>
    <w:p w:rsidR="009B0D7B" w:rsidRDefault="009B0D7B" w:rsidP="00583202"/>
    <w:p w:rsidR="00F93346" w:rsidRDefault="00F93346" w:rsidP="00583202">
      <w:r>
        <w:t xml:space="preserve">Participation agreements will deal with a number of matters that are not covered by the Act or </w:t>
      </w:r>
      <w:r w:rsidR="00DF2655">
        <w:t>related</w:t>
      </w:r>
      <w:r>
        <w:t xml:space="preserve"> subordinate legislation, including </w:t>
      </w:r>
      <w:r w:rsidR="00DF2655">
        <w:t xml:space="preserve">by </w:t>
      </w:r>
      <w:r>
        <w:t xml:space="preserve">granting </w:t>
      </w:r>
      <w:r w:rsidR="00EF4329">
        <w:t xml:space="preserve">the </w:t>
      </w:r>
      <w:r>
        <w:t xml:space="preserve">intellectual property </w:t>
      </w:r>
      <w:proofErr w:type="spellStart"/>
      <w:r>
        <w:t>licences</w:t>
      </w:r>
      <w:proofErr w:type="spellEnd"/>
      <w:r w:rsidR="00EF4329">
        <w:t xml:space="preserve"> necessary for the PCEHR system to operate as intended.</w:t>
      </w:r>
      <w:r w:rsidR="000112E9">
        <w:t xml:space="preserve"> </w:t>
      </w:r>
    </w:p>
    <w:p w:rsidR="0005318E" w:rsidRDefault="0005318E" w:rsidP="00311683">
      <w:pPr>
        <w:tabs>
          <w:tab w:val="left" w:pos="2628"/>
        </w:tabs>
      </w:pPr>
    </w:p>
    <w:p w:rsidR="0005318E" w:rsidRDefault="0005318E" w:rsidP="00311683">
      <w:pPr>
        <w:tabs>
          <w:tab w:val="left" w:pos="2628"/>
        </w:tabs>
        <w:rPr>
          <w:rFonts w:cs="Arial"/>
          <w:szCs w:val="20"/>
        </w:rPr>
      </w:pPr>
      <w:r>
        <w:t xml:space="preserve">The form of the participation agreement for healthcare provider organisations is included in the Schedule to the </w:t>
      </w:r>
      <w:r>
        <w:rPr>
          <w:rFonts w:cs="Arial"/>
          <w:szCs w:val="20"/>
        </w:rPr>
        <w:t xml:space="preserve">Participation Agreements Rules.  </w:t>
      </w:r>
      <w:r w:rsidR="00E46EAD">
        <w:rPr>
          <w:rFonts w:cs="Arial"/>
          <w:szCs w:val="20"/>
        </w:rPr>
        <w:t>I</w:t>
      </w:r>
      <w:r>
        <w:t xml:space="preserve">t is intended </w:t>
      </w:r>
      <w:r w:rsidR="00E46EAD">
        <w:t>in the future that the Participation Agreements Rules will be amended or remade to include participation agreements for repository operators, portal operators and contracted service providers.</w:t>
      </w:r>
    </w:p>
    <w:p w:rsidR="003A3B35" w:rsidRDefault="003A3B35" w:rsidP="00311683"/>
    <w:p w:rsidR="00E46EAD" w:rsidRDefault="00FB0F12" w:rsidP="00E46EAD">
      <w:pPr>
        <w:tabs>
          <w:tab w:val="left" w:pos="2628"/>
        </w:tabs>
        <w:rPr>
          <w:rFonts w:cs="Arial"/>
          <w:szCs w:val="20"/>
        </w:rPr>
      </w:pPr>
      <w:r>
        <w:rPr>
          <w:rFonts w:cs="Arial"/>
          <w:szCs w:val="20"/>
        </w:rPr>
        <w:t xml:space="preserve">The </w:t>
      </w:r>
      <w:r w:rsidR="005430DA">
        <w:rPr>
          <w:rFonts w:cs="Arial"/>
          <w:szCs w:val="20"/>
        </w:rPr>
        <w:t xml:space="preserve">Participation Agreements </w:t>
      </w:r>
      <w:r>
        <w:rPr>
          <w:rFonts w:cs="Arial"/>
          <w:szCs w:val="20"/>
        </w:rPr>
        <w:t xml:space="preserve">Rules do not relate to the professional activities of healthcare providers.  </w:t>
      </w:r>
      <w:r w:rsidR="00DF2655">
        <w:rPr>
          <w:rFonts w:cs="Arial"/>
          <w:szCs w:val="20"/>
        </w:rPr>
        <w:t xml:space="preserve">Professional obligations and </w:t>
      </w:r>
      <w:r>
        <w:rPr>
          <w:rFonts w:cs="Arial"/>
          <w:szCs w:val="20"/>
        </w:rPr>
        <w:t>professional bodies exist for this purpose</w:t>
      </w:r>
      <w:r w:rsidR="0015774F">
        <w:rPr>
          <w:rFonts w:cs="Arial"/>
          <w:szCs w:val="20"/>
        </w:rPr>
        <w:t>.  T</w:t>
      </w:r>
      <w:r>
        <w:rPr>
          <w:rFonts w:cs="Arial"/>
          <w:szCs w:val="20"/>
        </w:rPr>
        <w:t xml:space="preserve">he </w:t>
      </w:r>
      <w:r w:rsidR="0015774F">
        <w:rPr>
          <w:rFonts w:cs="Arial"/>
          <w:szCs w:val="20"/>
        </w:rPr>
        <w:t xml:space="preserve">Participation Agreements </w:t>
      </w:r>
      <w:r>
        <w:rPr>
          <w:rFonts w:cs="Arial"/>
          <w:szCs w:val="20"/>
        </w:rPr>
        <w:t xml:space="preserve">Rules </w:t>
      </w:r>
      <w:r w:rsidR="0015774F">
        <w:rPr>
          <w:rFonts w:cs="Arial"/>
          <w:szCs w:val="20"/>
        </w:rPr>
        <w:t xml:space="preserve">relate only to the requirement to enter into, and remain a party to, a participation agreement in order to be registered as a participant in the PCEHR system. </w:t>
      </w:r>
    </w:p>
    <w:p w:rsidR="00E46EAD" w:rsidRDefault="00E46EAD" w:rsidP="00E46EAD">
      <w:pPr>
        <w:tabs>
          <w:tab w:val="left" w:pos="2628"/>
        </w:tabs>
        <w:rPr>
          <w:rFonts w:cs="Arial"/>
          <w:szCs w:val="20"/>
        </w:rPr>
      </w:pPr>
    </w:p>
    <w:p w:rsidR="00583202" w:rsidRPr="00E46EAD" w:rsidRDefault="00583202" w:rsidP="00E46EAD">
      <w:pPr>
        <w:tabs>
          <w:tab w:val="left" w:pos="2628"/>
        </w:tabs>
        <w:rPr>
          <w:rFonts w:cs="Arial"/>
          <w:szCs w:val="20"/>
        </w:rPr>
      </w:pPr>
      <w:r>
        <w:t xml:space="preserve">Detail of the </w:t>
      </w:r>
      <w:r w:rsidR="005430DA">
        <w:t xml:space="preserve">Participation Agreements </w:t>
      </w:r>
      <w:r>
        <w:t xml:space="preserve">Rules is set out in the </w:t>
      </w:r>
      <w:r>
        <w:rPr>
          <w:u w:val="single"/>
        </w:rPr>
        <w:t>Attachment</w:t>
      </w:r>
      <w:r>
        <w:t>.</w:t>
      </w:r>
    </w:p>
    <w:p w:rsidR="00583202" w:rsidRDefault="00583202" w:rsidP="00311683"/>
    <w:p w:rsidR="00583202" w:rsidRDefault="00583202" w:rsidP="00311683">
      <w:r>
        <w:t xml:space="preserve">The PCEHR </w:t>
      </w:r>
      <w:r w:rsidR="005430DA">
        <w:t xml:space="preserve">(Participation Agreements) </w:t>
      </w:r>
      <w:r>
        <w:t>Rules commence on the day after registration on the Federal Register of Legislative Instruments.</w:t>
      </w:r>
    </w:p>
    <w:p w:rsidR="00583202" w:rsidRDefault="00583202" w:rsidP="00311683"/>
    <w:p w:rsidR="00253A10" w:rsidRDefault="00992F83" w:rsidP="005B6D59">
      <w:r>
        <w:t xml:space="preserve">The </w:t>
      </w:r>
      <w:r w:rsidR="005B040D">
        <w:t xml:space="preserve">PCEHR </w:t>
      </w:r>
      <w:r w:rsidR="005430DA">
        <w:t xml:space="preserve">(Participation Agreements) </w:t>
      </w:r>
      <w:r>
        <w:t>R</w:t>
      </w:r>
      <w:r w:rsidR="005B040D">
        <w:t xml:space="preserve">ules </w:t>
      </w:r>
      <w:r>
        <w:t>are</w:t>
      </w:r>
      <w:r w:rsidR="005B040D">
        <w:t xml:space="preserve"> a legislative instrument and subject to the </w:t>
      </w:r>
      <w:r w:rsidR="005B040D">
        <w:rPr>
          <w:i/>
        </w:rPr>
        <w:t>Legislative Instruments Act 2003</w:t>
      </w:r>
      <w:r w:rsidR="005B040D">
        <w:t>.</w:t>
      </w:r>
    </w:p>
    <w:p w:rsidR="00253A10" w:rsidRDefault="00253A10" w:rsidP="005B6D59"/>
    <w:p w:rsidR="005B6D59" w:rsidRPr="00211E4C" w:rsidRDefault="005B6D59" w:rsidP="005B6D59">
      <w:pPr>
        <w:rPr>
          <w:b/>
          <w:bCs/>
        </w:rPr>
      </w:pPr>
      <w:r w:rsidRPr="00211E4C">
        <w:rPr>
          <w:b/>
          <w:bCs/>
        </w:rPr>
        <w:lastRenderedPageBreak/>
        <w:t>Consultation</w:t>
      </w:r>
    </w:p>
    <w:p w:rsidR="005B6D59" w:rsidRPr="00211E4C" w:rsidRDefault="005B6D59" w:rsidP="005B6D59"/>
    <w:p w:rsidR="005B6D59" w:rsidRPr="00211E4C" w:rsidRDefault="005B6D59" w:rsidP="005B6D59">
      <w:r w:rsidRPr="00211E4C">
        <w:t xml:space="preserve">The </w:t>
      </w:r>
      <w:r w:rsidRPr="00211E4C">
        <w:rPr>
          <w:i/>
          <w:iCs/>
        </w:rPr>
        <w:t>PCEHR System: Proposals for Regulations and Rules</w:t>
      </w:r>
      <w:r w:rsidRPr="00211E4C">
        <w:t xml:space="preserve"> (‘proposals paper’) was released for public comment on 21 March 2012.  The proposals were subsequently revised to address the submissions made on the proposals paper.</w:t>
      </w:r>
    </w:p>
    <w:p w:rsidR="00253A10" w:rsidRDefault="00253A10" w:rsidP="00326956"/>
    <w:p w:rsidR="00326956" w:rsidRPr="00211E4C" w:rsidRDefault="00326956" w:rsidP="00326956">
      <w:r w:rsidRPr="00211E4C">
        <w:t>The Minister consulted with state and territory health ministers on 26 April 2012 to provide the opportunity to comment on the revised proposals paper</w:t>
      </w:r>
      <w:r>
        <w:t>, and t</w:t>
      </w:r>
      <w:r w:rsidRPr="00211E4C">
        <w:t xml:space="preserve">he PCEHR Rules </w:t>
      </w:r>
      <w:r>
        <w:t>have been revised to address the</w:t>
      </w:r>
      <w:r w:rsidRPr="00211E4C">
        <w:t xml:space="preserve"> feedback</w:t>
      </w:r>
      <w:r>
        <w:t xml:space="preserve"> provided by health ministers</w:t>
      </w:r>
      <w:r w:rsidRPr="00211E4C">
        <w:t>.</w:t>
      </w:r>
    </w:p>
    <w:p w:rsidR="00326956" w:rsidRPr="00211E4C" w:rsidRDefault="00326956" w:rsidP="00326956"/>
    <w:p w:rsidR="00326956" w:rsidRPr="00211E4C" w:rsidRDefault="00326956" w:rsidP="00326956">
      <w:r w:rsidRPr="00211E4C">
        <w:t xml:space="preserve">Section 109 of the Act requires that, before making PCEHR Rules, the Minister must consult the Jurisdictional Advisory Committee and Independent Advisory Council, although failure to consult these committees does not affect the validity of the PCEHR Rules.  </w:t>
      </w:r>
    </w:p>
    <w:p w:rsidR="00326956" w:rsidRPr="00211E4C" w:rsidRDefault="00326956" w:rsidP="00326956"/>
    <w:p w:rsidR="00326956" w:rsidRPr="00583B3E" w:rsidRDefault="00326956" w:rsidP="00326956">
      <w:r w:rsidRPr="00583B3E">
        <w:t>The Independent Advisory Council was consulted on the PCEHR Rules on 19 July 2012</w:t>
      </w:r>
      <w:r w:rsidR="0015774F">
        <w:t xml:space="preserve">. </w:t>
      </w:r>
    </w:p>
    <w:p w:rsidR="00326956" w:rsidRPr="00583B3E" w:rsidRDefault="00326956" w:rsidP="00326956"/>
    <w:p w:rsidR="00326956" w:rsidRDefault="00326956" w:rsidP="00326956">
      <w:r w:rsidRPr="00583B3E">
        <w:t>In place of the Jurisdictional Advisory Committee</w:t>
      </w:r>
      <w:r w:rsidR="0015774F">
        <w:t>,</w:t>
      </w:r>
      <w:r w:rsidRPr="00583B3E">
        <w:t xml:space="preserve"> which </w:t>
      </w:r>
      <w:r>
        <w:t>had not yet been constituted</w:t>
      </w:r>
      <w:r w:rsidRPr="00583B3E">
        <w:t xml:space="preserve">, jurisdictions were consulted on the PCEHR Rules through the National Health </w:t>
      </w:r>
      <w:r>
        <w:t xml:space="preserve">Information </w:t>
      </w:r>
      <w:r w:rsidRPr="00583B3E">
        <w:t>and Performance Principal Committee</w:t>
      </w:r>
      <w:r>
        <w:t>, National Health Chief Information Officers Forum and National Health Information Regulatory Framework Working Group</w:t>
      </w:r>
      <w:r w:rsidRPr="00583B3E">
        <w:t xml:space="preserve">.  </w:t>
      </w:r>
    </w:p>
    <w:p w:rsidR="00AE0E34" w:rsidRDefault="00AE0E34" w:rsidP="00326956"/>
    <w:p w:rsidR="00326956" w:rsidRDefault="00AE0E34" w:rsidP="00326956">
      <w:pPr>
        <w:rPr>
          <w:rFonts w:cs="Arial"/>
          <w:szCs w:val="20"/>
        </w:rPr>
      </w:pPr>
      <w:r>
        <w:t>Submissions received in relation to these consultations w</w:t>
      </w:r>
      <w:r w:rsidR="00E46EAD">
        <w:t>ere</w:t>
      </w:r>
      <w:r>
        <w:t xml:space="preserve"> considered </w:t>
      </w:r>
      <w:r w:rsidR="00E46EAD">
        <w:t xml:space="preserve">and incorporated where possible </w:t>
      </w:r>
      <w:r>
        <w:t xml:space="preserve">in </w:t>
      </w:r>
      <w:proofErr w:type="spellStart"/>
      <w:r>
        <w:t>finalising</w:t>
      </w:r>
      <w:proofErr w:type="spellEnd"/>
      <w:r>
        <w:t xml:space="preserve"> the </w:t>
      </w:r>
      <w:r>
        <w:rPr>
          <w:rFonts w:cs="Arial"/>
          <w:szCs w:val="20"/>
        </w:rPr>
        <w:t>Participation Agreements Rules.</w:t>
      </w:r>
    </w:p>
    <w:p w:rsidR="00E46EAD" w:rsidRDefault="00E46EAD" w:rsidP="00326956">
      <w:pPr>
        <w:rPr>
          <w:rFonts w:cs="Arial"/>
          <w:szCs w:val="20"/>
        </w:rPr>
      </w:pPr>
    </w:p>
    <w:p w:rsidR="00E46EAD" w:rsidRDefault="00E46EAD" w:rsidP="00E46EAD">
      <w:pPr>
        <w:rPr>
          <w:rFonts w:cs="Arial"/>
          <w:szCs w:val="20"/>
        </w:rPr>
      </w:pPr>
      <w:r>
        <w:rPr>
          <w:rFonts w:cs="Arial"/>
          <w:szCs w:val="20"/>
        </w:rPr>
        <w:t>Schedule 1 to the Participation Agreements Rules was the subject of consultation with industry stakeholders, including bodies representing healthcare providers and medical indemnity insurers.  The consultation occurred on several occasions from March to July 2012.  Schedule 1 was significantly revised as a result of this consultation.</w:t>
      </w:r>
    </w:p>
    <w:p w:rsidR="00E46EAD" w:rsidRDefault="00E46EAD" w:rsidP="00E46EAD"/>
    <w:p w:rsidR="00E46EAD" w:rsidRDefault="00E46EAD" w:rsidP="00326956">
      <w:pPr>
        <w:sectPr w:rsidR="00E46EAD" w:rsidSect="00104862">
          <w:headerReference w:type="even" r:id="rId9"/>
          <w:headerReference w:type="default" r:id="rId10"/>
          <w:pgSz w:w="11906" w:h="16838" w:code="9"/>
          <w:pgMar w:top="1276" w:right="1600" w:bottom="1135" w:left="1600" w:header="709" w:footer="709" w:gutter="0"/>
          <w:cols w:space="708"/>
          <w:titlePg/>
          <w:docGrid w:linePitch="360"/>
        </w:sectPr>
      </w:pPr>
    </w:p>
    <w:p w:rsidR="00EF48A5" w:rsidRPr="00583202" w:rsidRDefault="00577975" w:rsidP="00577975">
      <w:pPr>
        <w:jc w:val="right"/>
        <w:rPr>
          <w:b/>
          <w:u w:val="single"/>
          <w:lang w:val="en-AU"/>
        </w:rPr>
      </w:pPr>
      <w:r w:rsidRPr="00583202">
        <w:rPr>
          <w:b/>
          <w:u w:val="single"/>
          <w:lang w:val="en-AU"/>
        </w:rPr>
        <w:lastRenderedPageBreak/>
        <w:t>ATTACHMENT</w:t>
      </w:r>
    </w:p>
    <w:p w:rsidR="00577975" w:rsidRDefault="00577975" w:rsidP="00577975">
      <w:pPr>
        <w:rPr>
          <w:b/>
          <w:u w:val="single"/>
          <w:lang w:val="en-AU"/>
        </w:rPr>
      </w:pPr>
    </w:p>
    <w:p w:rsidR="00577975" w:rsidRPr="00125D4B" w:rsidRDefault="00125D4B" w:rsidP="00125D4B">
      <w:pPr>
        <w:jc w:val="center"/>
        <w:rPr>
          <w:i/>
          <w:u w:val="single"/>
          <w:lang w:val="en-AU"/>
        </w:rPr>
      </w:pPr>
      <w:r w:rsidRPr="00125D4B">
        <w:rPr>
          <w:b/>
          <w:iCs/>
          <w:u w:val="single"/>
          <w:lang w:val="en-AU"/>
        </w:rPr>
        <w:t xml:space="preserve">Details of the </w:t>
      </w:r>
      <w:r w:rsidRPr="00125D4B">
        <w:rPr>
          <w:b/>
          <w:i/>
          <w:u w:val="single"/>
          <w:lang w:val="en-AU"/>
        </w:rPr>
        <w:t>P</w:t>
      </w:r>
      <w:r w:rsidR="00115A33">
        <w:rPr>
          <w:b/>
          <w:i/>
          <w:u w:val="single"/>
          <w:lang w:val="en-AU"/>
        </w:rPr>
        <w:t xml:space="preserve">CEHR </w:t>
      </w:r>
      <w:r w:rsidR="003B26EC">
        <w:rPr>
          <w:b/>
          <w:i/>
          <w:u w:val="single"/>
          <w:lang w:val="en-AU"/>
        </w:rPr>
        <w:t xml:space="preserve">(Participation Agreements) </w:t>
      </w:r>
      <w:r w:rsidRPr="00125D4B">
        <w:rPr>
          <w:b/>
          <w:i/>
          <w:u w:val="single"/>
          <w:lang w:val="en-AU"/>
        </w:rPr>
        <w:t>Rules 2012</w:t>
      </w:r>
    </w:p>
    <w:p w:rsidR="00577975" w:rsidRDefault="00577975" w:rsidP="00CB738F">
      <w:pPr>
        <w:rPr>
          <w:lang w:val="en-AU"/>
        </w:rPr>
      </w:pPr>
    </w:p>
    <w:p w:rsidR="006E20B5" w:rsidRDefault="006E20B5" w:rsidP="00CB738F">
      <w:pPr>
        <w:autoSpaceDE w:val="0"/>
        <w:autoSpaceDN w:val="0"/>
        <w:adjustRightInd w:val="0"/>
        <w:rPr>
          <w:b/>
          <w:bCs/>
          <w:lang w:bidi="hi-IN"/>
        </w:rPr>
      </w:pPr>
      <w:r>
        <w:rPr>
          <w:b/>
          <w:bCs/>
          <w:lang w:bidi="hi-IN"/>
        </w:rPr>
        <w:t>PART 1—PRELIMINARY</w:t>
      </w:r>
    </w:p>
    <w:p w:rsidR="006E20B5" w:rsidRDefault="006E20B5" w:rsidP="00CB738F">
      <w:pPr>
        <w:autoSpaceDE w:val="0"/>
        <w:autoSpaceDN w:val="0"/>
        <w:adjustRightInd w:val="0"/>
        <w:rPr>
          <w:b/>
          <w:bCs/>
          <w:lang w:bidi="hi-IN"/>
        </w:rPr>
      </w:pPr>
    </w:p>
    <w:p w:rsidR="006E20B5" w:rsidRDefault="006E20B5" w:rsidP="00104862">
      <w:pPr>
        <w:numPr>
          <w:ilvl w:val="0"/>
          <w:numId w:val="6"/>
        </w:numPr>
        <w:autoSpaceDE w:val="0"/>
        <w:autoSpaceDN w:val="0"/>
        <w:adjustRightInd w:val="0"/>
        <w:spacing w:after="120"/>
        <w:ind w:left="357" w:hanging="357"/>
        <w:rPr>
          <w:b/>
          <w:bCs/>
          <w:lang w:bidi="hi-IN"/>
        </w:rPr>
      </w:pPr>
      <w:r>
        <w:rPr>
          <w:b/>
          <w:bCs/>
          <w:lang w:bidi="hi-IN"/>
        </w:rPr>
        <w:t>Name of Determination</w:t>
      </w:r>
    </w:p>
    <w:p w:rsidR="00FD6821" w:rsidRDefault="0052197D" w:rsidP="00CB738F">
      <w:pPr>
        <w:autoSpaceDE w:val="0"/>
        <w:autoSpaceDN w:val="0"/>
        <w:adjustRightInd w:val="0"/>
        <w:rPr>
          <w:i/>
          <w:iCs/>
          <w:lang w:bidi="hi-IN"/>
        </w:rPr>
      </w:pPr>
      <w:r>
        <w:rPr>
          <w:lang w:bidi="hi-IN"/>
        </w:rPr>
        <w:t>Rule</w:t>
      </w:r>
      <w:r w:rsidR="006E20B5">
        <w:rPr>
          <w:lang w:bidi="hi-IN"/>
        </w:rPr>
        <w:t xml:space="preserve"> 1 provides that the </w:t>
      </w:r>
      <w:r w:rsidR="00C271E9">
        <w:rPr>
          <w:lang w:bidi="hi-IN"/>
        </w:rPr>
        <w:t xml:space="preserve">title of the </w:t>
      </w:r>
      <w:r w:rsidR="00FD6821">
        <w:rPr>
          <w:lang w:bidi="hi-IN"/>
        </w:rPr>
        <w:t>d</w:t>
      </w:r>
      <w:r w:rsidR="006E20B5">
        <w:rPr>
          <w:lang w:bidi="hi-IN"/>
        </w:rPr>
        <w:t xml:space="preserve">etermination is </w:t>
      </w:r>
      <w:r w:rsidR="00C271E9">
        <w:rPr>
          <w:i/>
          <w:iCs/>
          <w:lang w:bidi="hi-IN"/>
        </w:rPr>
        <w:t xml:space="preserve">PCEHR </w:t>
      </w:r>
      <w:r w:rsidR="004C67D0">
        <w:rPr>
          <w:i/>
          <w:iCs/>
          <w:lang w:bidi="hi-IN"/>
        </w:rPr>
        <w:t>(</w:t>
      </w:r>
      <w:r w:rsidR="003B26EC">
        <w:rPr>
          <w:i/>
          <w:iCs/>
          <w:lang w:bidi="hi-IN"/>
        </w:rPr>
        <w:t>Participation Agreements</w:t>
      </w:r>
      <w:r w:rsidR="004C67D0">
        <w:rPr>
          <w:i/>
          <w:iCs/>
          <w:lang w:bidi="hi-IN"/>
        </w:rPr>
        <w:t>)</w:t>
      </w:r>
      <w:r w:rsidR="003B26EC">
        <w:rPr>
          <w:i/>
          <w:iCs/>
          <w:lang w:bidi="hi-IN"/>
        </w:rPr>
        <w:t xml:space="preserve"> </w:t>
      </w:r>
      <w:r w:rsidR="00C271E9">
        <w:rPr>
          <w:i/>
          <w:iCs/>
          <w:lang w:bidi="hi-IN"/>
        </w:rPr>
        <w:t>Rules 2012</w:t>
      </w:r>
      <w:r w:rsidR="00E46EAD">
        <w:rPr>
          <w:iCs/>
          <w:lang w:bidi="hi-IN"/>
        </w:rPr>
        <w:t xml:space="preserve"> (the Participation Agreements Rules)</w:t>
      </w:r>
      <w:r w:rsidR="00C271E9">
        <w:rPr>
          <w:i/>
          <w:iCs/>
          <w:lang w:bidi="hi-IN"/>
        </w:rPr>
        <w:t>.</w:t>
      </w:r>
    </w:p>
    <w:p w:rsidR="00FD6821" w:rsidRDefault="00FD6821" w:rsidP="00CB738F">
      <w:pPr>
        <w:autoSpaceDE w:val="0"/>
        <w:autoSpaceDN w:val="0"/>
        <w:adjustRightInd w:val="0"/>
        <w:rPr>
          <w:i/>
          <w:iCs/>
          <w:lang w:bidi="hi-IN"/>
        </w:rPr>
      </w:pPr>
    </w:p>
    <w:p w:rsidR="006E20B5" w:rsidRDefault="006E20B5" w:rsidP="00104862">
      <w:pPr>
        <w:numPr>
          <w:ilvl w:val="0"/>
          <w:numId w:val="6"/>
        </w:numPr>
        <w:autoSpaceDE w:val="0"/>
        <w:autoSpaceDN w:val="0"/>
        <w:adjustRightInd w:val="0"/>
        <w:spacing w:after="120"/>
        <w:ind w:left="357" w:hanging="357"/>
        <w:rPr>
          <w:b/>
          <w:bCs/>
          <w:lang w:bidi="hi-IN"/>
        </w:rPr>
      </w:pPr>
      <w:r>
        <w:rPr>
          <w:b/>
          <w:bCs/>
          <w:lang w:bidi="hi-IN"/>
        </w:rPr>
        <w:t>Commencement</w:t>
      </w:r>
    </w:p>
    <w:p w:rsidR="006E20B5" w:rsidRDefault="0052197D" w:rsidP="00CB738F">
      <w:pPr>
        <w:autoSpaceDE w:val="0"/>
        <w:autoSpaceDN w:val="0"/>
        <w:adjustRightInd w:val="0"/>
        <w:rPr>
          <w:lang w:bidi="hi-IN"/>
        </w:rPr>
      </w:pPr>
      <w:r>
        <w:rPr>
          <w:lang w:bidi="hi-IN"/>
        </w:rPr>
        <w:t>Rule</w:t>
      </w:r>
      <w:r w:rsidR="006E20B5">
        <w:rPr>
          <w:lang w:bidi="hi-IN"/>
        </w:rPr>
        <w:t xml:space="preserve"> 2 provides that the </w:t>
      </w:r>
      <w:r w:rsidR="00115A33" w:rsidRPr="0042414A">
        <w:rPr>
          <w:iCs/>
          <w:lang w:bidi="hi-IN"/>
        </w:rPr>
        <w:t>Participation Agreements</w:t>
      </w:r>
      <w:r w:rsidR="00115A33">
        <w:rPr>
          <w:i/>
          <w:iCs/>
          <w:lang w:bidi="hi-IN"/>
        </w:rPr>
        <w:t xml:space="preserve"> </w:t>
      </w:r>
      <w:r w:rsidR="00FD6821">
        <w:rPr>
          <w:lang w:bidi="hi-IN"/>
        </w:rPr>
        <w:t>Rules</w:t>
      </w:r>
      <w:r w:rsidR="006E20B5">
        <w:rPr>
          <w:lang w:bidi="hi-IN"/>
        </w:rPr>
        <w:t xml:space="preserve"> commence on </w:t>
      </w:r>
      <w:r w:rsidR="00FD6821">
        <w:rPr>
          <w:lang w:bidi="hi-IN"/>
        </w:rPr>
        <w:t xml:space="preserve">the day </w:t>
      </w:r>
      <w:r w:rsidR="00C271E9">
        <w:rPr>
          <w:lang w:bidi="hi-IN"/>
        </w:rPr>
        <w:t>after they are registered on the Federal Register of Legislative Instruments.</w:t>
      </w:r>
    </w:p>
    <w:p w:rsidR="00FD6821" w:rsidRDefault="00FD6821" w:rsidP="00CB738F">
      <w:pPr>
        <w:autoSpaceDE w:val="0"/>
        <w:autoSpaceDN w:val="0"/>
        <w:adjustRightInd w:val="0"/>
        <w:rPr>
          <w:b/>
          <w:bCs/>
          <w:lang w:bidi="hi-IN"/>
        </w:rPr>
      </w:pPr>
    </w:p>
    <w:p w:rsidR="00FD6821" w:rsidRDefault="008906C8" w:rsidP="00104862">
      <w:pPr>
        <w:numPr>
          <w:ilvl w:val="0"/>
          <w:numId w:val="6"/>
        </w:numPr>
        <w:autoSpaceDE w:val="0"/>
        <w:autoSpaceDN w:val="0"/>
        <w:adjustRightInd w:val="0"/>
        <w:spacing w:after="120"/>
        <w:ind w:left="357" w:hanging="357"/>
        <w:rPr>
          <w:b/>
          <w:bCs/>
          <w:lang w:bidi="hi-IN"/>
        </w:rPr>
      </w:pPr>
      <w:r>
        <w:rPr>
          <w:b/>
          <w:bCs/>
          <w:lang w:bidi="hi-IN"/>
        </w:rPr>
        <w:t>Definitions</w:t>
      </w:r>
    </w:p>
    <w:p w:rsidR="003B26EC" w:rsidRDefault="0052197D" w:rsidP="00CB738F">
      <w:pPr>
        <w:autoSpaceDE w:val="0"/>
        <w:autoSpaceDN w:val="0"/>
        <w:adjustRightInd w:val="0"/>
        <w:rPr>
          <w:lang w:bidi="hi-IN"/>
        </w:rPr>
      </w:pPr>
      <w:r>
        <w:rPr>
          <w:lang w:bidi="hi-IN"/>
        </w:rPr>
        <w:t>Rule</w:t>
      </w:r>
      <w:r w:rsidR="008906C8">
        <w:rPr>
          <w:lang w:bidi="hi-IN"/>
        </w:rPr>
        <w:t xml:space="preserve"> 3</w:t>
      </w:r>
      <w:r w:rsidR="00FD6821">
        <w:rPr>
          <w:lang w:bidi="hi-IN"/>
        </w:rPr>
        <w:t xml:space="preserve"> defines particular terms used in the </w:t>
      </w:r>
      <w:r w:rsidR="00E46EAD">
        <w:rPr>
          <w:iCs/>
          <w:lang w:bidi="hi-IN"/>
        </w:rPr>
        <w:t xml:space="preserve">Participation Agreements </w:t>
      </w:r>
      <w:r w:rsidR="00FD6821">
        <w:rPr>
          <w:lang w:bidi="hi-IN"/>
        </w:rPr>
        <w:t xml:space="preserve">Rules.  </w:t>
      </w:r>
    </w:p>
    <w:p w:rsidR="004C2BBE" w:rsidRDefault="004C2BBE" w:rsidP="00CB738F">
      <w:pPr>
        <w:autoSpaceDE w:val="0"/>
        <w:autoSpaceDN w:val="0"/>
        <w:adjustRightInd w:val="0"/>
        <w:rPr>
          <w:lang w:bidi="hi-IN"/>
        </w:rPr>
      </w:pPr>
    </w:p>
    <w:p w:rsidR="00927528" w:rsidRDefault="00927528" w:rsidP="00CB738F">
      <w:pPr>
        <w:autoSpaceDE w:val="0"/>
        <w:autoSpaceDN w:val="0"/>
        <w:adjustRightInd w:val="0"/>
        <w:rPr>
          <w:lang w:bidi="hi-IN"/>
        </w:rPr>
      </w:pPr>
      <w:r>
        <w:rPr>
          <w:lang w:bidi="hi-IN"/>
        </w:rPr>
        <w:t xml:space="preserve">The note to rule </w:t>
      </w:r>
      <w:r w:rsidR="004C67D0">
        <w:rPr>
          <w:lang w:bidi="hi-IN"/>
        </w:rPr>
        <w:t>3</w:t>
      </w:r>
      <w:r>
        <w:rPr>
          <w:lang w:bidi="hi-IN"/>
        </w:rPr>
        <w:t xml:space="preserve"> assists readers by making clear that other terms used in the </w:t>
      </w:r>
      <w:r w:rsidR="00E46EAD">
        <w:rPr>
          <w:iCs/>
          <w:lang w:bidi="hi-IN"/>
        </w:rPr>
        <w:t xml:space="preserve">Participation Agreements </w:t>
      </w:r>
      <w:r>
        <w:rPr>
          <w:lang w:bidi="hi-IN"/>
        </w:rPr>
        <w:t>Rules are as defined in the Act.</w:t>
      </w:r>
    </w:p>
    <w:p w:rsidR="00927528" w:rsidRDefault="00927528" w:rsidP="00CB738F">
      <w:pPr>
        <w:autoSpaceDE w:val="0"/>
        <w:autoSpaceDN w:val="0"/>
        <w:adjustRightInd w:val="0"/>
        <w:rPr>
          <w:lang w:bidi="hi-IN"/>
        </w:rPr>
      </w:pPr>
    </w:p>
    <w:p w:rsidR="003B26EC" w:rsidRDefault="003B26EC" w:rsidP="003B26EC">
      <w:pPr>
        <w:autoSpaceDE w:val="0"/>
        <w:autoSpaceDN w:val="0"/>
        <w:adjustRightInd w:val="0"/>
        <w:rPr>
          <w:b/>
          <w:bCs/>
          <w:lang w:bidi="hi-IN"/>
        </w:rPr>
      </w:pPr>
      <w:r>
        <w:rPr>
          <w:b/>
          <w:bCs/>
          <w:lang w:bidi="hi-IN"/>
        </w:rPr>
        <w:t>PART 2—PARTICIPATION AGREEMENTS</w:t>
      </w:r>
    </w:p>
    <w:p w:rsidR="003B26EC" w:rsidRPr="007E6199" w:rsidRDefault="003B26EC" w:rsidP="00CB738F">
      <w:pPr>
        <w:autoSpaceDE w:val="0"/>
        <w:autoSpaceDN w:val="0"/>
        <w:adjustRightInd w:val="0"/>
        <w:rPr>
          <w:lang w:bidi="hi-IN"/>
        </w:rPr>
      </w:pPr>
    </w:p>
    <w:p w:rsidR="004C67D0" w:rsidRDefault="004C67D0" w:rsidP="004C67D0">
      <w:r>
        <w:t xml:space="preserve">Subsection 109(4A) of the Act provides that the </w:t>
      </w:r>
      <w:r w:rsidR="00E46EAD">
        <w:rPr>
          <w:iCs/>
          <w:lang w:bidi="hi-IN"/>
        </w:rPr>
        <w:t xml:space="preserve">Participation Agreements </w:t>
      </w:r>
      <w:r>
        <w:t xml:space="preserve">Rules may require a person to enter into a </w:t>
      </w:r>
      <w:r w:rsidR="00BA0B64">
        <w:t>specified kind</w:t>
      </w:r>
      <w:r>
        <w:t xml:space="preserve"> of agreement in order to be, and remain a </w:t>
      </w:r>
      <w:r w:rsidR="00E46EAD">
        <w:t xml:space="preserve">registered </w:t>
      </w:r>
      <w:r>
        <w:t xml:space="preserve">healthcare provider organisation, </w:t>
      </w:r>
      <w:r w:rsidR="00E46EAD">
        <w:t xml:space="preserve">registered </w:t>
      </w:r>
      <w:r>
        <w:t xml:space="preserve">repository operator, </w:t>
      </w:r>
      <w:r w:rsidR="00E46EAD">
        <w:t xml:space="preserve">registered </w:t>
      </w:r>
      <w:r>
        <w:t xml:space="preserve">portal operator or </w:t>
      </w:r>
      <w:r w:rsidR="00E46EAD">
        <w:t xml:space="preserve">registered </w:t>
      </w:r>
      <w:r>
        <w:t>contracted service provider.</w:t>
      </w:r>
    </w:p>
    <w:p w:rsidR="004C67D0" w:rsidRDefault="004C67D0" w:rsidP="004C67D0"/>
    <w:p w:rsidR="004C67D0" w:rsidRDefault="004C67D0" w:rsidP="004C67D0">
      <w:pPr>
        <w:numPr>
          <w:ilvl w:val="0"/>
          <w:numId w:val="6"/>
        </w:numPr>
        <w:autoSpaceDE w:val="0"/>
        <w:autoSpaceDN w:val="0"/>
        <w:adjustRightInd w:val="0"/>
        <w:spacing w:after="120"/>
        <w:ind w:left="357" w:hanging="357"/>
        <w:rPr>
          <w:b/>
          <w:bCs/>
          <w:lang w:bidi="hi-IN"/>
        </w:rPr>
      </w:pPr>
      <w:r>
        <w:rPr>
          <w:b/>
          <w:bCs/>
          <w:lang w:bidi="hi-IN"/>
        </w:rPr>
        <w:t>Requirement to enter into a participation agreement</w:t>
      </w:r>
    </w:p>
    <w:p w:rsidR="004C67D0" w:rsidRDefault="00E46EAD" w:rsidP="004C67D0">
      <w:pPr>
        <w:autoSpaceDE w:val="0"/>
        <w:autoSpaceDN w:val="0"/>
        <w:adjustRightInd w:val="0"/>
      </w:pPr>
      <w:proofErr w:type="spellStart"/>
      <w:r>
        <w:t>Subr</w:t>
      </w:r>
      <w:r w:rsidR="004C67D0">
        <w:t>ule</w:t>
      </w:r>
      <w:proofErr w:type="spellEnd"/>
      <w:r w:rsidR="004C67D0">
        <w:t xml:space="preserve"> </w:t>
      </w:r>
      <w:r w:rsidR="004C67D0">
        <w:rPr>
          <w:lang w:bidi="hi-IN"/>
        </w:rPr>
        <w:t>4</w:t>
      </w:r>
      <w:r w:rsidR="00823D36">
        <w:rPr>
          <w:lang w:bidi="hi-IN"/>
        </w:rPr>
        <w:t>(1</w:t>
      </w:r>
      <w:r>
        <w:rPr>
          <w:lang w:bidi="hi-IN"/>
        </w:rPr>
        <w:t>)</w:t>
      </w:r>
      <w:bookmarkStart w:id="0" w:name="_GoBack"/>
      <w:bookmarkEnd w:id="0"/>
      <w:r w:rsidR="004C67D0">
        <w:t xml:space="preserve"> requires that a h</w:t>
      </w:r>
      <w:r w:rsidR="004C67D0" w:rsidRPr="00815D70">
        <w:t>ealthcare provider organisation</w:t>
      </w:r>
      <w:r w:rsidR="001F1280">
        <w:t>, repository operator, portal operator or contracted service provider</w:t>
      </w:r>
      <w:r w:rsidR="004C67D0">
        <w:t xml:space="preserve"> wishing to</w:t>
      </w:r>
      <w:r>
        <w:t xml:space="preserve"> be registered</w:t>
      </w:r>
      <w:r w:rsidR="004C67D0">
        <w:t xml:space="preserve"> in the PCEHR system (and remain registered) must enter into a participation agreement with the System Operator</w:t>
      </w:r>
      <w:r w:rsidR="00BA0B64">
        <w:t>.</w:t>
      </w:r>
      <w:r w:rsidR="004C67D0">
        <w:t xml:space="preserve">  </w:t>
      </w:r>
    </w:p>
    <w:p w:rsidR="004C67D0" w:rsidRDefault="004C67D0" w:rsidP="004C67D0">
      <w:pPr>
        <w:autoSpaceDE w:val="0"/>
        <w:autoSpaceDN w:val="0"/>
        <w:adjustRightInd w:val="0"/>
      </w:pPr>
    </w:p>
    <w:p w:rsidR="004C67D0" w:rsidRDefault="006A3DF2" w:rsidP="004C67D0">
      <w:pPr>
        <w:autoSpaceDE w:val="0"/>
        <w:autoSpaceDN w:val="0"/>
        <w:adjustRightInd w:val="0"/>
      </w:pPr>
      <w:r>
        <w:t>Under the Act</w:t>
      </w:r>
      <w:r w:rsidR="00BA0B64">
        <w:t xml:space="preserve">, and the related </w:t>
      </w:r>
      <w:r w:rsidR="00BA0B64">
        <w:rPr>
          <w:i/>
        </w:rPr>
        <w:t>Healthcare Identifiers Act 2010</w:t>
      </w:r>
      <w:r>
        <w:t xml:space="preserve">, there can be one or more healthcare provider organisations in a single legal entity.  </w:t>
      </w:r>
      <w:proofErr w:type="spellStart"/>
      <w:r w:rsidR="004C67D0">
        <w:t>Subrule</w:t>
      </w:r>
      <w:proofErr w:type="spellEnd"/>
      <w:r w:rsidR="004C67D0">
        <w:t xml:space="preserve"> 4(2) clarifies </w:t>
      </w:r>
      <w:r>
        <w:t>if there is more than one healthcare provider organisation</w:t>
      </w:r>
      <w:r w:rsidR="001756A1">
        <w:t xml:space="preserve"> within a legal entity, it is only necessary to enter into a single participation agreement to cover all healthcare provider organisations within that legal entity that wish to participate in the PCEHR system. </w:t>
      </w:r>
    </w:p>
    <w:p w:rsidR="004C67D0" w:rsidRDefault="004C67D0" w:rsidP="004C67D0">
      <w:pPr>
        <w:autoSpaceDE w:val="0"/>
        <w:autoSpaceDN w:val="0"/>
        <w:adjustRightInd w:val="0"/>
      </w:pPr>
    </w:p>
    <w:p w:rsidR="004C67D0" w:rsidRDefault="00AB36EB" w:rsidP="004C67D0">
      <w:pPr>
        <w:autoSpaceDE w:val="0"/>
        <w:autoSpaceDN w:val="0"/>
        <w:adjustRightInd w:val="0"/>
      </w:pPr>
      <w:r>
        <w:t xml:space="preserve">Under section 38 of the Act, it is a function of the Chief Executive Medicare to seek to become a registered repository operator and, if registered, to operate a repository for PCEHR purposes.  The repository proposed to be operated by the Chief </w:t>
      </w:r>
      <w:r w:rsidR="00BA0B64">
        <w:t>E</w:t>
      </w:r>
      <w:r>
        <w:t xml:space="preserve">xecutive Medicare will contain </w:t>
      </w:r>
      <w:r w:rsidR="00E46EAD">
        <w:t>health</w:t>
      </w:r>
      <w:r>
        <w:t xml:space="preserve"> information such as </w:t>
      </w:r>
      <w:r w:rsidR="002059D6">
        <w:t>M</w:t>
      </w:r>
      <w:r>
        <w:t xml:space="preserve">edical </w:t>
      </w:r>
      <w:r w:rsidR="002059D6">
        <w:t xml:space="preserve">Benefits Scheme and </w:t>
      </w:r>
      <w:r w:rsidR="006D75FE">
        <w:t>Pharmaceutical</w:t>
      </w:r>
      <w:r w:rsidR="002059D6">
        <w:t xml:space="preserve"> Benefits Scheme information</w:t>
      </w:r>
      <w:r w:rsidR="00BA0B64">
        <w:t xml:space="preserve">.  That </w:t>
      </w:r>
      <w:r w:rsidR="00E46EAD">
        <w:t xml:space="preserve">health </w:t>
      </w:r>
      <w:r w:rsidR="00BA0B64">
        <w:t xml:space="preserve">information </w:t>
      </w:r>
      <w:r w:rsidR="002059D6">
        <w:t xml:space="preserve">will </w:t>
      </w:r>
      <w:r w:rsidR="00BA0B64">
        <w:t xml:space="preserve">be </w:t>
      </w:r>
      <w:r w:rsidR="002059D6">
        <w:t>include</w:t>
      </w:r>
      <w:r w:rsidR="00BA0B64">
        <w:t>d</w:t>
      </w:r>
      <w:r w:rsidR="002059D6">
        <w:t xml:space="preserve"> in </w:t>
      </w:r>
      <w:r w:rsidR="00AD4F57">
        <w:t xml:space="preserve">a </w:t>
      </w:r>
      <w:r w:rsidR="00E46EAD">
        <w:t xml:space="preserve">registered </w:t>
      </w:r>
      <w:r w:rsidR="002059D6">
        <w:t>consumer</w:t>
      </w:r>
      <w:r w:rsidR="00AD4F57">
        <w:t>’</w:t>
      </w:r>
      <w:r w:rsidR="002059D6">
        <w:t xml:space="preserve">s PCEHR </w:t>
      </w:r>
      <w:r w:rsidR="00E46EAD">
        <w:t>if the</w:t>
      </w:r>
      <w:r w:rsidR="002059D6">
        <w:t xml:space="preserve"> consumer consents to this </w:t>
      </w:r>
      <w:r w:rsidR="006D75FE">
        <w:t>occurring</w:t>
      </w:r>
      <w:r w:rsidR="002059D6">
        <w:t xml:space="preserve">.   </w:t>
      </w:r>
      <w:proofErr w:type="spellStart"/>
      <w:r w:rsidR="002059D6">
        <w:t>S</w:t>
      </w:r>
      <w:r w:rsidR="004C67D0">
        <w:t>ubrule</w:t>
      </w:r>
      <w:proofErr w:type="spellEnd"/>
      <w:r w:rsidR="004C67D0">
        <w:t xml:space="preserve"> 4(3) exempts the Chief Executive Medicare from having to enter into a participation agreement</w:t>
      </w:r>
      <w:r w:rsidR="002059D6">
        <w:t xml:space="preserve"> in relation to </w:t>
      </w:r>
      <w:r w:rsidR="00E46EAD">
        <w:t>this repository</w:t>
      </w:r>
      <w:r w:rsidR="004C67D0">
        <w:t xml:space="preserve">.  </w:t>
      </w:r>
      <w:r w:rsidR="00AD4F57">
        <w:t>Instead, i</w:t>
      </w:r>
      <w:r w:rsidR="00E150D4">
        <w:t xml:space="preserve">t is intended that </w:t>
      </w:r>
      <w:r w:rsidR="00E150D4">
        <w:lastRenderedPageBreak/>
        <w:t xml:space="preserve">the Department of Human Services (representing </w:t>
      </w:r>
      <w:r w:rsidR="004C67D0">
        <w:t>Medicare</w:t>
      </w:r>
      <w:r w:rsidR="00E150D4">
        <w:t>)</w:t>
      </w:r>
      <w:r w:rsidR="004C67D0">
        <w:t xml:space="preserve"> and the Department of Health and Ageing </w:t>
      </w:r>
      <w:r w:rsidR="00176A6F">
        <w:t xml:space="preserve">(representing the System Operator) </w:t>
      </w:r>
      <w:r w:rsidR="004C67D0">
        <w:t xml:space="preserve">will </w:t>
      </w:r>
      <w:r w:rsidR="00176A6F">
        <w:t>enter into an agreement (which is not a participation agreement).  This is considered more appropriate due to the unique nature of the Chief Executive Medicare and its proposed repository.</w:t>
      </w:r>
      <w:r w:rsidR="00E150D4">
        <w:t xml:space="preserve"> </w:t>
      </w:r>
    </w:p>
    <w:p w:rsidR="004C67D0" w:rsidRDefault="004C67D0" w:rsidP="004C67D0">
      <w:pPr>
        <w:autoSpaceDE w:val="0"/>
        <w:autoSpaceDN w:val="0"/>
        <w:adjustRightInd w:val="0"/>
      </w:pPr>
    </w:p>
    <w:p w:rsidR="005541B0" w:rsidRDefault="00176A6F" w:rsidP="001F1280">
      <w:pPr>
        <w:autoSpaceDE w:val="0"/>
        <w:autoSpaceDN w:val="0"/>
        <w:adjustRightInd w:val="0"/>
      </w:pPr>
      <w:proofErr w:type="spellStart"/>
      <w:r>
        <w:t>Subrule</w:t>
      </w:r>
      <w:proofErr w:type="spellEnd"/>
      <w:r>
        <w:t xml:space="preserve"> 4(4) of the Participation Agreements Rules provides that the participations agreement, which healthcare provider organisations enter into with the System Operator, must use the terms which are specified in Schedule 1 to the Participation Agreement Rules.  Schedule 1 h</w:t>
      </w:r>
      <w:r w:rsidR="001F1280" w:rsidRPr="00754B2E">
        <w:t xml:space="preserve">as been developed following consultation </w:t>
      </w:r>
      <w:r w:rsidR="00AD4F57">
        <w:t xml:space="preserve">and agreement </w:t>
      </w:r>
      <w:r w:rsidR="001F1280" w:rsidRPr="00754B2E">
        <w:t xml:space="preserve">with the </w:t>
      </w:r>
      <w:r w:rsidR="001F1280">
        <w:t>representatives of healthcare provider</w:t>
      </w:r>
      <w:r w:rsidR="005541B0">
        <w:t>s</w:t>
      </w:r>
      <w:r w:rsidR="001F1280">
        <w:t xml:space="preserve"> and </w:t>
      </w:r>
      <w:r w:rsidR="005541B0">
        <w:t xml:space="preserve">medical indemnity </w:t>
      </w:r>
      <w:r w:rsidR="001F1280">
        <w:t>insur</w:t>
      </w:r>
      <w:r w:rsidR="005541B0">
        <w:t xml:space="preserve">ers.  </w:t>
      </w:r>
    </w:p>
    <w:p w:rsidR="005541B0" w:rsidRDefault="005541B0" w:rsidP="001F1280">
      <w:pPr>
        <w:autoSpaceDE w:val="0"/>
        <w:autoSpaceDN w:val="0"/>
        <w:adjustRightInd w:val="0"/>
      </w:pPr>
    </w:p>
    <w:p w:rsidR="001F1280" w:rsidRDefault="001F1280" w:rsidP="001F1280">
      <w:pPr>
        <w:autoSpaceDE w:val="0"/>
        <w:autoSpaceDN w:val="0"/>
        <w:adjustRightInd w:val="0"/>
        <w:rPr>
          <w:b/>
          <w:bCs/>
          <w:lang w:bidi="hi-IN"/>
        </w:rPr>
      </w:pPr>
      <w:r>
        <w:rPr>
          <w:b/>
          <w:bCs/>
          <w:lang w:bidi="hi-IN"/>
        </w:rPr>
        <w:t>SCHEDULE 1—PARTICIPATION AGREEMENT</w:t>
      </w:r>
      <w:r w:rsidR="009706DB">
        <w:rPr>
          <w:b/>
          <w:bCs/>
          <w:lang w:bidi="hi-IN"/>
        </w:rPr>
        <w:t>S</w:t>
      </w:r>
      <w:r w:rsidR="005A0AD1">
        <w:rPr>
          <w:b/>
          <w:bCs/>
          <w:lang w:bidi="hi-IN"/>
        </w:rPr>
        <w:t xml:space="preserve"> FOR </w:t>
      </w:r>
      <w:r>
        <w:rPr>
          <w:b/>
          <w:bCs/>
          <w:lang w:bidi="hi-IN"/>
        </w:rPr>
        <w:t>HEALTHCARE PROVIDER ORGANISATIONS</w:t>
      </w:r>
    </w:p>
    <w:p w:rsidR="001F1280" w:rsidRPr="007E6199" w:rsidRDefault="001F1280" w:rsidP="001F1280">
      <w:pPr>
        <w:autoSpaceDE w:val="0"/>
        <w:autoSpaceDN w:val="0"/>
        <w:adjustRightInd w:val="0"/>
        <w:rPr>
          <w:lang w:bidi="hi-IN"/>
        </w:rPr>
      </w:pPr>
    </w:p>
    <w:p w:rsidR="00176A6F" w:rsidRDefault="00176A6F" w:rsidP="001F1280">
      <w:r>
        <w:t>The Participation Agreements Rules do not specify terms for participations agreements for registered repository operators, registered portal operators or registered contracted service providers.  This is because some requirements relating to those participants in still under developments.  Once these requirements are finalized, it is intended that the Participations Agreements Rules will be amended or remade to include participation agreements for those participants in the PCEHR Rules.</w:t>
      </w:r>
    </w:p>
    <w:p w:rsidR="00176A6F" w:rsidRDefault="00176A6F" w:rsidP="001F1280"/>
    <w:p w:rsidR="001F1280" w:rsidRDefault="005A0AD1" w:rsidP="001F1280">
      <w:r>
        <w:t xml:space="preserve">Schedule 1 </w:t>
      </w:r>
      <w:proofErr w:type="gramStart"/>
      <w:r>
        <w:t>sets</w:t>
      </w:r>
      <w:proofErr w:type="gramEnd"/>
      <w:r>
        <w:t xml:space="preserve"> out the form and content </w:t>
      </w:r>
      <w:r w:rsidR="00335C12">
        <w:t xml:space="preserve">of the </w:t>
      </w:r>
      <w:r w:rsidR="00B91E73">
        <w:t xml:space="preserve">participation agreement </w:t>
      </w:r>
      <w:r w:rsidR="00176A6F">
        <w:t>which a he</w:t>
      </w:r>
      <w:r w:rsidR="00B91E73">
        <w:t xml:space="preserve">althcare provider organisation </w:t>
      </w:r>
      <w:r w:rsidR="00176A6F">
        <w:t>that wishes</w:t>
      </w:r>
      <w:r w:rsidR="00B91E73">
        <w:t xml:space="preserve"> to register to participate in the PCEHR system</w:t>
      </w:r>
      <w:r w:rsidR="00176A6F">
        <w:t xml:space="preserve"> must use</w:t>
      </w:r>
      <w:r w:rsidR="00B91E73">
        <w:t>.</w:t>
      </w:r>
    </w:p>
    <w:p w:rsidR="001F1280" w:rsidRDefault="001F1280" w:rsidP="001F1280"/>
    <w:p w:rsidR="004C67D0" w:rsidRDefault="004C67D0" w:rsidP="00D84C09">
      <w:pPr>
        <w:autoSpaceDE w:val="0"/>
        <w:autoSpaceDN w:val="0"/>
        <w:adjustRightInd w:val="0"/>
      </w:pPr>
    </w:p>
    <w:p w:rsidR="004C67D0" w:rsidRDefault="004C67D0" w:rsidP="00D84C09">
      <w:pPr>
        <w:autoSpaceDE w:val="0"/>
        <w:autoSpaceDN w:val="0"/>
        <w:adjustRightInd w:val="0"/>
      </w:pPr>
    </w:p>
    <w:p w:rsidR="004C67D0" w:rsidRDefault="004C67D0" w:rsidP="00D84C09">
      <w:pPr>
        <w:autoSpaceDE w:val="0"/>
        <w:autoSpaceDN w:val="0"/>
        <w:adjustRightInd w:val="0"/>
      </w:pPr>
    </w:p>
    <w:p w:rsidR="004C67D0" w:rsidRDefault="004C67D0" w:rsidP="00D84C09">
      <w:pPr>
        <w:autoSpaceDE w:val="0"/>
        <w:autoSpaceDN w:val="0"/>
        <w:adjustRightInd w:val="0"/>
      </w:pPr>
    </w:p>
    <w:p w:rsidR="0003047B" w:rsidRPr="005411F8" w:rsidRDefault="0003047B">
      <w:pPr>
        <w:rPr>
          <w:b/>
          <w:bCs/>
          <w:lang w:bidi="hi-IN"/>
        </w:rPr>
      </w:pPr>
      <w:r>
        <w:br w:type="page"/>
      </w:r>
    </w:p>
    <w:p w:rsidR="001D6543" w:rsidRPr="001F6C2E" w:rsidRDefault="001D6543" w:rsidP="001D6543">
      <w:pPr>
        <w:pStyle w:val="Heading1"/>
        <w:jc w:val="center"/>
        <w:rPr>
          <w:rFonts w:ascii="Times New Roman" w:hAnsi="Times New Roman"/>
          <w:color w:val="auto"/>
          <w:sz w:val="24"/>
          <w:szCs w:val="24"/>
        </w:rPr>
      </w:pPr>
      <w:bookmarkStart w:id="1" w:name="_Toc290210738"/>
      <w:r w:rsidRPr="001F6C2E">
        <w:rPr>
          <w:rFonts w:ascii="Times New Roman" w:hAnsi="Times New Roman"/>
          <w:color w:val="auto"/>
          <w:sz w:val="24"/>
          <w:szCs w:val="24"/>
        </w:rPr>
        <w:lastRenderedPageBreak/>
        <w:t xml:space="preserve">STATEMENT OF COMPATIBILITY FOR A BILL OR LEGISLATIVE INSTRUMENT THAT </w:t>
      </w:r>
      <w:r w:rsidRPr="001F6C2E">
        <w:rPr>
          <w:rFonts w:ascii="Times New Roman" w:hAnsi="Times New Roman"/>
          <w:color w:val="auto"/>
          <w:sz w:val="24"/>
          <w:szCs w:val="24"/>
          <w:u w:val="single"/>
        </w:rPr>
        <w:t>DOES NOT</w:t>
      </w:r>
      <w:r w:rsidRPr="001F6C2E">
        <w:rPr>
          <w:rFonts w:ascii="Times New Roman" w:hAnsi="Times New Roman"/>
          <w:color w:val="auto"/>
          <w:sz w:val="24"/>
          <w:szCs w:val="24"/>
        </w:rPr>
        <w:t xml:space="preserve"> RAISE ANY HUMAN RIGHTS ISSUES</w:t>
      </w:r>
      <w:bookmarkEnd w:id="1"/>
    </w:p>
    <w:p w:rsidR="001D6543" w:rsidRPr="001F6C2E" w:rsidRDefault="001D6543" w:rsidP="001D6543">
      <w:pPr>
        <w:ind w:left="720" w:hanging="720"/>
        <w:jc w:val="center"/>
      </w:pPr>
    </w:p>
    <w:p w:rsidR="001D6543" w:rsidRPr="001F6C2E" w:rsidRDefault="001D6543" w:rsidP="001D6543">
      <w:pPr>
        <w:ind w:left="720" w:hanging="720"/>
      </w:pPr>
      <w:r w:rsidRPr="001F6C2E">
        <w:rPr>
          <w:noProof/>
          <w:sz w:val="28"/>
          <w:szCs w:val="28"/>
          <w:lang w:val="en-AU" w:eastAsia="en-AU"/>
        </w:rPr>
        <mc:AlternateContent>
          <mc:Choice Requires="wps">
            <w:drawing>
              <wp:anchor distT="0" distB="0" distL="114300" distR="114300" simplePos="0" relativeHeight="251659264" behindDoc="0" locked="0" layoutInCell="1" allowOverlap="1" wp14:anchorId="0C40D49E" wp14:editId="2E29774F">
                <wp:simplePos x="0" y="0"/>
                <wp:positionH relativeFrom="column">
                  <wp:posOffset>-437606</wp:posOffset>
                </wp:positionH>
                <wp:positionV relativeFrom="paragraph">
                  <wp:posOffset>22860</wp:posOffset>
                </wp:positionV>
                <wp:extent cx="6162675" cy="5199017"/>
                <wp:effectExtent l="38100" t="38100" r="47625" b="400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5199017"/>
                        </a:xfrm>
                        <a:prstGeom prst="rect">
                          <a:avLst/>
                        </a:prstGeom>
                        <a:solidFill>
                          <a:srgbClr val="FFFFFF"/>
                        </a:solidFill>
                        <a:ln w="76200" cmpd="tri">
                          <a:solidFill>
                            <a:srgbClr val="000000"/>
                          </a:solidFill>
                          <a:miter lim="800000"/>
                          <a:headEnd/>
                          <a:tailEnd/>
                        </a:ln>
                      </wps:spPr>
                      <wps:txbx>
                        <w:txbxContent>
                          <w:p w:rsidR="00E46EAD" w:rsidRPr="00D664E6" w:rsidRDefault="00E46EAD" w:rsidP="001D6543">
                            <w:pPr>
                              <w:spacing w:before="120" w:after="120"/>
                              <w:jc w:val="center"/>
                              <w:rPr>
                                <w:b/>
                                <w:sz w:val="28"/>
                                <w:szCs w:val="28"/>
                              </w:rPr>
                            </w:pPr>
                            <w:r w:rsidRPr="00D664E6">
                              <w:rPr>
                                <w:b/>
                                <w:sz w:val="28"/>
                                <w:szCs w:val="28"/>
                              </w:rPr>
                              <w:t>Statement of Compatibility with Human Rights</w:t>
                            </w:r>
                          </w:p>
                          <w:p w:rsidR="00E46EAD" w:rsidRPr="00D664E6" w:rsidRDefault="00E46EAD" w:rsidP="001D6543">
                            <w:pPr>
                              <w:spacing w:before="120" w:after="120"/>
                              <w:jc w:val="center"/>
                            </w:pPr>
                            <w:r w:rsidRPr="00D664E6">
                              <w:rPr>
                                <w:i/>
                              </w:rPr>
                              <w:t>Prepared in accordance with Part 3 of the Human Rights (Parliamentary Scrutiny) Act 2011</w:t>
                            </w:r>
                          </w:p>
                          <w:p w:rsidR="00E46EAD" w:rsidRPr="003139D3" w:rsidRDefault="00E46EAD" w:rsidP="001D6543">
                            <w:pPr>
                              <w:jc w:val="center"/>
                              <w:rPr>
                                <w:sz w:val="12"/>
                                <w:szCs w:val="12"/>
                              </w:rPr>
                            </w:pPr>
                          </w:p>
                          <w:p w:rsidR="00E46EAD" w:rsidRPr="00D664E6" w:rsidRDefault="00E46EAD" w:rsidP="001D6543">
                            <w:pPr>
                              <w:spacing w:after="120"/>
                              <w:jc w:val="center"/>
                              <w:rPr>
                                <w:b/>
                              </w:rPr>
                            </w:pPr>
                            <w:r>
                              <w:rPr>
                                <w:b/>
                              </w:rPr>
                              <w:t>PCEHR (Participation Agreements) Rules 2012</w:t>
                            </w:r>
                          </w:p>
                          <w:p w:rsidR="00E46EAD" w:rsidRPr="00D664E6" w:rsidRDefault="00E46EAD" w:rsidP="001D6543">
                            <w:pPr>
                              <w:spacing w:before="120" w:after="120"/>
                              <w:jc w:val="center"/>
                            </w:pPr>
                            <w:r w:rsidRPr="00D664E6">
                              <w:t>Th</w:t>
                            </w:r>
                            <w:r>
                              <w:t>is Legislative Instrument is</w:t>
                            </w:r>
                            <w:r w:rsidRPr="00D664E6">
                              <w:t xml:space="preserve"> compatible with the human rights and freedoms recognised or declared in the international instruments listed in section 3 of the </w:t>
                            </w:r>
                            <w:r w:rsidRPr="00D664E6">
                              <w:rPr>
                                <w:i/>
                              </w:rPr>
                              <w:t>Human Rights (Parliamentary Scrutiny) Act 2011</w:t>
                            </w:r>
                            <w:r w:rsidRPr="00D664E6">
                              <w:t>.</w:t>
                            </w:r>
                          </w:p>
                          <w:p w:rsidR="00E46EAD" w:rsidRPr="003139D3" w:rsidRDefault="00E46EAD" w:rsidP="001D6543">
                            <w:pPr>
                              <w:jc w:val="both"/>
                              <w:rPr>
                                <w:b/>
                                <w:sz w:val="12"/>
                                <w:szCs w:val="12"/>
                              </w:rPr>
                            </w:pPr>
                          </w:p>
                          <w:p w:rsidR="00E46EAD" w:rsidRPr="00D664E6" w:rsidRDefault="00E46EAD" w:rsidP="001D6543">
                            <w:pPr>
                              <w:spacing w:after="120"/>
                              <w:jc w:val="both"/>
                              <w:rPr>
                                <w:b/>
                              </w:rPr>
                            </w:pPr>
                            <w:r w:rsidRPr="00D664E6">
                              <w:rPr>
                                <w:b/>
                              </w:rPr>
                              <w:t xml:space="preserve">Overview of the </w:t>
                            </w:r>
                            <w:r>
                              <w:rPr>
                                <w:b/>
                              </w:rPr>
                              <w:t>Legislative Instrument</w:t>
                            </w:r>
                          </w:p>
                          <w:p w:rsidR="00E46EAD" w:rsidRDefault="00E46EAD" w:rsidP="001D6543">
                            <w:pPr>
                              <w:spacing w:before="120" w:after="120"/>
                            </w:pPr>
                            <w:r>
                              <w:t xml:space="preserve">The Legislative instrument will provide detail necessary to support the operation of the personally controlled electronic health record (PCEHR) system, as established by the </w:t>
                            </w:r>
                            <w:r>
                              <w:rPr>
                                <w:i/>
                                <w:iCs/>
                              </w:rPr>
                              <w:t>Personally Controlled Electronic Health Records Act 2012</w:t>
                            </w:r>
                            <w:r>
                              <w:t xml:space="preserve"> (the Act).</w:t>
                            </w:r>
                          </w:p>
                          <w:p w:rsidR="00E46EAD" w:rsidRDefault="00E46EAD" w:rsidP="001D6543">
                            <w:pPr>
                              <w:spacing w:before="120" w:after="120"/>
                            </w:pPr>
                            <w:r>
                              <w:t>The Legislative Instrument will</w:t>
                            </w:r>
                            <w:r w:rsidRPr="001D6543">
                              <w:t xml:space="preserve"> </w:t>
                            </w:r>
                            <w:r>
                              <w:t xml:space="preserve">require participants </w:t>
                            </w:r>
                            <w:r w:rsidR="00176A6F">
                              <w:t>in the PCEHR system to e</w:t>
                            </w:r>
                            <w:r>
                              <w:t>nter into a participation agreement with the System Operator.</w:t>
                            </w:r>
                          </w:p>
                          <w:p w:rsidR="00E46EAD" w:rsidRPr="003139D3" w:rsidRDefault="00E46EAD" w:rsidP="001D6543">
                            <w:pPr>
                              <w:jc w:val="both"/>
                              <w:rPr>
                                <w:b/>
                                <w:sz w:val="12"/>
                                <w:szCs w:val="12"/>
                              </w:rPr>
                            </w:pPr>
                          </w:p>
                          <w:p w:rsidR="00E46EAD" w:rsidRDefault="00E46EAD" w:rsidP="001D6543">
                            <w:pPr>
                              <w:spacing w:after="120"/>
                              <w:rPr>
                                <w:b/>
                              </w:rPr>
                            </w:pPr>
                            <w:r w:rsidRPr="00D664E6">
                              <w:rPr>
                                <w:b/>
                              </w:rPr>
                              <w:t>Human rights implications</w:t>
                            </w:r>
                          </w:p>
                          <w:p w:rsidR="00E46EAD" w:rsidRDefault="00E46EAD" w:rsidP="001D6543">
                            <w:pPr>
                              <w:spacing w:before="120" w:after="120"/>
                              <w:rPr>
                                <w:bCs/>
                              </w:rPr>
                            </w:pPr>
                            <w:r>
                              <w:rPr>
                                <w:bCs/>
                              </w:rPr>
                              <w:t xml:space="preserve">This </w:t>
                            </w:r>
                            <w:r>
                              <w:t>Legislative Instrument does not engage any of the applicable rights or freedoms.</w:t>
                            </w:r>
                          </w:p>
                          <w:p w:rsidR="00E46EAD" w:rsidRPr="003139D3" w:rsidRDefault="00E46EAD" w:rsidP="001D6543">
                            <w:pPr>
                              <w:jc w:val="both"/>
                              <w:rPr>
                                <w:b/>
                                <w:sz w:val="12"/>
                                <w:szCs w:val="12"/>
                              </w:rPr>
                            </w:pPr>
                          </w:p>
                          <w:p w:rsidR="00E46EAD" w:rsidRPr="00211998" w:rsidRDefault="00E46EAD" w:rsidP="001D6543">
                            <w:pPr>
                              <w:spacing w:after="120"/>
                              <w:rPr>
                                <w:b/>
                              </w:rPr>
                            </w:pPr>
                            <w:r w:rsidRPr="00211998">
                              <w:rPr>
                                <w:b/>
                              </w:rPr>
                              <w:t xml:space="preserve">Conclusion </w:t>
                            </w:r>
                          </w:p>
                          <w:p w:rsidR="00E46EAD" w:rsidRPr="00211998" w:rsidRDefault="00E46EAD" w:rsidP="001D6543">
                            <w:pPr>
                              <w:spacing w:before="120" w:after="120"/>
                            </w:pPr>
                            <w:r w:rsidRPr="00211998">
                              <w:t xml:space="preserve">The </w:t>
                            </w:r>
                            <w:r>
                              <w:t>Legislative Instrument is</w:t>
                            </w:r>
                            <w:r w:rsidRPr="00211998">
                              <w:t xml:space="preserve"> compatible with human rights </w:t>
                            </w:r>
                            <w:r>
                              <w:t>as it does not raise any human rights issues.</w:t>
                            </w:r>
                          </w:p>
                          <w:p w:rsidR="00E46EAD" w:rsidRPr="00934C38" w:rsidRDefault="00E46EAD" w:rsidP="001D6543">
                            <w:pPr>
                              <w:jc w:val="both"/>
                              <w:rPr>
                                <w:b/>
                                <w:sz w:val="12"/>
                                <w:szCs w:val="12"/>
                              </w:rPr>
                            </w:pPr>
                          </w:p>
                          <w:p w:rsidR="00E46EAD" w:rsidRPr="003139D3" w:rsidRDefault="00E46EAD" w:rsidP="001D6543">
                            <w:pPr>
                              <w:spacing w:before="120" w:after="120"/>
                              <w:jc w:val="center"/>
                              <w:rPr>
                                <w:bCs/>
                              </w:rPr>
                            </w:pPr>
                            <w:r>
                              <w:rPr>
                                <w:b/>
                              </w:rPr>
                              <w:t>Minister for Health, the Hon Tanya Plibersek MP</w:t>
                            </w:r>
                          </w:p>
                          <w:p w:rsidR="00E46EAD" w:rsidRPr="00392CF1" w:rsidRDefault="00E46EAD" w:rsidP="001D6543">
                            <w:pPr>
                              <w:spacing w:before="120" w:after="120"/>
                              <w:rPr>
                                <w:bCs/>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5pt;margin-top:1.8pt;width:485.25pt;height:4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" strokeweight="6pt">
                <v:stroke linestyle="thickBetweenThin"/>
                <v:textbox inset="5mm,,5mm">
                  <w:txbxContent>
                    <w:p w:rsidR="00E46EAD" w:rsidRPr="00D664E6" w:rsidRDefault="00E46EAD" w:rsidP="001D6543">
                      <w:pPr>
                        <w:spacing w:before="120" w:after="120"/>
                        <w:jc w:val="center"/>
                        <w:rPr>
                          <w:b/>
                          <w:sz w:val="28"/>
                          <w:szCs w:val="28"/>
                        </w:rPr>
                      </w:pPr>
                      <w:r w:rsidRPr="00D664E6">
                        <w:rPr>
                          <w:b/>
                          <w:sz w:val="28"/>
                          <w:szCs w:val="28"/>
                        </w:rPr>
                        <w:t>Statement of Compatibility with Human Rights</w:t>
                      </w:r>
                    </w:p>
                    <w:p w:rsidR="00E46EAD" w:rsidRPr="00D664E6" w:rsidRDefault="00E46EAD" w:rsidP="001D6543">
                      <w:pPr>
                        <w:spacing w:before="120" w:after="120"/>
                        <w:jc w:val="center"/>
                      </w:pPr>
                      <w:r w:rsidRPr="00D664E6">
                        <w:rPr>
                          <w:i/>
                        </w:rPr>
                        <w:t>Prepared in accordance with Part 3 of the Human Rights (Parliamentary Scrutiny) Act 2011</w:t>
                      </w:r>
                    </w:p>
                    <w:p w:rsidR="00E46EAD" w:rsidRPr="003139D3" w:rsidRDefault="00E46EAD" w:rsidP="001D6543">
                      <w:pPr>
                        <w:jc w:val="center"/>
                        <w:rPr>
                          <w:sz w:val="12"/>
                          <w:szCs w:val="12"/>
                        </w:rPr>
                      </w:pPr>
                    </w:p>
                    <w:p w:rsidR="00E46EAD" w:rsidRPr="00D664E6" w:rsidRDefault="00E46EAD" w:rsidP="001D6543">
                      <w:pPr>
                        <w:spacing w:after="120"/>
                        <w:jc w:val="center"/>
                        <w:rPr>
                          <w:b/>
                        </w:rPr>
                      </w:pPr>
                      <w:r>
                        <w:rPr>
                          <w:b/>
                        </w:rPr>
                        <w:t>PCEHR (Participation Agreements) Rules 2012</w:t>
                      </w:r>
                    </w:p>
                    <w:p w:rsidR="00E46EAD" w:rsidRPr="00D664E6" w:rsidRDefault="00E46EAD" w:rsidP="001D6543">
                      <w:pPr>
                        <w:spacing w:before="120" w:after="120"/>
                        <w:jc w:val="center"/>
                      </w:pPr>
                      <w:r w:rsidRPr="00D664E6">
                        <w:t>Th</w:t>
                      </w:r>
                      <w:r>
                        <w:t>is Legislative Instrument is</w:t>
                      </w:r>
                      <w:r w:rsidRPr="00D664E6">
                        <w:t xml:space="preserve"> compatible with the human rights and freedoms recognised or declared in the international instruments listed in section 3 of the </w:t>
                      </w:r>
                      <w:r w:rsidRPr="00D664E6">
                        <w:rPr>
                          <w:i/>
                        </w:rPr>
                        <w:t>Human Rights (Parliamentary Scrutiny) Act 2011</w:t>
                      </w:r>
                      <w:r w:rsidRPr="00D664E6">
                        <w:t>.</w:t>
                      </w:r>
                    </w:p>
                    <w:p w:rsidR="00E46EAD" w:rsidRPr="003139D3" w:rsidRDefault="00E46EAD" w:rsidP="001D6543">
                      <w:pPr>
                        <w:jc w:val="both"/>
                        <w:rPr>
                          <w:b/>
                          <w:sz w:val="12"/>
                          <w:szCs w:val="12"/>
                        </w:rPr>
                      </w:pPr>
                    </w:p>
                    <w:p w:rsidR="00E46EAD" w:rsidRPr="00D664E6" w:rsidRDefault="00E46EAD" w:rsidP="001D6543">
                      <w:pPr>
                        <w:spacing w:after="120"/>
                        <w:jc w:val="both"/>
                        <w:rPr>
                          <w:b/>
                        </w:rPr>
                      </w:pPr>
                      <w:r w:rsidRPr="00D664E6">
                        <w:rPr>
                          <w:b/>
                        </w:rPr>
                        <w:t xml:space="preserve">Overview of the </w:t>
                      </w:r>
                      <w:r>
                        <w:rPr>
                          <w:b/>
                        </w:rPr>
                        <w:t>Legislative Instrument</w:t>
                      </w:r>
                    </w:p>
                    <w:p w:rsidR="00E46EAD" w:rsidRDefault="00E46EAD" w:rsidP="001D6543">
                      <w:pPr>
                        <w:spacing w:before="120" w:after="120"/>
                      </w:pPr>
                      <w:r>
                        <w:t xml:space="preserve">The Legislative instrument will provide detail necessary to support the operation of the personally controlled electronic health record (PCEHR) system, as established by the </w:t>
                      </w:r>
                      <w:r>
                        <w:rPr>
                          <w:i/>
                          <w:iCs/>
                        </w:rPr>
                        <w:t>Personally Controlled Electronic Health Records Act 2012</w:t>
                      </w:r>
                      <w:r>
                        <w:t xml:space="preserve"> (the Act).</w:t>
                      </w:r>
                    </w:p>
                    <w:p w:rsidR="00E46EAD" w:rsidRDefault="00E46EAD" w:rsidP="001D6543">
                      <w:pPr>
                        <w:spacing w:before="120" w:after="120"/>
                      </w:pPr>
                      <w:r>
                        <w:t>The Legislative Instrument will</w:t>
                      </w:r>
                      <w:r w:rsidRPr="001D6543">
                        <w:t xml:space="preserve"> </w:t>
                      </w:r>
                      <w:r>
                        <w:t xml:space="preserve">require participants </w:t>
                      </w:r>
                      <w:r w:rsidR="00176A6F">
                        <w:t>in the PCEHR system to e</w:t>
                      </w:r>
                      <w:bookmarkStart w:id="2" w:name="_GoBack"/>
                      <w:bookmarkEnd w:id="2"/>
                      <w:r>
                        <w:t>nter into a participation agreement with the System Operator.</w:t>
                      </w:r>
                    </w:p>
                    <w:p w:rsidR="00E46EAD" w:rsidRPr="003139D3" w:rsidRDefault="00E46EAD" w:rsidP="001D6543">
                      <w:pPr>
                        <w:jc w:val="both"/>
                        <w:rPr>
                          <w:b/>
                          <w:sz w:val="12"/>
                          <w:szCs w:val="12"/>
                        </w:rPr>
                      </w:pPr>
                    </w:p>
                    <w:p w:rsidR="00E46EAD" w:rsidRDefault="00E46EAD" w:rsidP="001D6543">
                      <w:pPr>
                        <w:spacing w:after="120"/>
                        <w:rPr>
                          <w:b/>
                        </w:rPr>
                      </w:pPr>
                      <w:r w:rsidRPr="00D664E6">
                        <w:rPr>
                          <w:b/>
                        </w:rPr>
                        <w:t>Human rights implications</w:t>
                      </w:r>
                    </w:p>
                    <w:p w:rsidR="00E46EAD" w:rsidRDefault="00E46EAD" w:rsidP="001D6543">
                      <w:pPr>
                        <w:spacing w:before="120" w:after="120"/>
                        <w:rPr>
                          <w:bCs/>
                        </w:rPr>
                      </w:pPr>
                      <w:r>
                        <w:rPr>
                          <w:bCs/>
                        </w:rPr>
                        <w:t xml:space="preserve">This </w:t>
                      </w:r>
                      <w:r>
                        <w:t>Legislative Instrument does not engage any of the applicable rights or freedoms.</w:t>
                      </w:r>
                    </w:p>
                    <w:p w:rsidR="00E46EAD" w:rsidRPr="003139D3" w:rsidRDefault="00E46EAD" w:rsidP="001D6543">
                      <w:pPr>
                        <w:jc w:val="both"/>
                        <w:rPr>
                          <w:b/>
                          <w:sz w:val="12"/>
                          <w:szCs w:val="12"/>
                        </w:rPr>
                      </w:pPr>
                    </w:p>
                    <w:p w:rsidR="00E46EAD" w:rsidRPr="00211998" w:rsidRDefault="00E46EAD" w:rsidP="001D6543">
                      <w:pPr>
                        <w:spacing w:after="120"/>
                        <w:rPr>
                          <w:b/>
                        </w:rPr>
                      </w:pPr>
                      <w:r w:rsidRPr="00211998">
                        <w:rPr>
                          <w:b/>
                        </w:rPr>
                        <w:t xml:space="preserve">Conclusion </w:t>
                      </w:r>
                    </w:p>
                    <w:p w:rsidR="00E46EAD" w:rsidRPr="00211998" w:rsidRDefault="00E46EAD" w:rsidP="001D6543">
                      <w:pPr>
                        <w:spacing w:before="120" w:after="120"/>
                      </w:pPr>
                      <w:r w:rsidRPr="00211998">
                        <w:t xml:space="preserve">The </w:t>
                      </w:r>
                      <w:r>
                        <w:t>Legislative Instrument is</w:t>
                      </w:r>
                      <w:r w:rsidRPr="00211998">
                        <w:t xml:space="preserve"> compatible with human rights </w:t>
                      </w:r>
                      <w:r>
                        <w:t>as it does not raise any human rights issues.</w:t>
                      </w:r>
                    </w:p>
                    <w:p w:rsidR="00E46EAD" w:rsidRPr="00934C38" w:rsidRDefault="00E46EAD" w:rsidP="001D6543">
                      <w:pPr>
                        <w:jc w:val="both"/>
                        <w:rPr>
                          <w:b/>
                          <w:sz w:val="12"/>
                          <w:szCs w:val="12"/>
                        </w:rPr>
                      </w:pPr>
                    </w:p>
                    <w:p w:rsidR="00E46EAD" w:rsidRPr="003139D3" w:rsidRDefault="00E46EAD" w:rsidP="001D6543">
                      <w:pPr>
                        <w:spacing w:before="120" w:after="120"/>
                        <w:jc w:val="center"/>
                        <w:rPr>
                          <w:bCs/>
                        </w:rPr>
                      </w:pPr>
                      <w:r>
                        <w:rPr>
                          <w:b/>
                        </w:rPr>
                        <w:t>Minister for Health, the Hon Tanya Plibersek MP</w:t>
                      </w:r>
                    </w:p>
                    <w:p w:rsidR="00E46EAD" w:rsidRPr="00392CF1" w:rsidRDefault="00E46EAD" w:rsidP="001D6543">
                      <w:pPr>
                        <w:spacing w:before="120" w:after="120"/>
                        <w:rPr>
                          <w:bCs/>
                        </w:rPr>
                      </w:pPr>
                    </w:p>
                  </w:txbxContent>
                </v:textbox>
              </v:rect>
            </w:pict>
          </mc:Fallback>
        </mc:AlternateContent>
      </w: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1D6543" w:rsidRDefault="001D6543" w:rsidP="001D6543">
      <w:pPr>
        <w:ind w:left="720" w:hanging="720"/>
      </w:pPr>
    </w:p>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Default="0003047B" w:rsidP="0003047B"/>
    <w:p w:rsidR="0003047B" w:rsidRPr="00047847" w:rsidRDefault="0003047B" w:rsidP="0003047B">
      <w:pPr>
        <w:pStyle w:val="HealthLevel1"/>
        <w:tabs>
          <w:tab w:val="clear" w:pos="851"/>
        </w:tabs>
        <w:spacing w:before="0" w:after="120" w:line="240" w:lineRule="auto"/>
        <w:ind w:left="0"/>
      </w:pPr>
    </w:p>
    <w:sectPr w:rsidR="0003047B" w:rsidRPr="0004784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AD" w:rsidRDefault="00E46EAD">
      <w:r>
        <w:separator/>
      </w:r>
    </w:p>
  </w:endnote>
  <w:endnote w:type="continuationSeparator" w:id="0">
    <w:p w:rsidR="00E46EAD" w:rsidRDefault="00E4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AD" w:rsidRDefault="00E4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AD" w:rsidRDefault="00E46EAD">
      <w:r>
        <w:separator/>
      </w:r>
    </w:p>
  </w:footnote>
  <w:footnote w:type="continuationSeparator" w:id="0">
    <w:p w:rsidR="00E46EAD" w:rsidRDefault="00E4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AD" w:rsidRDefault="00E46E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46EAD" w:rsidRDefault="00E46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AD" w:rsidRDefault="00E46EAD"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823D36">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AD" w:rsidRDefault="00E46EAD" w:rsidP="00DC5A2F">
    <w:pPr>
      <w:pStyle w:val="Header"/>
      <w:jc w:val="center"/>
    </w:pPr>
    <w:r>
      <w:rPr>
        <w:rStyle w:val="PageNumber"/>
      </w:rPr>
      <w:fldChar w:fldCharType="begin"/>
    </w:r>
    <w:r>
      <w:rPr>
        <w:rStyle w:val="PageNumber"/>
      </w:rPr>
      <w:instrText xml:space="preserve"> PAGE </w:instrText>
    </w:r>
    <w:r>
      <w:rPr>
        <w:rStyle w:val="PageNumber"/>
      </w:rPr>
      <w:fldChar w:fldCharType="separate"/>
    </w:r>
    <w:r w:rsidR="00823D36">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6D"/>
    <w:multiLevelType w:val="hybridMultilevel"/>
    <w:tmpl w:val="DFDCB97C"/>
    <w:lvl w:ilvl="0" w:tplc="0B865CD2">
      <w:start w:val="1"/>
      <w:numFmt w:val="bullet"/>
      <w:lvlText w:val=""/>
      <w:lvlJc w:val="left"/>
      <w:pPr>
        <w:tabs>
          <w:tab w:val="num" w:pos="567"/>
        </w:tabs>
        <w:ind w:left="567" w:hanging="567"/>
      </w:pPr>
      <w:rPr>
        <w:rFonts w:ascii="Symbol" w:hAnsi="Symbol" w:hint="default"/>
      </w:rPr>
    </w:lvl>
    <w:lvl w:ilvl="1" w:tplc="3B48BC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434456"/>
    <w:multiLevelType w:val="hybridMultilevel"/>
    <w:tmpl w:val="D41CF3FC"/>
    <w:lvl w:ilvl="0" w:tplc="0B865CD2">
      <w:start w:val="1"/>
      <w:numFmt w:val="bullet"/>
      <w:lvlText w:val=""/>
      <w:lvlJc w:val="left"/>
      <w:pPr>
        <w:tabs>
          <w:tab w:val="num" w:pos="567"/>
        </w:tabs>
        <w:ind w:left="567" w:hanging="567"/>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r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0299650C"/>
    <w:multiLevelType w:val="hybridMultilevel"/>
    <w:tmpl w:val="05D2A386"/>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E2A6B33C">
      <w:start w:val="1"/>
      <w:numFmt w:val="lowerLetter"/>
      <w:lvlText w:val="(%3)"/>
      <w:lvlJc w:val="left"/>
      <w:pPr>
        <w:tabs>
          <w:tab w:val="num" w:pos="2517"/>
        </w:tabs>
        <w:ind w:left="2517" w:hanging="360"/>
      </w:pPr>
      <w:rPr>
        <w:rFont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nsid w:val="048C2355"/>
    <w:multiLevelType w:val="hybridMultilevel"/>
    <w:tmpl w:val="6192B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16354A"/>
    <w:multiLevelType w:val="hybridMultilevel"/>
    <w:tmpl w:val="1C38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27EA0"/>
    <w:multiLevelType w:val="hybridMultilevel"/>
    <w:tmpl w:val="2076BFC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nsid w:val="11493FCD"/>
    <w:multiLevelType w:val="hybridMultilevel"/>
    <w:tmpl w:val="B204B2A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228CA"/>
    <w:multiLevelType w:val="hybridMultilevel"/>
    <w:tmpl w:val="1F5E98CC"/>
    <w:lvl w:ilvl="0" w:tplc="660096BE">
      <w:start w:val="1"/>
      <w:numFmt w:val="lowerLetter"/>
      <w:lvlText w:val="(%1)"/>
      <w:lvlJc w:val="left"/>
      <w:pPr>
        <w:tabs>
          <w:tab w:val="num" w:pos="1255"/>
        </w:tabs>
        <w:ind w:left="1255" w:hanging="855"/>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8">
    <w:nsid w:val="157A122D"/>
    <w:multiLevelType w:val="hybridMultilevel"/>
    <w:tmpl w:val="D64E0BB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A141DCC"/>
    <w:multiLevelType w:val="hybridMultilevel"/>
    <w:tmpl w:val="BCC6A8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754D2"/>
    <w:multiLevelType w:val="hybridMultilevel"/>
    <w:tmpl w:val="7EC26A4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nsid w:val="1E072E3A"/>
    <w:multiLevelType w:val="hybridMultilevel"/>
    <w:tmpl w:val="379CB450"/>
    <w:lvl w:ilvl="0" w:tplc="660096BE">
      <w:start w:val="1"/>
      <w:numFmt w:val="lowerLetter"/>
      <w:lvlText w:val="(%1)"/>
      <w:lvlJc w:val="left"/>
      <w:pPr>
        <w:tabs>
          <w:tab w:val="num" w:pos="855"/>
        </w:tabs>
        <w:ind w:left="855" w:hanging="855"/>
      </w:pPr>
      <w:rPr>
        <w:rFonts w:hint="default"/>
      </w:rPr>
    </w:lvl>
    <w:lvl w:ilvl="1" w:tplc="17E40FB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1073A46"/>
    <w:multiLevelType w:val="hybridMultilevel"/>
    <w:tmpl w:val="B3E0047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211D190A"/>
    <w:multiLevelType w:val="hybridMultilevel"/>
    <w:tmpl w:val="AC4210DE"/>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5">
    <w:nsid w:val="218F307A"/>
    <w:multiLevelType w:val="hybridMultilevel"/>
    <w:tmpl w:val="0F5A6222"/>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E441DB"/>
    <w:multiLevelType w:val="hybridMultilevel"/>
    <w:tmpl w:val="66983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E5F1BF3"/>
    <w:multiLevelType w:val="multilevel"/>
    <w:tmpl w:val="0F6A930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977D1B"/>
    <w:multiLevelType w:val="hybridMultilevel"/>
    <w:tmpl w:val="B3204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A54A0B"/>
    <w:multiLevelType w:val="hybridMultilevel"/>
    <w:tmpl w:val="2B0E2D66"/>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016A819E">
      <w:start w:val="1"/>
      <w:numFmt w:val="lowerRoman"/>
      <w:lvlText w:val="(%3)"/>
      <w:lvlJc w:val="left"/>
      <w:pPr>
        <w:tabs>
          <w:tab w:val="num" w:pos="2877"/>
        </w:tabs>
        <w:ind w:left="2877" w:hanging="720"/>
      </w:pPr>
      <w:rPr>
        <w:rFont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nsid w:val="36117404"/>
    <w:multiLevelType w:val="hybridMultilevel"/>
    <w:tmpl w:val="3082712E"/>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3">
    <w:nsid w:val="366B62A1"/>
    <w:multiLevelType w:val="hybridMultilevel"/>
    <w:tmpl w:val="0F6A930C"/>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993290"/>
    <w:multiLevelType w:val="multilevel"/>
    <w:tmpl w:val="85883E1C"/>
    <w:lvl w:ilvl="0">
      <w:start w:val="1"/>
      <w:numFmt w:val="decimal"/>
      <w:lvlText w:val="%1"/>
      <w:lvlJc w:val="left"/>
      <w:pPr>
        <w:tabs>
          <w:tab w:val="num" w:pos="1134"/>
        </w:tabs>
        <w:ind w:hanging="1134"/>
      </w:pPr>
      <w:rPr>
        <w:rFonts w:cs="Times New Roman" w:hint="default"/>
      </w:rPr>
    </w:lvl>
    <w:lvl w:ilvl="1">
      <w:start w:val="1"/>
      <w:numFmt w:val="decimal"/>
      <w:lvlText w:val="%1.%2"/>
      <w:lvlJc w:val="left"/>
      <w:pPr>
        <w:tabs>
          <w:tab w:val="num" w:pos="1134"/>
        </w:tabs>
        <w:ind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tabs>
          <w:tab w:val="num" w:pos="2268"/>
        </w:tabs>
        <w:ind w:left="2268"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3444CDE"/>
    <w:multiLevelType w:val="hybridMultilevel"/>
    <w:tmpl w:val="3476FB7E"/>
    <w:lvl w:ilvl="0" w:tplc="0409000F">
      <w:start w:val="1"/>
      <w:numFmt w:val="decimal"/>
      <w:lvlText w:val="%1."/>
      <w:lvlJc w:val="left"/>
      <w:pPr>
        <w:tabs>
          <w:tab w:val="num" w:pos="320"/>
        </w:tabs>
        <w:ind w:left="320" w:hanging="360"/>
      </w:p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26">
    <w:nsid w:val="45982503"/>
    <w:multiLevelType w:val="hybridMultilevel"/>
    <w:tmpl w:val="5AE6B796"/>
    <w:lvl w:ilvl="0" w:tplc="4F5A8E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F40C96"/>
    <w:multiLevelType w:val="hybridMultilevel"/>
    <w:tmpl w:val="A53C636A"/>
    <w:lvl w:ilvl="0" w:tplc="0409000F">
      <w:start w:val="1"/>
      <w:numFmt w:val="decimal"/>
      <w:lvlText w:val="%1."/>
      <w:lvlJc w:val="left"/>
      <w:pPr>
        <w:tabs>
          <w:tab w:val="num" w:pos="360"/>
        </w:tabs>
        <w:ind w:left="360" w:hanging="360"/>
      </w:p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A626B1"/>
    <w:multiLevelType w:val="hybridMultilevel"/>
    <w:tmpl w:val="0DFE1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9C2554F"/>
    <w:multiLevelType w:val="hybridMultilevel"/>
    <w:tmpl w:val="FDBA548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D94BB6"/>
    <w:multiLevelType w:val="hybridMultilevel"/>
    <w:tmpl w:val="A96898E2"/>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1">
    <w:nsid w:val="4D9D525F"/>
    <w:multiLevelType w:val="hybridMultilevel"/>
    <w:tmpl w:val="8352660E"/>
    <w:lvl w:ilvl="0" w:tplc="D97045C2">
      <w:start w:val="6"/>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E253784"/>
    <w:multiLevelType w:val="hybridMultilevel"/>
    <w:tmpl w:val="239C63DA"/>
    <w:lvl w:ilvl="0" w:tplc="0B865CD2">
      <w:start w:val="1"/>
      <w:numFmt w:val="bullet"/>
      <w:lvlText w:val=""/>
      <w:lvlJc w:val="left"/>
      <w:pPr>
        <w:tabs>
          <w:tab w:val="num" w:pos="567"/>
        </w:tabs>
        <w:ind w:left="567" w:hanging="567"/>
      </w:pPr>
      <w:rPr>
        <w:rFonts w:ascii="Symbol" w:hAnsi="Symbol" w:hint="default"/>
      </w:rPr>
    </w:lvl>
    <w:lvl w:ilvl="1" w:tplc="17E40FB0">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5032DA9"/>
    <w:multiLevelType w:val="hybridMultilevel"/>
    <w:tmpl w:val="7C343A14"/>
    <w:lvl w:ilvl="0" w:tplc="04090001">
      <w:start w:val="1"/>
      <w:numFmt w:val="bullet"/>
      <w:lvlText w:val=""/>
      <w:lvlJc w:val="left"/>
      <w:pPr>
        <w:tabs>
          <w:tab w:val="num" w:pos="717"/>
        </w:tabs>
        <w:ind w:left="717" w:hanging="360"/>
      </w:pPr>
      <w:rPr>
        <w:rFonts w:ascii="Symbol" w:hAnsi="Symbol" w:hint="default"/>
      </w:rPr>
    </w:lvl>
    <w:lvl w:ilvl="1" w:tplc="0409000F">
      <w:start w:val="1"/>
      <w:numFmt w:val="decimal"/>
      <w:lvlText w:val="%2."/>
      <w:lvlJc w:val="left"/>
      <w:pPr>
        <w:tabs>
          <w:tab w:val="num" w:pos="1797"/>
        </w:tabs>
        <w:ind w:left="1797" w:hanging="360"/>
      </w:pPr>
      <w:rPr>
        <w:rFonts w:hint="default"/>
      </w:rPr>
    </w:lvl>
    <w:lvl w:ilvl="2" w:tplc="D3C2745A">
      <w:start w:val="1"/>
      <w:numFmt w:val="lowerRoman"/>
      <w:lvlText w:val="(%3)"/>
      <w:lvlJc w:val="left"/>
      <w:pPr>
        <w:tabs>
          <w:tab w:val="num" w:pos="2877"/>
        </w:tabs>
        <w:ind w:left="2877" w:hanging="720"/>
      </w:pPr>
      <w:rPr>
        <w:rFonts w:hint="default"/>
      </w:rPr>
    </w:lvl>
    <w:lvl w:ilvl="3" w:tplc="0409000F">
      <w:start w:val="1"/>
      <w:numFmt w:val="decimal"/>
      <w:lvlText w:val="%4."/>
      <w:lvlJc w:val="left"/>
      <w:pPr>
        <w:tabs>
          <w:tab w:val="num" w:pos="3237"/>
        </w:tabs>
        <w:ind w:left="3237" w:hanging="360"/>
      </w:pPr>
      <w:rPr>
        <w:rFonts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4">
    <w:nsid w:val="56930823"/>
    <w:multiLevelType w:val="hybridMultilevel"/>
    <w:tmpl w:val="AC803B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663874"/>
    <w:multiLevelType w:val="hybridMultilevel"/>
    <w:tmpl w:val="0660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B00036"/>
    <w:multiLevelType w:val="hybridMultilevel"/>
    <w:tmpl w:val="48A2C5F4"/>
    <w:lvl w:ilvl="0" w:tplc="F09A0D8E">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0E86656"/>
    <w:multiLevelType w:val="hybridMultilevel"/>
    <w:tmpl w:val="9FF4D6C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8">
    <w:nsid w:val="67F743FB"/>
    <w:multiLevelType w:val="hybridMultilevel"/>
    <w:tmpl w:val="50589D52"/>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9">
    <w:nsid w:val="683B7424"/>
    <w:multiLevelType w:val="hybridMultilevel"/>
    <w:tmpl w:val="941439E8"/>
    <w:lvl w:ilvl="0" w:tplc="0409000F">
      <w:start w:val="1"/>
      <w:numFmt w:val="decimal"/>
      <w:lvlText w:val="%1."/>
      <w:lvlJc w:val="left"/>
      <w:pPr>
        <w:tabs>
          <w:tab w:val="num" w:pos="323"/>
        </w:tabs>
        <w:ind w:left="323" w:hanging="360"/>
      </w:pPr>
    </w:lvl>
    <w:lvl w:ilvl="1" w:tplc="04090019" w:tentative="1">
      <w:start w:val="1"/>
      <w:numFmt w:val="lowerLetter"/>
      <w:lvlText w:val="%2."/>
      <w:lvlJc w:val="left"/>
      <w:pPr>
        <w:tabs>
          <w:tab w:val="num" w:pos="1043"/>
        </w:tabs>
        <w:ind w:left="1043" w:hanging="360"/>
      </w:pPr>
    </w:lvl>
    <w:lvl w:ilvl="2" w:tplc="0409001B" w:tentative="1">
      <w:start w:val="1"/>
      <w:numFmt w:val="lowerRoman"/>
      <w:lvlText w:val="%3."/>
      <w:lvlJc w:val="right"/>
      <w:pPr>
        <w:tabs>
          <w:tab w:val="num" w:pos="1763"/>
        </w:tabs>
        <w:ind w:left="1763" w:hanging="180"/>
      </w:pPr>
    </w:lvl>
    <w:lvl w:ilvl="3" w:tplc="0409000F" w:tentative="1">
      <w:start w:val="1"/>
      <w:numFmt w:val="decimal"/>
      <w:lvlText w:val="%4."/>
      <w:lvlJc w:val="left"/>
      <w:pPr>
        <w:tabs>
          <w:tab w:val="num" w:pos="2483"/>
        </w:tabs>
        <w:ind w:left="2483" w:hanging="360"/>
      </w:pPr>
    </w:lvl>
    <w:lvl w:ilvl="4" w:tplc="04090019" w:tentative="1">
      <w:start w:val="1"/>
      <w:numFmt w:val="lowerLetter"/>
      <w:lvlText w:val="%5."/>
      <w:lvlJc w:val="left"/>
      <w:pPr>
        <w:tabs>
          <w:tab w:val="num" w:pos="3203"/>
        </w:tabs>
        <w:ind w:left="3203" w:hanging="360"/>
      </w:pPr>
    </w:lvl>
    <w:lvl w:ilvl="5" w:tplc="0409001B" w:tentative="1">
      <w:start w:val="1"/>
      <w:numFmt w:val="lowerRoman"/>
      <w:lvlText w:val="%6."/>
      <w:lvlJc w:val="right"/>
      <w:pPr>
        <w:tabs>
          <w:tab w:val="num" w:pos="3923"/>
        </w:tabs>
        <w:ind w:left="3923" w:hanging="180"/>
      </w:pPr>
    </w:lvl>
    <w:lvl w:ilvl="6" w:tplc="0409000F" w:tentative="1">
      <w:start w:val="1"/>
      <w:numFmt w:val="decimal"/>
      <w:lvlText w:val="%7."/>
      <w:lvlJc w:val="left"/>
      <w:pPr>
        <w:tabs>
          <w:tab w:val="num" w:pos="4643"/>
        </w:tabs>
        <w:ind w:left="4643" w:hanging="360"/>
      </w:pPr>
    </w:lvl>
    <w:lvl w:ilvl="7" w:tplc="04090019" w:tentative="1">
      <w:start w:val="1"/>
      <w:numFmt w:val="lowerLetter"/>
      <w:lvlText w:val="%8."/>
      <w:lvlJc w:val="left"/>
      <w:pPr>
        <w:tabs>
          <w:tab w:val="num" w:pos="5363"/>
        </w:tabs>
        <w:ind w:left="5363" w:hanging="360"/>
      </w:pPr>
    </w:lvl>
    <w:lvl w:ilvl="8" w:tplc="0409001B" w:tentative="1">
      <w:start w:val="1"/>
      <w:numFmt w:val="lowerRoman"/>
      <w:lvlText w:val="%9."/>
      <w:lvlJc w:val="right"/>
      <w:pPr>
        <w:tabs>
          <w:tab w:val="num" w:pos="6083"/>
        </w:tabs>
        <w:ind w:left="6083" w:hanging="180"/>
      </w:pPr>
    </w:lvl>
  </w:abstractNum>
  <w:abstractNum w:abstractNumId="40">
    <w:nsid w:val="6DB87905"/>
    <w:multiLevelType w:val="hybridMultilevel"/>
    <w:tmpl w:val="E98AF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6F0963"/>
    <w:multiLevelType w:val="hybridMultilevel"/>
    <w:tmpl w:val="7C4A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DA21B9"/>
    <w:multiLevelType w:val="hybridMultilevel"/>
    <w:tmpl w:val="299237CE"/>
    <w:lvl w:ilvl="0" w:tplc="91700758">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952660"/>
    <w:multiLevelType w:val="hybridMultilevel"/>
    <w:tmpl w:val="EB52672A"/>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2407D9"/>
    <w:multiLevelType w:val="hybridMultilevel"/>
    <w:tmpl w:val="3C620A28"/>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440"/>
        </w:tabs>
        <w:ind w:left="1440" w:hanging="360"/>
      </w:pPr>
    </w:lvl>
    <w:lvl w:ilvl="2" w:tplc="EFE009CA">
      <w:start w:val="1"/>
      <w:numFmt w:val="lowerLetter"/>
      <w:lvlText w:val="(%3)"/>
      <w:lvlJc w:val="left"/>
      <w:pPr>
        <w:tabs>
          <w:tab w:val="num" w:pos="2475"/>
        </w:tabs>
        <w:ind w:left="2475" w:hanging="49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A61A1A"/>
    <w:multiLevelType w:val="hybridMultilevel"/>
    <w:tmpl w:val="7FB6F5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E14328"/>
    <w:multiLevelType w:val="hybridMultilevel"/>
    <w:tmpl w:val="F9B0723A"/>
    <w:lvl w:ilvl="0" w:tplc="04090001">
      <w:start w:val="1"/>
      <w:numFmt w:val="bullet"/>
      <w:lvlText w:val=""/>
      <w:lvlJc w:val="left"/>
      <w:pPr>
        <w:tabs>
          <w:tab w:val="num" w:pos="920"/>
        </w:tabs>
        <w:ind w:left="920" w:hanging="360"/>
      </w:pPr>
      <w:rPr>
        <w:rFonts w:ascii="Symbol" w:hAnsi="Symbol" w:hint="default"/>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1">
      <w:start w:val="1"/>
      <w:numFmt w:val="bullet"/>
      <w:lvlText w:val=""/>
      <w:lvlJc w:val="left"/>
      <w:pPr>
        <w:tabs>
          <w:tab w:val="num" w:pos="2360"/>
        </w:tabs>
        <w:ind w:left="2360" w:hanging="360"/>
      </w:pPr>
      <w:rPr>
        <w:rFonts w:ascii="Symbol" w:hAnsi="Symbol"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47">
    <w:nsid w:val="7DF44A08"/>
    <w:multiLevelType w:val="hybridMultilevel"/>
    <w:tmpl w:val="AE14AF8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num w:numId="1">
    <w:abstractNumId w:val="18"/>
  </w:num>
  <w:num w:numId="2">
    <w:abstractNumId w:val="42"/>
  </w:num>
  <w:num w:numId="3">
    <w:abstractNumId w:val="20"/>
  </w:num>
  <w:num w:numId="4">
    <w:abstractNumId w:val="16"/>
  </w:num>
  <w:num w:numId="5">
    <w:abstractNumId w:val="41"/>
  </w:num>
  <w:num w:numId="6">
    <w:abstractNumId w:val="17"/>
  </w:num>
  <w:num w:numId="7">
    <w:abstractNumId w:val="3"/>
  </w:num>
  <w:num w:numId="8">
    <w:abstractNumId w:val="40"/>
  </w:num>
  <w:num w:numId="9">
    <w:abstractNumId w:val="44"/>
  </w:num>
  <w:num w:numId="10">
    <w:abstractNumId w:val="28"/>
  </w:num>
  <w:num w:numId="11">
    <w:abstractNumId w:val="5"/>
  </w:num>
  <w:num w:numId="12">
    <w:abstractNumId w:val="46"/>
  </w:num>
  <w:num w:numId="13">
    <w:abstractNumId w:val="47"/>
  </w:num>
  <w:num w:numId="14">
    <w:abstractNumId w:val="14"/>
  </w:num>
  <w:num w:numId="15">
    <w:abstractNumId w:val="38"/>
  </w:num>
  <w:num w:numId="16">
    <w:abstractNumId w:val="30"/>
  </w:num>
  <w:num w:numId="17">
    <w:abstractNumId w:val="22"/>
  </w:num>
  <w:num w:numId="18">
    <w:abstractNumId w:val="13"/>
  </w:num>
  <w:num w:numId="19">
    <w:abstractNumId w:val="21"/>
  </w:num>
  <w:num w:numId="20">
    <w:abstractNumId w:val="2"/>
  </w:num>
  <w:num w:numId="21">
    <w:abstractNumId w:val="8"/>
  </w:num>
  <w:num w:numId="22">
    <w:abstractNumId w:val="33"/>
  </w:num>
  <w:num w:numId="23">
    <w:abstractNumId w:val="39"/>
  </w:num>
  <w:num w:numId="24">
    <w:abstractNumId w:val="25"/>
  </w:num>
  <w:num w:numId="25">
    <w:abstractNumId w:val="36"/>
  </w:num>
  <w:num w:numId="26">
    <w:abstractNumId w:val="34"/>
  </w:num>
  <w:num w:numId="27">
    <w:abstractNumId w:val="4"/>
  </w:num>
  <w:num w:numId="28">
    <w:abstractNumId w:val="10"/>
  </w:num>
  <w:num w:numId="29">
    <w:abstractNumId w:val="24"/>
  </w:num>
  <w:num w:numId="30">
    <w:abstractNumId w:val="45"/>
  </w:num>
  <w:num w:numId="31">
    <w:abstractNumId w:val="6"/>
  </w:num>
  <w:num w:numId="32">
    <w:abstractNumId w:val="15"/>
  </w:num>
  <w:num w:numId="33">
    <w:abstractNumId w:val="12"/>
  </w:num>
  <w:num w:numId="34">
    <w:abstractNumId w:val="7"/>
  </w:num>
  <w:num w:numId="35">
    <w:abstractNumId w:val="32"/>
  </w:num>
  <w:num w:numId="36">
    <w:abstractNumId w:val="26"/>
  </w:num>
  <w:num w:numId="37">
    <w:abstractNumId w:val="9"/>
  </w:num>
  <w:num w:numId="38">
    <w:abstractNumId w:val="23"/>
  </w:num>
  <w:num w:numId="39">
    <w:abstractNumId w:val="19"/>
  </w:num>
  <w:num w:numId="40">
    <w:abstractNumId w:val="0"/>
  </w:num>
  <w:num w:numId="41">
    <w:abstractNumId w:val="27"/>
  </w:num>
  <w:num w:numId="42">
    <w:abstractNumId w:val="1"/>
  </w:num>
  <w:num w:numId="43">
    <w:abstractNumId w:val="31"/>
  </w:num>
  <w:num w:numId="44">
    <w:abstractNumId w:val="43"/>
  </w:num>
  <w:num w:numId="45">
    <w:abstractNumId w:val="35"/>
  </w:num>
  <w:num w:numId="46">
    <w:abstractNumId w:val="37"/>
  </w:num>
  <w:num w:numId="47">
    <w:abstractNumId w:val="2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E18"/>
    <w:rsid w:val="000048A3"/>
    <w:rsid w:val="000112E9"/>
    <w:rsid w:val="00013276"/>
    <w:rsid w:val="0003047B"/>
    <w:rsid w:val="00030A5C"/>
    <w:rsid w:val="0003216D"/>
    <w:rsid w:val="00032A78"/>
    <w:rsid w:val="00047847"/>
    <w:rsid w:val="0005318E"/>
    <w:rsid w:val="000565ED"/>
    <w:rsid w:val="0006105B"/>
    <w:rsid w:val="0009047B"/>
    <w:rsid w:val="000912C2"/>
    <w:rsid w:val="000A23E5"/>
    <w:rsid w:val="000B46D9"/>
    <w:rsid w:val="000C1628"/>
    <w:rsid w:val="000C6FD2"/>
    <w:rsid w:val="000E7A2E"/>
    <w:rsid w:val="000F7D20"/>
    <w:rsid w:val="00104862"/>
    <w:rsid w:val="00115A33"/>
    <w:rsid w:val="00125D4B"/>
    <w:rsid w:val="00127AE6"/>
    <w:rsid w:val="00143E15"/>
    <w:rsid w:val="0015774F"/>
    <w:rsid w:val="001714F7"/>
    <w:rsid w:val="001756A1"/>
    <w:rsid w:val="00175D5B"/>
    <w:rsid w:val="00176A6F"/>
    <w:rsid w:val="001962DE"/>
    <w:rsid w:val="001C0DC4"/>
    <w:rsid w:val="001C605F"/>
    <w:rsid w:val="001D6543"/>
    <w:rsid w:val="001E6804"/>
    <w:rsid w:val="001E75D1"/>
    <w:rsid w:val="001F1280"/>
    <w:rsid w:val="001F60D7"/>
    <w:rsid w:val="002059D6"/>
    <w:rsid w:val="00215C3D"/>
    <w:rsid w:val="00233FC0"/>
    <w:rsid w:val="00250F91"/>
    <w:rsid w:val="00253A10"/>
    <w:rsid w:val="00270329"/>
    <w:rsid w:val="002A5DCF"/>
    <w:rsid w:val="002C4C5C"/>
    <w:rsid w:val="002D072C"/>
    <w:rsid w:val="002D6992"/>
    <w:rsid w:val="00311683"/>
    <w:rsid w:val="00317537"/>
    <w:rsid w:val="00326956"/>
    <w:rsid w:val="0032743A"/>
    <w:rsid w:val="00335069"/>
    <w:rsid w:val="0033536C"/>
    <w:rsid w:val="00335C12"/>
    <w:rsid w:val="00344EEF"/>
    <w:rsid w:val="00375282"/>
    <w:rsid w:val="00381A8C"/>
    <w:rsid w:val="0038266D"/>
    <w:rsid w:val="003A3B35"/>
    <w:rsid w:val="003B26EC"/>
    <w:rsid w:val="003B5205"/>
    <w:rsid w:val="003C249E"/>
    <w:rsid w:val="003D0C9B"/>
    <w:rsid w:val="003F692B"/>
    <w:rsid w:val="003F6D9A"/>
    <w:rsid w:val="0041237F"/>
    <w:rsid w:val="0042414A"/>
    <w:rsid w:val="00432C67"/>
    <w:rsid w:val="004543DA"/>
    <w:rsid w:val="004646A4"/>
    <w:rsid w:val="004C2BBE"/>
    <w:rsid w:val="004C67D0"/>
    <w:rsid w:val="004D3EFC"/>
    <w:rsid w:val="004D5FD2"/>
    <w:rsid w:val="004E2D1D"/>
    <w:rsid w:val="004F4353"/>
    <w:rsid w:val="0050637B"/>
    <w:rsid w:val="005131F6"/>
    <w:rsid w:val="0052197D"/>
    <w:rsid w:val="005303CC"/>
    <w:rsid w:val="00537A53"/>
    <w:rsid w:val="005411F8"/>
    <w:rsid w:val="005430DA"/>
    <w:rsid w:val="005541B0"/>
    <w:rsid w:val="00554D11"/>
    <w:rsid w:val="00577975"/>
    <w:rsid w:val="00583202"/>
    <w:rsid w:val="005A0AD1"/>
    <w:rsid w:val="005B040D"/>
    <w:rsid w:val="005B62CD"/>
    <w:rsid w:val="005B6D59"/>
    <w:rsid w:val="005C5200"/>
    <w:rsid w:val="005D16CB"/>
    <w:rsid w:val="005D6816"/>
    <w:rsid w:val="005F239C"/>
    <w:rsid w:val="00602C68"/>
    <w:rsid w:val="006240DF"/>
    <w:rsid w:val="006649C1"/>
    <w:rsid w:val="006A3DF2"/>
    <w:rsid w:val="006C5C70"/>
    <w:rsid w:val="006C7938"/>
    <w:rsid w:val="006D5E4C"/>
    <w:rsid w:val="006D75FE"/>
    <w:rsid w:val="006E20B5"/>
    <w:rsid w:val="007159B6"/>
    <w:rsid w:val="00716563"/>
    <w:rsid w:val="00731EE1"/>
    <w:rsid w:val="00736F7F"/>
    <w:rsid w:val="00737A48"/>
    <w:rsid w:val="00741E4A"/>
    <w:rsid w:val="00754B2E"/>
    <w:rsid w:val="00761650"/>
    <w:rsid w:val="00763B3E"/>
    <w:rsid w:val="00780CE1"/>
    <w:rsid w:val="007815CE"/>
    <w:rsid w:val="0078522D"/>
    <w:rsid w:val="007872A1"/>
    <w:rsid w:val="007974DB"/>
    <w:rsid w:val="007A395D"/>
    <w:rsid w:val="007D6F01"/>
    <w:rsid w:val="007E6199"/>
    <w:rsid w:val="007F4E60"/>
    <w:rsid w:val="00802A2E"/>
    <w:rsid w:val="00810986"/>
    <w:rsid w:val="00815D70"/>
    <w:rsid w:val="00823D36"/>
    <w:rsid w:val="008719A4"/>
    <w:rsid w:val="008906C8"/>
    <w:rsid w:val="008D1EE4"/>
    <w:rsid w:val="008F3AC2"/>
    <w:rsid w:val="00912AE6"/>
    <w:rsid w:val="0091672A"/>
    <w:rsid w:val="00927528"/>
    <w:rsid w:val="00930028"/>
    <w:rsid w:val="0093237A"/>
    <w:rsid w:val="0093299E"/>
    <w:rsid w:val="009432D3"/>
    <w:rsid w:val="0094390F"/>
    <w:rsid w:val="009510E1"/>
    <w:rsid w:val="00951214"/>
    <w:rsid w:val="009706DB"/>
    <w:rsid w:val="0097788C"/>
    <w:rsid w:val="009874EA"/>
    <w:rsid w:val="00992F83"/>
    <w:rsid w:val="009A3BC0"/>
    <w:rsid w:val="009B0D7B"/>
    <w:rsid w:val="009B17C3"/>
    <w:rsid w:val="009B199B"/>
    <w:rsid w:val="009B51C8"/>
    <w:rsid w:val="009C010E"/>
    <w:rsid w:val="009F3E1E"/>
    <w:rsid w:val="00A060D9"/>
    <w:rsid w:val="00A06DF2"/>
    <w:rsid w:val="00A20A1C"/>
    <w:rsid w:val="00A23188"/>
    <w:rsid w:val="00A53739"/>
    <w:rsid w:val="00A64BC2"/>
    <w:rsid w:val="00A67E0E"/>
    <w:rsid w:val="00A72487"/>
    <w:rsid w:val="00A969C7"/>
    <w:rsid w:val="00AA1A19"/>
    <w:rsid w:val="00AA7270"/>
    <w:rsid w:val="00AB2846"/>
    <w:rsid w:val="00AB36EB"/>
    <w:rsid w:val="00AB4D88"/>
    <w:rsid w:val="00AB5721"/>
    <w:rsid w:val="00AD4F57"/>
    <w:rsid w:val="00AD7942"/>
    <w:rsid w:val="00AE0E34"/>
    <w:rsid w:val="00B11A25"/>
    <w:rsid w:val="00B61C60"/>
    <w:rsid w:val="00B63A6C"/>
    <w:rsid w:val="00B7033D"/>
    <w:rsid w:val="00B852FC"/>
    <w:rsid w:val="00B91E73"/>
    <w:rsid w:val="00BA0B64"/>
    <w:rsid w:val="00BA3030"/>
    <w:rsid w:val="00BF1C99"/>
    <w:rsid w:val="00BF44AE"/>
    <w:rsid w:val="00C24CD4"/>
    <w:rsid w:val="00C271E9"/>
    <w:rsid w:val="00CA1B70"/>
    <w:rsid w:val="00CA4682"/>
    <w:rsid w:val="00CB738F"/>
    <w:rsid w:val="00CE3A27"/>
    <w:rsid w:val="00D51619"/>
    <w:rsid w:val="00D74216"/>
    <w:rsid w:val="00D80C9D"/>
    <w:rsid w:val="00D84C09"/>
    <w:rsid w:val="00DA3B10"/>
    <w:rsid w:val="00DA3B58"/>
    <w:rsid w:val="00DB6E94"/>
    <w:rsid w:val="00DB7E14"/>
    <w:rsid w:val="00DC5A2F"/>
    <w:rsid w:val="00DD5A7F"/>
    <w:rsid w:val="00DF2655"/>
    <w:rsid w:val="00E150D4"/>
    <w:rsid w:val="00E36191"/>
    <w:rsid w:val="00E46EAD"/>
    <w:rsid w:val="00E513FB"/>
    <w:rsid w:val="00E5302E"/>
    <w:rsid w:val="00E75640"/>
    <w:rsid w:val="00EA36F1"/>
    <w:rsid w:val="00EE776B"/>
    <w:rsid w:val="00EF004F"/>
    <w:rsid w:val="00EF4329"/>
    <w:rsid w:val="00EF48A5"/>
    <w:rsid w:val="00EF4C8F"/>
    <w:rsid w:val="00F10DEE"/>
    <w:rsid w:val="00F35F19"/>
    <w:rsid w:val="00F71313"/>
    <w:rsid w:val="00F86378"/>
    <w:rsid w:val="00F93346"/>
    <w:rsid w:val="00FA3479"/>
    <w:rsid w:val="00FB0F12"/>
    <w:rsid w:val="00FC2AA3"/>
    <w:rsid w:val="00FD1525"/>
    <w:rsid w:val="00FD6821"/>
    <w:rsid w:val="00FE3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30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F239C"/>
    <w:pPr>
      <w:keepNext/>
      <w:spacing w:before="240" w:after="60"/>
      <w:outlineLvl w:val="1"/>
    </w:pPr>
    <w:rPr>
      <w:rFonts w:ascii="Arial" w:hAnsi="Arial"/>
      <w:b/>
      <w:bCs/>
      <w:i/>
      <w:iCs/>
      <w:sz w:val="28"/>
      <w:szCs w:val="28"/>
    </w:rPr>
  </w:style>
  <w:style w:type="paragraph" w:styleId="Heading7">
    <w:name w:val="heading 7"/>
    <w:basedOn w:val="Normal"/>
    <w:next w:val="Normal"/>
    <w:qFormat/>
    <w:rsid w:val="005F239C"/>
    <w:pPr>
      <w:spacing w:before="240" w:after="60"/>
      <w:outlineLvl w:val="6"/>
    </w:pPr>
  </w:style>
  <w:style w:type="paragraph" w:styleId="Heading8">
    <w:name w:val="heading 8"/>
    <w:basedOn w:val="Heading7"/>
    <w:next w:val="BodyText"/>
    <w:link w:val="Heading8Char"/>
    <w:qFormat/>
    <w:rsid w:val="005F239C"/>
    <w:pPr>
      <w:keepNext/>
      <w:keepLines/>
      <w:tabs>
        <w:tab w:val="num" w:pos="0"/>
      </w:tabs>
      <w:spacing w:after="120"/>
      <w:ind w:left="3240" w:hanging="1134"/>
      <w:outlineLvl w:val="7"/>
    </w:pPr>
    <w:rPr>
      <w:rFonts w:ascii="Verdana" w:hAnsi="Verdana" w:cs="Arial"/>
      <w:i/>
      <w:iCs/>
      <w:kern w:val="32"/>
      <w:sz w:val="16"/>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Footer">
    <w:name w:val="footer"/>
    <w:basedOn w:val="Normal"/>
    <w:rsid w:val="00992F83"/>
    <w:pPr>
      <w:tabs>
        <w:tab w:val="center" w:pos="4153"/>
        <w:tab w:val="right" w:pos="8306"/>
      </w:tabs>
    </w:pPr>
  </w:style>
  <w:style w:type="character" w:styleId="FootnoteReference">
    <w:name w:val="footnote reference"/>
    <w:basedOn w:val="DefaultParagraphFont"/>
    <w:rsid w:val="001F60D7"/>
    <w:rPr>
      <w:rFonts w:cs="Times New Roman"/>
      <w:vertAlign w:val="superscript"/>
    </w:rPr>
  </w:style>
  <w:style w:type="paragraph" w:styleId="FootnoteText">
    <w:name w:val="footnote text"/>
    <w:basedOn w:val="BodyText"/>
    <w:link w:val="FootnoteTextChar"/>
    <w:rsid w:val="001F60D7"/>
    <w:pPr>
      <w:keepLines/>
      <w:ind w:left="397" w:hanging="397"/>
    </w:pPr>
    <w:rPr>
      <w:rFonts w:ascii="Verdana" w:hAnsi="Verdana"/>
      <w:color w:val="000000"/>
      <w:sz w:val="16"/>
      <w:lang w:val="en-AU" w:eastAsia="en-AU"/>
    </w:rPr>
  </w:style>
  <w:style w:type="character" w:customStyle="1" w:styleId="FootnoteTextChar">
    <w:name w:val="Footnote Text Char"/>
    <w:basedOn w:val="DefaultParagraphFont"/>
    <w:link w:val="FootnoteText"/>
    <w:locked/>
    <w:rsid w:val="001F60D7"/>
    <w:rPr>
      <w:rFonts w:ascii="Verdana" w:hAnsi="Verdana"/>
      <w:color w:val="000000"/>
      <w:sz w:val="16"/>
      <w:szCs w:val="24"/>
      <w:lang w:val="en-AU" w:eastAsia="en-AU" w:bidi="ar-SA"/>
    </w:rPr>
  </w:style>
  <w:style w:type="paragraph" w:customStyle="1" w:styleId="HealthLevel1">
    <w:name w:val="Health Level 1"/>
    <w:basedOn w:val="Normal"/>
    <w:link w:val="HealthLevel1Char"/>
    <w:rsid w:val="001F60D7"/>
    <w:pPr>
      <w:tabs>
        <w:tab w:val="left" w:pos="851"/>
      </w:tabs>
      <w:autoSpaceDE w:val="0"/>
      <w:autoSpaceDN w:val="0"/>
      <w:spacing w:before="120" w:line="260" w:lineRule="exact"/>
      <w:ind w:left="851"/>
    </w:pPr>
    <w:rPr>
      <w:color w:val="000000"/>
      <w:lang w:val="en-AU"/>
    </w:rPr>
  </w:style>
  <w:style w:type="character" w:customStyle="1" w:styleId="HealthLevel1Char">
    <w:name w:val="Health Level 1 Char"/>
    <w:basedOn w:val="DefaultParagraphFont"/>
    <w:link w:val="HealthLevel1"/>
    <w:rsid w:val="001F60D7"/>
    <w:rPr>
      <w:color w:val="000000"/>
      <w:sz w:val="24"/>
      <w:szCs w:val="24"/>
      <w:lang w:val="en-AU" w:eastAsia="en-US" w:bidi="ar-SA"/>
    </w:rPr>
  </w:style>
  <w:style w:type="paragraph" w:styleId="BodyText">
    <w:name w:val="Body Text"/>
    <w:basedOn w:val="Normal"/>
    <w:rsid w:val="001F60D7"/>
    <w:pPr>
      <w:spacing w:after="120"/>
    </w:pPr>
  </w:style>
  <w:style w:type="paragraph" w:customStyle="1" w:styleId="HealthNoteHeading">
    <w:name w:val="Health Note Heading"/>
    <w:basedOn w:val="Normal"/>
    <w:rsid w:val="008906C8"/>
    <w:pPr>
      <w:tabs>
        <w:tab w:val="left" w:pos="567"/>
      </w:tabs>
      <w:autoSpaceDE w:val="0"/>
      <w:autoSpaceDN w:val="0"/>
      <w:spacing w:before="120" w:line="220" w:lineRule="exact"/>
      <w:ind w:left="851"/>
    </w:pPr>
    <w:rPr>
      <w:i/>
      <w:iCs/>
      <w:color w:val="000000"/>
      <w:sz w:val="20"/>
      <w:szCs w:val="20"/>
      <w:lang w:val="en-AU"/>
    </w:rPr>
  </w:style>
  <w:style w:type="paragraph" w:styleId="TOC1">
    <w:name w:val="toc 1"/>
    <w:basedOn w:val="Normal"/>
    <w:next w:val="Normal"/>
    <w:autoRedefine/>
    <w:semiHidden/>
    <w:rsid w:val="008906C8"/>
    <w:pPr>
      <w:tabs>
        <w:tab w:val="left" w:pos="1702"/>
        <w:tab w:val="right" w:pos="8363"/>
      </w:tabs>
      <w:autoSpaceDE w:val="0"/>
      <w:autoSpaceDN w:val="0"/>
      <w:spacing w:before="40"/>
      <w:ind w:left="1702" w:hanging="851"/>
    </w:pPr>
    <w:rPr>
      <w:rFonts w:ascii="Arial" w:hAnsi="Arial"/>
      <w:sz w:val="20"/>
      <w:lang w:val="en-AU"/>
    </w:rPr>
  </w:style>
  <w:style w:type="paragraph" w:styleId="TOC2">
    <w:name w:val="toc 2"/>
    <w:basedOn w:val="Normal"/>
    <w:next w:val="Normal"/>
    <w:autoRedefine/>
    <w:semiHidden/>
    <w:rsid w:val="008906C8"/>
    <w:pPr>
      <w:tabs>
        <w:tab w:val="right" w:pos="8363"/>
      </w:tabs>
      <w:autoSpaceDE w:val="0"/>
      <w:autoSpaceDN w:val="0"/>
      <w:spacing w:before="360"/>
    </w:pPr>
    <w:rPr>
      <w:rFonts w:ascii="Arial" w:hAnsi="Arial"/>
      <w:b/>
      <w:sz w:val="20"/>
      <w:lang w:val="en-AU"/>
    </w:rPr>
  </w:style>
  <w:style w:type="character" w:customStyle="1" w:styleId="Heading8Char">
    <w:name w:val="Heading 8 Char"/>
    <w:basedOn w:val="DefaultParagraphFont"/>
    <w:link w:val="Heading8"/>
    <w:locked/>
    <w:rsid w:val="005F239C"/>
    <w:rPr>
      <w:rFonts w:ascii="Verdana" w:hAnsi="Verdana" w:cs="Arial"/>
      <w:i/>
      <w:iCs/>
      <w:kern w:val="32"/>
      <w:sz w:val="16"/>
      <w:szCs w:val="22"/>
      <w:lang w:val="en-AU" w:eastAsia="en-AU" w:bidi="ar-SA"/>
    </w:rPr>
  </w:style>
  <w:style w:type="character" w:styleId="Emphasis">
    <w:name w:val="Emphasis"/>
    <w:basedOn w:val="DefaultParagraphFont"/>
    <w:qFormat/>
    <w:rsid w:val="005F239C"/>
    <w:rPr>
      <w:rFonts w:cs="Times New Roman"/>
      <w:i/>
      <w:iCs/>
    </w:rPr>
  </w:style>
  <w:style w:type="paragraph" w:customStyle="1" w:styleId="Heading2NoNum">
    <w:name w:val="Heading 2 No Num"/>
    <w:basedOn w:val="Normal"/>
    <w:rsid w:val="005D16CB"/>
    <w:pPr>
      <w:autoSpaceDE w:val="0"/>
      <w:autoSpaceDN w:val="0"/>
      <w:spacing w:before="240" w:after="120" w:line="300" w:lineRule="exact"/>
      <w:ind w:left="2410" w:hanging="2410"/>
    </w:pPr>
    <w:rPr>
      <w:rFonts w:ascii="Arial" w:hAnsi="Arial" w:cs="Arial"/>
      <w:b/>
      <w:bCs/>
      <w:sz w:val="28"/>
      <w:szCs w:val="28"/>
      <w:lang w:val="en-AU"/>
    </w:rPr>
  </w:style>
  <w:style w:type="paragraph" w:customStyle="1" w:styleId="call3">
    <w:name w:val="call3"/>
    <w:basedOn w:val="Normal"/>
    <w:rsid w:val="003F6D9A"/>
    <w:pPr>
      <w:spacing w:before="100" w:beforeAutospacing="1" w:line="384" w:lineRule="atLeast"/>
    </w:pPr>
    <w:rPr>
      <w:sz w:val="34"/>
      <w:szCs w:val="34"/>
      <w:lang w:val="en-AU" w:eastAsia="en-AU"/>
    </w:rPr>
  </w:style>
  <w:style w:type="paragraph" w:styleId="ListParagraph">
    <w:name w:val="List Paragraph"/>
    <w:basedOn w:val="Normal"/>
    <w:uiPriority w:val="34"/>
    <w:qFormat/>
    <w:rsid w:val="006D5E4C"/>
    <w:pPr>
      <w:ind w:left="720"/>
      <w:contextualSpacing/>
    </w:pPr>
  </w:style>
  <w:style w:type="character" w:customStyle="1" w:styleId="Heading1Char">
    <w:name w:val="Heading 1 Char"/>
    <w:basedOn w:val="DefaultParagraphFont"/>
    <w:link w:val="Heading1"/>
    <w:rsid w:val="0003047B"/>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rsid w:val="0006105B"/>
    <w:rPr>
      <w:rFonts w:ascii="Arial" w:hAnsi="Arial" w:cs="Arial"/>
      <w:sz w:val="16"/>
      <w:szCs w:val="16"/>
    </w:rPr>
  </w:style>
  <w:style w:type="character" w:customStyle="1" w:styleId="BalloonTextChar">
    <w:name w:val="Balloon Text Char"/>
    <w:basedOn w:val="DefaultParagraphFont"/>
    <w:link w:val="BalloonText"/>
    <w:rsid w:val="0006105B"/>
    <w:rPr>
      <w:rFonts w:ascii="Arial" w:hAnsi="Arial" w:cs="Arial"/>
      <w:sz w:val="16"/>
      <w:szCs w:val="16"/>
      <w:lang w:val="en-US" w:eastAsia="en-US"/>
    </w:rPr>
  </w:style>
  <w:style w:type="paragraph" w:customStyle="1" w:styleId="Healthnote">
    <w:name w:val="Health note"/>
    <w:basedOn w:val="Normal"/>
    <w:link w:val="HealthnoteChar"/>
    <w:rsid w:val="00104862"/>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104862"/>
    <w:rPr>
      <w:iCs/>
      <w:color w:val="000000"/>
      <w:lang w:eastAsia="en-US"/>
    </w:rPr>
  </w:style>
  <w:style w:type="character" w:styleId="CommentReference">
    <w:name w:val="annotation reference"/>
    <w:basedOn w:val="DefaultParagraphFont"/>
    <w:rsid w:val="007159B6"/>
    <w:rPr>
      <w:sz w:val="16"/>
      <w:szCs w:val="16"/>
    </w:rPr>
  </w:style>
  <w:style w:type="paragraph" w:styleId="CommentText">
    <w:name w:val="annotation text"/>
    <w:basedOn w:val="Normal"/>
    <w:link w:val="CommentTextChar"/>
    <w:rsid w:val="007159B6"/>
    <w:rPr>
      <w:sz w:val="20"/>
      <w:szCs w:val="20"/>
    </w:rPr>
  </w:style>
  <w:style w:type="character" w:customStyle="1" w:styleId="CommentTextChar">
    <w:name w:val="Comment Text Char"/>
    <w:basedOn w:val="DefaultParagraphFont"/>
    <w:link w:val="CommentText"/>
    <w:rsid w:val="007159B6"/>
    <w:rPr>
      <w:lang w:val="en-US" w:eastAsia="en-US"/>
    </w:rPr>
  </w:style>
  <w:style w:type="paragraph" w:styleId="CommentSubject">
    <w:name w:val="annotation subject"/>
    <w:basedOn w:val="CommentText"/>
    <w:next w:val="CommentText"/>
    <w:link w:val="CommentSubjectChar"/>
    <w:rsid w:val="007159B6"/>
    <w:rPr>
      <w:b/>
      <w:bCs/>
    </w:rPr>
  </w:style>
  <w:style w:type="character" w:customStyle="1" w:styleId="CommentSubjectChar">
    <w:name w:val="Comment Subject Char"/>
    <w:basedOn w:val="CommentTextChar"/>
    <w:link w:val="CommentSubject"/>
    <w:rsid w:val="007159B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131757">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4">
          <w:marLeft w:val="0"/>
          <w:marRight w:val="0"/>
          <w:marTop w:val="0"/>
          <w:marBottom w:val="0"/>
          <w:divBdr>
            <w:top w:val="none" w:sz="0" w:space="0" w:color="auto"/>
            <w:left w:val="none" w:sz="0" w:space="0" w:color="auto"/>
            <w:bottom w:val="none" w:sz="0" w:space="0" w:color="auto"/>
            <w:right w:val="none" w:sz="0" w:space="0" w:color="auto"/>
          </w:divBdr>
          <w:divsChild>
            <w:div w:id="594675925">
              <w:marLeft w:val="0"/>
              <w:marRight w:val="0"/>
              <w:marTop w:val="0"/>
              <w:marBottom w:val="0"/>
              <w:divBdr>
                <w:top w:val="none" w:sz="0" w:space="0" w:color="auto"/>
                <w:left w:val="none" w:sz="0" w:space="0" w:color="auto"/>
                <w:bottom w:val="none" w:sz="0" w:space="0" w:color="auto"/>
                <w:right w:val="none" w:sz="0" w:space="0" w:color="auto"/>
              </w:divBdr>
              <w:divsChild>
                <w:div w:id="2095516767">
                  <w:marLeft w:val="210"/>
                  <w:marRight w:val="210"/>
                  <w:marTop w:val="300"/>
                  <w:marBottom w:val="0"/>
                  <w:divBdr>
                    <w:top w:val="none" w:sz="0" w:space="0" w:color="auto"/>
                    <w:left w:val="none" w:sz="0" w:space="0" w:color="auto"/>
                    <w:bottom w:val="none" w:sz="0" w:space="0" w:color="auto"/>
                    <w:right w:val="none" w:sz="0" w:space="0" w:color="auto"/>
                  </w:divBdr>
                  <w:divsChild>
                    <w:div w:id="173811428">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E0CE-E8C4-4B29-9DA1-74946A0D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1224</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Kim Richter</cp:lastModifiedBy>
  <cp:revision>4</cp:revision>
  <cp:lastPrinted>2012-08-06T04:10:00Z</cp:lastPrinted>
  <dcterms:created xsi:type="dcterms:W3CDTF">2012-08-03T05:18:00Z</dcterms:created>
  <dcterms:modified xsi:type="dcterms:W3CDTF">2012-08-06T04:12:00Z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