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4B" w:rsidRDefault="00790C4B">
      <w:pPr>
        <w:pStyle w:val="SigningPageBreak"/>
      </w:pPr>
    </w:p>
    <w:p w:rsidR="008A3435" w:rsidRPr="002F297F" w:rsidRDefault="00790C4B" w:rsidP="008A3435">
      <w:pPr>
        <w:pStyle w:val="SigningPageBreak"/>
      </w:pPr>
      <w:bookmarkStart w:id="2" w:name="_Ref70486435"/>
      <w:bookmarkEnd w:id="2"/>
      <w:r>
        <w:t xml:space="preserve"> </w:t>
      </w:r>
      <w:r w:rsidR="00B131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86.65pt" fillcolor="window">
            <v:imagedata r:id="rId8" o:title=""/>
          </v:shape>
        </w:pict>
      </w:r>
    </w:p>
    <w:p w:rsidR="008E3A1B" w:rsidRPr="00FD5BAD" w:rsidRDefault="00426283" w:rsidP="00F22250">
      <w:pPr>
        <w:pStyle w:val="Title"/>
      </w:pPr>
      <w:r w:rsidRPr="00FD5BAD">
        <w:t>PCEHR Rules</w:t>
      </w:r>
      <w:r w:rsidR="0072182C" w:rsidRPr="00FD5BAD">
        <w:t xml:space="preserve"> 2012 </w:t>
      </w:r>
    </w:p>
    <w:p w:rsidR="00F22250" w:rsidRPr="00FD5BAD" w:rsidRDefault="00F22250" w:rsidP="00F22250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FD5BAD">
        <w:rPr>
          <w:rFonts w:ascii="Arial" w:hAnsi="Arial" w:cs="Arial"/>
          <w:i/>
          <w:sz w:val="28"/>
          <w:szCs w:val="28"/>
          <w:lang w:val="en-US"/>
        </w:rPr>
        <w:t>Personally Controlled Electronic Health Records Act 2012</w:t>
      </w:r>
    </w:p>
    <w:p w:rsidR="00F22250" w:rsidRPr="00FD5BAD" w:rsidRDefault="00F22250" w:rsidP="00F22250">
      <w:pPr>
        <w:spacing w:before="360"/>
        <w:jc w:val="both"/>
      </w:pPr>
      <w:r w:rsidRPr="00FD5BAD">
        <w:t xml:space="preserve">I, </w:t>
      </w:r>
      <w:r w:rsidR="00DB45BC" w:rsidRPr="00FD5BAD">
        <w:t>TANYA PLIBERSEK</w:t>
      </w:r>
      <w:r w:rsidRPr="00FD5BAD">
        <w:t>, Minister for Health,</w:t>
      </w:r>
      <w:r w:rsidR="005B7226" w:rsidRPr="00FD5BAD">
        <w:t xml:space="preserve"> make these Rules under s</w:t>
      </w:r>
      <w:r w:rsidR="0019146A" w:rsidRPr="00FD5BAD">
        <w:t>ection 109</w:t>
      </w:r>
      <w:r w:rsidR="005B7226" w:rsidRPr="00FD5BAD">
        <w:t xml:space="preserve"> </w:t>
      </w:r>
      <w:r w:rsidRPr="00FD5BAD">
        <w:t xml:space="preserve">of the </w:t>
      </w:r>
      <w:r w:rsidRPr="00FD5BAD">
        <w:rPr>
          <w:i/>
        </w:rPr>
        <w:t>Personally Controlled Electronic Health Records Act 2012</w:t>
      </w:r>
      <w:r w:rsidRPr="00FD5BAD">
        <w:t>.</w:t>
      </w:r>
      <w:r w:rsidR="00E62F08" w:rsidRPr="00FD5BAD">
        <w:t xml:space="preserve"> </w:t>
      </w:r>
    </w:p>
    <w:p w:rsidR="00F22250" w:rsidRPr="00FD5BAD" w:rsidRDefault="00F22250" w:rsidP="00F22250">
      <w:pPr>
        <w:rPr>
          <w:color w:val="FFFFFF"/>
        </w:rPr>
      </w:pPr>
      <w:r w:rsidRPr="00FD5BAD">
        <w:rPr>
          <w:color w:val="FFFFFF"/>
        </w:rPr>
        <w:t xml:space="preserve">Dated </w:t>
      </w:r>
      <w:bookmarkStart w:id="3" w:name="MadeDate"/>
      <w:bookmarkStart w:id="4" w:name="Year"/>
      <w:bookmarkEnd w:id="3"/>
      <w:r w:rsidRPr="00FD5BAD">
        <w:rPr>
          <w:color w:val="FFFFFF"/>
        </w:rPr>
        <w:t xml:space="preserve">            20</w:t>
      </w:r>
      <w:bookmarkEnd w:id="4"/>
      <w:r w:rsidRPr="00FD5BAD">
        <w:rPr>
          <w:color w:val="FFFFFF"/>
        </w:rPr>
        <w:t>10</w:t>
      </w:r>
    </w:p>
    <w:p w:rsidR="00F22250" w:rsidRPr="00FD5BAD" w:rsidRDefault="00F22250" w:rsidP="007C1A6E">
      <w:pPr>
        <w:ind w:left="4253" w:hanging="4253"/>
      </w:pPr>
      <w:r w:rsidRPr="00FD5BAD">
        <w:t>Dated</w:t>
      </w:r>
      <w:r w:rsidR="00FE4017" w:rsidRPr="00FD5BAD">
        <w:t xml:space="preserve">                   16</w:t>
      </w:r>
      <w:r w:rsidR="00FE4017" w:rsidRPr="00FD5BAD">
        <w:rPr>
          <w:vertAlign w:val="superscript"/>
        </w:rPr>
        <w:t>th</w:t>
      </w:r>
      <w:r w:rsidR="00FE4017" w:rsidRPr="00FD5BAD">
        <w:t xml:space="preserve"> August     </w:t>
      </w:r>
      <w:r w:rsidRPr="00FD5BAD">
        <w:tab/>
      </w:r>
      <w:r w:rsidR="007C1A6E" w:rsidRPr="00FD5BAD">
        <w:tab/>
      </w:r>
      <w:r w:rsidR="007C1A6E" w:rsidRPr="00FD5BAD">
        <w:tab/>
      </w:r>
      <w:r w:rsidR="007C1A6E" w:rsidRPr="00FD5BAD">
        <w:tab/>
      </w:r>
      <w:r w:rsidR="007C1A6E" w:rsidRPr="00FD5BAD">
        <w:tab/>
      </w:r>
      <w:r w:rsidRPr="00FD5BAD">
        <w:t>2012</w:t>
      </w:r>
    </w:p>
    <w:p w:rsidR="00446B73" w:rsidRPr="00FD5BAD" w:rsidRDefault="00446B73" w:rsidP="00F22250">
      <w:pPr>
        <w:ind w:left="840" w:hanging="840"/>
      </w:pPr>
    </w:p>
    <w:p w:rsidR="00446B73" w:rsidRPr="00FD5BAD" w:rsidRDefault="00446B73" w:rsidP="00F22250">
      <w:pPr>
        <w:ind w:left="840" w:hanging="840"/>
      </w:pPr>
    </w:p>
    <w:p w:rsidR="00446B73" w:rsidRPr="00FD5BAD" w:rsidRDefault="00446B73" w:rsidP="00F22250">
      <w:pPr>
        <w:ind w:left="840" w:hanging="840"/>
      </w:pPr>
    </w:p>
    <w:p w:rsidR="00F22250" w:rsidRPr="00FD5BAD" w:rsidRDefault="00DB45BC" w:rsidP="00446B73">
      <w:pPr>
        <w:spacing w:before="360" w:line="240" w:lineRule="exact"/>
      </w:pPr>
      <w:r w:rsidRPr="00FD5BAD">
        <w:t>TANYA PLIBERSEK</w:t>
      </w:r>
    </w:p>
    <w:p w:rsidR="008E3A1B" w:rsidRPr="00FD5BAD" w:rsidRDefault="00F22250" w:rsidP="00F22250">
      <w:pPr>
        <w:pBdr>
          <w:bottom w:val="single" w:sz="4" w:space="12" w:color="auto"/>
        </w:pBdr>
        <w:spacing w:line="240" w:lineRule="exact"/>
      </w:pPr>
      <w:bookmarkStart w:id="5" w:name="Minister"/>
      <w:r w:rsidRPr="00FD5BAD">
        <w:t>Minister for Health</w:t>
      </w:r>
      <w:bookmarkEnd w:id="5"/>
    </w:p>
    <w:p w:rsidR="00330FA0" w:rsidRPr="00FD5BAD" w:rsidRDefault="00330FA0" w:rsidP="008706F6">
      <w:pPr>
        <w:pStyle w:val="Healthnumlevel2"/>
        <w:numPr>
          <w:ilvl w:val="0"/>
          <w:numId w:val="0"/>
        </w:numPr>
      </w:pPr>
    </w:p>
    <w:p w:rsidR="004D526B" w:rsidRPr="00FD5BAD" w:rsidRDefault="004D526B" w:rsidP="004D526B">
      <w:pPr>
        <w:pStyle w:val="Heading2"/>
        <w:numPr>
          <w:ilvl w:val="0"/>
          <w:numId w:val="0"/>
        </w:numPr>
        <w:sectPr w:rsidR="004D526B" w:rsidRPr="00FD5BAD" w:rsidSect="000506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 w:code="9"/>
          <w:pgMar w:top="1440" w:right="1797" w:bottom="1440" w:left="1797" w:header="709" w:footer="709" w:gutter="0"/>
          <w:cols w:space="709"/>
          <w:docGrid w:linePitch="326"/>
        </w:sectPr>
      </w:pPr>
    </w:p>
    <w:p w:rsidR="00790C4B" w:rsidRPr="00FD5BAD" w:rsidRDefault="00790C4B">
      <w:pPr>
        <w:pStyle w:val="Heading4"/>
        <w:spacing w:before="0" w:after="0"/>
        <w:rPr>
          <w:rFonts w:ascii="Arial" w:hAnsi="Arial" w:cs="Arial"/>
          <w:szCs w:val="24"/>
        </w:rPr>
      </w:pPr>
      <w:r w:rsidRPr="00FD5BAD">
        <w:rPr>
          <w:rFonts w:ascii="Arial" w:hAnsi="Arial" w:cs="Arial"/>
          <w:szCs w:val="24"/>
        </w:rPr>
        <w:lastRenderedPageBreak/>
        <w:t>Contents</w:t>
      </w:r>
    </w:p>
    <w:p w:rsidR="00790C4B" w:rsidRPr="00FD5BAD" w:rsidRDefault="00790C4B"/>
    <w:p w:rsidR="006554A3" w:rsidRPr="00FD5BAD" w:rsidRDefault="006554A3"/>
    <w:bookmarkStart w:id="7" w:name="_Ref68492001"/>
    <w:p w:rsidR="00D43E94" w:rsidRPr="00FD5BAD" w:rsidRDefault="00B13126">
      <w:pPr>
        <w:pStyle w:val="TOC2"/>
        <w:tabs>
          <w:tab w:val="left" w:pos="1702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B13126">
        <w:rPr>
          <w:b w:val="0"/>
        </w:rPr>
        <w:fldChar w:fldCharType="begin"/>
      </w:r>
      <w:r w:rsidR="00004F70" w:rsidRPr="00FD5BAD">
        <w:rPr>
          <w:b w:val="0"/>
        </w:rPr>
        <w:instrText xml:space="preserve"> TOC \t "Heading 1,1,Heading 2 No num,1, Heading 1 No num,2 " </w:instrText>
      </w:r>
      <w:r w:rsidRPr="00B13126">
        <w:rPr>
          <w:b w:val="0"/>
        </w:rPr>
        <w:fldChar w:fldCharType="separate"/>
      </w:r>
      <w:r w:rsidR="00D43E94" w:rsidRPr="00FD5BAD">
        <w:rPr>
          <w:noProof/>
        </w:rPr>
        <w:t>Part 1</w:t>
      </w:r>
      <w:r w:rsidR="00D43E94" w:rsidRPr="00FD5BAD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="00D43E94" w:rsidRPr="00FD5BAD">
        <w:rPr>
          <w:noProof/>
        </w:rPr>
        <w:t>Preliminary</w:t>
      </w:r>
      <w:r w:rsidR="00D43E94" w:rsidRPr="00FD5BAD">
        <w:rPr>
          <w:noProof/>
        </w:rPr>
        <w:tab/>
      </w:r>
      <w:r w:rsidRPr="00FD5BAD">
        <w:rPr>
          <w:noProof/>
        </w:rPr>
        <w:fldChar w:fldCharType="begin"/>
      </w:r>
      <w:r w:rsidR="00D43E94" w:rsidRPr="00FD5BAD">
        <w:rPr>
          <w:noProof/>
        </w:rPr>
        <w:instrText xml:space="preserve"> PAGEREF _Toc331681982 \h </w:instrText>
      </w:r>
      <w:r w:rsidRPr="00FD5BAD">
        <w:rPr>
          <w:noProof/>
        </w:rPr>
      </w:r>
      <w:r w:rsidRPr="00FD5BAD">
        <w:rPr>
          <w:noProof/>
        </w:rPr>
        <w:fldChar w:fldCharType="separate"/>
      </w:r>
      <w:r w:rsidR="00477FB5">
        <w:rPr>
          <w:noProof/>
        </w:rPr>
        <w:t>4</w:t>
      </w:r>
      <w:r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Name of Rules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_Toc331681983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4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Commencement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_Toc331681984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4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3.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Definitions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_Toc331681985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4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2"/>
        <w:tabs>
          <w:tab w:val="left" w:pos="1702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FD5BAD">
        <w:rPr>
          <w:noProof/>
        </w:rPr>
        <w:t>Part 2</w:t>
      </w:r>
      <w:r w:rsidRPr="00FD5BAD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FD5BAD">
        <w:rPr>
          <w:noProof/>
        </w:rPr>
        <w:t>Access control mechanisms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_Toc331681986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tabs>
          <w:tab w:val="left" w:pos="1938"/>
        </w:tabs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1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Default access controls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_Toc331681987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4.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Default access controls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_Toc331681988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tabs>
          <w:tab w:val="left" w:pos="1938"/>
        </w:tabs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2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Advanced access controls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_Toc331681989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5.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Advanced access controls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_Toc331681990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tabs>
          <w:tab w:val="left" w:pos="1938"/>
        </w:tabs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3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Access control mechanisms and serious threats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_Toc331681991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9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6.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Serious threat to an individual’s life, health or safety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_Toc331681992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9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7.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Serious threat to public health or public safety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_Toc331681993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9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tabs>
          <w:tab w:val="left" w:pos="1938"/>
        </w:tabs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4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Access flags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_Toc331681994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10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8.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Access control mechanisms must include use of access flags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_Toc331681995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10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9.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Principles for assigning access flags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_Toc331681996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10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tabs>
          <w:tab w:val="left" w:pos="1938"/>
        </w:tabs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5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Access control mechanisms relating to suspension or cancellation of access to a consumer’s PCEHR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_Toc331681997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11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10.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Automatic cancellation when consumer takes control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_Toc331681998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11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11.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Suspension on death of consumer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_Toc331681999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12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12.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Suspension and cancellation where representation ceases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_Toc331682000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12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13.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Suspension while investigating eligibility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_Toc331682001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13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14.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Temporary suspension in the case of a serious risk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_Toc331682002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13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15.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Effect of suspension or cancellation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_Toc331682003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14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2"/>
        <w:tabs>
          <w:tab w:val="left" w:pos="1702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FD5BAD">
        <w:rPr>
          <w:noProof/>
        </w:rPr>
        <w:t>Part 3</w:t>
      </w:r>
      <w:r w:rsidRPr="00FD5BAD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FD5BAD">
        <w:rPr>
          <w:noProof/>
        </w:rPr>
        <w:t>Identity verification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_Toc331682004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15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16.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Requirement for verified healthcare identifier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_Toc331682005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15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17.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Identity verification on ceasing to have an authorised representative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_Toc331682006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15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2"/>
        <w:tabs>
          <w:tab w:val="left" w:pos="1702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FD5BAD">
        <w:rPr>
          <w:noProof/>
        </w:rPr>
        <w:t>Part 4</w:t>
      </w:r>
      <w:r w:rsidRPr="00FD5BAD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FD5BAD">
        <w:rPr>
          <w:noProof/>
        </w:rPr>
        <w:t>Dealing with certain types of records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_Toc331682007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18.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Restriction on uploading records other than shared health summaries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_Toc331682008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19.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Effective removal of records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_Toc331682009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20.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Transfer and disposal of records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_Toc331682010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16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2"/>
        <w:tabs>
          <w:tab w:val="left" w:pos="1702"/>
        </w:tabs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FD5BAD">
        <w:rPr>
          <w:noProof/>
        </w:rPr>
        <w:t>Part 5</w:t>
      </w:r>
      <w:r w:rsidRPr="00FD5BAD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FD5BAD">
        <w:rPr>
          <w:noProof/>
        </w:rPr>
        <w:t>Participation requirements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_Toc331682011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17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tabs>
          <w:tab w:val="left" w:pos="1938"/>
        </w:tabs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1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General requirements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_Toc331682012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17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21.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Authority to act on behalf of healthcare provider organisation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_Toc331682013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17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22.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Requirements for seed organisation, etc to participate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_Toc331682014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17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23.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Registration of network organisations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_Toc331682015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18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2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_Toc331682016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18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Security requirements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_Toc331682017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18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24.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Requirements for registration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_Toc331682018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18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25.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Healthcare provider organisation policies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_Toc331682019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18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26.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Policy to be provided to the System Operator on request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_Toc331682020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20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27.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User account management within healthcare provider organisations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_Toc331682021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20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lastRenderedPageBreak/>
        <w:t>28.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Retention of record codes and document codes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_Toc331682022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20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tabs>
          <w:tab w:val="left" w:pos="1938"/>
        </w:tabs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Division 3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Responding to information security threats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_Toc331682023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21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29.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Access to the PCEHR system may be suspended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_Toc331682024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21</w:t>
      </w:r>
      <w:r w:rsidR="00B13126" w:rsidRPr="00FD5BAD">
        <w:rPr>
          <w:noProof/>
        </w:rPr>
        <w:fldChar w:fldCharType="end"/>
      </w:r>
    </w:p>
    <w:p w:rsidR="00D43E94" w:rsidRPr="00FD5BAD" w:rsidRDefault="00D43E94">
      <w:pPr>
        <w:pStyle w:val="TOC1"/>
        <w:rPr>
          <w:rFonts w:ascii="Calibri" w:hAnsi="Calibri"/>
          <w:noProof/>
          <w:sz w:val="22"/>
          <w:szCs w:val="22"/>
          <w:lang w:eastAsia="en-AU"/>
        </w:rPr>
      </w:pPr>
      <w:r w:rsidRPr="00FD5BAD">
        <w:rPr>
          <w:noProof/>
        </w:rPr>
        <w:t>30.</w:t>
      </w:r>
      <w:r w:rsidRPr="00FD5BAD">
        <w:rPr>
          <w:rFonts w:ascii="Calibri" w:hAnsi="Calibri"/>
          <w:noProof/>
          <w:sz w:val="22"/>
          <w:szCs w:val="22"/>
          <w:lang w:eastAsia="en-AU"/>
        </w:rPr>
        <w:tab/>
      </w:r>
      <w:r w:rsidRPr="00FD5BAD">
        <w:rPr>
          <w:noProof/>
        </w:rPr>
        <w:t>Effect of suspension of access</w:t>
      </w:r>
      <w:r w:rsidRPr="00FD5BAD">
        <w:rPr>
          <w:noProof/>
        </w:rPr>
        <w:tab/>
      </w:r>
      <w:r w:rsidR="00B13126" w:rsidRPr="00FD5BAD">
        <w:rPr>
          <w:noProof/>
        </w:rPr>
        <w:fldChar w:fldCharType="begin"/>
      </w:r>
      <w:r w:rsidRPr="00FD5BAD">
        <w:rPr>
          <w:noProof/>
        </w:rPr>
        <w:instrText xml:space="preserve"> PAGEREF _Toc331682025 \h </w:instrText>
      </w:r>
      <w:r w:rsidR="00B13126" w:rsidRPr="00FD5BAD">
        <w:rPr>
          <w:noProof/>
        </w:rPr>
      </w:r>
      <w:r w:rsidR="00B13126" w:rsidRPr="00FD5BAD">
        <w:rPr>
          <w:noProof/>
        </w:rPr>
        <w:fldChar w:fldCharType="separate"/>
      </w:r>
      <w:r w:rsidR="00477FB5">
        <w:rPr>
          <w:noProof/>
        </w:rPr>
        <w:t>21</w:t>
      </w:r>
      <w:r w:rsidR="00B13126" w:rsidRPr="00FD5BAD">
        <w:rPr>
          <w:noProof/>
        </w:rPr>
        <w:fldChar w:fldCharType="end"/>
      </w:r>
    </w:p>
    <w:p w:rsidR="00790C4B" w:rsidRPr="00FD5BAD" w:rsidRDefault="00B13126" w:rsidP="00621357">
      <w:pPr>
        <w:sectPr w:rsidR="00790C4B" w:rsidRPr="00FD5BAD" w:rsidSect="000506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 w:code="9"/>
          <w:pgMar w:top="1440" w:right="1797" w:bottom="1440" w:left="1797" w:header="709" w:footer="252" w:gutter="0"/>
          <w:cols w:space="709"/>
          <w:docGrid w:linePitch="326"/>
        </w:sectPr>
      </w:pPr>
      <w:r w:rsidRPr="00FD5BAD">
        <w:rPr>
          <w:rFonts w:ascii="Arial" w:hAnsi="Arial"/>
          <w:b/>
          <w:sz w:val="20"/>
        </w:rPr>
        <w:fldChar w:fldCharType="end"/>
      </w:r>
    </w:p>
    <w:p w:rsidR="00790C4B" w:rsidRPr="00FD5BAD" w:rsidRDefault="00790C4B" w:rsidP="0096085B">
      <w:pPr>
        <w:pStyle w:val="Heading1NoNum"/>
        <w:tabs>
          <w:tab w:val="clear" w:pos="1559"/>
          <w:tab w:val="left" w:pos="1680"/>
        </w:tabs>
        <w:ind w:left="1680" w:hanging="1680"/>
      </w:pPr>
      <w:bookmarkStart w:id="8" w:name="_Toc69632332"/>
      <w:bookmarkStart w:id="9" w:name="_Toc311730518"/>
      <w:bookmarkStart w:id="10" w:name="_Toc331681982"/>
      <w:bookmarkStart w:id="11" w:name="_Toc67297414"/>
      <w:bookmarkStart w:id="12" w:name="_Toc67297904"/>
      <w:bookmarkEnd w:id="7"/>
      <w:r w:rsidRPr="00FD5BAD">
        <w:lastRenderedPageBreak/>
        <w:t>Part 1</w:t>
      </w:r>
      <w:r w:rsidRPr="00FD5BAD">
        <w:tab/>
        <w:t>Preliminary</w:t>
      </w:r>
      <w:bookmarkEnd w:id="8"/>
      <w:bookmarkEnd w:id="9"/>
      <w:bookmarkEnd w:id="10"/>
    </w:p>
    <w:p w:rsidR="00790C4B" w:rsidRPr="00FD5BAD" w:rsidRDefault="00790C4B">
      <w:pPr>
        <w:pStyle w:val="Heading1"/>
        <w:rPr>
          <w:sz w:val="18"/>
          <w:szCs w:val="18"/>
        </w:rPr>
      </w:pPr>
      <w:bookmarkStart w:id="13" w:name="_Toc69632333"/>
      <w:bookmarkStart w:id="14" w:name="_Ref311644957"/>
      <w:bookmarkStart w:id="15" w:name="_Toc311730519"/>
      <w:bookmarkStart w:id="16" w:name="_Toc331681983"/>
      <w:r w:rsidRPr="00FD5BAD">
        <w:t xml:space="preserve">Name of </w:t>
      </w:r>
      <w:bookmarkEnd w:id="11"/>
      <w:bookmarkEnd w:id="12"/>
      <w:bookmarkEnd w:id="13"/>
      <w:r w:rsidR="00914BA7" w:rsidRPr="00FD5BAD">
        <w:t>Rules</w:t>
      </w:r>
      <w:bookmarkEnd w:id="14"/>
      <w:bookmarkEnd w:id="15"/>
      <w:bookmarkEnd w:id="16"/>
    </w:p>
    <w:p w:rsidR="00F22250" w:rsidRPr="00FD5BAD" w:rsidRDefault="00F22250" w:rsidP="00F22250">
      <w:pPr>
        <w:pStyle w:val="HealthLevel1"/>
      </w:pPr>
      <w:bookmarkStart w:id="17" w:name="_Toc67297415"/>
      <w:bookmarkStart w:id="18" w:name="_Toc67297905"/>
      <w:bookmarkStart w:id="19" w:name="_Toc69632334"/>
      <w:r w:rsidRPr="00FD5BAD">
        <w:t xml:space="preserve">These Rules are the </w:t>
      </w:r>
      <w:r w:rsidR="00426283" w:rsidRPr="00FD5BAD">
        <w:rPr>
          <w:i/>
        </w:rPr>
        <w:t>PCEHR Rules</w:t>
      </w:r>
      <w:r w:rsidR="0072182C" w:rsidRPr="00FD5BAD">
        <w:rPr>
          <w:i/>
        </w:rPr>
        <w:t xml:space="preserve"> 2012</w:t>
      </w:r>
      <w:r w:rsidRPr="00FD5BAD">
        <w:t>.</w:t>
      </w:r>
    </w:p>
    <w:p w:rsidR="00790C4B" w:rsidRPr="00FD5BAD" w:rsidRDefault="00790C4B" w:rsidP="00230610">
      <w:pPr>
        <w:pStyle w:val="Heading1"/>
      </w:pPr>
      <w:bookmarkStart w:id="20" w:name="_Toc311730520"/>
      <w:bookmarkStart w:id="21" w:name="_Toc331681984"/>
      <w:r w:rsidRPr="00FD5BAD">
        <w:t>Commencement</w:t>
      </w:r>
      <w:bookmarkEnd w:id="17"/>
      <w:bookmarkEnd w:id="18"/>
      <w:bookmarkEnd w:id="19"/>
      <w:bookmarkEnd w:id="20"/>
      <w:bookmarkEnd w:id="21"/>
    </w:p>
    <w:p w:rsidR="00247975" w:rsidRPr="00FD5BAD" w:rsidRDefault="00A87132" w:rsidP="00F22250">
      <w:pPr>
        <w:pStyle w:val="HealthLevel1"/>
      </w:pPr>
      <w:r w:rsidRPr="00FD5BAD">
        <w:t>The</w:t>
      </w:r>
      <w:r w:rsidR="0072182C" w:rsidRPr="00FD5BAD">
        <w:t xml:space="preserve"> PCEHR</w:t>
      </w:r>
      <w:r w:rsidRPr="00FD5BAD">
        <w:t xml:space="preserve"> Rules commence on </w:t>
      </w:r>
      <w:r w:rsidR="0072182C" w:rsidRPr="00FD5BAD">
        <w:t xml:space="preserve">the day after </w:t>
      </w:r>
      <w:r w:rsidR="00446B73" w:rsidRPr="00FD5BAD">
        <w:t>they</w:t>
      </w:r>
      <w:r w:rsidR="005C27E4" w:rsidRPr="00FD5BAD">
        <w:t xml:space="preserve"> are registered on the Federal R</w:t>
      </w:r>
      <w:r w:rsidR="0072182C" w:rsidRPr="00FD5BAD">
        <w:t>egister of Legislative Instruments.</w:t>
      </w:r>
      <w:r w:rsidR="002A3F1F" w:rsidRPr="00FD5BAD">
        <w:t xml:space="preserve">  </w:t>
      </w:r>
    </w:p>
    <w:p w:rsidR="00790C4B" w:rsidRPr="00FD5BAD" w:rsidRDefault="00790C4B">
      <w:pPr>
        <w:pStyle w:val="Heading1"/>
      </w:pPr>
      <w:bookmarkStart w:id="22" w:name="_Toc156230581"/>
      <w:bookmarkStart w:id="23" w:name="_Toc69632336"/>
      <w:bookmarkStart w:id="24" w:name="_Toc311730521"/>
      <w:bookmarkStart w:id="25" w:name="_Toc331681985"/>
      <w:bookmarkEnd w:id="22"/>
      <w:r w:rsidRPr="00FD5BAD">
        <w:t>Definitions</w:t>
      </w:r>
      <w:bookmarkEnd w:id="23"/>
      <w:bookmarkEnd w:id="24"/>
      <w:bookmarkEnd w:id="25"/>
    </w:p>
    <w:p w:rsidR="00700714" w:rsidRPr="00FD5BAD" w:rsidRDefault="00700714" w:rsidP="00700714">
      <w:pPr>
        <w:pStyle w:val="HealthLevel1"/>
      </w:pPr>
      <w:r w:rsidRPr="00FD5BAD">
        <w:t>In these Rules, unless the contrary intention appears:</w:t>
      </w:r>
    </w:p>
    <w:p w:rsidR="00166F5C" w:rsidRPr="00FD5BAD" w:rsidRDefault="00166F5C" w:rsidP="00700714">
      <w:pPr>
        <w:pStyle w:val="HealthLevel1"/>
      </w:pPr>
      <w:r w:rsidRPr="00FD5BAD">
        <w:rPr>
          <w:b/>
          <w:i/>
        </w:rPr>
        <w:t>Access control mechanisms</w:t>
      </w:r>
      <w:r w:rsidRPr="00FD5BAD">
        <w:t xml:space="preserve"> </w:t>
      </w:r>
      <w:r w:rsidR="00DA0976" w:rsidRPr="00FD5BAD">
        <w:t>include</w:t>
      </w:r>
      <w:r w:rsidRPr="00FD5BAD">
        <w:t xml:space="preserve"> default access controls and advanced access controls.</w:t>
      </w:r>
    </w:p>
    <w:p w:rsidR="00386658" w:rsidRPr="00FD5BAD" w:rsidRDefault="00386658" w:rsidP="00700714">
      <w:pPr>
        <w:pStyle w:val="HealthLevel1"/>
      </w:pPr>
      <w:r w:rsidRPr="00FD5BAD">
        <w:rPr>
          <w:b/>
          <w:i/>
        </w:rPr>
        <w:t>Access flag</w:t>
      </w:r>
      <w:r w:rsidRPr="00FD5BAD">
        <w:t xml:space="preserve"> means </w:t>
      </w:r>
      <w:r w:rsidR="002F7E19" w:rsidRPr="00FD5BAD">
        <w:t>an</w:t>
      </w:r>
      <w:r w:rsidRPr="00FD5BAD">
        <w:t xml:space="preserve"> information technology mechanism </w:t>
      </w:r>
      <w:r w:rsidR="00796334" w:rsidRPr="00FD5BAD">
        <w:t xml:space="preserve">made available </w:t>
      </w:r>
      <w:r w:rsidR="005F165B" w:rsidRPr="00FD5BAD">
        <w:t xml:space="preserve">by the System Operator </w:t>
      </w:r>
      <w:r w:rsidRPr="00FD5BAD">
        <w:t xml:space="preserve">to </w:t>
      </w:r>
      <w:r w:rsidR="00A727DA" w:rsidRPr="00FD5BAD">
        <w:t xml:space="preserve">define </w:t>
      </w:r>
      <w:r w:rsidR="002F7E19" w:rsidRPr="00FD5BAD">
        <w:t>access to a consumer’s PCEHR.</w:t>
      </w:r>
    </w:p>
    <w:p w:rsidR="003A1C86" w:rsidRPr="00FD5BAD" w:rsidRDefault="003A1C86" w:rsidP="00CC17D8">
      <w:pPr>
        <w:pStyle w:val="HealthLevel1"/>
        <w:rPr>
          <w:b/>
        </w:rPr>
      </w:pPr>
      <w:r w:rsidRPr="00FD5BAD">
        <w:rPr>
          <w:b/>
          <w:i/>
        </w:rPr>
        <w:t>Access list</w:t>
      </w:r>
      <w:r w:rsidRPr="00FD5BAD">
        <w:rPr>
          <w:b/>
        </w:rPr>
        <w:t xml:space="preserve"> </w:t>
      </w:r>
      <w:r w:rsidRPr="00FD5BAD">
        <w:t xml:space="preserve">means the record associated with a consumer’s PCEHR that specifies the </w:t>
      </w:r>
      <w:r w:rsidR="00C94836" w:rsidRPr="00FD5BAD">
        <w:t xml:space="preserve">registered </w:t>
      </w:r>
      <w:r w:rsidRPr="00FD5BAD">
        <w:t>healthcare provider organisations permitted to access a consumer’s PCEHR.</w:t>
      </w:r>
    </w:p>
    <w:p w:rsidR="00700714" w:rsidRPr="00FD5BAD" w:rsidRDefault="00700714" w:rsidP="00700714">
      <w:pPr>
        <w:pStyle w:val="HealthLevel1"/>
      </w:pPr>
      <w:r w:rsidRPr="00FD5BAD">
        <w:rPr>
          <w:b/>
          <w:i/>
        </w:rPr>
        <w:t>Act</w:t>
      </w:r>
      <w:r w:rsidRPr="00FD5BAD">
        <w:t xml:space="preserve"> means the </w:t>
      </w:r>
      <w:r w:rsidRPr="00FD5BAD">
        <w:rPr>
          <w:i/>
        </w:rPr>
        <w:t>Personally Controlled Electronic Health Records Act 2012</w:t>
      </w:r>
      <w:r w:rsidRPr="00FD5BAD">
        <w:t>.</w:t>
      </w:r>
    </w:p>
    <w:p w:rsidR="00474CEF" w:rsidRPr="00FD5BAD" w:rsidRDefault="00700714" w:rsidP="00474CEF">
      <w:pPr>
        <w:pStyle w:val="HealthLevel1"/>
      </w:pPr>
      <w:r w:rsidRPr="00FD5BAD">
        <w:rPr>
          <w:b/>
          <w:i/>
        </w:rPr>
        <w:t>Advanced access control</w:t>
      </w:r>
      <w:r w:rsidR="003C1C42" w:rsidRPr="00FD5BAD">
        <w:rPr>
          <w:b/>
          <w:i/>
        </w:rPr>
        <w:t>s</w:t>
      </w:r>
      <w:r w:rsidRPr="00FD5BAD">
        <w:rPr>
          <w:b/>
          <w:i/>
        </w:rPr>
        <w:t xml:space="preserve"> </w:t>
      </w:r>
      <w:r w:rsidRPr="00FD5BAD">
        <w:t>means the access control</w:t>
      </w:r>
      <w:r w:rsidR="00166F5C" w:rsidRPr="00FD5BAD">
        <w:t>s</w:t>
      </w:r>
      <w:r w:rsidRPr="00FD5BAD">
        <w:t xml:space="preserve"> that enable a registered consumer to set controls on the </w:t>
      </w:r>
      <w:r w:rsidR="005C04DD" w:rsidRPr="00FD5BAD">
        <w:t xml:space="preserve">registered </w:t>
      </w:r>
      <w:r w:rsidRPr="00FD5BAD">
        <w:t>healthcare provider organisations and nominated representatives who may access the consumer’s PCEHR</w:t>
      </w:r>
      <w:r w:rsidR="00796334" w:rsidRPr="00FD5BAD">
        <w:t>, and the records with</w:t>
      </w:r>
      <w:r w:rsidR="005C25EC" w:rsidRPr="00FD5BAD">
        <w:t>in</w:t>
      </w:r>
      <w:r w:rsidR="00796334" w:rsidRPr="00FD5BAD">
        <w:t xml:space="preserve"> the PCEHR</w:t>
      </w:r>
      <w:r w:rsidRPr="00FD5BAD">
        <w:t>.</w:t>
      </w:r>
    </w:p>
    <w:p w:rsidR="0053008A" w:rsidRPr="00FD5BAD" w:rsidRDefault="0053008A" w:rsidP="00700714">
      <w:pPr>
        <w:pStyle w:val="HealthLevel1"/>
        <w:rPr>
          <w:b/>
          <w:i/>
        </w:rPr>
      </w:pPr>
      <w:r w:rsidRPr="00FD5BAD">
        <w:rPr>
          <w:b/>
          <w:i/>
        </w:rPr>
        <w:t>Consumer-entered health summary</w:t>
      </w:r>
      <w:r w:rsidRPr="00FD5BAD">
        <w:t xml:space="preserve"> means the summary of information, including medications and allergies, that a registered consumer may enter into his or her PCEHR and which is available to anyone with access to the consumer’s PCEHR.</w:t>
      </w:r>
    </w:p>
    <w:p w:rsidR="005C7227" w:rsidRPr="00FD5BAD" w:rsidRDefault="00700714" w:rsidP="00700714">
      <w:pPr>
        <w:pStyle w:val="HealthLevel1"/>
        <w:rPr>
          <w:b/>
          <w:i/>
        </w:rPr>
      </w:pPr>
      <w:r w:rsidRPr="00FD5BAD">
        <w:rPr>
          <w:b/>
          <w:i/>
        </w:rPr>
        <w:t>Default access control</w:t>
      </w:r>
      <w:r w:rsidR="003C1C42" w:rsidRPr="00FD5BAD">
        <w:rPr>
          <w:b/>
          <w:i/>
        </w:rPr>
        <w:t>s</w:t>
      </w:r>
      <w:r w:rsidRPr="00FD5BAD">
        <w:rPr>
          <w:b/>
          <w:i/>
        </w:rPr>
        <w:t xml:space="preserve"> </w:t>
      </w:r>
      <w:r w:rsidRPr="00FD5BAD">
        <w:t xml:space="preserve">means the access controls that apply where a registered consumer has not set controls on the </w:t>
      </w:r>
      <w:r w:rsidR="00B906BD" w:rsidRPr="00FD5BAD">
        <w:t xml:space="preserve">registered </w:t>
      </w:r>
      <w:r w:rsidRPr="00FD5BAD">
        <w:t>healthcare provider organisations or nominated representatives who may access the consumer’s PCEHR.</w:t>
      </w:r>
      <w:r w:rsidR="005C7227" w:rsidRPr="00FD5BAD">
        <w:rPr>
          <w:b/>
          <w:i/>
        </w:rPr>
        <w:t xml:space="preserve"> </w:t>
      </w:r>
    </w:p>
    <w:p w:rsidR="00700714" w:rsidRPr="00FD5BAD" w:rsidRDefault="005C7227" w:rsidP="00700714">
      <w:pPr>
        <w:pStyle w:val="HealthLevel1"/>
      </w:pPr>
      <w:r w:rsidRPr="00FD5BAD">
        <w:rPr>
          <w:b/>
          <w:i/>
        </w:rPr>
        <w:t xml:space="preserve">Document </w:t>
      </w:r>
      <w:r w:rsidR="004C1CAB" w:rsidRPr="00FD5BAD">
        <w:rPr>
          <w:b/>
          <w:i/>
        </w:rPr>
        <w:t>c</w:t>
      </w:r>
      <w:r w:rsidRPr="00FD5BAD">
        <w:rPr>
          <w:b/>
          <w:i/>
        </w:rPr>
        <w:t xml:space="preserve">ode </w:t>
      </w:r>
      <w:r w:rsidRPr="00FD5BAD">
        <w:t xml:space="preserve">means a code which may be used to restrict access to individual records within a consumer’s PCEHR in accordance with paragraph </w:t>
      </w:r>
      <w:r w:rsidR="004D0E55" w:rsidRPr="00FD5BAD">
        <w:t>5</w:t>
      </w:r>
      <w:r w:rsidRPr="00FD5BAD">
        <w:t>(1)(</w:t>
      </w:r>
      <w:r w:rsidR="00151FF7" w:rsidRPr="00FD5BAD">
        <w:t>c</w:t>
      </w:r>
      <w:r w:rsidRPr="00FD5BAD">
        <w:t>).</w:t>
      </w:r>
    </w:p>
    <w:p w:rsidR="00532DEB" w:rsidRPr="00FD5BAD" w:rsidRDefault="00532DEB" w:rsidP="00386658">
      <w:pPr>
        <w:pStyle w:val="HealthLevel1"/>
      </w:pPr>
      <w:r w:rsidRPr="00FD5BAD">
        <w:rPr>
          <w:b/>
          <w:i/>
        </w:rPr>
        <w:t>Effectively remove</w:t>
      </w:r>
      <w:r w:rsidR="00DF2BB2" w:rsidRPr="00FD5BAD">
        <w:t xml:space="preserve">, in relation to a </w:t>
      </w:r>
      <w:r w:rsidR="000C5FE0" w:rsidRPr="00FD5BAD">
        <w:t>record</w:t>
      </w:r>
      <w:r w:rsidR="00DF2BB2" w:rsidRPr="00FD5BAD">
        <w:t xml:space="preserve"> in a consumer’s PCEHR, </w:t>
      </w:r>
      <w:r w:rsidR="00797F02" w:rsidRPr="00FD5BAD">
        <w:t xml:space="preserve">means </w:t>
      </w:r>
      <w:r w:rsidR="00DF2BB2" w:rsidRPr="00FD5BAD">
        <w:t xml:space="preserve">rendering the </w:t>
      </w:r>
      <w:r w:rsidR="000C5FE0" w:rsidRPr="00FD5BAD">
        <w:t>record</w:t>
      </w:r>
      <w:r w:rsidR="00DF2BB2" w:rsidRPr="00FD5BAD">
        <w:t xml:space="preserve"> inaccessible </w:t>
      </w:r>
      <w:r w:rsidR="00797F02" w:rsidRPr="00FD5BAD">
        <w:t>to</w:t>
      </w:r>
      <w:r w:rsidR="00DF2BB2" w:rsidRPr="00FD5BAD">
        <w:t xml:space="preserve"> the consumer</w:t>
      </w:r>
      <w:r w:rsidR="008D08D9" w:rsidRPr="00FD5BAD">
        <w:t>, their nominated representatives</w:t>
      </w:r>
      <w:r w:rsidR="00DF2BB2" w:rsidRPr="00FD5BAD">
        <w:t xml:space="preserve"> and any registered healthcare provider organisations involved in the </w:t>
      </w:r>
      <w:r w:rsidR="00FE4565" w:rsidRPr="00FD5BAD">
        <w:t>care</w:t>
      </w:r>
      <w:r w:rsidR="00DF2BB2" w:rsidRPr="00FD5BAD">
        <w:t xml:space="preserve"> of the consumer, including </w:t>
      </w:r>
      <w:r w:rsidR="00797F02" w:rsidRPr="00FD5BAD">
        <w:t>in the case of a serious threat</w:t>
      </w:r>
      <w:r w:rsidR="00F82DF1" w:rsidRPr="00FD5BAD">
        <w:t xml:space="preserve"> </w:t>
      </w:r>
      <w:r w:rsidR="000B3F39" w:rsidRPr="00FD5BAD">
        <w:t>in accordance with rules 6 and 7.</w:t>
      </w:r>
    </w:p>
    <w:p w:rsidR="00D649EA" w:rsidRPr="00FD5BAD" w:rsidRDefault="00D649EA" w:rsidP="00386658">
      <w:pPr>
        <w:pStyle w:val="HealthLevel1"/>
      </w:pPr>
      <w:r w:rsidRPr="00FD5BAD">
        <w:rPr>
          <w:b/>
          <w:i/>
        </w:rPr>
        <w:t>Healthcare identifier</w:t>
      </w:r>
      <w:r w:rsidR="00596789" w:rsidRPr="00FD5BAD">
        <w:t xml:space="preserve"> has the </w:t>
      </w:r>
      <w:r w:rsidR="009616E0" w:rsidRPr="00FD5BAD">
        <w:t xml:space="preserve">same </w:t>
      </w:r>
      <w:r w:rsidR="00596789" w:rsidRPr="00FD5BAD">
        <w:t xml:space="preserve">meaning </w:t>
      </w:r>
      <w:r w:rsidR="009616E0" w:rsidRPr="00FD5BAD">
        <w:t xml:space="preserve">as in </w:t>
      </w:r>
      <w:r w:rsidR="00596789" w:rsidRPr="00FD5BAD">
        <w:t xml:space="preserve">section 9 of the </w:t>
      </w:r>
      <w:r w:rsidR="00596789" w:rsidRPr="00FD5BAD">
        <w:rPr>
          <w:i/>
        </w:rPr>
        <w:t>Healthcare Identifiers Act 2010</w:t>
      </w:r>
      <w:r w:rsidR="00596789" w:rsidRPr="00FD5BAD">
        <w:t>.</w:t>
      </w:r>
    </w:p>
    <w:p w:rsidR="00540E42" w:rsidRPr="00FD5BAD" w:rsidRDefault="00540E42" w:rsidP="00386658">
      <w:pPr>
        <w:pStyle w:val="HealthLevel1"/>
      </w:pPr>
      <w:r w:rsidRPr="00FD5BAD">
        <w:rPr>
          <w:b/>
          <w:i/>
        </w:rPr>
        <w:t>Identified healthcare provider</w:t>
      </w:r>
      <w:r w:rsidRPr="00FD5BAD">
        <w:t xml:space="preserve"> has the same meaning as in the </w:t>
      </w:r>
      <w:r w:rsidRPr="00FD5BAD">
        <w:rPr>
          <w:i/>
        </w:rPr>
        <w:t>Healthcare Identifiers Act 2010</w:t>
      </w:r>
      <w:r w:rsidRPr="00FD5BAD">
        <w:t>.</w:t>
      </w:r>
    </w:p>
    <w:p w:rsidR="00386658" w:rsidRPr="00FD5BAD" w:rsidRDefault="00386658" w:rsidP="00386658">
      <w:pPr>
        <w:pStyle w:val="HealthLevel1"/>
        <w:rPr>
          <w:b/>
        </w:rPr>
      </w:pPr>
      <w:r w:rsidRPr="00FD5BAD">
        <w:rPr>
          <w:b/>
          <w:i/>
        </w:rPr>
        <w:lastRenderedPageBreak/>
        <w:t>Network hierarchy</w:t>
      </w:r>
      <w:r w:rsidRPr="00FD5BAD">
        <w:t xml:space="preserve"> means </w:t>
      </w:r>
      <w:r w:rsidR="00492424" w:rsidRPr="00FD5BAD">
        <w:t xml:space="preserve">a network of healthcare provider organisations </w:t>
      </w:r>
      <w:r w:rsidR="001739DE" w:rsidRPr="00FD5BAD">
        <w:t xml:space="preserve">created and managed in accordance with subsections 9A(3) </w:t>
      </w:r>
      <w:r w:rsidR="00E91E68" w:rsidRPr="00FD5BAD">
        <w:t>to</w:t>
      </w:r>
      <w:r w:rsidR="001739DE" w:rsidRPr="00FD5BAD">
        <w:t xml:space="preserve"> (</w:t>
      </w:r>
      <w:r w:rsidR="00E91E68" w:rsidRPr="00FD5BAD">
        <w:t>7</w:t>
      </w:r>
      <w:r w:rsidR="001739DE" w:rsidRPr="00FD5BAD">
        <w:t xml:space="preserve">) of the </w:t>
      </w:r>
      <w:r w:rsidR="001739DE" w:rsidRPr="00FD5BAD">
        <w:rPr>
          <w:i/>
        </w:rPr>
        <w:t>Healthcare Identifiers Act 2010</w:t>
      </w:r>
      <w:r w:rsidR="001739DE" w:rsidRPr="00FD5BAD">
        <w:t xml:space="preserve">.  </w:t>
      </w:r>
    </w:p>
    <w:p w:rsidR="00E91E68" w:rsidRPr="00FD5BAD" w:rsidRDefault="00E91E68" w:rsidP="00700714">
      <w:pPr>
        <w:pStyle w:val="HealthLevel1"/>
      </w:pPr>
      <w:r w:rsidRPr="00FD5BAD">
        <w:rPr>
          <w:b/>
          <w:i/>
        </w:rPr>
        <w:t>Network organisation</w:t>
      </w:r>
      <w:r w:rsidRPr="00FD5BAD">
        <w:t xml:space="preserve"> has the same meaning as in the </w:t>
      </w:r>
      <w:r w:rsidRPr="00FD5BAD">
        <w:rPr>
          <w:i/>
        </w:rPr>
        <w:t>Healthcare Identifiers Act 2010</w:t>
      </w:r>
      <w:r w:rsidRPr="00FD5BAD">
        <w:t>.</w:t>
      </w:r>
    </w:p>
    <w:p w:rsidR="009833AA" w:rsidRPr="00FD5BAD" w:rsidRDefault="009833AA" w:rsidP="00700714">
      <w:pPr>
        <w:pStyle w:val="HealthLevel1"/>
      </w:pPr>
      <w:r w:rsidRPr="00FD5BAD">
        <w:rPr>
          <w:b/>
          <w:i/>
        </w:rPr>
        <w:t xml:space="preserve">Organisation maintenance officer </w:t>
      </w:r>
      <w:r w:rsidRPr="00FD5BAD">
        <w:t xml:space="preserve">has the </w:t>
      </w:r>
      <w:r w:rsidR="0008601F" w:rsidRPr="00FD5BAD">
        <w:t xml:space="preserve">same </w:t>
      </w:r>
      <w:r w:rsidRPr="00FD5BAD">
        <w:t xml:space="preserve">meaning </w:t>
      </w:r>
      <w:r w:rsidR="0008601F" w:rsidRPr="00FD5BAD">
        <w:t xml:space="preserve">as </w:t>
      </w:r>
      <w:r w:rsidRPr="00FD5BAD">
        <w:t xml:space="preserve">in the </w:t>
      </w:r>
      <w:r w:rsidRPr="00FD5BAD">
        <w:rPr>
          <w:i/>
        </w:rPr>
        <w:t>Healthcare Identifiers Act 2010</w:t>
      </w:r>
      <w:r w:rsidRPr="00FD5BAD">
        <w:t>.</w:t>
      </w:r>
    </w:p>
    <w:p w:rsidR="00E83519" w:rsidRPr="00FD5BAD" w:rsidRDefault="00E83519" w:rsidP="00700714">
      <w:pPr>
        <w:pStyle w:val="HealthLevel1"/>
      </w:pPr>
      <w:r w:rsidRPr="00FD5BAD">
        <w:rPr>
          <w:b/>
          <w:i/>
        </w:rPr>
        <w:t>Provider portal</w:t>
      </w:r>
      <w:r w:rsidRPr="00FD5BAD">
        <w:t xml:space="preserve"> means </w:t>
      </w:r>
      <w:r w:rsidR="00385E4D" w:rsidRPr="00FD5BAD">
        <w:t xml:space="preserve">the portal provided by the System Operator that permits registered healthcare provider organisations to access the PCEHR system without having to use </w:t>
      </w:r>
      <w:r w:rsidR="00495F24" w:rsidRPr="00FD5BAD">
        <w:t>a clinical information system.</w:t>
      </w:r>
    </w:p>
    <w:p w:rsidR="009067C5" w:rsidRPr="00FD5BAD" w:rsidRDefault="009067C5" w:rsidP="00700714">
      <w:pPr>
        <w:pStyle w:val="HealthLevel1"/>
        <w:rPr>
          <w:b/>
          <w:i/>
        </w:rPr>
      </w:pPr>
      <w:r w:rsidRPr="00FD5BAD">
        <w:rPr>
          <w:b/>
          <w:i/>
        </w:rPr>
        <w:t>R</w:t>
      </w:r>
      <w:r w:rsidR="006B5072" w:rsidRPr="00FD5BAD">
        <w:rPr>
          <w:b/>
          <w:i/>
        </w:rPr>
        <w:t xml:space="preserve">ecord </w:t>
      </w:r>
      <w:r w:rsidR="00C94836" w:rsidRPr="00FD5BAD">
        <w:rPr>
          <w:b/>
          <w:i/>
        </w:rPr>
        <w:t>c</w:t>
      </w:r>
      <w:r w:rsidR="006B5072" w:rsidRPr="00FD5BAD">
        <w:rPr>
          <w:b/>
          <w:i/>
        </w:rPr>
        <w:t>ode</w:t>
      </w:r>
      <w:r w:rsidRPr="00FD5BAD">
        <w:rPr>
          <w:b/>
        </w:rPr>
        <w:t xml:space="preserve"> </w:t>
      </w:r>
      <w:r w:rsidRPr="00FD5BAD">
        <w:t>means a</w:t>
      </w:r>
      <w:r w:rsidRPr="00FD5BAD">
        <w:rPr>
          <w:b/>
        </w:rPr>
        <w:t xml:space="preserve"> </w:t>
      </w:r>
      <w:r w:rsidRPr="00FD5BAD">
        <w:t xml:space="preserve">code which may be used to </w:t>
      </w:r>
      <w:r w:rsidR="00051B91" w:rsidRPr="00FD5BAD">
        <w:t>restrict access to</w:t>
      </w:r>
      <w:r w:rsidR="00A64B37" w:rsidRPr="00FD5BAD">
        <w:t xml:space="preserve"> </w:t>
      </w:r>
      <w:r w:rsidRPr="00FD5BAD">
        <w:t>a consumer’s PCEHR</w:t>
      </w:r>
      <w:r w:rsidR="007B7243" w:rsidRPr="00FD5BAD">
        <w:t xml:space="preserve"> in accordance with paragraph </w:t>
      </w:r>
      <w:r w:rsidR="004D0E55" w:rsidRPr="00FD5BAD">
        <w:t>5</w:t>
      </w:r>
      <w:r w:rsidR="007B7243" w:rsidRPr="00FD5BAD">
        <w:t>(1)(a)</w:t>
      </w:r>
      <w:r w:rsidRPr="00FD5BAD">
        <w:t>.</w:t>
      </w:r>
    </w:p>
    <w:p w:rsidR="00604B57" w:rsidRPr="00FD5BAD" w:rsidRDefault="00604B57" w:rsidP="00700714">
      <w:pPr>
        <w:pStyle w:val="HealthLevel1"/>
      </w:pPr>
      <w:r w:rsidRPr="00FD5BAD">
        <w:rPr>
          <w:b/>
          <w:i/>
        </w:rPr>
        <w:t>Responsible officer</w:t>
      </w:r>
      <w:r w:rsidRPr="00FD5BAD">
        <w:t xml:space="preserve"> has the </w:t>
      </w:r>
      <w:r w:rsidR="00A01161" w:rsidRPr="00FD5BAD">
        <w:t xml:space="preserve">same </w:t>
      </w:r>
      <w:r w:rsidRPr="00FD5BAD">
        <w:t xml:space="preserve">meaning </w:t>
      </w:r>
      <w:r w:rsidR="00A01161" w:rsidRPr="00FD5BAD">
        <w:t xml:space="preserve">as </w:t>
      </w:r>
      <w:r w:rsidRPr="00FD5BAD">
        <w:t xml:space="preserve">in the </w:t>
      </w:r>
      <w:r w:rsidRPr="00FD5BAD">
        <w:rPr>
          <w:i/>
        </w:rPr>
        <w:t>Healthcare Identifiers Act 2010</w:t>
      </w:r>
      <w:r w:rsidRPr="00FD5BAD">
        <w:t>.</w:t>
      </w:r>
    </w:p>
    <w:p w:rsidR="00EC5C99" w:rsidRPr="00FD5BAD" w:rsidRDefault="00EC5C99" w:rsidP="00700714">
      <w:pPr>
        <w:pStyle w:val="HealthLevel1"/>
      </w:pPr>
      <w:r w:rsidRPr="00FD5BAD">
        <w:rPr>
          <w:b/>
          <w:i/>
        </w:rPr>
        <w:t>Restore</w:t>
      </w:r>
      <w:r w:rsidR="001600D8" w:rsidRPr="00FD5BAD">
        <w:t xml:space="preserve">, in relation to a </w:t>
      </w:r>
      <w:r w:rsidR="000C5FE0" w:rsidRPr="00FD5BAD">
        <w:t>record</w:t>
      </w:r>
      <w:r w:rsidR="001600D8" w:rsidRPr="00FD5BAD">
        <w:t xml:space="preserve">, </w:t>
      </w:r>
      <w:r w:rsidR="00E121EC" w:rsidRPr="00FD5BAD">
        <w:t xml:space="preserve">means making a </w:t>
      </w:r>
      <w:r w:rsidR="000C5FE0" w:rsidRPr="00FD5BAD">
        <w:t>record</w:t>
      </w:r>
      <w:r w:rsidR="00E121EC" w:rsidRPr="00FD5BAD">
        <w:t xml:space="preserve">, which has previously been effectively removed, </w:t>
      </w:r>
      <w:r w:rsidR="002840D5" w:rsidRPr="00FD5BAD">
        <w:t>accessible to the consumer</w:t>
      </w:r>
      <w:r w:rsidR="00183087" w:rsidRPr="00FD5BAD">
        <w:t>, their nominated representatives</w:t>
      </w:r>
      <w:r w:rsidR="002840D5" w:rsidRPr="00FD5BAD">
        <w:t xml:space="preserve"> and any registered healthcare provider organisations involved in the </w:t>
      </w:r>
      <w:r w:rsidR="00FE4565" w:rsidRPr="00FD5BAD">
        <w:t>care</w:t>
      </w:r>
      <w:r w:rsidR="002840D5" w:rsidRPr="00FD5BAD">
        <w:t xml:space="preserve"> of the consumer</w:t>
      </w:r>
      <w:r w:rsidR="00183087" w:rsidRPr="00FD5BAD">
        <w:t xml:space="preserve"> in accordance with any applicable access control mechanisms</w:t>
      </w:r>
      <w:r w:rsidR="002840D5" w:rsidRPr="00FD5BAD">
        <w:t>, including in the case of a serious threat</w:t>
      </w:r>
      <w:r w:rsidR="00F82DF1" w:rsidRPr="00FD5BAD">
        <w:t xml:space="preserve"> to an individual’s life, health or safety</w:t>
      </w:r>
      <w:r w:rsidR="00127825" w:rsidRPr="00FD5BAD">
        <w:t>.</w:t>
      </w:r>
      <w:r w:rsidR="00086592" w:rsidRPr="00FD5BAD">
        <w:t xml:space="preserve"> </w:t>
      </w:r>
    </w:p>
    <w:p w:rsidR="00E91E68" w:rsidRPr="00FD5BAD" w:rsidRDefault="00E91E68" w:rsidP="00700714">
      <w:pPr>
        <w:pStyle w:val="HealthLevel1"/>
      </w:pPr>
      <w:r w:rsidRPr="00FD5BAD">
        <w:rPr>
          <w:b/>
          <w:i/>
        </w:rPr>
        <w:t xml:space="preserve">Seed organisation </w:t>
      </w:r>
      <w:r w:rsidRPr="00FD5BAD">
        <w:t xml:space="preserve">has the same meaning as in the </w:t>
      </w:r>
      <w:r w:rsidRPr="00FD5BAD">
        <w:rPr>
          <w:i/>
        </w:rPr>
        <w:t>Healthcare Identifiers Act</w:t>
      </w:r>
      <w:r w:rsidR="00604B57" w:rsidRPr="00FD5BAD">
        <w:rPr>
          <w:i/>
        </w:rPr>
        <w:t> </w:t>
      </w:r>
      <w:r w:rsidRPr="00FD5BAD">
        <w:rPr>
          <w:i/>
        </w:rPr>
        <w:t>2010</w:t>
      </w:r>
      <w:r w:rsidRPr="00FD5BAD">
        <w:t>.</w:t>
      </w:r>
      <w:r w:rsidR="00694BAA" w:rsidRPr="00FD5BAD">
        <w:tab/>
      </w:r>
    </w:p>
    <w:p w:rsidR="00596789" w:rsidRPr="00FD5BAD" w:rsidRDefault="00596789" w:rsidP="00596789">
      <w:pPr>
        <w:pStyle w:val="HealthLevel1"/>
      </w:pPr>
      <w:r w:rsidRPr="00FD5BAD">
        <w:rPr>
          <w:b/>
          <w:i/>
        </w:rPr>
        <w:t xml:space="preserve">Service operator </w:t>
      </w:r>
      <w:r w:rsidRPr="00FD5BAD">
        <w:t xml:space="preserve">has </w:t>
      </w:r>
      <w:r w:rsidR="0096088A" w:rsidRPr="00FD5BAD">
        <w:t xml:space="preserve">same meaning as in </w:t>
      </w:r>
      <w:r w:rsidRPr="00FD5BAD">
        <w:t>the</w:t>
      </w:r>
      <w:r w:rsidRPr="00FD5BAD">
        <w:rPr>
          <w:b/>
          <w:i/>
        </w:rPr>
        <w:t xml:space="preserve"> </w:t>
      </w:r>
      <w:r w:rsidRPr="00FD5BAD">
        <w:rPr>
          <w:i/>
        </w:rPr>
        <w:t>Healthcare Identifiers Act</w:t>
      </w:r>
      <w:r w:rsidR="00604B57" w:rsidRPr="00FD5BAD">
        <w:rPr>
          <w:i/>
        </w:rPr>
        <w:t> </w:t>
      </w:r>
      <w:r w:rsidRPr="00FD5BAD">
        <w:rPr>
          <w:i/>
        </w:rPr>
        <w:t>2010</w:t>
      </w:r>
      <w:r w:rsidRPr="00FD5BAD">
        <w:t>.</w:t>
      </w:r>
    </w:p>
    <w:p w:rsidR="005657B0" w:rsidRPr="00FD5BAD" w:rsidRDefault="005657B0" w:rsidP="00131850">
      <w:pPr>
        <w:pStyle w:val="HealthLevel1"/>
      </w:pPr>
      <w:r w:rsidRPr="00FD5BAD">
        <w:rPr>
          <w:b/>
          <w:i/>
        </w:rPr>
        <w:t>Taking control</w:t>
      </w:r>
      <w:r w:rsidRPr="00FD5BAD">
        <w:t xml:space="preserve">, in relation to a PCEHR, has the meaning </w:t>
      </w:r>
      <w:r w:rsidR="00C94836" w:rsidRPr="00FD5BAD">
        <w:t xml:space="preserve">given </w:t>
      </w:r>
      <w:r w:rsidR="0071329F" w:rsidRPr="00FD5BAD">
        <w:t xml:space="preserve">by </w:t>
      </w:r>
      <w:r w:rsidRPr="00FD5BAD">
        <w:t>subrule</w:t>
      </w:r>
      <w:r w:rsidR="00C94836" w:rsidRPr="00FD5BAD">
        <w:t> </w:t>
      </w:r>
      <w:r w:rsidRPr="00FD5BAD">
        <w:t>1</w:t>
      </w:r>
      <w:r w:rsidR="004D0E55" w:rsidRPr="00FD5BAD">
        <w:t>0</w:t>
      </w:r>
      <w:r w:rsidRPr="00FD5BAD">
        <w:t>(2).</w:t>
      </w:r>
    </w:p>
    <w:p w:rsidR="00D649EA" w:rsidRPr="00FD5BAD" w:rsidRDefault="00D649EA" w:rsidP="00131850">
      <w:pPr>
        <w:pStyle w:val="HealthLevel1"/>
      </w:pPr>
      <w:r w:rsidRPr="00FD5BAD">
        <w:rPr>
          <w:b/>
          <w:i/>
        </w:rPr>
        <w:t>Verified healthcare identifier</w:t>
      </w:r>
      <w:r w:rsidRPr="00FD5BAD">
        <w:rPr>
          <w:b/>
        </w:rPr>
        <w:t xml:space="preserve"> </w:t>
      </w:r>
      <w:r w:rsidRPr="00FD5BAD">
        <w:t xml:space="preserve">means </w:t>
      </w:r>
      <w:r w:rsidR="00596789" w:rsidRPr="00FD5BAD">
        <w:t xml:space="preserve">a healthcare identifier assigned to a consumer in relation to which the service operator has evidence, to the service operator’s satisfaction, of </w:t>
      </w:r>
      <w:r w:rsidR="00573813" w:rsidRPr="00FD5BAD">
        <w:t>the</w:t>
      </w:r>
      <w:r w:rsidR="00596789" w:rsidRPr="00FD5BAD">
        <w:t xml:space="preserve"> consumer’s identity.</w:t>
      </w:r>
    </w:p>
    <w:p w:rsidR="005733EF" w:rsidRPr="00FD5BAD" w:rsidRDefault="005733EF" w:rsidP="005733EF">
      <w:pPr>
        <w:pStyle w:val="HealthLevel1"/>
      </w:pPr>
    </w:p>
    <w:p w:rsidR="003A05D0" w:rsidRPr="00FD5BAD" w:rsidRDefault="004E6B1B" w:rsidP="006C5CAF">
      <w:pPr>
        <w:pStyle w:val="Healthnote"/>
        <w:ind w:left="1691" w:hanging="840"/>
      </w:pPr>
      <w:r w:rsidRPr="00FD5BAD">
        <w:t>Note 1</w:t>
      </w:r>
      <w:r w:rsidR="006C3693" w:rsidRPr="00FD5BAD">
        <w:t>:</w:t>
      </w:r>
      <w:r w:rsidR="00230610" w:rsidRPr="00FD5BAD">
        <w:tab/>
      </w:r>
      <w:r w:rsidR="008147B6" w:rsidRPr="00FD5BAD">
        <w:t>Unless the contrary intention appears, t</w:t>
      </w:r>
      <w:r w:rsidR="00230610" w:rsidRPr="00FD5BAD">
        <w:t xml:space="preserve">erms used in these </w:t>
      </w:r>
      <w:r w:rsidR="00446B73" w:rsidRPr="00FD5BAD">
        <w:t xml:space="preserve">PCEHR </w:t>
      </w:r>
      <w:r w:rsidR="00230610" w:rsidRPr="00FD5BAD">
        <w:t>Rules have the same meaning as in the Act</w:t>
      </w:r>
      <w:r w:rsidR="00E0043D" w:rsidRPr="00FD5BAD">
        <w:t>―</w:t>
      </w:r>
      <w:r w:rsidR="008D47A8" w:rsidRPr="00FD5BAD">
        <w:t xml:space="preserve"> </w:t>
      </w:r>
      <w:r w:rsidR="00E0043D" w:rsidRPr="00FD5BAD">
        <w:t xml:space="preserve">see section 13 of the </w:t>
      </w:r>
      <w:r w:rsidR="00E0043D" w:rsidRPr="00FD5BAD">
        <w:rPr>
          <w:i/>
        </w:rPr>
        <w:t>Legislative Instruments Act 2003</w:t>
      </w:r>
      <w:r w:rsidR="00230610" w:rsidRPr="00FD5BAD">
        <w:t xml:space="preserve">.  </w:t>
      </w:r>
      <w:r w:rsidR="003A05D0" w:rsidRPr="00FD5BAD">
        <w:t>These terms include:</w:t>
      </w:r>
    </w:p>
    <w:p w:rsidR="003724C4" w:rsidRPr="00FD5BAD" w:rsidRDefault="009A54AC" w:rsidP="00C44574">
      <w:pPr>
        <w:pStyle w:val="Healthnote"/>
        <w:spacing w:before="0"/>
        <w:ind w:left="1690"/>
      </w:pPr>
      <w:r w:rsidRPr="00FD5BAD">
        <w:rPr>
          <w:b/>
          <w:i/>
        </w:rPr>
        <w:t>approved form</w:t>
      </w:r>
      <w:r w:rsidRPr="00FD5BAD">
        <w:rPr>
          <w:i/>
        </w:rPr>
        <w:t>,</w:t>
      </w:r>
      <w:r w:rsidRPr="00FD5BAD">
        <w:rPr>
          <w:b/>
          <w:i/>
        </w:rPr>
        <w:t xml:space="preserve"> </w:t>
      </w:r>
      <w:r w:rsidR="006A4C3A" w:rsidRPr="00FD5BAD">
        <w:rPr>
          <w:b/>
          <w:i/>
        </w:rPr>
        <w:t>authorised representative</w:t>
      </w:r>
      <w:r w:rsidR="00652A41" w:rsidRPr="00FD5BAD">
        <w:t>,</w:t>
      </w:r>
      <w:r w:rsidR="00652A41" w:rsidRPr="00FD5BAD">
        <w:rPr>
          <w:b/>
          <w:i/>
        </w:rPr>
        <w:t xml:space="preserve"> </w:t>
      </w:r>
      <w:r w:rsidR="006A4C3A" w:rsidRPr="00FD5BAD">
        <w:rPr>
          <w:b/>
          <w:i/>
        </w:rPr>
        <w:t>consumer</w:t>
      </w:r>
      <w:r w:rsidR="006A4C3A" w:rsidRPr="00FD5BAD">
        <w:t xml:space="preserve">, </w:t>
      </w:r>
      <w:r w:rsidR="00474CEF" w:rsidRPr="00FD5BAD">
        <w:rPr>
          <w:b/>
          <w:i/>
        </w:rPr>
        <w:t>consumer-only notes</w:t>
      </w:r>
      <w:r w:rsidR="00474CEF" w:rsidRPr="00FD5BAD">
        <w:t>,</w:t>
      </w:r>
      <w:r w:rsidR="00474CEF" w:rsidRPr="00FD5BAD">
        <w:rPr>
          <w:b/>
          <w:i/>
        </w:rPr>
        <w:t xml:space="preserve"> </w:t>
      </w:r>
      <w:r w:rsidR="003374AF" w:rsidRPr="00FD5BAD">
        <w:rPr>
          <w:b/>
          <w:i/>
        </w:rPr>
        <w:t>employee</w:t>
      </w:r>
      <w:r w:rsidR="003374AF" w:rsidRPr="00FD5BAD">
        <w:t xml:space="preserve">, </w:t>
      </w:r>
      <w:r w:rsidR="004B3A79" w:rsidRPr="00FD5BAD">
        <w:rPr>
          <w:b/>
          <w:i/>
        </w:rPr>
        <w:t>nominated representative</w:t>
      </w:r>
      <w:r w:rsidR="004B3A79" w:rsidRPr="00FD5BAD">
        <w:t>,</w:t>
      </w:r>
      <w:r w:rsidR="004B3A79" w:rsidRPr="00FD5BAD">
        <w:rPr>
          <w:b/>
          <w:i/>
        </w:rPr>
        <w:t xml:space="preserve"> </w:t>
      </w:r>
      <w:r w:rsidR="00AB6782" w:rsidRPr="00FD5BAD">
        <w:rPr>
          <w:b/>
          <w:i/>
        </w:rPr>
        <w:t>PCEHR</w:t>
      </w:r>
      <w:r w:rsidR="00AB6782" w:rsidRPr="00FD5BAD">
        <w:t xml:space="preserve">, </w:t>
      </w:r>
      <w:r w:rsidR="00192CBC" w:rsidRPr="00FD5BAD">
        <w:rPr>
          <w:b/>
          <w:i/>
        </w:rPr>
        <w:t>PCEHR system</w:t>
      </w:r>
      <w:r w:rsidR="00192CBC" w:rsidRPr="00FD5BAD">
        <w:t xml:space="preserve">, </w:t>
      </w:r>
      <w:r w:rsidR="006A4C3A" w:rsidRPr="00FD5BAD">
        <w:rPr>
          <w:b/>
          <w:i/>
        </w:rPr>
        <w:t>registered</w:t>
      </w:r>
      <w:r w:rsidR="006A4C3A" w:rsidRPr="00FD5BAD">
        <w:t xml:space="preserve"> </w:t>
      </w:r>
      <w:r w:rsidR="006A4C3A" w:rsidRPr="00FD5BAD">
        <w:rPr>
          <w:b/>
          <w:i/>
        </w:rPr>
        <w:t>consumer</w:t>
      </w:r>
      <w:r w:rsidR="006A4C3A" w:rsidRPr="00FD5BAD">
        <w:t xml:space="preserve">, </w:t>
      </w:r>
      <w:r w:rsidR="00AB6782" w:rsidRPr="00FD5BAD">
        <w:rPr>
          <w:b/>
          <w:i/>
        </w:rPr>
        <w:t>registered healthcare provider organisation</w:t>
      </w:r>
      <w:r w:rsidR="00AB6782" w:rsidRPr="00FD5BAD">
        <w:t xml:space="preserve">, </w:t>
      </w:r>
      <w:r w:rsidR="004B3A79" w:rsidRPr="00FD5BAD">
        <w:rPr>
          <w:b/>
          <w:i/>
        </w:rPr>
        <w:t>shared health summary</w:t>
      </w:r>
      <w:r w:rsidR="008A07EF" w:rsidRPr="00FD5BAD">
        <w:t xml:space="preserve"> and </w:t>
      </w:r>
      <w:r w:rsidR="0088056C" w:rsidRPr="00FD5BAD">
        <w:rPr>
          <w:b/>
          <w:i/>
        </w:rPr>
        <w:t>System Operator</w:t>
      </w:r>
      <w:r w:rsidR="008A07EF" w:rsidRPr="00FD5BAD">
        <w:t>.</w:t>
      </w:r>
      <w:r w:rsidR="002D7627" w:rsidRPr="00FD5BAD">
        <w:br/>
      </w:r>
    </w:p>
    <w:p w:rsidR="00C53F34" w:rsidRPr="00FD5BAD" w:rsidRDefault="00C53F34" w:rsidP="0096085B">
      <w:pPr>
        <w:pStyle w:val="Heading1NoNum"/>
        <w:tabs>
          <w:tab w:val="clear" w:pos="1559"/>
          <w:tab w:val="left" w:pos="1680"/>
        </w:tabs>
        <w:ind w:left="1680" w:hanging="1680"/>
      </w:pPr>
      <w:bookmarkStart w:id="26" w:name="_Toc153532652"/>
      <w:bookmarkStart w:id="27" w:name="_Toc156381764"/>
      <w:bookmarkStart w:id="28" w:name="_Toc311730522"/>
      <w:bookmarkStart w:id="29" w:name="_Toc331681986"/>
      <w:bookmarkStart w:id="30" w:name="_Toc69632344"/>
      <w:bookmarkStart w:id="31" w:name="_Ref71086436"/>
      <w:bookmarkStart w:id="32" w:name="_Ref71623914"/>
      <w:r w:rsidRPr="00FD5BAD">
        <w:lastRenderedPageBreak/>
        <w:t>Part 2</w:t>
      </w:r>
      <w:r w:rsidRPr="00FD5BAD">
        <w:tab/>
      </w:r>
      <w:bookmarkEnd w:id="26"/>
      <w:bookmarkEnd w:id="27"/>
      <w:r w:rsidR="002A638C" w:rsidRPr="00FD5BAD">
        <w:t>Access control mechanis</w:t>
      </w:r>
      <w:bookmarkEnd w:id="28"/>
      <w:r w:rsidR="004A4A70" w:rsidRPr="00FD5BAD">
        <w:t>ms</w:t>
      </w:r>
      <w:bookmarkEnd w:id="29"/>
    </w:p>
    <w:p w:rsidR="00BE333B" w:rsidRPr="00FD5BAD" w:rsidRDefault="00BE333B" w:rsidP="00BE333B">
      <w:pPr>
        <w:pStyle w:val="Heading2NoNum"/>
      </w:pPr>
      <w:bookmarkStart w:id="33" w:name="_Toc331681987"/>
      <w:bookmarkStart w:id="34" w:name="_Toc153532656"/>
      <w:bookmarkStart w:id="35" w:name="_Toc156381765"/>
      <w:r w:rsidRPr="00FD5BAD">
        <w:t xml:space="preserve">Division </w:t>
      </w:r>
      <w:r w:rsidR="00184248" w:rsidRPr="00FD5BAD">
        <w:t>1</w:t>
      </w:r>
      <w:r w:rsidRPr="00FD5BAD">
        <w:tab/>
      </w:r>
      <w:r w:rsidR="004E02B4" w:rsidRPr="00FD5BAD">
        <w:t>Default access controls</w:t>
      </w:r>
      <w:bookmarkEnd w:id="33"/>
    </w:p>
    <w:p w:rsidR="004E02B4" w:rsidRPr="00FD5BAD" w:rsidRDefault="003163F2" w:rsidP="004E02B4">
      <w:pPr>
        <w:pStyle w:val="Heading1"/>
      </w:pPr>
      <w:bookmarkStart w:id="36" w:name="_Toc331681988"/>
      <w:r w:rsidRPr="00FD5BAD">
        <w:t>Default a</w:t>
      </w:r>
      <w:r w:rsidR="004E02B4" w:rsidRPr="00FD5BAD">
        <w:t>ccess control</w:t>
      </w:r>
      <w:r w:rsidR="00700D9A" w:rsidRPr="00FD5BAD">
        <w:t>s</w:t>
      </w:r>
      <w:bookmarkEnd w:id="36"/>
      <w:r w:rsidR="00712564" w:rsidRPr="00FD5BAD">
        <w:t xml:space="preserve"> </w:t>
      </w:r>
    </w:p>
    <w:p w:rsidR="004E02B4" w:rsidRPr="00FD5BAD" w:rsidRDefault="00700714" w:rsidP="00127C88">
      <w:pPr>
        <w:pStyle w:val="HealthLevel1"/>
      </w:pPr>
      <w:r w:rsidRPr="00FD5BAD">
        <w:t xml:space="preserve">For the purposes of paragraph 15(b) </w:t>
      </w:r>
      <w:r w:rsidR="00257B54" w:rsidRPr="00FD5BAD">
        <w:t xml:space="preserve">and (c) </w:t>
      </w:r>
      <w:r w:rsidR="00B77A49" w:rsidRPr="00FD5BAD">
        <w:t xml:space="preserve">and subsection 109(6) </w:t>
      </w:r>
      <w:r w:rsidRPr="00FD5BAD">
        <w:t>of the Act, t</w:t>
      </w:r>
      <w:r w:rsidR="003163F2" w:rsidRPr="00FD5BAD">
        <w:t xml:space="preserve">he System Operator </w:t>
      </w:r>
      <w:r w:rsidR="00037734" w:rsidRPr="00FD5BAD">
        <w:t>must</w:t>
      </w:r>
      <w:r w:rsidR="003163F2" w:rsidRPr="00FD5BAD">
        <w:t xml:space="preserve"> establish and maintain default a</w:t>
      </w:r>
      <w:r w:rsidR="00E34BE1" w:rsidRPr="00FD5BAD">
        <w:t>ccess control</w:t>
      </w:r>
      <w:r w:rsidR="00700D9A" w:rsidRPr="00FD5BAD">
        <w:t>s</w:t>
      </w:r>
      <w:r w:rsidR="00E34BE1" w:rsidRPr="00FD5BAD">
        <w:t xml:space="preserve"> </w:t>
      </w:r>
      <w:r w:rsidR="003163F2" w:rsidRPr="00FD5BAD">
        <w:t>that</w:t>
      </w:r>
      <w:r w:rsidR="00E34BE1" w:rsidRPr="00FD5BAD">
        <w:t>:</w:t>
      </w:r>
    </w:p>
    <w:p w:rsidR="00E34BE1" w:rsidRPr="00FD5BAD" w:rsidRDefault="00E34BE1" w:rsidP="00A80F92">
      <w:pPr>
        <w:pStyle w:val="Healthnumlevel2"/>
        <w:numPr>
          <w:ilvl w:val="2"/>
          <w:numId w:val="7"/>
        </w:numPr>
      </w:pPr>
      <w:r w:rsidRPr="00FD5BAD">
        <w:t xml:space="preserve">permit all registered healthcare provider organisations involved in the </w:t>
      </w:r>
      <w:r w:rsidR="00FE4565" w:rsidRPr="00FD5BAD">
        <w:t>care</w:t>
      </w:r>
      <w:r w:rsidRPr="00FD5BAD">
        <w:t xml:space="preserve"> of a </w:t>
      </w:r>
      <w:r w:rsidR="009065D0" w:rsidRPr="00FD5BAD">
        <w:t xml:space="preserve">registered </w:t>
      </w:r>
      <w:r w:rsidRPr="00FD5BAD">
        <w:t>consumer to access the consumer’s PCEHR</w:t>
      </w:r>
      <w:r w:rsidR="00F0553F" w:rsidRPr="00FD5BAD">
        <w:t>;</w:t>
      </w:r>
    </w:p>
    <w:p w:rsidR="00A06B46" w:rsidRPr="00FD5BAD" w:rsidRDefault="00362DD3" w:rsidP="00A80F92">
      <w:pPr>
        <w:pStyle w:val="Healthnumlevel2"/>
        <w:numPr>
          <w:ilvl w:val="2"/>
          <w:numId w:val="7"/>
        </w:numPr>
      </w:pPr>
      <w:r w:rsidRPr="00FD5BAD">
        <w:t xml:space="preserve">include an access list of the registered healthcare provider organisations </w:t>
      </w:r>
      <w:r w:rsidR="00A06B46" w:rsidRPr="00FD5BAD">
        <w:t xml:space="preserve">that </w:t>
      </w:r>
      <w:r w:rsidR="00BA289F" w:rsidRPr="00FD5BAD">
        <w:t xml:space="preserve">are permitted to </w:t>
      </w:r>
      <w:r w:rsidR="00A06B46" w:rsidRPr="00FD5BAD">
        <w:t>access the consumer’s PCEHR</w:t>
      </w:r>
      <w:r w:rsidR="00872034" w:rsidRPr="00FD5BAD">
        <w:t xml:space="preserve"> because the organisation is involved in the care of the registered consumer</w:t>
      </w:r>
      <w:r w:rsidR="00A06B46" w:rsidRPr="00FD5BAD">
        <w:t>;</w:t>
      </w:r>
      <w:r w:rsidR="0042178E" w:rsidRPr="00FD5BAD">
        <w:t xml:space="preserve"> </w:t>
      </w:r>
    </w:p>
    <w:p w:rsidR="00D03796" w:rsidRPr="00FD5BAD" w:rsidRDefault="00CE5069" w:rsidP="00A80F92">
      <w:pPr>
        <w:pStyle w:val="Healthnumlevel2"/>
        <w:numPr>
          <w:ilvl w:val="2"/>
          <w:numId w:val="7"/>
        </w:numPr>
      </w:pPr>
      <w:r w:rsidRPr="00FD5BAD">
        <w:t xml:space="preserve">permit </w:t>
      </w:r>
      <w:r w:rsidR="009E7370" w:rsidRPr="00FD5BAD">
        <w:t xml:space="preserve">registered </w:t>
      </w:r>
      <w:r w:rsidRPr="00FD5BAD">
        <w:t>consumers to view the access list for their PCEHR</w:t>
      </w:r>
      <w:r w:rsidR="001A2BF9" w:rsidRPr="00FD5BAD">
        <w:t>;</w:t>
      </w:r>
    </w:p>
    <w:p w:rsidR="00BC5606" w:rsidRPr="00FD5BAD" w:rsidRDefault="00CE5069" w:rsidP="00A80F92">
      <w:pPr>
        <w:pStyle w:val="Healthnumlevel2"/>
        <w:numPr>
          <w:ilvl w:val="2"/>
          <w:numId w:val="7"/>
        </w:numPr>
      </w:pPr>
      <w:r w:rsidRPr="00FD5BAD">
        <w:t xml:space="preserve">remove a healthcare provider organisation from the access list for a consumer’s PCEHR if the organisation has not accessed the consumer’s PCEHR for a period of three years; </w:t>
      </w:r>
    </w:p>
    <w:p w:rsidR="00CA1AE3" w:rsidRPr="00FD5BAD" w:rsidRDefault="00532DEB" w:rsidP="00A80F92">
      <w:pPr>
        <w:pStyle w:val="Healthnumlevel2"/>
        <w:numPr>
          <w:ilvl w:val="2"/>
          <w:numId w:val="7"/>
        </w:numPr>
      </w:pPr>
      <w:r w:rsidRPr="00FD5BAD">
        <w:t>permit</w:t>
      </w:r>
      <w:r w:rsidR="00523CAC" w:rsidRPr="00FD5BAD">
        <w:t xml:space="preserve"> </w:t>
      </w:r>
      <w:r w:rsidR="009E7370" w:rsidRPr="00FD5BAD">
        <w:t xml:space="preserve">registered </w:t>
      </w:r>
      <w:r w:rsidR="00523CAC" w:rsidRPr="00FD5BAD">
        <w:t>consumers to</w:t>
      </w:r>
      <w:r w:rsidRPr="00FD5BAD">
        <w:t>:</w:t>
      </w:r>
    </w:p>
    <w:p w:rsidR="00532DEB" w:rsidRPr="00FD5BAD" w:rsidRDefault="00532DEB" w:rsidP="00A80F92">
      <w:pPr>
        <w:pStyle w:val="HealthnumLevel3"/>
        <w:numPr>
          <w:ilvl w:val="3"/>
          <w:numId w:val="7"/>
        </w:numPr>
        <w:tabs>
          <w:tab w:val="clear" w:pos="2170"/>
          <w:tab w:val="num" w:pos="2400"/>
        </w:tabs>
        <w:ind w:left="2400" w:hanging="600"/>
        <w:jc w:val="left"/>
      </w:pPr>
      <w:r w:rsidRPr="00FD5BAD">
        <w:t xml:space="preserve">effectively remove </w:t>
      </w:r>
      <w:r w:rsidR="000C5FE0" w:rsidRPr="00FD5BAD">
        <w:t>record</w:t>
      </w:r>
      <w:r w:rsidRPr="00FD5BAD">
        <w:t>s from their PCEHR</w:t>
      </w:r>
      <w:r w:rsidR="00EC5C99" w:rsidRPr="00FD5BAD">
        <w:t>; and</w:t>
      </w:r>
    </w:p>
    <w:p w:rsidR="005264E5" w:rsidRPr="00FD5BAD" w:rsidRDefault="00473527" w:rsidP="00A80F92">
      <w:pPr>
        <w:pStyle w:val="HealthnumLevel3"/>
        <w:numPr>
          <w:ilvl w:val="3"/>
          <w:numId w:val="7"/>
        </w:numPr>
        <w:tabs>
          <w:tab w:val="clear" w:pos="2170"/>
          <w:tab w:val="num" w:pos="2400"/>
        </w:tabs>
        <w:ind w:left="2400" w:hanging="600"/>
        <w:jc w:val="left"/>
      </w:pPr>
      <w:r w:rsidRPr="00FD5BAD">
        <w:t xml:space="preserve">authorise the System Operator to </w:t>
      </w:r>
      <w:r w:rsidR="00523CAC" w:rsidRPr="00FD5BAD">
        <w:t xml:space="preserve">restore </w:t>
      </w:r>
      <w:r w:rsidR="000C5FE0" w:rsidRPr="00FD5BAD">
        <w:t>record</w:t>
      </w:r>
      <w:r w:rsidR="00EC5C99" w:rsidRPr="00FD5BAD">
        <w:t xml:space="preserve">s </w:t>
      </w:r>
      <w:r w:rsidR="00244995" w:rsidRPr="00FD5BAD">
        <w:t>which</w:t>
      </w:r>
      <w:r w:rsidR="00EC5C99" w:rsidRPr="00FD5BAD">
        <w:t xml:space="preserve"> have previously been effectively removed</w:t>
      </w:r>
      <w:r w:rsidR="005264E5" w:rsidRPr="00FD5BAD">
        <w:t>; and</w:t>
      </w:r>
    </w:p>
    <w:p w:rsidR="00EC5C99" w:rsidRPr="00FD5BAD" w:rsidRDefault="005162B6" w:rsidP="005264E5">
      <w:pPr>
        <w:pStyle w:val="Healthnumlevel2"/>
      </w:pPr>
      <w:r w:rsidRPr="00FD5BAD">
        <w:t>permit registered healthcare provider organisation</w:t>
      </w:r>
      <w:r w:rsidR="00BD5922" w:rsidRPr="00FD5BAD">
        <w:t>s</w:t>
      </w:r>
      <w:r w:rsidRPr="00FD5BAD">
        <w:t xml:space="preserve"> that uploaded record</w:t>
      </w:r>
      <w:r w:rsidR="00BD5922" w:rsidRPr="00FD5BAD">
        <w:t>s</w:t>
      </w:r>
      <w:r w:rsidRPr="00FD5BAD">
        <w:t xml:space="preserve"> to a consumer’s PCEHR to access th</w:t>
      </w:r>
      <w:r w:rsidR="00BD5922" w:rsidRPr="00FD5BAD">
        <w:t xml:space="preserve">ose </w:t>
      </w:r>
      <w:r w:rsidRPr="00FD5BAD">
        <w:t>record</w:t>
      </w:r>
      <w:r w:rsidR="00BD5922" w:rsidRPr="00FD5BAD">
        <w:t>s</w:t>
      </w:r>
      <w:r w:rsidR="004B591C" w:rsidRPr="00FD5BAD">
        <w:t>, but only by request to the System Operator,</w:t>
      </w:r>
      <w:r w:rsidRPr="00FD5BAD">
        <w:t xml:space="preserve"> if the healthcare provider organisation</w:t>
      </w:r>
      <w:r w:rsidR="00BD5922" w:rsidRPr="00FD5BAD">
        <w:t xml:space="preserve"> is no longer on the </w:t>
      </w:r>
      <w:r w:rsidRPr="00FD5BAD">
        <w:t>access list for the consumer’s PCEHR</w:t>
      </w:r>
      <w:r w:rsidR="00244995" w:rsidRPr="00FD5BAD">
        <w:t>.</w:t>
      </w:r>
      <w:r w:rsidR="00797DDC" w:rsidRPr="00FD5BAD">
        <w:t xml:space="preserve"> </w:t>
      </w:r>
    </w:p>
    <w:p w:rsidR="00BE333B" w:rsidRPr="00FD5BAD" w:rsidRDefault="00D03796" w:rsidP="00D03796">
      <w:pPr>
        <w:pStyle w:val="Healthnote"/>
        <w:ind w:left="1691" w:hanging="840"/>
      </w:pPr>
      <w:r w:rsidRPr="00FD5BAD">
        <w:t>Note:</w:t>
      </w:r>
      <w:r w:rsidRPr="00FD5BAD">
        <w:tab/>
        <w:t xml:space="preserve">The extent of </w:t>
      </w:r>
      <w:r w:rsidR="00386658" w:rsidRPr="00FD5BAD">
        <w:t xml:space="preserve">access by </w:t>
      </w:r>
      <w:r w:rsidR="00C94836" w:rsidRPr="00FD5BAD">
        <w:t xml:space="preserve">registered </w:t>
      </w:r>
      <w:r w:rsidRPr="00FD5BAD">
        <w:t>healthcare provider organisation</w:t>
      </w:r>
      <w:r w:rsidR="00386658" w:rsidRPr="00FD5BAD">
        <w:t>s</w:t>
      </w:r>
      <w:r w:rsidRPr="00FD5BAD">
        <w:t xml:space="preserve"> </w:t>
      </w:r>
      <w:r w:rsidR="00386658" w:rsidRPr="00FD5BAD">
        <w:t>under paragraph (a)</w:t>
      </w:r>
      <w:r w:rsidR="00A06B46" w:rsidRPr="00FD5BAD">
        <w:t>, and the extent to which they will be omitted from the access list under paragraph</w:t>
      </w:r>
      <w:r w:rsidR="003E0980" w:rsidRPr="00FD5BAD">
        <w:t xml:space="preserve"> (d)</w:t>
      </w:r>
      <w:r w:rsidR="00A06B46" w:rsidRPr="00FD5BAD">
        <w:t>,</w:t>
      </w:r>
      <w:r w:rsidR="00386658" w:rsidRPr="00FD5BAD">
        <w:t xml:space="preserve"> depends on how </w:t>
      </w:r>
      <w:r w:rsidRPr="00FD5BAD">
        <w:t xml:space="preserve">access flags </w:t>
      </w:r>
      <w:r w:rsidR="00386658" w:rsidRPr="00FD5BAD">
        <w:t xml:space="preserve">have been </w:t>
      </w:r>
      <w:r w:rsidRPr="00FD5BAD">
        <w:t xml:space="preserve">assigned </w:t>
      </w:r>
      <w:r w:rsidR="003614AB" w:rsidRPr="00FD5BAD">
        <w:t>with</w:t>
      </w:r>
      <w:r w:rsidR="00386658" w:rsidRPr="00FD5BAD">
        <w:t xml:space="preserve">in the </w:t>
      </w:r>
      <w:r w:rsidRPr="00FD5BAD">
        <w:t>healthcare provider organisation</w:t>
      </w:r>
      <w:r w:rsidR="00386658" w:rsidRPr="00FD5BAD">
        <w:t>’s network h</w:t>
      </w:r>
      <w:r w:rsidR="00F1748C" w:rsidRPr="00FD5BAD">
        <w:t>i</w:t>
      </w:r>
      <w:r w:rsidR="00386658" w:rsidRPr="00FD5BAD">
        <w:t>erarchy</w:t>
      </w:r>
      <w:r w:rsidRPr="00FD5BAD">
        <w:t xml:space="preserve">― see </w:t>
      </w:r>
      <w:r w:rsidR="003B4FFA" w:rsidRPr="00FD5BAD">
        <w:t>r</w:t>
      </w:r>
      <w:r w:rsidRPr="00FD5BAD">
        <w:t>ule</w:t>
      </w:r>
      <w:r w:rsidR="005B166A" w:rsidRPr="00FD5BAD">
        <w:t>s</w:t>
      </w:r>
      <w:r w:rsidRPr="00FD5BAD">
        <w:t xml:space="preserve"> </w:t>
      </w:r>
      <w:r w:rsidR="004D0E55" w:rsidRPr="00FD5BAD">
        <w:t>8</w:t>
      </w:r>
      <w:r w:rsidR="005B166A" w:rsidRPr="00FD5BAD">
        <w:t xml:space="preserve"> and </w:t>
      </w:r>
      <w:r w:rsidR="004D0E55" w:rsidRPr="00FD5BAD">
        <w:t>9</w:t>
      </w:r>
      <w:r w:rsidRPr="00FD5BAD">
        <w:t xml:space="preserve">.  </w:t>
      </w:r>
    </w:p>
    <w:p w:rsidR="00DB1F90" w:rsidRPr="00FD5BAD" w:rsidRDefault="00DB1F90" w:rsidP="00DB1F90">
      <w:pPr>
        <w:pStyle w:val="Heading2NoNum"/>
      </w:pPr>
      <w:bookmarkStart w:id="37" w:name="_Toc331681989"/>
      <w:r w:rsidRPr="00FD5BAD">
        <w:t xml:space="preserve">Division </w:t>
      </w:r>
      <w:r w:rsidR="00184248" w:rsidRPr="00FD5BAD">
        <w:t>2</w:t>
      </w:r>
      <w:r w:rsidRPr="00FD5BAD">
        <w:tab/>
        <w:t>Advanced access controls</w:t>
      </w:r>
      <w:bookmarkEnd w:id="37"/>
    </w:p>
    <w:p w:rsidR="00BE333B" w:rsidRPr="00FD5BAD" w:rsidRDefault="00127C88" w:rsidP="00127C88">
      <w:pPr>
        <w:pStyle w:val="Heading1"/>
      </w:pPr>
      <w:bookmarkStart w:id="38" w:name="_Toc331681990"/>
      <w:r w:rsidRPr="00FD5BAD">
        <w:t>Advanced access controls</w:t>
      </w:r>
      <w:bookmarkEnd w:id="38"/>
      <w:r w:rsidR="00712564" w:rsidRPr="00FD5BAD">
        <w:t xml:space="preserve"> </w:t>
      </w:r>
    </w:p>
    <w:p w:rsidR="008F55CC" w:rsidRPr="00FD5BAD" w:rsidRDefault="004972BE" w:rsidP="00A80F92">
      <w:pPr>
        <w:pStyle w:val="HealthnumLevel5"/>
        <w:numPr>
          <w:ilvl w:val="5"/>
          <w:numId w:val="8"/>
        </w:numPr>
      </w:pPr>
      <w:r w:rsidRPr="00FD5BAD">
        <w:t xml:space="preserve">For the purposes of paragraphs 15(b) and (c) </w:t>
      </w:r>
      <w:r w:rsidR="00B77A49" w:rsidRPr="00FD5BAD">
        <w:t xml:space="preserve">and subsection 109(6) </w:t>
      </w:r>
      <w:r w:rsidRPr="00FD5BAD">
        <w:t xml:space="preserve">of the Act, the System Operator </w:t>
      </w:r>
      <w:r w:rsidR="00037734" w:rsidRPr="00FD5BAD">
        <w:t>must</w:t>
      </w:r>
      <w:r w:rsidRPr="00FD5BAD">
        <w:t xml:space="preserve"> establish and maintain advanced access controls that</w:t>
      </w:r>
      <w:r w:rsidR="00AC72A4" w:rsidRPr="00FD5BAD">
        <w:t xml:space="preserve"> have the same functionality as default access controls and</w:t>
      </w:r>
      <w:r w:rsidR="008A4388" w:rsidRPr="00FD5BAD">
        <w:t xml:space="preserve"> that</w:t>
      </w:r>
      <w:r w:rsidR="008F55CC" w:rsidRPr="00FD5BAD">
        <w:t>:</w:t>
      </w:r>
      <w:r w:rsidRPr="00FD5BAD">
        <w:t xml:space="preserve"> </w:t>
      </w:r>
    </w:p>
    <w:p w:rsidR="00EC621B" w:rsidRPr="00FD5BAD" w:rsidRDefault="00BA6B86" w:rsidP="00A80F92">
      <w:pPr>
        <w:pStyle w:val="Healthnumlevel2"/>
        <w:numPr>
          <w:ilvl w:val="2"/>
          <w:numId w:val="9"/>
        </w:numPr>
      </w:pPr>
      <w:r w:rsidRPr="00FD5BAD">
        <w:t>subject to rule</w:t>
      </w:r>
      <w:r w:rsidR="00250884" w:rsidRPr="00FD5BAD">
        <w:t>s</w:t>
      </w:r>
      <w:r w:rsidRPr="00FD5BAD">
        <w:t xml:space="preserve"> </w:t>
      </w:r>
      <w:r w:rsidR="004D0E55" w:rsidRPr="00FD5BAD">
        <w:t>6</w:t>
      </w:r>
      <w:r w:rsidR="00250884" w:rsidRPr="00FD5BAD">
        <w:t xml:space="preserve"> and 7</w:t>
      </w:r>
      <w:r w:rsidRPr="00FD5BAD">
        <w:t xml:space="preserve">, </w:t>
      </w:r>
      <w:r w:rsidR="00FE4565" w:rsidRPr="00FD5BAD">
        <w:t xml:space="preserve">permit use </w:t>
      </w:r>
      <w:r w:rsidR="008A4388" w:rsidRPr="00FD5BAD">
        <w:t xml:space="preserve">of </w:t>
      </w:r>
      <w:r w:rsidR="00FE4565" w:rsidRPr="00FD5BAD">
        <w:t xml:space="preserve">a </w:t>
      </w:r>
      <w:r w:rsidR="00643EE8" w:rsidRPr="00FD5BAD">
        <w:t>record code</w:t>
      </w:r>
      <w:r w:rsidR="00FE4565" w:rsidRPr="00FD5BAD">
        <w:t xml:space="preserve"> to prevent registered healthcare provider organisations involved in the care of </w:t>
      </w:r>
      <w:r w:rsidR="009E7370" w:rsidRPr="00FD5BAD">
        <w:t xml:space="preserve">a registered </w:t>
      </w:r>
      <w:r w:rsidR="00FE4565" w:rsidRPr="00FD5BAD">
        <w:t>consumer from accessing the consumer’s PCEHR unless</w:t>
      </w:r>
      <w:r w:rsidR="00EC621B" w:rsidRPr="00FD5BAD">
        <w:t>:</w:t>
      </w:r>
      <w:r w:rsidR="00FE4565" w:rsidRPr="00FD5BAD">
        <w:t xml:space="preserve"> </w:t>
      </w:r>
    </w:p>
    <w:p w:rsidR="002A045E" w:rsidRPr="00FD5BAD" w:rsidRDefault="00FE4565" w:rsidP="00EC621B">
      <w:pPr>
        <w:pStyle w:val="HealthnumLevel3"/>
        <w:jc w:val="left"/>
      </w:pPr>
      <w:r w:rsidRPr="00FD5BAD">
        <w:t xml:space="preserve">the </w:t>
      </w:r>
      <w:r w:rsidR="00643EE8" w:rsidRPr="00FD5BAD">
        <w:t>record code</w:t>
      </w:r>
      <w:r w:rsidRPr="00FD5BAD">
        <w:t xml:space="preserve"> </w:t>
      </w:r>
      <w:r w:rsidR="002A045E" w:rsidRPr="00FD5BAD">
        <w:t xml:space="preserve">is given </w:t>
      </w:r>
      <w:r w:rsidRPr="00FD5BAD">
        <w:t>to the organisation</w:t>
      </w:r>
      <w:r w:rsidR="002A045E" w:rsidRPr="00FD5BAD">
        <w:t xml:space="preserve"> by:</w:t>
      </w:r>
    </w:p>
    <w:p w:rsidR="00FE4565" w:rsidRPr="00FD5BAD" w:rsidRDefault="002A045E" w:rsidP="00EC621B">
      <w:pPr>
        <w:pStyle w:val="HealthnumLevel4"/>
      </w:pPr>
      <w:r w:rsidRPr="00FD5BAD">
        <w:t>the consumer</w:t>
      </w:r>
      <w:r w:rsidR="00FE4565" w:rsidRPr="00FD5BAD">
        <w:t>;</w:t>
      </w:r>
      <w:r w:rsidRPr="00FD5BAD">
        <w:t xml:space="preserve"> or</w:t>
      </w:r>
    </w:p>
    <w:p w:rsidR="002A045E" w:rsidRPr="00FD5BAD" w:rsidRDefault="002A045E" w:rsidP="00EC621B">
      <w:pPr>
        <w:pStyle w:val="HealthnumLevel4"/>
      </w:pPr>
      <w:r w:rsidRPr="00FD5BAD">
        <w:lastRenderedPageBreak/>
        <w:t>the System Operator at the request of the consumer;</w:t>
      </w:r>
      <w:r w:rsidR="00EC621B" w:rsidRPr="00FD5BAD">
        <w:t xml:space="preserve"> or</w:t>
      </w:r>
    </w:p>
    <w:p w:rsidR="00AC72A4" w:rsidRPr="00FD5BAD" w:rsidRDefault="00EC621B" w:rsidP="007B6CE1">
      <w:pPr>
        <w:pStyle w:val="HealthnumLevel3"/>
        <w:jc w:val="left"/>
      </w:pPr>
      <w:r w:rsidRPr="00FD5BAD">
        <w:t>the organisation is already on the access list for the consumer’s PCEHR;</w:t>
      </w:r>
      <w:r w:rsidR="007E633D" w:rsidRPr="00FD5BAD">
        <w:t xml:space="preserve"> </w:t>
      </w:r>
    </w:p>
    <w:p w:rsidR="000545C6" w:rsidRPr="00FD5BAD" w:rsidRDefault="000545C6" w:rsidP="007B7068">
      <w:pPr>
        <w:pStyle w:val="Healthnumlevel2"/>
      </w:pPr>
      <w:r w:rsidRPr="00FD5BAD">
        <w:t xml:space="preserve">if a </w:t>
      </w:r>
      <w:r w:rsidR="00F40545" w:rsidRPr="00FD5BAD">
        <w:t xml:space="preserve">registered </w:t>
      </w:r>
      <w:r w:rsidRPr="00FD5BAD">
        <w:t>consumer wishes, prevent registered healthcare provider organisations’ clinical information systems automatically checking and displaying whether the consumer has a PCEHR;</w:t>
      </w:r>
      <w:r w:rsidR="00FA1382" w:rsidRPr="00FD5BAD">
        <w:t xml:space="preserve"> and</w:t>
      </w:r>
    </w:p>
    <w:p w:rsidR="007B7068" w:rsidRPr="00FD5BAD" w:rsidRDefault="002A0B1F" w:rsidP="007B7068">
      <w:pPr>
        <w:pStyle w:val="Healthnumlevel2"/>
      </w:pPr>
      <w:r w:rsidRPr="00FD5BAD">
        <w:t xml:space="preserve">permit </w:t>
      </w:r>
      <w:r w:rsidR="00F40545" w:rsidRPr="00FD5BAD">
        <w:t xml:space="preserve">registered </w:t>
      </w:r>
      <w:r w:rsidRPr="00FD5BAD">
        <w:t xml:space="preserve">consumers to control access to individual </w:t>
      </w:r>
      <w:r w:rsidR="000C5FE0" w:rsidRPr="00FD5BAD">
        <w:t>record</w:t>
      </w:r>
      <w:r w:rsidRPr="00FD5BAD">
        <w:t>s in their PCEHR</w:t>
      </w:r>
      <w:r w:rsidR="007B7068" w:rsidRPr="00FD5BAD">
        <w:t>:</w:t>
      </w:r>
      <w:r w:rsidR="00D871B9" w:rsidRPr="00FD5BAD">
        <w:t xml:space="preserve"> </w:t>
      </w:r>
    </w:p>
    <w:p w:rsidR="004F2E54" w:rsidRPr="00FD5BAD" w:rsidRDefault="006D78D5" w:rsidP="00FE2858">
      <w:pPr>
        <w:pStyle w:val="HealthnumLevel3"/>
        <w:jc w:val="left"/>
      </w:pPr>
      <w:r w:rsidRPr="00FD5BAD">
        <w:t xml:space="preserve">by adjusting the advanced access controls for their PCEHR to only permit specified </w:t>
      </w:r>
      <w:r w:rsidR="00F964B5" w:rsidRPr="00FD5BAD">
        <w:t xml:space="preserve">registered </w:t>
      </w:r>
      <w:r w:rsidRPr="00FD5BAD">
        <w:t>healthcare provider organisations on the access list for the consumer’s PCEHR to access specified record</w:t>
      </w:r>
      <w:r w:rsidR="004B591C" w:rsidRPr="00FD5BAD">
        <w:t>s</w:t>
      </w:r>
      <w:r w:rsidRPr="00FD5BAD">
        <w:t>;</w:t>
      </w:r>
      <w:r w:rsidR="00FE2858" w:rsidRPr="00FD5BAD">
        <w:t xml:space="preserve"> or </w:t>
      </w:r>
    </w:p>
    <w:p w:rsidR="00FE2858" w:rsidRPr="00FD5BAD" w:rsidRDefault="004F2E54" w:rsidP="007B7068">
      <w:pPr>
        <w:pStyle w:val="HealthnumLevel3"/>
        <w:jc w:val="left"/>
      </w:pPr>
      <w:r w:rsidRPr="00FD5BAD">
        <w:t xml:space="preserve">using </w:t>
      </w:r>
      <w:r w:rsidR="00D871B9" w:rsidRPr="00FD5BAD">
        <w:t>a document code</w:t>
      </w:r>
      <w:r w:rsidR="00FE2858" w:rsidRPr="00FD5BAD">
        <w:t>,</w:t>
      </w:r>
      <w:r w:rsidR="00D871B9" w:rsidRPr="00FD5BAD">
        <w:t xml:space="preserve"> </w:t>
      </w:r>
    </w:p>
    <w:p w:rsidR="008F55CC" w:rsidRPr="00FD5BAD" w:rsidRDefault="002A0B1F" w:rsidP="00A92DEE">
      <w:pPr>
        <w:pStyle w:val="HealthnumLevel3"/>
        <w:numPr>
          <w:ilvl w:val="0"/>
          <w:numId w:val="0"/>
        </w:numPr>
        <w:ind w:left="1701"/>
        <w:jc w:val="left"/>
      </w:pPr>
      <w:r w:rsidRPr="00FD5BAD">
        <w:t>in accordance with sub</w:t>
      </w:r>
      <w:r w:rsidR="00AA75F7" w:rsidRPr="00FD5BAD">
        <w:t>r</w:t>
      </w:r>
      <w:r w:rsidRPr="00FD5BAD">
        <w:t>ule</w:t>
      </w:r>
      <w:r w:rsidR="00F40545" w:rsidRPr="00FD5BAD">
        <w:t> </w:t>
      </w:r>
      <w:r w:rsidR="006A5B25" w:rsidRPr="00FD5BAD">
        <w:t>(2)</w:t>
      </w:r>
      <w:r w:rsidR="008F55CC" w:rsidRPr="00FD5BAD">
        <w:t>.</w:t>
      </w:r>
    </w:p>
    <w:p w:rsidR="00BE333B" w:rsidRPr="00FD5BAD" w:rsidRDefault="00A46C04" w:rsidP="0042178E">
      <w:pPr>
        <w:pStyle w:val="HealthnumLevel5"/>
      </w:pPr>
      <w:r w:rsidRPr="00FD5BAD">
        <w:t>For the purposes of paragraph (1)(</w:t>
      </w:r>
      <w:r w:rsidR="00551FF9" w:rsidRPr="00FD5BAD">
        <w:t>c</w:t>
      </w:r>
      <w:r w:rsidRPr="00FD5BAD">
        <w:t xml:space="preserve">), the System Operator must ensure that: </w:t>
      </w:r>
    </w:p>
    <w:p w:rsidR="00A92DEE" w:rsidRPr="00FD5BAD" w:rsidRDefault="00F40545" w:rsidP="00A80F92">
      <w:pPr>
        <w:pStyle w:val="Healthnumlevel2"/>
        <w:numPr>
          <w:ilvl w:val="2"/>
          <w:numId w:val="10"/>
        </w:numPr>
      </w:pPr>
      <w:r w:rsidRPr="00FD5BAD">
        <w:t xml:space="preserve">registered </w:t>
      </w:r>
      <w:r w:rsidR="00A46C04" w:rsidRPr="00FD5BAD">
        <w:t xml:space="preserve">consumers are </w:t>
      </w:r>
      <w:r w:rsidR="009F6ADF" w:rsidRPr="00FD5BAD">
        <w:t xml:space="preserve">able to prevent access to </w:t>
      </w:r>
      <w:r w:rsidR="00F11161" w:rsidRPr="00FD5BAD">
        <w:t xml:space="preserve">a record </w:t>
      </w:r>
      <w:r w:rsidR="009F6ADF" w:rsidRPr="00FD5BAD">
        <w:t>in their PCEHR</w:t>
      </w:r>
      <w:r w:rsidR="00F11161" w:rsidRPr="00FD5BAD">
        <w:t>,</w:t>
      </w:r>
      <w:r w:rsidR="009F6ADF" w:rsidRPr="00FD5BAD">
        <w:t xml:space="preserve"> </w:t>
      </w:r>
      <w:r w:rsidR="00F11161" w:rsidRPr="00FD5BAD">
        <w:t xml:space="preserve">other than shared health summaries, consumer-entered health summaries and information about advance care directives, </w:t>
      </w:r>
      <w:r w:rsidR="009F6ADF" w:rsidRPr="00FD5BAD">
        <w:t>unless</w:t>
      </w:r>
      <w:r w:rsidR="00A92DEE" w:rsidRPr="00FD5BAD">
        <w:t>:</w:t>
      </w:r>
      <w:r w:rsidR="009F6ADF" w:rsidRPr="00FD5BAD">
        <w:t xml:space="preserve"> </w:t>
      </w:r>
    </w:p>
    <w:p w:rsidR="002A045E" w:rsidRPr="00FD5BAD" w:rsidRDefault="009F6ADF" w:rsidP="00A92DEE">
      <w:pPr>
        <w:pStyle w:val="HealthnumLevel3"/>
        <w:jc w:val="left"/>
      </w:pPr>
      <w:r w:rsidRPr="00FD5BAD">
        <w:t xml:space="preserve">the </w:t>
      </w:r>
      <w:r w:rsidR="00077A55" w:rsidRPr="00FD5BAD">
        <w:t xml:space="preserve">registered </w:t>
      </w:r>
      <w:r w:rsidR="00562F60" w:rsidRPr="00FD5BAD">
        <w:t xml:space="preserve">healthcare provider organisation </w:t>
      </w:r>
      <w:r w:rsidR="002A045E" w:rsidRPr="00FD5BAD">
        <w:t xml:space="preserve">has been given </w:t>
      </w:r>
      <w:r w:rsidR="00D871B9" w:rsidRPr="00FD5BAD">
        <w:t>a document code in relation to the record</w:t>
      </w:r>
      <w:r w:rsidR="002A045E" w:rsidRPr="00FD5BAD">
        <w:t xml:space="preserve"> by:</w:t>
      </w:r>
    </w:p>
    <w:p w:rsidR="00A46C04" w:rsidRPr="00FD5BAD" w:rsidRDefault="002A045E" w:rsidP="00A92DEE">
      <w:pPr>
        <w:pStyle w:val="HealthnumLevel4"/>
      </w:pPr>
      <w:r w:rsidRPr="00FD5BAD">
        <w:t>the consumer</w:t>
      </w:r>
      <w:r w:rsidR="00F11161" w:rsidRPr="00FD5BAD">
        <w:t>;</w:t>
      </w:r>
      <w:r w:rsidRPr="00FD5BAD">
        <w:t xml:space="preserve"> or</w:t>
      </w:r>
    </w:p>
    <w:p w:rsidR="002A045E" w:rsidRPr="00FD5BAD" w:rsidRDefault="002A045E" w:rsidP="00A92DEE">
      <w:pPr>
        <w:pStyle w:val="HealthnumLevel4"/>
      </w:pPr>
      <w:r w:rsidRPr="00FD5BAD">
        <w:t>the System Operator at the request of the consumer;</w:t>
      </w:r>
      <w:r w:rsidR="00CD0023" w:rsidRPr="00FD5BAD">
        <w:t xml:space="preserve"> or</w:t>
      </w:r>
    </w:p>
    <w:p w:rsidR="00A92DEE" w:rsidRPr="00FD5BAD" w:rsidRDefault="00A92DEE" w:rsidP="00A92DEE">
      <w:pPr>
        <w:pStyle w:val="HealthnumLevel3"/>
        <w:jc w:val="left"/>
      </w:pPr>
      <w:r w:rsidRPr="00FD5BAD">
        <w:t xml:space="preserve">the </w:t>
      </w:r>
      <w:r w:rsidR="00C44DCC" w:rsidRPr="00FD5BAD">
        <w:t xml:space="preserve">consumer has set the </w:t>
      </w:r>
      <w:r w:rsidRPr="00FD5BAD">
        <w:t xml:space="preserve">advanced access controls for their PCEHR to permit </w:t>
      </w:r>
      <w:r w:rsidR="00C44DCC" w:rsidRPr="00FD5BAD">
        <w:t xml:space="preserve">the </w:t>
      </w:r>
      <w:r w:rsidR="00F964B5" w:rsidRPr="00FD5BAD">
        <w:t xml:space="preserve">registered </w:t>
      </w:r>
      <w:r w:rsidRPr="00FD5BAD">
        <w:t>healthcare provider organisation</w:t>
      </w:r>
      <w:r w:rsidR="00C44DCC" w:rsidRPr="00FD5BAD">
        <w:t>,</w:t>
      </w:r>
      <w:r w:rsidRPr="00FD5BAD">
        <w:t xml:space="preserve"> </w:t>
      </w:r>
      <w:r w:rsidR="00C44DCC" w:rsidRPr="00FD5BAD">
        <w:t xml:space="preserve">which is on </w:t>
      </w:r>
      <w:r w:rsidRPr="00FD5BAD">
        <w:t>the access list for the consumer’s PCEHR</w:t>
      </w:r>
      <w:r w:rsidR="00C44DCC" w:rsidRPr="00FD5BAD">
        <w:t>,</w:t>
      </w:r>
      <w:r w:rsidRPr="00FD5BAD">
        <w:t xml:space="preserve"> to access</w:t>
      </w:r>
      <w:r w:rsidR="00C44DCC" w:rsidRPr="00FD5BAD">
        <w:t xml:space="preserve"> the </w:t>
      </w:r>
      <w:r w:rsidRPr="00FD5BAD">
        <w:t>record</w:t>
      </w:r>
      <w:r w:rsidR="00C44DCC" w:rsidRPr="00FD5BAD">
        <w:t xml:space="preserve">; </w:t>
      </w:r>
    </w:p>
    <w:p w:rsidR="00FB178A" w:rsidRPr="00FD5BAD" w:rsidRDefault="00FB178A" w:rsidP="00A92DEE">
      <w:pPr>
        <w:pStyle w:val="Healthnumlevel2"/>
      </w:pPr>
      <w:r w:rsidRPr="00FD5BAD">
        <w:t xml:space="preserve">where a consumer has </w:t>
      </w:r>
      <w:r w:rsidR="00F11161" w:rsidRPr="00FD5BAD">
        <w:t xml:space="preserve">restricted access to a record </w:t>
      </w:r>
      <w:r w:rsidR="00E24EAC" w:rsidRPr="00FD5BAD">
        <w:t xml:space="preserve">using the access controls in </w:t>
      </w:r>
      <w:r w:rsidR="00E5326C" w:rsidRPr="00FD5BAD">
        <w:t xml:space="preserve">paragraph </w:t>
      </w:r>
      <w:r w:rsidR="00CD0023" w:rsidRPr="00FD5BAD">
        <w:t>(</w:t>
      </w:r>
      <w:r w:rsidR="00E5326C" w:rsidRPr="00FD5BAD">
        <w:t>1</w:t>
      </w:r>
      <w:r w:rsidR="00CD0023" w:rsidRPr="00FD5BAD">
        <w:t>)</w:t>
      </w:r>
      <w:r w:rsidR="00E5326C" w:rsidRPr="00FD5BAD">
        <w:t>(</w:t>
      </w:r>
      <w:r w:rsidR="00551FF9" w:rsidRPr="00FD5BAD">
        <w:t>c</w:t>
      </w:r>
      <w:r w:rsidR="00E5326C" w:rsidRPr="00FD5BAD">
        <w:t xml:space="preserve">): </w:t>
      </w:r>
    </w:p>
    <w:p w:rsidR="00866E15" w:rsidRPr="00FD5BAD" w:rsidRDefault="00866E15" w:rsidP="008A5B4E">
      <w:pPr>
        <w:pStyle w:val="HealthnumLevel3"/>
        <w:jc w:val="left"/>
      </w:pPr>
      <w:r w:rsidRPr="00FD5BAD">
        <w:t xml:space="preserve">the </w:t>
      </w:r>
      <w:r w:rsidR="000C5FE0" w:rsidRPr="00FD5BAD">
        <w:t>record</w:t>
      </w:r>
      <w:r w:rsidRPr="00FD5BAD">
        <w:t xml:space="preserve"> will still be accessible to the registered healthcare provider organisation </w:t>
      </w:r>
      <w:r w:rsidR="00C92EFB" w:rsidRPr="00FD5BAD">
        <w:t>that</w:t>
      </w:r>
      <w:r w:rsidRPr="00FD5BAD">
        <w:t xml:space="preserve"> uploaded the </w:t>
      </w:r>
      <w:r w:rsidR="000C5FE0" w:rsidRPr="00FD5BAD">
        <w:t>record</w:t>
      </w:r>
      <w:r w:rsidRPr="00FD5BAD">
        <w:t xml:space="preserve"> to the PCEHR system</w:t>
      </w:r>
      <w:r w:rsidR="00C92EFB" w:rsidRPr="00FD5BAD">
        <w:t>,</w:t>
      </w:r>
      <w:r w:rsidRPr="00FD5BAD">
        <w:t xml:space="preserve"> without the need to use </w:t>
      </w:r>
      <w:r w:rsidR="00F82DF1" w:rsidRPr="00FD5BAD">
        <w:t>the consumer’s</w:t>
      </w:r>
      <w:r w:rsidRPr="00FD5BAD">
        <w:t xml:space="preserve"> </w:t>
      </w:r>
      <w:r w:rsidR="006B5072" w:rsidRPr="00FD5BAD">
        <w:t>document code</w:t>
      </w:r>
      <w:r w:rsidR="006A6D08" w:rsidRPr="00FD5BAD">
        <w:t>;</w:t>
      </w:r>
    </w:p>
    <w:p w:rsidR="00295602" w:rsidRPr="00FD5BAD" w:rsidRDefault="00866E15" w:rsidP="008A5B4E">
      <w:pPr>
        <w:pStyle w:val="HealthnumLevel3"/>
        <w:jc w:val="left"/>
      </w:pPr>
      <w:r w:rsidRPr="00FD5BAD">
        <w:t xml:space="preserve">the </w:t>
      </w:r>
      <w:r w:rsidR="000C5FE0" w:rsidRPr="00FD5BAD">
        <w:t>record</w:t>
      </w:r>
      <w:r w:rsidRPr="00FD5BAD">
        <w:t xml:space="preserve"> </w:t>
      </w:r>
      <w:r w:rsidR="00970DFF" w:rsidRPr="00FD5BAD">
        <w:t xml:space="preserve">may still be accessed by </w:t>
      </w:r>
      <w:r w:rsidR="00077A55" w:rsidRPr="00FD5BAD">
        <w:t xml:space="preserve">registered </w:t>
      </w:r>
      <w:r w:rsidR="00F82DF1" w:rsidRPr="00FD5BAD">
        <w:t xml:space="preserve">healthcare provider organisations </w:t>
      </w:r>
      <w:r w:rsidR="00250884" w:rsidRPr="00FD5BAD">
        <w:t xml:space="preserve">and other participants in the PCEHR system </w:t>
      </w:r>
      <w:r w:rsidR="00F82DF1" w:rsidRPr="00FD5BAD">
        <w:t xml:space="preserve">in the case of a serious threat </w:t>
      </w:r>
      <w:r w:rsidR="00C92EFB" w:rsidRPr="00FD5BAD">
        <w:t xml:space="preserve">in accordance with </w:t>
      </w:r>
      <w:r w:rsidR="00397AF2" w:rsidRPr="00FD5BAD">
        <w:t>rule</w:t>
      </w:r>
      <w:r w:rsidR="00A95767" w:rsidRPr="00FD5BAD">
        <w:t>s</w:t>
      </w:r>
      <w:r w:rsidR="00744F91" w:rsidRPr="00FD5BAD">
        <w:t> </w:t>
      </w:r>
      <w:r w:rsidR="004D0E55" w:rsidRPr="00FD5BAD">
        <w:t>6</w:t>
      </w:r>
      <w:r w:rsidR="00744F91" w:rsidRPr="00FD5BAD">
        <w:t> </w:t>
      </w:r>
      <w:r w:rsidR="00A95767" w:rsidRPr="00FD5BAD">
        <w:t>and 7;</w:t>
      </w:r>
    </w:p>
    <w:p w:rsidR="00970DFF" w:rsidRPr="00FD5BAD" w:rsidRDefault="00951C02" w:rsidP="008A5B4E">
      <w:pPr>
        <w:pStyle w:val="HealthnumLevel3"/>
        <w:jc w:val="left"/>
      </w:pPr>
      <w:r w:rsidRPr="00FD5BAD">
        <w:t>consumer</w:t>
      </w:r>
      <w:r w:rsidR="00017665" w:rsidRPr="00FD5BAD">
        <w:t xml:space="preserve">s are able to choose whether </w:t>
      </w:r>
      <w:r w:rsidR="00013204" w:rsidRPr="00FD5BAD">
        <w:t>their</w:t>
      </w:r>
      <w:r w:rsidR="00017665" w:rsidRPr="00FD5BAD">
        <w:t xml:space="preserve"> nominated representatives who do not have the ability to set and maintain access controls </w:t>
      </w:r>
      <w:r w:rsidR="00ED72BB" w:rsidRPr="00FD5BAD">
        <w:t xml:space="preserve">are able to access </w:t>
      </w:r>
      <w:r w:rsidR="000C5FE0" w:rsidRPr="00FD5BAD">
        <w:t>record</w:t>
      </w:r>
      <w:r w:rsidR="00ED72BB" w:rsidRPr="00FD5BAD">
        <w:t xml:space="preserve">s </w:t>
      </w:r>
      <w:r w:rsidR="00013204" w:rsidRPr="00FD5BAD">
        <w:t>to which a document code has been applied</w:t>
      </w:r>
      <w:r w:rsidR="00544B60" w:rsidRPr="00FD5BAD">
        <w:t>;</w:t>
      </w:r>
    </w:p>
    <w:p w:rsidR="00ED72BB" w:rsidRPr="00FD5BAD" w:rsidRDefault="00502DEF" w:rsidP="008A5B4E">
      <w:pPr>
        <w:pStyle w:val="HealthnumLevel3"/>
        <w:jc w:val="left"/>
      </w:pPr>
      <w:r w:rsidRPr="00FD5BAD">
        <w:t xml:space="preserve">registered healthcare provider organisations involved in the care of the consumer are not able </w:t>
      </w:r>
      <w:r w:rsidR="005C729D" w:rsidRPr="00FD5BAD">
        <w:t xml:space="preserve">to </w:t>
      </w:r>
      <w:r w:rsidRPr="00FD5BAD">
        <w:t xml:space="preserve">determine that </w:t>
      </w:r>
      <w:r w:rsidR="000C5FE0" w:rsidRPr="00FD5BAD">
        <w:t>record</w:t>
      </w:r>
      <w:r w:rsidRPr="00FD5BAD">
        <w:t>s</w:t>
      </w:r>
      <w:r w:rsidR="00013204" w:rsidRPr="00FD5BAD">
        <w:t xml:space="preserve"> </w:t>
      </w:r>
      <w:r w:rsidR="00064351" w:rsidRPr="00FD5BAD">
        <w:t xml:space="preserve">to which access has been restricted using the access controls in </w:t>
      </w:r>
      <w:r w:rsidR="00064351" w:rsidRPr="00FD5BAD">
        <w:lastRenderedPageBreak/>
        <w:t>paragraph 1(</w:t>
      </w:r>
      <w:r w:rsidR="00551FF9" w:rsidRPr="00FD5BAD">
        <w:t>c</w:t>
      </w:r>
      <w:r w:rsidR="00064351" w:rsidRPr="00FD5BAD">
        <w:t xml:space="preserve">) </w:t>
      </w:r>
      <w:r w:rsidRPr="00FD5BAD">
        <w:t xml:space="preserve">exist solely by </w:t>
      </w:r>
      <w:r w:rsidR="00064351" w:rsidRPr="00FD5BAD">
        <w:t>viewing the consumer’s PCEHR</w:t>
      </w:r>
      <w:r w:rsidR="00CD0023" w:rsidRPr="00FD5BAD">
        <w:t xml:space="preserve"> unless:</w:t>
      </w:r>
      <w:r w:rsidR="00064351" w:rsidRPr="00FD5BAD">
        <w:t xml:space="preserve"> </w:t>
      </w:r>
    </w:p>
    <w:p w:rsidR="00502DEF" w:rsidRPr="00FD5BAD" w:rsidRDefault="00CD0023" w:rsidP="00502DEF">
      <w:pPr>
        <w:pStyle w:val="HealthnumLevel4"/>
      </w:pPr>
      <w:r w:rsidRPr="00FD5BAD">
        <w:t>the organisation has been given a document code in accordance with paragraph (2)(a)(i)</w:t>
      </w:r>
      <w:r w:rsidR="00C31036" w:rsidRPr="00FD5BAD">
        <w:t xml:space="preserve">; </w:t>
      </w:r>
    </w:p>
    <w:p w:rsidR="00502DEF" w:rsidRPr="00FD5BAD" w:rsidRDefault="00C31036" w:rsidP="00502DEF">
      <w:pPr>
        <w:pStyle w:val="HealthnumLevel4"/>
      </w:pPr>
      <w:r w:rsidRPr="00FD5BAD">
        <w:t>the consumer has set access controls in accordance with paragraph (2)(a)(ii) permitting the organisation to access the relevant record; or</w:t>
      </w:r>
    </w:p>
    <w:p w:rsidR="00FB178A" w:rsidRPr="00FD5BAD" w:rsidRDefault="00C31036" w:rsidP="009035B7">
      <w:pPr>
        <w:pStyle w:val="HealthnumLevel4"/>
      </w:pPr>
      <w:r w:rsidRPr="00FD5BAD">
        <w:t>the organisation uploaded the relevant record to the PCEHR system; and</w:t>
      </w:r>
    </w:p>
    <w:p w:rsidR="00953579" w:rsidRPr="00FD5BAD" w:rsidRDefault="00953579" w:rsidP="00A92DEE">
      <w:pPr>
        <w:pStyle w:val="Healthnumlevel2"/>
      </w:pPr>
      <w:r w:rsidRPr="00FD5BAD">
        <w:t>a</w:t>
      </w:r>
      <w:r w:rsidR="00FA39C0" w:rsidRPr="00FD5BAD">
        <w:t>ll</w:t>
      </w:r>
      <w:r w:rsidRPr="00FD5BAD">
        <w:t xml:space="preserve"> </w:t>
      </w:r>
      <w:r w:rsidR="0045035D" w:rsidRPr="00FD5BAD">
        <w:t>record</w:t>
      </w:r>
      <w:r w:rsidRPr="00FD5BAD">
        <w:t xml:space="preserve">s uploaded to the consumer’s PCEHR </w:t>
      </w:r>
      <w:r w:rsidR="00B564A1" w:rsidRPr="00FD5BAD">
        <w:t>are</w:t>
      </w:r>
      <w:r w:rsidR="00FA39C0" w:rsidRPr="00FD5BAD">
        <w:t xml:space="preserve">, as a </w:t>
      </w:r>
      <w:r w:rsidRPr="00FD5BAD">
        <w:t>default</w:t>
      </w:r>
      <w:r w:rsidR="00FA39C0" w:rsidRPr="00FD5BAD">
        <w:t xml:space="preserve">, </w:t>
      </w:r>
      <w:r w:rsidR="00EB54E6" w:rsidRPr="00FD5BAD">
        <w:t>uploaded without a document code applied to the record.</w:t>
      </w:r>
      <w:r w:rsidR="00D47E81" w:rsidRPr="00FD5BAD">
        <w:t xml:space="preserve"> </w:t>
      </w:r>
      <w:r w:rsidR="00521CDC" w:rsidRPr="00FD5BAD">
        <w:t xml:space="preserve"> Where a registered healthcare provider organisation is on the access list for a consumer’s PCEHR, </w:t>
      </w:r>
      <w:r w:rsidR="00B564A1" w:rsidRPr="00FD5BAD">
        <w:t xml:space="preserve">the System Operator </w:t>
      </w:r>
      <w:r w:rsidR="00DF559A" w:rsidRPr="00FD5BAD">
        <w:t>must</w:t>
      </w:r>
      <w:r w:rsidR="00B564A1" w:rsidRPr="00FD5BAD">
        <w:t xml:space="preserve"> ensure that </w:t>
      </w:r>
      <w:r w:rsidR="009A52AF" w:rsidRPr="00FD5BAD">
        <w:t>a registered</w:t>
      </w:r>
      <w:r w:rsidR="00521CDC" w:rsidRPr="00FD5BAD">
        <w:t xml:space="preserve"> consumer is able to choose whether </w:t>
      </w:r>
      <w:r w:rsidR="00B564A1" w:rsidRPr="00FD5BAD">
        <w:t xml:space="preserve">a </w:t>
      </w:r>
      <w:r w:rsidR="00D81F6B" w:rsidRPr="00FD5BAD">
        <w:t xml:space="preserve">record uploaded by that healthcare provider organisation </w:t>
      </w:r>
      <w:r w:rsidR="00B564A1" w:rsidRPr="00FD5BAD">
        <w:t>is</w:t>
      </w:r>
      <w:r w:rsidR="00D81F6B" w:rsidRPr="00FD5BAD">
        <w:t xml:space="preserve"> uploaded with or without a document code applied to the record. </w:t>
      </w:r>
      <w:r w:rsidR="00521CDC" w:rsidRPr="00FD5BAD">
        <w:t xml:space="preserve">  </w:t>
      </w:r>
    </w:p>
    <w:p w:rsidR="004972BE" w:rsidRPr="00FD5BAD" w:rsidRDefault="00AC72A4" w:rsidP="00AC72A4">
      <w:pPr>
        <w:pStyle w:val="Healthnote"/>
        <w:ind w:left="1691" w:hanging="840"/>
        <w:rPr>
          <w:iCs w:val="0"/>
        </w:rPr>
      </w:pPr>
      <w:r w:rsidRPr="00FD5BAD">
        <w:rPr>
          <w:iCs w:val="0"/>
        </w:rPr>
        <w:t xml:space="preserve">Note </w:t>
      </w:r>
      <w:r w:rsidR="00366E56" w:rsidRPr="00FD5BAD">
        <w:rPr>
          <w:iCs w:val="0"/>
        </w:rPr>
        <w:t>1</w:t>
      </w:r>
      <w:r w:rsidRPr="00FD5BAD">
        <w:rPr>
          <w:iCs w:val="0"/>
        </w:rPr>
        <w:t>:</w:t>
      </w:r>
      <w:r w:rsidRPr="00FD5BAD">
        <w:rPr>
          <w:iCs w:val="0"/>
        </w:rPr>
        <w:tab/>
        <w:t xml:space="preserve">The extent of access by </w:t>
      </w:r>
      <w:r w:rsidR="000414B3" w:rsidRPr="00FD5BAD">
        <w:rPr>
          <w:iCs w:val="0"/>
        </w:rPr>
        <w:t xml:space="preserve">registered </w:t>
      </w:r>
      <w:r w:rsidRPr="00FD5BAD">
        <w:rPr>
          <w:iCs w:val="0"/>
        </w:rPr>
        <w:t xml:space="preserve">healthcare provider organisations under paragraph </w:t>
      </w:r>
      <w:r w:rsidR="00A44426" w:rsidRPr="00FD5BAD">
        <w:rPr>
          <w:iCs w:val="0"/>
        </w:rPr>
        <w:t>(1)</w:t>
      </w:r>
      <w:r w:rsidRPr="00FD5BAD">
        <w:rPr>
          <w:iCs w:val="0"/>
        </w:rPr>
        <w:t xml:space="preserve">(a) depends on how access flags have been assigned within the healthcare provider organisation’s network hierarchy― see </w:t>
      </w:r>
      <w:r w:rsidR="00F964B5" w:rsidRPr="00FD5BAD">
        <w:rPr>
          <w:iCs w:val="0"/>
        </w:rPr>
        <w:t>r</w:t>
      </w:r>
      <w:r w:rsidRPr="00FD5BAD">
        <w:rPr>
          <w:iCs w:val="0"/>
        </w:rPr>
        <w:t>ule</w:t>
      </w:r>
      <w:r w:rsidR="005B166A" w:rsidRPr="00FD5BAD">
        <w:rPr>
          <w:iCs w:val="0"/>
        </w:rPr>
        <w:t xml:space="preserve">s </w:t>
      </w:r>
      <w:r w:rsidR="004D0E55" w:rsidRPr="00FD5BAD">
        <w:rPr>
          <w:iCs w:val="0"/>
        </w:rPr>
        <w:t>8</w:t>
      </w:r>
      <w:r w:rsidR="005B166A" w:rsidRPr="00FD5BAD">
        <w:rPr>
          <w:iCs w:val="0"/>
        </w:rPr>
        <w:t xml:space="preserve"> and </w:t>
      </w:r>
      <w:r w:rsidR="004D0E55" w:rsidRPr="00FD5BAD">
        <w:rPr>
          <w:iCs w:val="0"/>
        </w:rPr>
        <w:t>9</w:t>
      </w:r>
      <w:r w:rsidRPr="00FD5BAD">
        <w:rPr>
          <w:iCs w:val="0"/>
        </w:rPr>
        <w:t>.</w:t>
      </w:r>
      <w:r w:rsidR="00783B74" w:rsidRPr="00FD5BAD">
        <w:rPr>
          <w:iCs w:val="0"/>
        </w:rPr>
        <w:t xml:space="preserve"> Once a </w:t>
      </w:r>
      <w:r w:rsidR="00643EE8" w:rsidRPr="00FD5BAD">
        <w:t>record code</w:t>
      </w:r>
      <w:r w:rsidR="00783B74" w:rsidRPr="00FD5BAD">
        <w:rPr>
          <w:iCs w:val="0"/>
        </w:rPr>
        <w:t xml:space="preserve"> </w:t>
      </w:r>
      <w:r w:rsidR="002A045E" w:rsidRPr="00FD5BAD">
        <w:rPr>
          <w:iCs w:val="0"/>
        </w:rPr>
        <w:t xml:space="preserve">has been given </w:t>
      </w:r>
      <w:r w:rsidR="00783B74" w:rsidRPr="00FD5BAD">
        <w:rPr>
          <w:iCs w:val="0"/>
        </w:rPr>
        <w:t>to a</w:t>
      </w:r>
      <w:r w:rsidR="00B61132" w:rsidRPr="00FD5BAD">
        <w:rPr>
          <w:iCs w:val="0"/>
        </w:rPr>
        <w:t xml:space="preserve"> registered</w:t>
      </w:r>
      <w:r w:rsidR="00783B74" w:rsidRPr="00FD5BAD">
        <w:rPr>
          <w:iCs w:val="0"/>
        </w:rPr>
        <w:t xml:space="preserve"> healthcare provider organisation, the consumer will not subsequently need to give their </w:t>
      </w:r>
      <w:r w:rsidR="00643EE8" w:rsidRPr="00FD5BAD">
        <w:t>record code</w:t>
      </w:r>
      <w:r w:rsidR="00783B74" w:rsidRPr="00FD5BAD">
        <w:rPr>
          <w:iCs w:val="0"/>
        </w:rPr>
        <w:t xml:space="preserve"> to the same organisation provided that the organisation remains on the access list for the consumer’s PCEHR.</w:t>
      </w:r>
      <w:r w:rsidR="00F4547E" w:rsidRPr="00FD5BAD">
        <w:rPr>
          <w:iCs w:val="0"/>
        </w:rPr>
        <w:t xml:space="preserve">  Where a </w:t>
      </w:r>
      <w:r w:rsidR="00B61132" w:rsidRPr="00FD5BAD">
        <w:rPr>
          <w:iCs w:val="0"/>
        </w:rPr>
        <w:t xml:space="preserve">registered </w:t>
      </w:r>
      <w:r w:rsidR="00F4547E" w:rsidRPr="00FD5BAD">
        <w:rPr>
          <w:iCs w:val="0"/>
        </w:rPr>
        <w:t xml:space="preserve">healthcare provider organisation is given a consumer’s </w:t>
      </w:r>
      <w:r w:rsidR="00643EE8" w:rsidRPr="00FD5BAD">
        <w:t>record code</w:t>
      </w:r>
      <w:r w:rsidR="00F4547E" w:rsidRPr="00FD5BAD">
        <w:rPr>
          <w:iCs w:val="0"/>
        </w:rPr>
        <w:t>, and is added to the access list for the consumer’s PCEHR, the other healthcare provider organisations (if any) on the access list for the consumer’s PCEH</w:t>
      </w:r>
      <w:r w:rsidR="00BD6702" w:rsidRPr="00FD5BAD">
        <w:rPr>
          <w:iCs w:val="0"/>
        </w:rPr>
        <w:t>R</w:t>
      </w:r>
      <w:r w:rsidR="00F4547E" w:rsidRPr="00FD5BAD">
        <w:rPr>
          <w:iCs w:val="0"/>
        </w:rPr>
        <w:t xml:space="preserve"> are unaffected.</w:t>
      </w:r>
    </w:p>
    <w:p w:rsidR="000545C6" w:rsidRPr="00FD5BAD" w:rsidRDefault="000545C6" w:rsidP="00AC72A4">
      <w:pPr>
        <w:pStyle w:val="Healthnote"/>
        <w:ind w:left="1691" w:hanging="840"/>
        <w:rPr>
          <w:iCs w:val="0"/>
        </w:rPr>
      </w:pPr>
      <w:r w:rsidRPr="00FD5BAD">
        <w:rPr>
          <w:iCs w:val="0"/>
        </w:rPr>
        <w:t xml:space="preserve"> Note </w:t>
      </w:r>
      <w:r w:rsidR="00AA1670" w:rsidRPr="00FD5BAD">
        <w:rPr>
          <w:iCs w:val="0"/>
        </w:rPr>
        <w:t>2</w:t>
      </w:r>
      <w:r w:rsidRPr="00FD5BAD">
        <w:rPr>
          <w:iCs w:val="0"/>
        </w:rPr>
        <w:t>:</w:t>
      </w:r>
      <w:r w:rsidRPr="00FD5BAD">
        <w:rPr>
          <w:iCs w:val="0"/>
        </w:rPr>
        <w:tab/>
        <w:t>The access control specified in paragraph (1)(</w:t>
      </w:r>
      <w:r w:rsidR="00551FF9" w:rsidRPr="00FD5BAD">
        <w:rPr>
          <w:iCs w:val="0"/>
        </w:rPr>
        <w:t>b</w:t>
      </w:r>
      <w:r w:rsidRPr="00FD5BAD">
        <w:rPr>
          <w:iCs w:val="0"/>
        </w:rPr>
        <w:t xml:space="preserve">) will not prevent a </w:t>
      </w:r>
      <w:r w:rsidR="00B61132" w:rsidRPr="00FD5BAD">
        <w:rPr>
          <w:iCs w:val="0"/>
        </w:rPr>
        <w:t xml:space="preserve">registered </w:t>
      </w:r>
      <w:r w:rsidRPr="00FD5BAD">
        <w:rPr>
          <w:iCs w:val="0"/>
        </w:rPr>
        <w:t xml:space="preserve">healthcare provider organisation determining if a consumer has a PCEHR if the organisation </w:t>
      </w:r>
      <w:r w:rsidR="002E50D4" w:rsidRPr="00FD5BAD">
        <w:rPr>
          <w:iCs w:val="0"/>
        </w:rPr>
        <w:t xml:space="preserve">carries out a manual </w:t>
      </w:r>
      <w:r w:rsidRPr="00FD5BAD">
        <w:rPr>
          <w:iCs w:val="0"/>
        </w:rPr>
        <w:t xml:space="preserve">search </w:t>
      </w:r>
      <w:r w:rsidR="002E50D4" w:rsidRPr="00FD5BAD">
        <w:rPr>
          <w:iCs w:val="0"/>
        </w:rPr>
        <w:t xml:space="preserve">of </w:t>
      </w:r>
      <w:r w:rsidRPr="00FD5BAD">
        <w:rPr>
          <w:iCs w:val="0"/>
        </w:rPr>
        <w:t xml:space="preserve">the PCEHR system.  However, it will prevent </w:t>
      </w:r>
      <w:r w:rsidR="00FB078C" w:rsidRPr="00FD5BAD">
        <w:rPr>
          <w:iCs w:val="0"/>
        </w:rPr>
        <w:t xml:space="preserve">the </w:t>
      </w:r>
      <w:r w:rsidRPr="00FD5BAD">
        <w:rPr>
          <w:iCs w:val="0"/>
        </w:rPr>
        <w:t>organisation’s clinical information system from automatically checking and displaying whether a consumer has a PCEHR</w:t>
      </w:r>
      <w:r w:rsidR="00852475" w:rsidRPr="00FD5BAD">
        <w:rPr>
          <w:iCs w:val="0"/>
        </w:rPr>
        <w:t>.</w:t>
      </w:r>
      <w:r w:rsidR="002B4EDC" w:rsidRPr="00FD5BAD">
        <w:rPr>
          <w:iCs w:val="0"/>
        </w:rPr>
        <w:t xml:space="preserve"> </w:t>
      </w:r>
    </w:p>
    <w:p w:rsidR="00290761" w:rsidRPr="00FD5BAD" w:rsidRDefault="00290761" w:rsidP="00AC72A4">
      <w:pPr>
        <w:pStyle w:val="Healthnote"/>
        <w:ind w:left="1691" w:hanging="840"/>
        <w:rPr>
          <w:iCs w:val="0"/>
        </w:rPr>
      </w:pPr>
      <w:r w:rsidRPr="00FD5BAD">
        <w:rPr>
          <w:iCs w:val="0"/>
        </w:rPr>
        <w:t xml:space="preserve">Note </w:t>
      </w:r>
      <w:r w:rsidR="00AA1670" w:rsidRPr="00FD5BAD">
        <w:rPr>
          <w:iCs w:val="0"/>
        </w:rPr>
        <w:t>3</w:t>
      </w:r>
      <w:r w:rsidRPr="00FD5BAD">
        <w:rPr>
          <w:iCs w:val="0"/>
        </w:rPr>
        <w:t>:</w:t>
      </w:r>
      <w:r w:rsidRPr="00FD5BAD">
        <w:rPr>
          <w:iCs w:val="0"/>
        </w:rPr>
        <w:tab/>
      </w:r>
      <w:r w:rsidR="005E7063" w:rsidRPr="00FD5BAD">
        <w:rPr>
          <w:iCs w:val="0"/>
        </w:rPr>
        <w:t xml:space="preserve">If a consumer has set up a record code, that code will prevent a </w:t>
      </w:r>
      <w:r w:rsidR="00B61132" w:rsidRPr="00FD5BAD">
        <w:rPr>
          <w:iCs w:val="0"/>
        </w:rPr>
        <w:t xml:space="preserve">registered </w:t>
      </w:r>
      <w:r w:rsidR="005E7063" w:rsidRPr="00FD5BAD">
        <w:rPr>
          <w:iCs w:val="0"/>
        </w:rPr>
        <w:t>healthcare provider organisation</w:t>
      </w:r>
      <w:r w:rsidR="007A067C" w:rsidRPr="00FD5BAD">
        <w:rPr>
          <w:iCs w:val="0"/>
        </w:rPr>
        <w:t>, which is not on the access list for the consumer’s PCEHR,</w:t>
      </w:r>
      <w:r w:rsidR="005E7063" w:rsidRPr="00FD5BAD">
        <w:rPr>
          <w:iCs w:val="0"/>
        </w:rPr>
        <w:t xml:space="preserve"> a</w:t>
      </w:r>
      <w:r w:rsidR="00466BD6" w:rsidRPr="00FD5BAD">
        <w:rPr>
          <w:iCs w:val="0"/>
        </w:rPr>
        <w:t>cc</w:t>
      </w:r>
      <w:r w:rsidR="005E7063" w:rsidRPr="00FD5BAD">
        <w:rPr>
          <w:iCs w:val="0"/>
        </w:rPr>
        <w:t>essing the consumer’s PCEHR unless the consumer</w:t>
      </w:r>
      <w:r w:rsidR="00341D72" w:rsidRPr="00FD5BAD">
        <w:rPr>
          <w:iCs w:val="0"/>
        </w:rPr>
        <w:t>,</w:t>
      </w:r>
      <w:r w:rsidR="005E7063" w:rsidRPr="00FD5BAD">
        <w:rPr>
          <w:iCs w:val="0"/>
        </w:rPr>
        <w:t xml:space="preserve"> </w:t>
      </w:r>
      <w:r w:rsidR="00341D72" w:rsidRPr="00FD5BAD">
        <w:rPr>
          <w:iCs w:val="0"/>
        </w:rPr>
        <w:t xml:space="preserve">or the System </w:t>
      </w:r>
      <w:r w:rsidR="000F0412" w:rsidRPr="00FD5BAD">
        <w:rPr>
          <w:iCs w:val="0"/>
        </w:rPr>
        <w:t>O</w:t>
      </w:r>
      <w:r w:rsidR="00341D72" w:rsidRPr="00FD5BAD">
        <w:rPr>
          <w:iCs w:val="0"/>
        </w:rPr>
        <w:t xml:space="preserve">perator at the consumer’s request, </w:t>
      </w:r>
      <w:r w:rsidR="005E7063" w:rsidRPr="00FD5BAD">
        <w:rPr>
          <w:iCs w:val="0"/>
        </w:rPr>
        <w:t xml:space="preserve">gives the </w:t>
      </w:r>
      <w:r w:rsidR="00B61132" w:rsidRPr="00FD5BAD">
        <w:rPr>
          <w:iCs w:val="0"/>
        </w:rPr>
        <w:t xml:space="preserve">organisation </w:t>
      </w:r>
      <w:r w:rsidR="005E7063" w:rsidRPr="00FD5BAD">
        <w:rPr>
          <w:iCs w:val="0"/>
        </w:rPr>
        <w:t>the record code</w:t>
      </w:r>
      <w:r w:rsidR="00B61132" w:rsidRPr="00FD5BAD">
        <w:rPr>
          <w:iCs w:val="0"/>
        </w:rPr>
        <w:t xml:space="preserve">.  </w:t>
      </w:r>
      <w:r w:rsidR="00FB76D9" w:rsidRPr="00FD5BAD">
        <w:rPr>
          <w:iCs w:val="0"/>
        </w:rPr>
        <w:t>R</w:t>
      </w:r>
      <w:r w:rsidR="00B61132" w:rsidRPr="00FD5BAD">
        <w:rPr>
          <w:iCs w:val="0"/>
        </w:rPr>
        <w:t>ecord codes and document codes will not prevent access to a PCEHR or a record</w:t>
      </w:r>
      <w:r w:rsidR="00FB76D9" w:rsidRPr="00FD5BAD">
        <w:rPr>
          <w:iCs w:val="0"/>
        </w:rPr>
        <w:t xml:space="preserve"> in a PCEHR where access is permitted in the case of a serious threat under section</w:t>
      </w:r>
      <w:r w:rsidR="001C40F4" w:rsidRPr="00FD5BAD">
        <w:rPr>
          <w:iCs w:val="0"/>
        </w:rPr>
        <w:t> </w:t>
      </w:r>
      <w:r w:rsidR="00FB76D9" w:rsidRPr="00FD5BAD">
        <w:rPr>
          <w:iCs w:val="0"/>
        </w:rPr>
        <w:t xml:space="preserve">64 of the Act. </w:t>
      </w:r>
    </w:p>
    <w:p w:rsidR="00554DD6" w:rsidRPr="00FD5BAD" w:rsidRDefault="00953579" w:rsidP="00BF5A59">
      <w:pPr>
        <w:pStyle w:val="Healthnote"/>
        <w:ind w:left="1691" w:hanging="840"/>
        <w:rPr>
          <w:iCs w:val="0"/>
        </w:rPr>
      </w:pPr>
      <w:r w:rsidRPr="00FD5BAD">
        <w:rPr>
          <w:iCs w:val="0"/>
        </w:rPr>
        <w:t xml:space="preserve">Note </w:t>
      </w:r>
      <w:r w:rsidR="00AA1670" w:rsidRPr="00FD5BAD">
        <w:rPr>
          <w:iCs w:val="0"/>
        </w:rPr>
        <w:t>4</w:t>
      </w:r>
      <w:r w:rsidRPr="00FD5BAD">
        <w:rPr>
          <w:iCs w:val="0"/>
        </w:rPr>
        <w:t>:</w:t>
      </w:r>
      <w:r w:rsidRPr="00FD5BAD">
        <w:rPr>
          <w:iCs w:val="0"/>
        </w:rPr>
        <w:tab/>
        <w:t xml:space="preserve">While </w:t>
      </w:r>
      <w:r w:rsidR="0045035D" w:rsidRPr="00FD5BAD">
        <w:t>record</w:t>
      </w:r>
      <w:r w:rsidRPr="00FD5BAD">
        <w:rPr>
          <w:iCs w:val="0"/>
        </w:rPr>
        <w:t>s uploaded to a consumer’s PCE</w:t>
      </w:r>
      <w:r w:rsidR="00EB54E6" w:rsidRPr="00FD5BAD">
        <w:rPr>
          <w:iCs w:val="0"/>
        </w:rPr>
        <w:t>H</w:t>
      </w:r>
      <w:r w:rsidRPr="00FD5BAD">
        <w:rPr>
          <w:iCs w:val="0"/>
        </w:rPr>
        <w:t xml:space="preserve">R will, as a default, </w:t>
      </w:r>
      <w:r w:rsidR="00EB54E6" w:rsidRPr="00FD5BAD">
        <w:rPr>
          <w:iCs w:val="0"/>
        </w:rPr>
        <w:t xml:space="preserve">be uploaded without a document code applied to the record, </w:t>
      </w:r>
      <w:r w:rsidR="00FA39C0" w:rsidRPr="00FD5BAD">
        <w:rPr>
          <w:iCs w:val="0"/>
        </w:rPr>
        <w:t xml:space="preserve">consumers will be able to </w:t>
      </w:r>
      <w:r w:rsidR="00EB54E6" w:rsidRPr="00FD5BAD">
        <w:rPr>
          <w:iCs w:val="0"/>
        </w:rPr>
        <w:t xml:space="preserve">subsequently restrict access </w:t>
      </w:r>
      <w:r w:rsidR="00FA39C0" w:rsidRPr="00FD5BAD">
        <w:rPr>
          <w:iCs w:val="0"/>
        </w:rPr>
        <w:t xml:space="preserve">to </w:t>
      </w:r>
      <w:r w:rsidR="00EB54E6" w:rsidRPr="00FD5BAD">
        <w:rPr>
          <w:iCs w:val="0"/>
        </w:rPr>
        <w:t xml:space="preserve">the record by </w:t>
      </w:r>
      <w:r w:rsidR="00FB76D9" w:rsidRPr="00FD5BAD">
        <w:rPr>
          <w:iCs w:val="0"/>
        </w:rPr>
        <w:t>applying</w:t>
      </w:r>
      <w:r w:rsidR="00EB54E6" w:rsidRPr="00FD5BAD">
        <w:rPr>
          <w:iCs w:val="0"/>
        </w:rPr>
        <w:t xml:space="preserve"> a document code </w:t>
      </w:r>
      <w:r w:rsidR="00FA39C0" w:rsidRPr="00FD5BAD">
        <w:rPr>
          <w:iCs w:val="0"/>
        </w:rPr>
        <w:t>if they wish</w:t>
      </w:r>
      <w:r w:rsidRPr="00FD5BAD">
        <w:rPr>
          <w:iCs w:val="0"/>
        </w:rPr>
        <w:t xml:space="preserve">. </w:t>
      </w:r>
      <w:r w:rsidR="004A6C19" w:rsidRPr="00FD5BAD">
        <w:rPr>
          <w:iCs w:val="0"/>
        </w:rPr>
        <w:t>Consumers are able to change the default setting</w:t>
      </w:r>
      <w:r w:rsidR="000F0412" w:rsidRPr="00FD5BAD">
        <w:rPr>
          <w:iCs w:val="0"/>
        </w:rPr>
        <w:t xml:space="preserve"> in relation to healthcare provider organisations on the access list for the consumer’s PCEHR</w:t>
      </w:r>
      <w:r w:rsidR="004A6C19" w:rsidRPr="00FD5BAD">
        <w:rPr>
          <w:iCs w:val="0"/>
        </w:rPr>
        <w:t>.</w:t>
      </w:r>
    </w:p>
    <w:p w:rsidR="000D2F5A" w:rsidRPr="00FD5BAD" w:rsidRDefault="000D2F5A" w:rsidP="00BF5A59">
      <w:pPr>
        <w:pStyle w:val="Healthnote"/>
        <w:ind w:left="1691" w:hanging="840"/>
        <w:rPr>
          <w:iCs w:val="0"/>
        </w:rPr>
      </w:pPr>
      <w:r w:rsidRPr="00FD5BAD">
        <w:rPr>
          <w:iCs w:val="0"/>
        </w:rPr>
        <w:t xml:space="preserve">Note </w:t>
      </w:r>
      <w:r w:rsidR="00AA1670" w:rsidRPr="00FD5BAD">
        <w:rPr>
          <w:iCs w:val="0"/>
        </w:rPr>
        <w:t>5</w:t>
      </w:r>
      <w:r w:rsidRPr="00FD5BAD">
        <w:rPr>
          <w:iCs w:val="0"/>
        </w:rPr>
        <w:t>:</w:t>
      </w:r>
      <w:r w:rsidRPr="00FD5BAD">
        <w:rPr>
          <w:iCs w:val="0"/>
        </w:rPr>
        <w:tab/>
      </w:r>
      <w:r w:rsidR="00596D91" w:rsidRPr="00FD5BAD">
        <w:rPr>
          <w:iCs w:val="0"/>
        </w:rPr>
        <w:t xml:space="preserve">Rule </w:t>
      </w:r>
      <w:r w:rsidR="004D0E55" w:rsidRPr="00FD5BAD">
        <w:rPr>
          <w:iCs w:val="0"/>
        </w:rPr>
        <w:t>2</w:t>
      </w:r>
      <w:r w:rsidR="00FB078C" w:rsidRPr="00FD5BAD">
        <w:rPr>
          <w:iCs w:val="0"/>
        </w:rPr>
        <w:t>8</w:t>
      </w:r>
      <w:r w:rsidR="00596D91" w:rsidRPr="00FD5BAD">
        <w:rPr>
          <w:iCs w:val="0"/>
        </w:rPr>
        <w:t xml:space="preserve"> provides that healthcare provider organisations must not retain a consumer’s record code or document code</w:t>
      </w:r>
      <w:r w:rsidR="00B74556" w:rsidRPr="00FD5BAD">
        <w:rPr>
          <w:iCs w:val="0"/>
        </w:rPr>
        <w:t xml:space="preserve"> f</w:t>
      </w:r>
      <w:r w:rsidR="00B74556" w:rsidRPr="00FD5BAD">
        <w:t>or future use to access the consumer’s PCEHR or a record in the consumer’s PCEHR</w:t>
      </w:r>
      <w:r w:rsidR="00596D91" w:rsidRPr="00FD5BAD">
        <w:rPr>
          <w:iCs w:val="0"/>
        </w:rPr>
        <w:t>.</w:t>
      </w:r>
    </w:p>
    <w:p w:rsidR="008E3EA7" w:rsidRPr="00FD5BAD" w:rsidRDefault="008E3EA7" w:rsidP="007B6CE1">
      <w:pPr>
        <w:pStyle w:val="Heading2NoNum"/>
        <w:keepNext/>
      </w:pPr>
      <w:bookmarkStart w:id="39" w:name="_Toc331681991"/>
      <w:r w:rsidRPr="00FD5BAD">
        <w:lastRenderedPageBreak/>
        <w:t xml:space="preserve">Division </w:t>
      </w:r>
      <w:r w:rsidR="00184248" w:rsidRPr="00FD5BAD">
        <w:t>3</w:t>
      </w:r>
      <w:r w:rsidRPr="00FD5BAD">
        <w:tab/>
        <w:t>Access control mechanisms and serious threats</w:t>
      </w:r>
      <w:bookmarkEnd w:id="39"/>
      <w:r w:rsidRPr="00FD5BAD">
        <w:t xml:space="preserve"> </w:t>
      </w:r>
      <w:r w:rsidR="000713CC" w:rsidRPr="00FD5BAD">
        <w:t xml:space="preserve"> </w:t>
      </w:r>
    </w:p>
    <w:p w:rsidR="00853317" w:rsidRPr="00FD5BAD" w:rsidRDefault="00B95543" w:rsidP="007B6CE1">
      <w:pPr>
        <w:pStyle w:val="Heading1"/>
      </w:pPr>
      <w:bookmarkStart w:id="40" w:name="_Toc331681992"/>
      <w:r w:rsidRPr="00FD5BAD">
        <w:t>Serious threat to an individual</w:t>
      </w:r>
      <w:r w:rsidR="00604281" w:rsidRPr="00FD5BAD">
        <w:t>’s life, health or safety</w:t>
      </w:r>
      <w:bookmarkEnd w:id="40"/>
    </w:p>
    <w:p w:rsidR="00B95543" w:rsidRPr="00FD5BAD" w:rsidRDefault="001658B8" w:rsidP="00A80F92">
      <w:pPr>
        <w:pStyle w:val="HealthnumLevel5"/>
        <w:numPr>
          <w:ilvl w:val="5"/>
          <w:numId w:val="12"/>
        </w:numPr>
      </w:pPr>
      <w:r w:rsidRPr="00FD5BAD">
        <w:t>The</w:t>
      </w:r>
      <w:r w:rsidR="00B95543" w:rsidRPr="00FD5BAD">
        <w:t xml:space="preserve"> </w:t>
      </w:r>
      <w:r w:rsidR="004762C8" w:rsidRPr="00FD5BAD">
        <w:t xml:space="preserve">access control mechanisms established and maintained by the </w:t>
      </w:r>
      <w:r w:rsidR="00B95543" w:rsidRPr="00FD5BAD">
        <w:t xml:space="preserve">System Operator must </w:t>
      </w:r>
      <w:r w:rsidR="004762C8" w:rsidRPr="00FD5BAD">
        <w:t>permit registered healthcare provider organisations to asse</w:t>
      </w:r>
      <w:r w:rsidR="00C7632F" w:rsidRPr="00FD5BAD">
        <w:t>r</w:t>
      </w:r>
      <w:r w:rsidR="004762C8" w:rsidRPr="00FD5BAD">
        <w:t xml:space="preserve">t to the System Operator that </w:t>
      </w:r>
      <w:r w:rsidR="00C7632F" w:rsidRPr="00FD5BAD">
        <w:t xml:space="preserve">the circumstances in paragraph 64(1)(a) </w:t>
      </w:r>
      <w:r w:rsidR="000F08BA" w:rsidRPr="00FD5BAD">
        <w:t xml:space="preserve">of the Act </w:t>
      </w:r>
      <w:r w:rsidR="00C7632F" w:rsidRPr="00FD5BAD">
        <w:t>exist.</w:t>
      </w:r>
    </w:p>
    <w:p w:rsidR="00C7632F" w:rsidRPr="00FD5BAD" w:rsidRDefault="00F97293" w:rsidP="004762C8">
      <w:pPr>
        <w:pStyle w:val="HealthnumLevel5"/>
      </w:pPr>
      <w:r w:rsidRPr="00FD5BAD">
        <w:t>W</w:t>
      </w:r>
      <w:r w:rsidR="000F08BA" w:rsidRPr="00FD5BAD">
        <w:t xml:space="preserve">here access is authorised under subsection 64(1) of the Act, </w:t>
      </w:r>
      <w:r w:rsidR="00C7632F" w:rsidRPr="00FD5BAD">
        <w:t>the access control mechanisms:</w:t>
      </w:r>
    </w:p>
    <w:p w:rsidR="000F08BA" w:rsidRPr="00FD5BAD" w:rsidRDefault="000F08BA" w:rsidP="00F97293">
      <w:pPr>
        <w:pStyle w:val="Healthnumlevel2"/>
        <w:numPr>
          <w:ilvl w:val="0"/>
          <w:numId w:val="0"/>
        </w:numPr>
        <w:ind w:left="1701"/>
      </w:pPr>
    </w:p>
    <w:p w:rsidR="000F08BA" w:rsidRPr="00FD5BAD" w:rsidRDefault="000F08BA" w:rsidP="00A80F92">
      <w:pPr>
        <w:pStyle w:val="Healthnumlevel2"/>
        <w:numPr>
          <w:ilvl w:val="2"/>
          <w:numId w:val="45"/>
        </w:numPr>
      </w:pPr>
      <w:r w:rsidRPr="00FD5BAD">
        <w:t xml:space="preserve">must allow access to a consumer’s PCEHR regardless of whether a consumer has set up a </w:t>
      </w:r>
      <w:r w:rsidR="00643EE8" w:rsidRPr="00FD5BAD">
        <w:t>record code</w:t>
      </w:r>
      <w:r w:rsidRPr="00FD5BAD">
        <w:t xml:space="preserve">; </w:t>
      </w:r>
    </w:p>
    <w:p w:rsidR="000F08BA" w:rsidRPr="00FD5BAD" w:rsidRDefault="000F08BA" w:rsidP="00A80F92">
      <w:pPr>
        <w:pStyle w:val="Healthnumlevel2"/>
        <w:numPr>
          <w:ilvl w:val="2"/>
          <w:numId w:val="45"/>
        </w:numPr>
      </w:pPr>
      <w:r w:rsidRPr="00FD5BAD">
        <w:t xml:space="preserve">must allow access to all </w:t>
      </w:r>
      <w:r w:rsidR="0045035D" w:rsidRPr="00FD5BAD">
        <w:t>record</w:t>
      </w:r>
      <w:r w:rsidRPr="00FD5BAD">
        <w:t>s in a consumer’s PCEHR rega</w:t>
      </w:r>
      <w:r w:rsidR="00604281" w:rsidRPr="00FD5BAD">
        <w:t>rd</w:t>
      </w:r>
      <w:r w:rsidRPr="00FD5BAD">
        <w:t>les</w:t>
      </w:r>
      <w:r w:rsidR="00604281" w:rsidRPr="00FD5BAD">
        <w:t>s</w:t>
      </w:r>
      <w:r w:rsidRPr="00FD5BAD">
        <w:t xml:space="preserve"> of whether </w:t>
      </w:r>
      <w:r w:rsidR="00604281" w:rsidRPr="00FD5BAD">
        <w:t xml:space="preserve">a consumer has set up a </w:t>
      </w:r>
      <w:r w:rsidR="006B5072" w:rsidRPr="00FD5BAD">
        <w:t>document code</w:t>
      </w:r>
      <w:r w:rsidR="00604281" w:rsidRPr="00FD5BAD">
        <w:t>; and</w:t>
      </w:r>
      <w:r w:rsidRPr="00FD5BAD">
        <w:t xml:space="preserve"> </w:t>
      </w:r>
    </w:p>
    <w:p w:rsidR="00AC4FEC" w:rsidRPr="00FD5BAD" w:rsidRDefault="000F08BA" w:rsidP="00A80F92">
      <w:pPr>
        <w:pStyle w:val="Healthnumlevel2"/>
        <w:numPr>
          <w:ilvl w:val="2"/>
          <w:numId w:val="11"/>
        </w:numPr>
      </w:pPr>
      <w:r w:rsidRPr="00FD5BAD">
        <w:t xml:space="preserve">must not permit access to </w:t>
      </w:r>
      <w:r w:rsidR="0045035D" w:rsidRPr="00FD5BAD">
        <w:t>record</w:t>
      </w:r>
      <w:r w:rsidRPr="00FD5BAD">
        <w:t xml:space="preserve">s that have been </w:t>
      </w:r>
      <w:r w:rsidR="00604281" w:rsidRPr="00FD5BAD">
        <w:t>effectively removed</w:t>
      </w:r>
      <w:r w:rsidR="00EA40BC" w:rsidRPr="00FD5BAD">
        <w:t>.</w:t>
      </w:r>
    </w:p>
    <w:p w:rsidR="00AC4FEC" w:rsidRPr="00FD5BAD" w:rsidRDefault="00AC4FEC" w:rsidP="00AC4FEC">
      <w:pPr>
        <w:pStyle w:val="Healthnote"/>
        <w:ind w:left="1691" w:hanging="840"/>
        <w:rPr>
          <w:iCs w:val="0"/>
        </w:rPr>
      </w:pPr>
      <w:r w:rsidRPr="00FD5BAD">
        <w:rPr>
          <w:iCs w:val="0"/>
        </w:rPr>
        <w:t>Note</w:t>
      </w:r>
      <w:r w:rsidR="00A936DD" w:rsidRPr="00FD5BAD">
        <w:rPr>
          <w:iCs w:val="0"/>
        </w:rPr>
        <w:t xml:space="preserve"> 1</w:t>
      </w:r>
      <w:r w:rsidRPr="00FD5BAD">
        <w:rPr>
          <w:iCs w:val="0"/>
        </w:rPr>
        <w:t>:</w:t>
      </w:r>
      <w:r w:rsidRPr="00FD5BAD">
        <w:rPr>
          <w:iCs w:val="0"/>
        </w:rPr>
        <w:tab/>
      </w:r>
      <w:r w:rsidR="00EA40BC" w:rsidRPr="00FD5BAD">
        <w:rPr>
          <w:iCs w:val="0"/>
        </w:rPr>
        <w:t>Consumer-only notes are not available under subsection 64(1) of the Act</w:t>
      </w:r>
      <w:r w:rsidR="00EA40BC" w:rsidRPr="00FD5BAD">
        <w:t>― see s</w:t>
      </w:r>
      <w:r w:rsidR="00EA40BC" w:rsidRPr="00FD5BAD">
        <w:rPr>
          <w:iCs w:val="0"/>
        </w:rPr>
        <w:t>ubsection 64(3) of the Act</w:t>
      </w:r>
      <w:r w:rsidRPr="00FD5BAD">
        <w:rPr>
          <w:iCs w:val="0"/>
        </w:rPr>
        <w:t xml:space="preserve">. </w:t>
      </w:r>
    </w:p>
    <w:p w:rsidR="00A936DD" w:rsidRPr="00FD5BAD" w:rsidRDefault="00A936DD" w:rsidP="00AC4FEC">
      <w:pPr>
        <w:pStyle w:val="Healthnote"/>
        <w:ind w:left="1691" w:hanging="840"/>
      </w:pPr>
      <w:r w:rsidRPr="00FD5BAD">
        <w:t>Note 2:</w:t>
      </w:r>
      <w:r w:rsidRPr="00FD5BAD">
        <w:tab/>
        <w:t xml:space="preserve">The extent of access by </w:t>
      </w:r>
      <w:r w:rsidR="00524822" w:rsidRPr="00FD5BAD">
        <w:t xml:space="preserve">registered </w:t>
      </w:r>
      <w:r w:rsidRPr="00FD5BAD">
        <w:t xml:space="preserve">healthcare provider organisations under subsection 64(1) of the Act depends on how access flags have been assigned within the healthcare provider organisation’s network hierarchy― see </w:t>
      </w:r>
      <w:r w:rsidR="00D81C78" w:rsidRPr="00FD5BAD">
        <w:t>r</w:t>
      </w:r>
      <w:r w:rsidRPr="00FD5BAD">
        <w:t>ule</w:t>
      </w:r>
      <w:r w:rsidR="005B166A" w:rsidRPr="00FD5BAD">
        <w:t>s</w:t>
      </w:r>
      <w:r w:rsidR="00744F91" w:rsidRPr="00FD5BAD">
        <w:t> </w:t>
      </w:r>
      <w:r w:rsidR="004D0E55" w:rsidRPr="00FD5BAD">
        <w:t>8</w:t>
      </w:r>
      <w:r w:rsidR="00744F91" w:rsidRPr="00FD5BAD">
        <w:t> </w:t>
      </w:r>
      <w:r w:rsidR="005B166A" w:rsidRPr="00FD5BAD">
        <w:t>and</w:t>
      </w:r>
      <w:r w:rsidR="00524822" w:rsidRPr="00FD5BAD">
        <w:t> </w:t>
      </w:r>
      <w:r w:rsidR="004D0E55" w:rsidRPr="00FD5BAD">
        <w:t>9</w:t>
      </w:r>
      <w:r w:rsidRPr="00FD5BAD">
        <w:t>.</w:t>
      </w:r>
    </w:p>
    <w:p w:rsidR="009F7FA0" w:rsidRPr="00FD5BAD" w:rsidRDefault="009F7FA0" w:rsidP="00AC4FEC">
      <w:pPr>
        <w:pStyle w:val="Healthnote"/>
        <w:ind w:left="1691" w:hanging="840"/>
        <w:rPr>
          <w:iCs w:val="0"/>
        </w:rPr>
      </w:pPr>
      <w:r w:rsidRPr="00FD5BAD">
        <w:t>Note 3:</w:t>
      </w:r>
      <w:r w:rsidRPr="00FD5BAD">
        <w:tab/>
        <w:t xml:space="preserve">Where a consumer’s </w:t>
      </w:r>
      <w:r w:rsidR="007516D4" w:rsidRPr="00FD5BAD">
        <w:t xml:space="preserve">PCEHR </w:t>
      </w:r>
      <w:r w:rsidRPr="00FD5BAD">
        <w:t>registration has been suspended, paragraph 5</w:t>
      </w:r>
      <w:r w:rsidR="00DD518B" w:rsidRPr="00FD5BAD">
        <w:t>4</w:t>
      </w:r>
      <w:r w:rsidRPr="00FD5BAD">
        <w:t xml:space="preserve">(a) of the Act permits access to the consumer’s </w:t>
      </w:r>
      <w:r w:rsidR="00613FFE" w:rsidRPr="00FD5BAD">
        <w:t>PCEHR</w:t>
      </w:r>
      <w:r w:rsidRPr="00FD5BAD">
        <w:t xml:space="preserve"> in the case of a serious threat under subsection 64(1) of the Act.</w:t>
      </w:r>
    </w:p>
    <w:p w:rsidR="008E3EA7" w:rsidRPr="00FD5BAD" w:rsidRDefault="00604281" w:rsidP="00604281">
      <w:pPr>
        <w:pStyle w:val="Heading1"/>
      </w:pPr>
      <w:bookmarkStart w:id="41" w:name="_Toc331681993"/>
      <w:r w:rsidRPr="00FD5BAD">
        <w:t>Serious threat to public health or public safety</w:t>
      </w:r>
      <w:bookmarkEnd w:id="41"/>
    </w:p>
    <w:p w:rsidR="00084687" w:rsidRPr="00FD5BAD" w:rsidRDefault="00084687" w:rsidP="00A80F92">
      <w:pPr>
        <w:pStyle w:val="HealthnumLevel5"/>
        <w:numPr>
          <w:ilvl w:val="5"/>
          <w:numId w:val="13"/>
        </w:numPr>
      </w:pPr>
      <w:r w:rsidRPr="00FD5BAD">
        <w:t xml:space="preserve">The access control mechanisms established and maintained by the System Operator must permit registered healthcare provider organisations to assert to the System Operator that the collection, use or disclose of </w:t>
      </w:r>
      <w:r w:rsidR="00BA3D1F" w:rsidRPr="00FD5BAD">
        <w:t xml:space="preserve">health </w:t>
      </w:r>
      <w:r w:rsidRPr="00FD5BAD">
        <w:t>information is necessary to lessen or prevent a serious threat to public health or public safety for the purposes of subsection 64(2) of the Act.</w:t>
      </w:r>
    </w:p>
    <w:p w:rsidR="00084687" w:rsidRPr="00FD5BAD" w:rsidRDefault="00F97293" w:rsidP="00084687">
      <w:pPr>
        <w:pStyle w:val="HealthnumLevel5"/>
      </w:pPr>
      <w:r w:rsidRPr="00FD5BAD">
        <w:t>W</w:t>
      </w:r>
      <w:r w:rsidR="00084687" w:rsidRPr="00FD5BAD">
        <w:t>here access is authorised under subsection 64(2) of the Act, the access control mechanisms:</w:t>
      </w:r>
    </w:p>
    <w:p w:rsidR="00084687" w:rsidRPr="00FD5BAD" w:rsidRDefault="00084687" w:rsidP="00414593">
      <w:pPr>
        <w:pStyle w:val="Healthnumlevel2"/>
        <w:numPr>
          <w:ilvl w:val="0"/>
          <w:numId w:val="0"/>
        </w:numPr>
        <w:ind w:left="1701"/>
      </w:pPr>
    </w:p>
    <w:p w:rsidR="00084687" w:rsidRPr="00FD5BAD" w:rsidRDefault="00084687" w:rsidP="00A80F92">
      <w:pPr>
        <w:pStyle w:val="Healthnumlevel2"/>
        <w:numPr>
          <w:ilvl w:val="2"/>
          <w:numId w:val="46"/>
        </w:numPr>
      </w:pPr>
      <w:r w:rsidRPr="00FD5BAD">
        <w:t xml:space="preserve">must allow access to a consumer’s PCEHR regardless of whether a consumer has set up a </w:t>
      </w:r>
      <w:r w:rsidR="00643EE8" w:rsidRPr="00FD5BAD">
        <w:t>record code</w:t>
      </w:r>
      <w:r w:rsidRPr="00FD5BAD">
        <w:t xml:space="preserve">; </w:t>
      </w:r>
    </w:p>
    <w:p w:rsidR="00084687" w:rsidRPr="00FD5BAD" w:rsidRDefault="00084687" w:rsidP="00A80F92">
      <w:pPr>
        <w:pStyle w:val="Healthnumlevel2"/>
        <w:numPr>
          <w:ilvl w:val="2"/>
          <w:numId w:val="46"/>
        </w:numPr>
      </w:pPr>
      <w:r w:rsidRPr="00FD5BAD">
        <w:t xml:space="preserve">must allow access to all </w:t>
      </w:r>
      <w:r w:rsidR="0045035D" w:rsidRPr="00FD5BAD">
        <w:t>record</w:t>
      </w:r>
      <w:r w:rsidRPr="00FD5BAD">
        <w:t xml:space="preserve">s in a consumer’s PCEHR regardless of whether a consumer has set up a </w:t>
      </w:r>
      <w:r w:rsidR="006B5072" w:rsidRPr="00FD5BAD">
        <w:t>document code</w:t>
      </w:r>
      <w:r w:rsidRPr="00FD5BAD">
        <w:t xml:space="preserve">; and </w:t>
      </w:r>
    </w:p>
    <w:p w:rsidR="00084687" w:rsidRPr="00FD5BAD" w:rsidRDefault="00084687" w:rsidP="00A80F92">
      <w:pPr>
        <w:pStyle w:val="Healthnumlevel2"/>
        <w:numPr>
          <w:ilvl w:val="2"/>
          <w:numId w:val="11"/>
        </w:numPr>
        <w:rPr>
          <w:sz w:val="20"/>
          <w:szCs w:val="20"/>
        </w:rPr>
      </w:pPr>
      <w:r w:rsidRPr="00FD5BAD">
        <w:t xml:space="preserve">must not permit access to </w:t>
      </w:r>
      <w:r w:rsidR="0045035D" w:rsidRPr="00FD5BAD">
        <w:t>record</w:t>
      </w:r>
      <w:r w:rsidRPr="00FD5BAD">
        <w:t xml:space="preserve">s that have been effectively removed. </w:t>
      </w:r>
    </w:p>
    <w:p w:rsidR="00084687" w:rsidRPr="00FD5BAD" w:rsidRDefault="00084687" w:rsidP="00084687">
      <w:pPr>
        <w:pStyle w:val="Healthnote"/>
        <w:ind w:left="1691" w:hanging="840"/>
        <w:rPr>
          <w:iCs w:val="0"/>
        </w:rPr>
      </w:pPr>
      <w:r w:rsidRPr="00FD5BAD">
        <w:rPr>
          <w:iCs w:val="0"/>
        </w:rPr>
        <w:t>Note</w:t>
      </w:r>
      <w:r w:rsidR="00A936DD" w:rsidRPr="00FD5BAD">
        <w:rPr>
          <w:iCs w:val="0"/>
        </w:rPr>
        <w:t xml:space="preserve"> 1</w:t>
      </w:r>
      <w:r w:rsidRPr="00FD5BAD">
        <w:rPr>
          <w:iCs w:val="0"/>
        </w:rPr>
        <w:t>:</w:t>
      </w:r>
      <w:r w:rsidRPr="00FD5BAD">
        <w:rPr>
          <w:iCs w:val="0"/>
        </w:rPr>
        <w:tab/>
        <w:t>Consumer-only notes are not available under subsection 64(2) of the Act</w:t>
      </w:r>
      <w:r w:rsidRPr="00FD5BAD">
        <w:t>― see s</w:t>
      </w:r>
      <w:r w:rsidRPr="00FD5BAD">
        <w:rPr>
          <w:iCs w:val="0"/>
        </w:rPr>
        <w:t xml:space="preserve">ubsection 64(3) of the Act. </w:t>
      </w:r>
    </w:p>
    <w:p w:rsidR="00A936DD" w:rsidRPr="00FD5BAD" w:rsidRDefault="00A936DD" w:rsidP="00084687">
      <w:pPr>
        <w:pStyle w:val="Healthnote"/>
        <w:ind w:left="1691" w:hanging="840"/>
        <w:rPr>
          <w:iCs w:val="0"/>
        </w:rPr>
      </w:pPr>
      <w:r w:rsidRPr="00FD5BAD">
        <w:lastRenderedPageBreak/>
        <w:t>Note 2:</w:t>
      </w:r>
      <w:r w:rsidRPr="00FD5BAD">
        <w:tab/>
        <w:t xml:space="preserve">The extent of access by </w:t>
      </w:r>
      <w:r w:rsidR="00432CCC" w:rsidRPr="00FD5BAD">
        <w:t xml:space="preserve">registered </w:t>
      </w:r>
      <w:r w:rsidRPr="00FD5BAD">
        <w:t xml:space="preserve">healthcare provider organisations under subsection 64(2) of the Act depends on how access flags have been assigned within the healthcare provider organisation’s network hierarchy― see </w:t>
      </w:r>
      <w:r w:rsidR="00D81C78" w:rsidRPr="00FD5BAD">
        <w:t>r</w:t>
      </w:r>
      <w:r w:rsidRPr="00FD5BAD">
        <w:t>ule</w:t>
      </w:r>
      <w:r w:rsidR="009B5ADF" w:rsidRPr="00FD5BAD">
        <w:t>s</w:t>
      </w:r>
      <w:r w:rsidR="00744F91" w:rsidRPr="00FD5BAD">
        <w:t> </w:t>
      </w:r>
      <w:r w:rsidR="00432CCC" w:rsidRPr="00FD5BAD">
        <w:t>8</w:t>
      </w:r>
      <w:r w:rsidR="00744F91" w:rsidRPr="00FD5BAD">
        <w:t> </w:t>
      </w:r>
      <w:r w:rsidR="00432CCC" w:rsidRPr="00FD5BAD">
        <w:t>and </w:t>
      </w:r>
      <w:r w:rsidR="009B5ADF" w:rsidRPr="00FD5BAD">
        <w:t>9</w:t>
      </w:r>
      <w:r w:rsidRPr="00FD5BAD">
        <w:t>.</w:t>
      </w:r>
    </w:p>
    <w:p w:rsidR="00BE333B" w:rsidRPr="00FD5BAD" w:rsidRDefault="00BE333B" w:rsidP="009035B7">
      <w:pPr>
        <w:pStyle w:val="Heading2NoNum"/>
        <w:keepNext/>
      </w:pPr>
      <w:bookmarkStart w:id="42" w:name="_Toc331681994"/>
      <w:r w:rsidRPr="00FD5BAD">
        <w:t xml:space="preserve">Division </w:t>
      </w:r>
      <w:r w:rsidR="00184248" w:rsidRPr="00FD5BAD">
        <w:t>4</w:t>
      </w:r>
      <w:r w:rsidRPr="00FD5BAD">
        <w:tab/>
      </w:r>
      <w:r w:rsidR="005A10B4" w:rsidRPr="00FD5BAD">
        <w:t>Access flags</w:t>
      </w:r>
      <w:bookmarkEnd w:id="42"/>
      <w:r w:rsidR="00712564" w:rsidRPr="00FD5BAD">
        <w:t xml:space="preserve"> </w:t>
      </w:r>
    </w:p>
    <w:p w:rsidR="008230E4" w:rsidRPr="00FD5BAD" w:rsidRDefault="00657799" w:rsidP="009035B7">
      <w:pPr>
        <w:pStyle w:val="Heading1"/>
      </w:pPr>
      <w:bookmarkStart w:id="43" w:name="_Toc331681995"/>
      <w:r w:rsidRPr="00FD5BAD">
        <w:t>Access control mechanisms must include use of access flags</w:t>
      </w:r>
      <w:bookmarkEnd w:id="43"/>
    </w:p>
    <w:p w:rsidR="00FD03E6" w:rsidRPr="00FD5BAD" w:rsidRDefault="005A108A" w:rsidP="00D82838">
      <w:pPr>
        <w:pStyle w:val="HealthLevel1"/>
      </w:pPr>
      <w:r w:rsidRPr="00FD5BAD">
        <w:t xml:space="preserve">For the purposes of paragraphs 15(b) and (c) and subsection 109(6) of the Act, the </w:t>
      </w:r>
      <w:r w:rsidR="00607874" w:rsidRPr="00FD5BAD">
        <w:t xml:space="preserve">System Operator must establish and maintain </w:t>
      </w:r>
      <w:r w:rsidRPr="00FD5BAD">
        <w:t xml:space="preserve">access control mechanisms </w:t>
      </w:r>
      <w:r w:rsidR="00C63F0F" w:rsidRPr="00FD5BAD">
        <w:t xml:space="preserve">that </w:t>
      </w:r>
      <w:r w:rsidR="00DC72AF" w:rsidRPr="00FD5BAD">
        <w:t xml:space="preserve">comply with the </w:t>
      </w:r>
      <w:r w:rsidR="00BA1B21" w:rsidRPr="00FD5BAD">
        <w:t xml:space="preserve">following requirements: </w:t>
      </w:r>
    </w:p>
    <w:p w:rsidR="00FD03E6" w:rsidRPr="00FD5BAD" w:rsidRDefault="00FD03E6" w:rsidP="007A28E3">
      <w:pPr>
        <w:pStyle w:val="Healthnumlevel2"/>
        <w:numPr>
          <w:ilvl w:val="0"/>
          <w:numId w:val="0"/>
        </w:numPr>
        <w:ind w:left="1701"/>
      </w:pPr>
    </w:p>
    <w:p w:rsidR="002B2FE7" w:rsidRPr="00FD5BAD" w:rsidRDefault="008230E4" w:rsidP="00A80F92">
      <w:pPr>
        <w:pStyle w:val="Healthnumlevel2"/>
        <w:numPr>
          <w:ilvl w:val="2"/>
          <w:numId w:val="44"/>
        </w:numPr>
      </w:pPr>
      <w:r w:rsidRPr="00FD5BAD">
        <w:t>access flags must be used to determine which</w:t>
      </w:r>
      <w:r w:rsidR="002B2FE7" w:rsidRPr="00FD5BAD">
        <w:t xml:space="preserve"> additional registered healthcare provider organisations (if any) are to be:</w:t>
      </w:r>
      <w:r w:rsidRPr="00FD5BAD">
        <w:t xml:space="preserve"> </w:t>
      </w:r>
    </w:p>
    <w:p w:rsidR="000462C6" w:rsidRPr="00FD5BAD" w:rsidRDefault="008230E4" w:rsidP="002B2FE7">
      <w:pPr>
        <w:pStyle w:val="HealthnumLevel3"/>
        <w:jc w:val="left"/>
      </w:pPr>
      <w:r w:rsidRPr="00FD5BAD">
        <w:t xml:space="preserve">added to the access list for a consumer’s PCEHR where a registered healthcare provider organisation accesses </w:t>
      </w:r>
      <w:r w:rsidR="00845102" w:rsidRPr="00FD5BAD">
        <w:t>the</w:t>
      </w:r>
      <w:r w:rsidRPr="00FD5BAD">
        <w:t xml:space="preserve"> consumer’s PCEHR in accordance with default access controls, advanced access controls or in the case of a serious threat to an individual’s life, health or safety;</w:t>
      </w:r>
      <w:r w:rsidR="002B2FE7" w:rsidRPr="00FD5BAD">
        <w:t xml:space="preserve"> and</w:t>
      </w:r>
    </w:p>
    <w:p w:rsidR="002B2FE7" w:rsidRPr="00FD5BAD" w:rsidRDefault="00D85671" w:rsidP="002B2FE7">
      <w:pPr>
        <w:pStyle w:val="HealthnumLevel3"/>
        <w:jc w:val="left"/>
      </w:pPr>
      <w:r w:rsidRPr="00FD5BAD">
        <w:t xml:space="preserve">omitted </w:t>
      </w:r>
      <w:r w:rsidR="002B2FE7" w:rsidRPr="00FD5BAD">
        <w:t xml:space="preserve">from the access list for a consumer’s PCEHR where a healthcare provider organisation </w:t>
      </w:r>
      <w:r w:rsidRPr="00FD5BAD">
        <w:t xml:space="preserve">ceases to be on </w:t>
      </w:r>
      <w:r w:rsidR="002B2FE7" w:rsidRPr="00FD5BAD">
        <w:t>the access list;</w:t>
      </w:r>
      <w:r w:rsidR="00E370C6" w:rsidRPr="00FD5BAD">
        <w:t xml:space="preserve"> </w:t>
      </w:r>
    </w:p>
    <w:p w:rsidR="008230E4" w:rsidRPr="00FD5BAD" w:rsidRDefault="00845102" w:rsidP="00A80F92">
      <w:pPr>
        <w:pStyle w:val="Healthnumlevel2"/>
        <w:numPr>
          <w:ilvl w:val="2"/>
          <w:numId w:val="42"/>
        </w:numPr>
      </w:pPr>
      <w:r w:rsidRPr="00FD5BAD">
        <w:t xml:space="preserve">access flags </w:t>
      </w:r>
      <w:r w:rsidR="00244F12" w:rsidRPr="00FD5BAD">
        <w:t xml:space="preserve">must be </w:t>
      </w:r>
      <w:r w:rsidR="00492424" w:rsidRPr="00FD5BAD">
        <w:t xml:space="preserve">set and </w:t>
      </w:r>
      <w:r w:rsidRPr="00FD5BAD">
        <w:t>ma</w:t>
      </w:r>
      <w:r w:rsidR="00492424" w:rsidRPr="00FD5BAD">
        <w:t>i</w:t>
      </w:r>
      <w:r w:rsidRPr="00FD5BAD">
        <w:t>n</w:t>
      </w:r>
      <w:r w:rsidR="00492424" w:rsidRPr="00FD5BAD">
        <w:t xml:space="preserve">tained </w:t>
      </w:r>
      <w:r w:rsidR="00FA7FF4" w:rsidRPr="00FD5BAD">
        <w:t xml:space="preserve">for </w:t>
      </w:r>
      <w:r w:rsidR="00492424" w:rsidRPr="00FD5BAD">
        <w:t>a registered healthcare provider</w:t>
      </w:r>
      <w:r w:rsidR="00DC72AF" w:rsidRPr="00FD5BAD">
        <w:t xml:space="preserve"> organisation</w:t>
      </w:r>
      <w:r w:rsidR="00FA7FF4" w:rsidRPr="00FD5BAD">
        <w:t xml:space="preserve"> in the context of the organisation</w:t>
      </w:r>
      <w:r w:rsidR="00492424" w:rsidRPr="00FD5BAD">
        <w:t>’s network hierarchy;</w:t>
      </w:r>
    </w:p>
    <w:p w:rsidR="00492424" w:rsidRPr="00FD5BAD" w:rsidRDefault="00071FEA" w:rsidP="00A80F92">
      <w:pPr>
        <w:pStyle w:val="Healthnumlevel2"/>
        <w:numPr>
          <w:ilvl w:val="2"/>
          <w:numId w:val="42"/>
        </w:numPr>
      </w:pPr>
      <w:r w:rsidRPr="00FD5BAD">
        <w:t xml:space="preserve">the </w:t>
      </w:r>
      <w:r w:rsidR="0044026B" w:rsidRPr="00FD5BAD">
        <w:t>responsible officer and</w:t>
      </w:r>
      <w:r w:rsidR="00E80F85" w:rsidRPr="00FD5BAD">
        <w:t>/or</w:t>
      </w:r>
      <w:r w:rsidR="0044026B" w:rsidRPr="00FD5BAD">
        <w:t xml:space="preserve"> the organisation maintenance officer of a </w:t>
      </w:r>
      <w:r w:rsidR="006B7384" w:rsidRPr="00FD5BAD">
        <w:t xml:space="preserve">registered healthcare provider organisation that is the </w:t>
      </w:r>
      <w:r w:rsidRPr="00FD5BAD">
        <w:t xml:space="preserve">seed organisation within a network hierarchy must be responsible for setting and </w:t>
      </w:r>
      <w:r w:rsidR="00244F12" w:rsidRPr="00FD5BAD">
        <w:t xml:space="preserve">maintaining the access flags for the registered healthcare provider organisations within </w:t>
      </w:r>
      <w:r w:rsidR="00BA6679" w:rsidRPr="00FD5BAD">
        <w:t xml:space="preserve">the </w:t>
      </w:r>
      <w:r w:rsidR="0044026B" w:rsidRPr="00FD5BAD">
        <w:t xml:space="preserve">seed organisation’s </w:t>
      </w:r>
      <w:r w:rsidR="00244F12" w:rsidRPr="00FD5BAD">
        <w:t>network hierarchy;</w:t>
      </w:r>
      <w:r w:rsidR="00F566B0" w:rsidRPr="00FD5BAD">
        <w:t xml:space="preserve"> </w:t>
      </w:r>
      <w:r w:rsidR="00AF6ACA" w:rsidRPr="00FD5BAD">
        <w:t>and</w:t>
      </w:r>
    </w:p>
    <w:p w:rsidR="00D65B07" w:rsidRPr="00FD5BAD" w:rsidRDefault="00D65B07" w:rsidP="00D65B07">
      <w:pPr>
        <w:pStyle w:val="Healthnumlevel2"/>
        <w:numPr>
          <w:ilvl w:val="0"/>
          <w:numId w:val="0"/>
        </w:numPr>
        <w:ind w:left="1701"/>
        <w:rPr>
          <w:i/>
        </w:rPr>
      </w:pPr>
      <w:r w:rsidRPr="00FD5BAD">
        <w:rPr>
          <w:i/>
        </w:rPr>
        <w:t>Principles for setting and maintaining access flags</w:t>
      </w:r>
    </w:p>
    <w:p w:rsidR="00DA0976" w:rsidRPr="00FD5BAD" w:rsidRDefault="00854809" w:rsidP="00854809">
      <w:pPr>
        <w:pStyle w:val="Healthnumlevel2"/>
      </w:pPr>
      <w:r w:rsidRPr="00FD5BAD">
        <w:t>access flags must be set</w:t>
      </w:r>
      <w:r w:rsidR="00937999" w:rsidRPr="00FD5BAD">
        <w:t xml:space="preserve"> </w:t>
      </w:r>
      <w:r w:rsidRPr="00FD5BAD">
        <w:t xml:space="preserve">and maintained in accordance with the principles in </w:t>
      </w:r>
      <w:r w:rsidR="004D1FB5" w:rsidRPr="00FD5BAD">
        <w:t>r</w:t>
      </w:r>
      <w:r w:rsidRPr="00FD5BAD">
        <w:t xml:space="preserve">ule </w:t>
      </w:r>
      <w:r w:rsidR="00E9700E" w:rsidRPr="00FD5BAD">
        <w:t>9</w:t>
      </w:r>
      <w:r w:rsidRPr="00FD5BAD">
        <w:t>.</w:t>
      </w:r>
    </w:p>
    <w:p w:rsidR="00085F6B" w:rsidRPr="00FD5BAD" w:rsidRDefault="00DC72AF" w:rsidP="007B6CE1">
      <w:pPr>
        <w:pStyle w:val="Healthnote"/>
        <w:ind w:left="1691" w:hanging="840"/>
      </w:pPr>
      <w:r w:rsidRPr="00FD5BAD">
        <w:rPr>
          <w:iCs w:val="0"/>
        </w:rPr>
        <w:t>Note:</w:t>
      </w:r>
      <w:r w:rsidRPr="00FD5BAD">
        <w:rPr>
          <w:iCs w:val="0"/>
        </w:rPr>
        <w:tab/>
        <w:t>A network hierarchy consists of a seed organisation and may include one or more network organisations</w:t>
      </w:r>
      <w:r w:rsidRPr="00FD5BAD">
        <w:t xml:space="preserve">― see subsections 9A(3) </w:t>
      </w:r>
      <w:r w:rsidR="003A23D5" w:rsidRPr="00FD5BAD">
        <w:t>to</w:t>
      </w:r>
      <w:r w:rsidRPr="00FD5BAD">
        <w:t xml:space="preserve"> (</w:t>
      </w:r>
      <w:r w:rsidR="003A23D5" w:rsidRPr="00FD5BAD">
        <w:t>7</w:t>
      </w:r>
      <w:r w:rsidRPr="00FD5BAD">
        <w:t xml:space="preserve">) of the </w:t>
      </w:r>
      <w:r w:rsidRPr="00FD5BAD">
        <w:rPr>
          <w:i/>
        </w:rPr>
        <w:t>Healthcare Identifiers Act 2010</w:t>
      </w:r>
      <w:r w:rsidRPr="00FD5BAD">
        <w:t xml:space="preserve">.  </w:t>
      </w:r>
      <w:r w:rsidR="00482F68" w:rsidRPr="00FD5BAD">
        <w:t>There are only two classes of healthcare provider organisations― that is, seed organisations and network organisation</w:t>
      </w:r>
      <w:r w:rsidR="00D36573" w:rsidRPr="00FD5BAD">
        <w:t>s</w:t>
      </w:r>
      <w:r w:rsidR="00482F68" w:rsidRPr="00FD5BAD">
        <w:t xml:space="preserve">.  </w:t>
      </w:r>
      <w:r w:rsidR="002701A4" w:rsidRPr="00FD5BAD">
        <w:t>A network organisation may, but is not required to, be part of the same legal entity as its seed organisation</w:t>
      </w:r>
      <w:r w:rsidR="00482F68" w:rsidRPr="00FD5BAD">
        <w:t xml:space="preserve"> or be a related body corporate of its seed organisation</w:t>
      </w:r>
      <w:r w:rsidR="002701A4" w:rsidRPr="00FD5BAD">
        <w:t>.</w:t>
      </w:r>
      <w:r w:rsidR="00482F68" w:rsidRPr="00FD5BAD">
        <w:t xml:space="preserve">  There can be one or more healthcare provider organisations within a single legal entity.</w:t>
      </w:r>
      <w:r w:rsidR="006530E5" w:rsidRPr="00FD5BAD">
        <w:t xml:space="preserve"> </w:t>
      </w:r>
    </w:p>
    <w:p w:rsidR="006C2CBF" w:rsidRPr="00FD5BAD" w:rsidRDefault="00854809" w:rsidP="00854809">
      <w:pPr>
        <w:pStyle w:val="Heading1"/>
      </w:pPr>
      <w:bookmarkStart w:id="44" w:name="_Toc331681996"/>
      <w:r w:rsidRPr="00FD5BAD">
        <w:t>Principles for assigning access flags</w:t>
      </w:r>
      <w:bookmarkEnd w:id="44"/>
    </w:p>
    <w:p w:rsidR="006C2CBF" w:rsidRPr="00FD5BAD" w:rsidRDefault="00EE3199" w:rsidP="00A80F92">
      <w:pPr>
        <w:pStyle w:val="HealthnumLevel5"/>
        <w:numPr>
          <w:ilvl w:val="5"/>
          <w:numId w:val="14"/>
        </w:numPr>
      </w:pPr>
      <w:r w:rsidRPr="00FD5BAD">
        <w:t xml:space="preserve">Subject to </w:t>
      </w:r>
      <w:r w:rsidR="006D5272" w:rsidRPr="00FD5BAD">
        <w:t>sub</w:t>
      </w:r>
      <w:r w:rsidR="00AA75F7" w:rsidRPr="00FD5BAD">
        <w:t>r</w:t>
      </w:r>
      <w:r w:rsidR="006D5272" w:rsidRPr="00FD5BAD">
        <w:t>ule</w:t>
      </w:r>
      <w:r w:rsidR="00BC74F1" w:rsidRPr="00FD5BAD">
        <w:t>s</w:t>
      </w:r>
      <w:r w:rsidR="006D5272" w:rsidRPr="00FD5BAD">
        <w:t xml:space="preserve"> </w:t>
      </w:r>
      <w:r w:rsidRPr="00FD5BAD">
        <w:t>(</w:t>
      </w:r>
      <w:r w:rsidR="00D1601F" w:rsidRPr="00FD5BAD">
        <w:t>3</w:t>
      </w:r>
      <w:r w:rsidRPr="00FD5BAD">
        <w:t>)</w:t>
      </w:r>
      <w:r w:rsidR="006D5272" w:rsidRPr="00FD5BAD">
        <w:t xml:space="preserve"> </w:t>
      </w:r>
      <w:r w:rsidR="00626345" w:rsidRPr="00FD5BAD">
        <w:t xml:space="preserve">to </w:t>
      </w:r>
      <w:r w:rsidR="00BC74F1" w:rsidRPr="00FD5BAD">
        <w:t>(</w:t>
      </w:r>
      <w:r w:rsidR="00626345" w:rsidRPr="00FD5BAD">
        <w:t>5</w:t>
      </w:r>
      <w:r w:rsidR="00C5511C" w:rsidRPr="00FD5BAD">
        <w:t>)</w:t>
      </w:r>
      <w:r w:rsidR="00626345" w:rsidRPr="00FD5BAD">
        <w:t>,</w:t>
      </w:r>
      <w:r w:rsidR="00C5511C" w:rsidRPr="00FD5BAD">
        <w:t xml:space="preserve"> access flags must be set and maintained for registered healthcare provider organisations in a network hierarchy in a manner </w:t>
      </w:r>
      <w:r w:rsidR="00C5511C" w:rsidRPr="00FD5BAD">
        <w:rPr>
          <w:iCs/>
          <w:lang w:eastAsia="en-AU"/>
        </w:rPr>
        <w:t>which balances</w:t>
      </w:r>
      <w:r w:rsidR="006515EF" w:rsidRPr="00FD5BAD">
        <w:t>:</w:t>
      </w:r>
    </w:p>
    <w:p w:rsidR="00AD11FE" w:rsidRPr="00FD5BAD" w:rsidRDefault="00AD11FE" w:rsidP="00C5511C">
      <w:pPr>
        <w:pStyle w:val="Healthnumlevel2"/>
        <w:numPr>
          <w:ilvl w:val="0"/>
          <w:numId w:val="0"/>
        </w:numPr>
        <w:ind w:left="1701"/>
      </w:pPr>
    </w:p>
    <w:p w:rsidR="00AD11FE" w:rsidRPr="00FD5BAD" w:rsidRDefault="00AD11FE" w:rsidP="00C5511C">
      <w:pPr>
        <w:pStyle w:val="Healthnumlevel2"/>
        <w:numPr>
          <w:ilvl w:val="2"/>
          <w:numId w:val="51"/>
        </w:numPr>
      </w:pPr>
      <w:r w:rsidRPr="00FD5BAD">
        <w:rPr>
          <w:lang w:eastAsia="en-AU"/>
        </w:rPr>
        <w:lastRenderedPageBreak/>
        <w:t xml:space="preserve">reasonable consumer expectations about the sharing of </w:t>
      </w:r>
      <w:r w:rsidR="00C61ABF" w:rsidRPr="00FD5BAD">
        <w:rPr>
          <w:lang w:eastAsia="en-AU"/>
        </w:rPr>
        <w:t xml:space="preserve">health </w:t>
      </w:r>
      <w:r w:rsidRPr="00FD5BAD">
        <w:rPr>
          <w:lang w:eastAsia="en-AU"/>
        </w:rPr>
        <w:t xml:space="preserve">information as part of providing healthcare to the consumer; and </w:t>
      </w:r>
    </w:p>
    <w:p w:rsidR="00FE58C1" w:rsidRPr="00FD5BAD" w:rsidRDefault="00AD11FE" w:rsidP="009035B7">
      <w:pPr>
        <w:pStyle w:val="Healthnumlevel2"/>
        <w:numPr>
          <w:ilvl w:val="2"/>
          <w:numId w:val="51"/>
        </w:numPr>
      </w:pPr>
      <w:r w:rsidRPr="00FD5BAD">
        <w:rPr>
          <w:lang w:eastAsia="en-AU"/>
        </w:rPr>
        <w:t xml:space="preserve">arrangements within the organisation for access to </w:t>
      </w:r>
      <w:r w:rsidR="00994F73" w:rsidRPr="00FD5BAD">
        <w:rPr>
          <w:lang w:eastAsia="en-AU"/>
        </w:rPr>
        <w:t xml:space="preserve">health </w:t>
      </w:r>
      <w:r w:rsidRPr="00FD5BAD">
        <w:rPr>
          <w:lang w:eastAsia="en-AU"/>
        </w:rPr>
        <w:t>information collected</w:t>
      </w:r>
      <w:r w:rsidR="00994F73" w:rsidRPr="00FD5BAD">
        <w:rPr>
          <w:lang w:eastAsia="en-AU"/>
        </w:rPr>
        <w:t xml:space="preserve"> </w:t>
      </w:r>
      <w:r w:rsidRPr="00FD5BAD">
        <w:rPr>
          <w:lang w:eastAsia="en-AU"/>
        </w:rPr>
        <w:t>by the organisation</w:t>
      </w:r>
      <w:r w:rsidR="00C5511C" w:rsidRPr="00FD5BAD">
        <w:rPr>
          <w:lang w:eastAsia="en-AU"/>
        </w:rPr>
        <w:t>.</w:t>
      </w:r>
      <w:r w:rsidR="006515EF" w:rsidRPr="00FD5BAD">
        <w:t xml:space="preserve"> </w:t>
      </w:r>
    </w:p>
    <w:p w:rsidR="00D1601F" w:rsidRPr="00FD5BAD" w:rsidRDefault="003E582C" w:rsidP="00A80F92">
      <w:pPr>
        <w:pStyle w:val="HealthnumLevel5"/>
        <w:numPr>
          <w:ilvl w:val="5"/>
          <w:numId w:val="14"/>
        </w:numPr>
      </w:pPr>
      <w:r w:rsidRPr="00FD5BAD">
        <w:t>A</w:t>
      </w:r>
      <w:r w:rsidR="00D1601F" w:rsidRPr="00FD5BAD">
        <w:t xml:space="preserve"> registered healthcare provider organisation that is </w:t>
      </w:r>
      <w:r w:rsidRPr="00FD5BAD">
        <w:t>a</w:t>
      </w:r>
      <w:r w:rsidR="00D1601F" w:rsidRPr="00FD5BAD">
        <w:t xml:space="preserve"> seed organisation must</w:t>
      </w:r>
      <w:r w:rsidRPr="00FD5BAD">
        <w:t xml:space="preserve"> </w:t>
      </w:r>
      <w:r w:rsidR="00626345" w:rsidRPr="00FD5BAD">
        <w:t xml:space="preserve">ensure that </w:t>
      </w:r>
      <w:r w:rsidR="00F1367A" w:rsidRPr="00FD5BAD">
        <w:t xml:space="preserve">access flags assigned within its network hierarchy </w:t>
      </w:r>
      <w:r w:rsidR="00566D93" w:rsidRPr="00FD5BAD">
        <w:t xml:space="preserve">are regularly reviewed </w:t>
      </w:r>
      <w:r w:rsidR="00F1367A" w:rsidRPr="00FD5BAD">
        <w:t>and adjust</w:t>
      </w:r>
      <w:r w:rsidR="00566D93" w:rsidRPr="00FD5BAD">
        <w:t>ed</w:t>
      </w:r>
      <w:r w:rsidR="00F1367A" w:rsidRPr="00FD5BAD">
        <w:t xml:space="preserve"> as necessary so that their assignment remains consistent with the principles in sub</w:t>
      </w:r>
      <w:r w:rsidR="00AA75F7" w:rsidRPr="00FD5BAD">
        <w:t>r</w:t>
      </w:r>
      <w:r w:rsidR="00F1367A" w:rsidRPr="00FD5BAD">
        <w:t>ule (1).</w:t>
      </w:r>
    </w:p>
    <w:p w:rsidR="00382559" w:rsidRPr="00FD5BAD" w:rsidRDefault="008D3139" w:rsidP="00A80F92">
      <w:pPr>
        <w:pStyle w:val="HealthnumLevel5"/>
        <w:numPr>
          <w:ilvl w:val="5"/>
          <w:numId w:val="14"/>
        </w:numPr>
      </w:pPr>
      <w:r w:rsidRPr="00FD5BAD">
        <w:t xml:space="preserve">If the System Operator </w:t>
      </w:r>
      <w:r w:rsidR="00794D15" w:rsidRPr="00FD5BAD">
        <w:t xml:space="preserve">reasonably </w:t>
      </w:r>
      <w:r w:rsidRPr="00FD5BAD">
        <w:t xml:space="preserve">considers that access flags have </w:t>
      </w:r>
      <w:r w:rsidR="00E46D3A" w:rsidRPr="00FD5BAD">
        <w:t xml:space="preserve">not been assigned </w:t>
      </w:r>
      <w:r w:rsidRPr="00FD5BAD">
        <w:t xml:space="preserve">within a network hierarchy, </w:t>
      </w:r>
      <w:r w:rsidR="00E46D3A" w:rsidRPr="00FD5BAD">
        <w:t xml:space="preserve">have been assigned in a manner that is </w:t>
      </w:r>
      <w:r w:rsidR="00EC013D" w:rsidRPr="00FD5BAD">
        <w:t>in</w:t>
      </w:r>
      <w:r w:rsidR="00E46D3A" w:rsidRPr="00FD5BAD">
        <w:t>consistent with the principles in sub</w:t>
      </w:r>
      <w:r w:rsidR="00AA75F7" w:rsidRPr="00FD5BAD">
        <w:t>r</w:t>
      </w:r>
      <w:r w:rsidR="00E46D3A" w:rsidRPr="00FD5BAD">
        <w:t xml:space="preserve">ule (1) or </w:t>
      </w:r>
      <w:r w:rsidR="00937999" w:rsidRPr="00FD5BAD">
        <w:t xml:space="preserve">have been assigned </w:t>
      </w:r>
      <w:r w:rsidR="00382559" w:rsidRPr="00FD5BAD">
        <w:t xml:space="preserve">in a manner that </w:t>
      </w:r>
      <w:r w:rsidR="00E46D3A" w:rsidRPr="00FD5BAD">
        <w:t>is otherwise inappropriate</w:t>
      </w:r>
      <w:r w:rsidR="00382559" w:rsidRPr="00FD5BAD">
        <w:t>, the System Operator:</w:t>
      </w:r>
    </w:p>
    <w:p w:rsidR="00382559" w:rsidRPr="00FD5BAD" w:rsidRDefault="00937999" w:rsidP="00A80F92">
      <w:pPr>
        <w:pStyle w:val="Healthnumlevel2"/>
        <w:numPr>
          <w:ilvl w:val="2"/>
          <w:numId w:val="16"/>
        </w:numPr>
      </w:pPr>
      <w:r w:rsidRPr="00FD5BAD">
        <w:t>must</w:t>
      </w:r>
      <w:r w:rsidR="00382559" w:rsidRPr="00FD5BAD">
        <w:t xml:space="preserve"> consult with, and consider the views </w:t>
      </w:r>
      <w:r w:rsidRPr="00FD5BAD">
        <w:t xml:space="preserve">(if any) </w:t>
      </w:r>
      <w:r w:rsidR="00382559" w:rsidRPr="00FD5BAD">
        <w:t>of, the seed organisation of the network hierarchy; and</w:t>
      </w:r>
    </w:p>
    <w:p w:rsidR="00977295" w:rsidRPr="00FD5BAD" w:rsidRDefault="00382559" w:rsidP="00A80F92">
      <w:pPr>
        <w:pStyle w:val="Healthnumlevel2"/>
        <w:numPr>
          <w:ilvl w:val="2"/>
          <w:numId w:val="16"/>
        </w:numPr>
      </w:pPr>
      <w:r w:rsidRPr="00FD5BAD">
        <w:t>following consideration under paragraph (</w:t>
      </w:r>
      <w:r w:rsidR="00C04FE7" w:rsidRPr="00FD5BAD">
        <w:t>3</w:t>
      </w:r>
      <w:r w:rsidRPr="00FD5BAD">
        <w:t xml:space="preserve">)(a), may </w:t>
      </w:r>
      <w:r w:rsidR="00EC013D" w:rsidRPr="00FD5BAD">
        <w:t xml:space="preserve">by written notice </w:t>
      </w:r>
      <w:r w:rsidR="00B36F8A" w:rsidRPr="00FD5BAD">
        <w:t xml:space="preserve">request </w:t>
      </w:r>
      <w:r w:rsidRPr="00FD5BAD">
        <w:t xml:space="preserve">the seed organisation to </w:t>
      </w:r>
      <w:r w:rsidR="00794D15" w:rsidRPr="00FD5BAD">
        <w:t xml:space="preserve">make reasonable changes to  the </w:t>
      </w:r>
      <w:r w:rsidR="00937999" w:rsidRPr="00FD5BAD">
        <w:t>access flags within the organisation’s network hierarchy</w:t>
      </w:r>
      <w:r w:rsidR="00794D15" w:rsidRPr="00FD5BAD">
        <w:t>, including by adding, omitting or reassigning access flags</w:t>
      </w:r>
      <w:r w:rsidR="006B7384" w:rsidRPr="00FD5BAD">
        <w:t>.</w:t>
      </w:r>
    </w:p>
    <w:p w:rsidR="002F2070" w:rsidRPr="00FD5BAD" w:rsidRDefault="002F2070" w:rsidP="00A80F92">
      <w:pPr>
        <w:pStyle w:val="HealthnumLevel5"/>
        <w:numPr>
          <w:ilvl w:val="5"/>
          <w:numId w:val="14"/>
        </w:numPr>
      </w:pPr>
      <w:r w:rsidRPr="00FD5BAD">
        <w:t xml:space="preserve">A </w:t>
      </w:r>
      <w:r w:rsidR="009A59B2" w:rsidRPr="00FD5BAD">
        <w:t>notice from</w:t>
      </w:r>
      <w:r w:rsidRPr="00FD5BAD">
        <w:t xml:space="preserve"> the System Operator under paragraph (</w:t>
      </w:r>
      <w:r w:rsidR="00E5380D" w:rsidRPr="00FD5BAD">
        <w:t>3</w:t>
      </w:r>
      <w:r w:rsidRPr="00FD5BAD">
        <w:t xml:space="preserve">)(b) must be consistent with the principles in subrule (1). </w:t>
      </w:r>
    </w:p>
    <w:p w:rsidR="00977295" w:rsidRPr="00FD5BAD" w:rsidRDefault="00EC013D" w:rsidP="00A80F92">
      <w:pPr>
        <w:pStyle w:val="HealthnumLevel5"/>
        <w:numPr>
          <w:ilvl w:val="5"/>
          <w:numId w:val="14"/>
        </w:numPr>
      </w:pPr>
      <w:r w:rsidRPr="00FD5BAD">
        <w:t xml:space="preserve">A </w:t>
      </w:r>
      <w:r w:rsidR="005E4DAA" w:rsidRPr="00FD5BAD">
        <w:t xml:space="preserve">registered </w:t>
      </w:r>
      <w:r w:rsidRPr="00FD5BAD">
        <w:t xml:space="preserve">healthcare provider organisation must </w:t>
      </w:r>
      <w:r w:rsidR="00B36F8A" w:rsidRPr="00FD5BAD">
        <w:t xml:space="preserve">not unreasonably refuse to </w:t>
      </w:r>
      <w:r w:rsidRPr="00FD5BAD">
        <w:t xml:space="preserve">comply </w:t>
      </w:r>
      <w:r w:rsidR="006B7384" w:rsidRPr="00FD5BAD">
        <w:t xml:space="preserve">with </w:t>
      </w:r>
      <w:r w:rsidRPr="00FD5BAD">
        <w:t xml:space="preserve">a </w:t>
      </w:r>
      <w:r w:rsidR="00B36F8A" w:rsidRPr="00FD5BAD">
        <w:t xml:space="preserve">request </w:t>
      </w:r>
      <w:r w:rsidRPr="00FD5BAD">
        <w:t xml:space="preserve">from the System Operator under </w:t>
      </w:r>
      <w:r w:rsidR="00BC74F1" w:rsidRPr="00FD5BAD">
        <w:t>paragraph</w:t>
      </w:r>
      <w:r w:rsidR="00D1601F" w:rsidRPr="00FD5BAD">
        <w:t xml:space="preserve"> (</w:t>
      </w:r>
      <w:r w:rsidR="00E5380D" w:rsidRPr="00FD5BAD">
        <w:t>3</w:t>
      </w:r>
      <w:r w:rsidRPr="00FD5BAD">
        <w:t>)</w:t>
      </w:r>
      <w:r w:rsidR="00BC74F1" w:rsidRPr="00FD5BAD">
        <w:t>(b)</w:t>
      </w:r>
      <w:r w:rsidRPr="00FD5BAD">
        <w:t xml:space="preserve">. </w:t>
      </w:r>
    </w:p>
    <w:p w:rsidR="006F2E7A" w:rsidRPr="00FD5BAD" w:rsidRDefault="006F2E7A" w:rsidP="006F2E7A">
      <w:pPr>
        <w:pStyle w:val="Healthnote"/>
        <w:ind w:left="1691" w:hanging="840"/>
        <w:rPr>
          <w:iCs w:val="0"/>
        </w:rPr>
      </w:pPr>
      <w:r w:rsidRPr="00FD5BAD">
        <w:rPr>
          <w:iCs w:val="0"/>
          <w:lang w:val="en-US"/>
        </w:rPr>
        <w:t>Note:</w:t>
      </w:r>
      <w:r w:rsidRPr="00FD5BAD">
        <w:rPr>
          <w:iCs w:val="0"/>
          <w:lang w:val="en-US"/>
        </w:rPr>
        <w:tab/>
        <w:t>Rule 23 requires seed organisations to structure their network hierarchies in a manner that allows access flags to be assigned in accordance with the principles in this rule.</w:t>
      </w:r>
    </w:p>
    <w:p w:rsidR="007E5528" w:rsidRPr="00FD5BAD" w:rsidRDefault="00C23824" w:rsidP="00A93435">
      <w:pPr>
        <w:pStyle w:val="Heading2NoNum"/>
        <w:keepNext/>
        <w:rPr>
          <w:b w:val="0"/>
          <w:sz w:val="20"/>
          <w:szCs w:val="20"/>
        </w:rPr>
      </w:pPr>
      <w:bookmarkStart w:id="45" w:name="_Toc331681997"/>
      <w:r w:rsidRPr="00FD5BAD">
        <w:t xml:space="preserve">Division </w:t>
      </w:r>
      <w:r w:rsidR="00184248" w:rsidRPr="00FD5BAD">
        <w:t>5</w:t>
      </w:r>
      <w:r w:rsidRPr="00FD5BAD">
        <w:tab/>
      </w:r>
      <w:r w:rsidR="00392D7F" w:rsidRPr="00FD5BAD">
        <w:t>Access control mechanisms relating to s</w:t>
      </w:r>
      <w:r w:rsidR="001358E5" w:rsidRPr="00FD5BAD">
        <w:t>uspension or cancellation of access to a consumer’s PCEHR</w:t>
      </w:r>
      <w:bookmarkEnd w:id="45"/>
      <w:r w:rsidRPr="00FD5BAD">
        <w:t xml:space="preserve"> </w:t>
      </w:r>
    </w:p>
    <w:p w:rsidR="00C23824" w:rsidRPr="00FD5BAD" w:rsidRDefault="004815B2" w:rsidP="00A93435">
      <w:pPr>
        <w:pStyle w:val="Heading1"/>
      </w:pPr>
      <w:bookmarkStart w:id="46" w:name="_Toc331681998"/>
      <w:r w:rsidRPr="00FD5BAD">
        <w:t>Automatic cancellation</w:t>
      </w:r>
      <w:r w:rsidR="00501ECC" w:rsidRPr="00FD5BAD">
        <w:t xml:space="preserve"> when consumer takes control</w:t>
      </w:r>
      <w:bookmarkEnd w:id="46"/>
    </w:p>
    <w:p w:rsidR="00E414D3" w:rsidRPr="00FD5BAD" w:rsidRDefault="00E414D3" w:rsidP="00A80F92">
      <w:pPr>
        <w:pStyle w:val="HealthnumLevel5"/>
        <w:numPr>
          <w:ilvl w:val="5"/>
          <w:numId w:val="18"/>
        </w:numPr>
      </w:pPr>
      <w:r w:rsidRPr="00FD5BAD">
        <w:t xml:space="preserve">The System Operator </w:t>
      </w:r>
      <w:r w:rsidR="00315A47" w:rsidRPr="00FD5BAD">
        <w:t>must</w:t>
      </w:r>
      <w:r w:rsidRPr="00FD5BAD">
        <w:t xml:space="preserve"> </w:t>
      </w:r>
      <w:r w:rsidR="00531F5D" w:rsidRPr="00FD5BAD">
        <w:t xml:space="preserve">automatically cancel </w:t>
      </w:r>
      <w:r w:rsidRPr="00FD5BAD">
        <w:t xml:space="preserve">access </w:t>
      </w:r>
      <w:r w:rsidR="008479FF" w:rsidRPr="00FD5BAD">
        <w:t xml:space="preserve">to a consumer’s PCEHR </w:t>
      </w:r>
      <w:r w:rsidR="00FD4646" w:rsidRPr="00FD5BAD">
        <w:t>for</w:t>
      </w:r>
      <w:r w:rsidRPr="00FD5BAD">
        <w:t xml:space="preserve"> </w:t>
      </w:r>
      <w:r w:rsidR="00C60E72" w:rsidRPr="00FD5BAD">
        <w:t xml:space="preserve">all </w:t>
      </w:r>
      <w:r w:rsidR="008479FF" w:rsidRPr="00FD5BAD">
        <w:t>the</w:t>
      </w:r>
      <w:r w:rsidR="00531F5D" w:rsidRPr="00FD5BAD">
        <w:t xml:space="preserve"> consumer’s </w:t>
      </w:r>
      <w:r w:rsidRPr="00FD5BAD">
        <w:t>authorised representatives and nominated representatives upon the earlier of</w:t>
      </w:r>
      <w:r w:rsidR="002762FD" w:rsidRPr="00FD5BAD">
        <w:t xml:space="preserve"> the following</w:t>
      </w:r>
      <w:r w:rsidRPr="00FD5BAD">
        <w:t>:</w:t>
      </w:r>
      <w:r w:rsidR="008479FF" w:rsidRPr="00FD5BAD">
        <w:t xml:space="preserve"> </w:t>
      </w:r>
    </w:p>
    <w:p w:rsidR="00315A47" w:rsidRPr="00FD5BAD" w:rsidRDefault="00E414D3" w:rsidP="00A80F92">
      <w:pPr>
        <w:pStyle w:val="Healthnumlevel2"/>
        <w:numPr>
          <w:ilvl w:val="2"/>
          <w:numId w:val="17"/>
        </w:numPr>
      </w:pPr>
      <w:r w:rsidRPr="00FD5BAD">
        <w:t xml:space="preserve">the consumer taking control </w:t>
      </w:r>
      <w:r w:rsidR="00315A47" w:rsidRPr="00FD5BAD">
        <w:t xml:space="preserve">of his or her PCEHR; </w:t>
      </w:r>
    </w:p>
    <w:p w:rsidR="00C23824" w:rsidRPr="00FD5BAD" w:rsidRDefault="00315A47" w:rsidP="00A80F92">
      <w:pPr>
        <w:pStyle w:val="Healthnumlevel2"/>
        <w:numPr>
          <w:ilvl w:val="2"/>
          <w:numId w:val="17"/>
        </w:numPr>
      </w:pPr>
      <w:r w:rsidRPr="00FD5BAD">
        <w:t>the consumer reaching the age of 18</w:t>
      </w:r>
      <w:r w:rsidR="00FD0B9F" w:rsidRPr="00FD5BAD">
        <w:t>.</w:t>
      </w:r>
    </w:p>
    <w:p w:rsidR="00C47D07" w:rsidRPr="00FD5BAD" w:rsidRDefault="00021047" w:rsidP="0060206F">
      <w:pPr>
        <w:pStyle w:val="HealthnumLevel5"/>
      </w:pPr>
      <w:r w:rsidRPr="00FD5BAD">
        <w:t>A</w:t>
      </w:r>
      <w:r w:rsidR="00C47D07" w:rsidRPr="00FD5BAD">
        <w:t xml:space="preserve"> consumer take</w:t>
      </w:r>
      <w:r w:rsidR="0059023D" w:rsidRPr="00FD5BAD">
        <w:t>s</w:t>
      </w:r>
      <w:r w:rsidR="00C47D07" w:rsidRPr="00FD5BAD">
        <w:t xml:space="preserve"> control of his or her PCEHR if:</w:t>
      </w:r>
    </w:p>
    <w:p w:rsidR="00C47D07" w:rsidRPr="00FD5BAD" w:rsidRDefault="00C47D07" w:rsidP="00A80F92">
      <w:pPr>
        <w:pStyle w:val="Healthnumlevel2"/>
        <w:numPr>
          <w:ilvl w:val="2"/>
          <w:numId w:val="25"/>
        </w:numPr>
      </w:pPr>
      <w:r w:rsidRPr="00FD5BAD">
        <w:t>the System Operator is no longer satisfied that the consumer has an authorised representative under section 6 of the Act; and</w:t>
      </w:r>
    </w:p>
    <w:p w:rsidR="00212F23" w:rsidRPr="00FD5BAD" w:rsidRDefault="00C47D07" w:rsidP="00A80F92">
      <w:pPr>
        <w:pStyle w:val="Healthnumlevel2"/>
        <w:numPr>
          <w:ilvl w:val="2"/>
          <w:numId w:val="25"/>
        </w:numPr>
      </w:pPr>
      <w:r w:rsidRPr="00FD5BAD">
        <w:t>the consumer has</w:t>
      </w:r>
      <w:r w:rsidR="00212F23" w:rsidRPr="00FD5BAD">
        <w:t>:</w:t>
      </w:r>
      <w:r w:rsidRPr="00FD5BAD">
        <w:t xml:space="preserve"> </w:t>
      </w:r>
    </w:p>
    <w:p w:rsidR="00212F23" w:rsidRPr="00FD5BAD" w:rsidRDefault="00212F23" w:rsidP="00212F23">
      <w:pPr>
        <w:pStyle w:val="HealthnumLevel3"/>
        <w:jc w:val="left"/>
      </w:pPr>
      <w:r w:rsidRPr="00FD5BAD">
        <w:t>verified his or her identi</w:t>
      </w:r>
      <w:r w:rsidR="00292943" w:rsidRPr="00FD5BAD">
        <w:t>t</w:t>
      </w:r>
      <w:r w:rsidRPr="00FD5BAD">
        <w:t>y with the System Operator; and</w:t>
      </w:r>
    </w:p>
    <w:p w:rsidR="00C47D07" w:rsidRPr="00FD5BAD" w:rsidRDefault="00076BCC" w:rsidP="00212F23">
      <w:pPr>
        <w:pStyle w:val="HealthnumLevel3"/>
        <w:jc w:val="left"/>
      </w:pPr>
      <w:r w:rsidRPr="00FD5BAD">
        <w:t xml:space="preserve">if the consumer wishes to access his or her PCEHR online or adjust their PCEHR’s access control mechanisms online – </w:t>
      </w:r>
      <w:r w:rsidR="00212F23" w:rsidRPr="00FD5BAD">
        <w:lastRenderedPageBreak/>
        <w:t xml:space="preserve">organised his or her own </w:t>
      </w:r>
      <w:r w:rsidR="00A21007" w:rsidRPr="00FD5BAD">
        <w:t xml:space="preserve">PCEHR </w:t>
      </w:r>
      <w:r w:rsidR="00212F23" w:rsidRPr="00FD5BAD">
        <w:t>log-in details with the System Operator.</w:t>
      </w:r>
      <w:r w:rsidR="00502C8F" w:rsidRPr="00FD5BAD">
        <w:t xml:space="preserve"> </w:t>
      </w:r>
    </w:p>
    <w:p w:rsidR="00D14681" w:rsidRPr="00FD5BAD" w:rsidRDefault="0060206F" w:rsidP="00C47D07">
      <w:pPr>
        <w:pStyle w:val="HealthnumLevel5"/>
      </w:pPr>
      <w:r w:rsidRPr="00FD5BAD">
        <w:t xml:space="preserve">Despite paragraph (1)(b), the System Operator must not cancel access </w:t>
      </w:r>
      <w:r w:rsidR="008479FF" w:rsidRPr="00FD5BAD">
        <w:t xml:space="preserve">to a consumer’s PCEHR </w:t>
      </w:r>
      <w:r w:rsidR="00FD4646" w:rsidRPr="00FD5BAD">
        <w:t>for</w:t>
      </w:r>
      <w:r w:rsidRPr="00FD5BAD">
        <w:t xml:space="preserve"> </w:t>
      </w:r>
      <w:r w:rsidR="00DD6953" w:rsidRPr="00FD5BAD">
        <w:t xml:space="preserve">a person who </w:t>
      </w:r>
      <w:r w:rsidR="00B42D1A" w:rsidRPr="00FD5BAD">
        <w:t xml:space="preserve">is </w:t>
      </w:r>
      <w:r w:rsidR="00DD6953" w:rsidRPr="00FD5BAD">
        <w:t xml:space="preserve">an </w:t>
      </w:r>
      <w:r w:rsidRPr="00FD5BAD">
        <w:t>authorised representative</w:t>
      </w:r>
      <w:r w:rsidR="00DD6953" w:rsidRPr="00FD5BAD">
        <w:t xml:space="preserve"> under subsections 6(1) or (2) of the Act if the System Operator is satisfied that the person will</w:t>
      </w:r>
      <w:r w:rsidR="00797670" w:rsidRPr="00FD5BAD">
        <w:t>,</w:t>
      </w:r>
      <w:r w:rsidR="00DD6953" w:rsidRPr="00FD5BAD">
        <w:t xml:space="preserve"> when the consumer reaches the age of 18, </w:t>
      </w:r>
      <w:r w:rsidR="00797670" w:rsidRPr="00FD5BAD">
        <w:t xml:space="preserve">be </w:t>
      </w:r>
      <w:r w:rsidR="00DD6953" w:rsidRPr="00FD5BAD">
        <w:t xml:space="preserve">an authorised representative </w:t>
      </w:r>
      <w:r w:rsidR="0088302F" w:rsidRPr="00FD5BAD">
        <w:t xml:space="preserve">for the consumer </w:t>
      </w:r>
      <w:r w:rsidR="00DD6953" w:rsidRPr="00FD5BAD">
        <w:t>under subsection 6(4) of the Act.</w:t>
      </w:r>
      <w:r w:rsidR="008479FF" w:rsidRPr="00FD5BAD">
        <w:t xml:space="preserve"> </w:t>
      </w:r>
      <w:r w:rsidR="00C47D07" w:rsidRPr="00FD5BAD">
        <w:t xml:space="preserve"> </w:t>
      </w:r>
    </w:p>
    <w:p w:rsidR="00467FF7" w:rsidRPr="00FD5BAD" w:rsidRDefault="00467FF7" w:rsidP="00467FF7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Note:</w:t>
      </w:r>
      <w:r w:rsidRPr="00FD5BAD">
        <w:rPr>
          <w:iCs w:val="0"/>
        </w:rPr>
        <w:tab/>
        <w:t>Rule 1</w:t>
      </w:r>
      <w:r w:rsidR="00E9700E" w:rsidRPr="00FD5BAD">
        <w:rPr>
          <w:iCs w:val="0"/>
        </w:rPr>
        <w:t>7</w:t>
      </w:r>
      <w:r w:rsidRPr="00FD5BAD">
        <w:rPr>
          <w:iCs w:val="0"/>
        </w:rPr>
        <w:t xml:space="preserve"> requires the System Operator to verify the identity of a consumer </w:t>
      </w:r>
      <w:r w:rsidR="00A46797" w:rsidRPr="00FD5BAD">
        <w:rPr>
          <w:iCs w:val="0"/>
        </w:rPr>
        <w:t>where the consumer ceases to have an authorised representative</w:t>
      </w:r>
      <w:r w:rsidRPr="00FD5BAD">
        <w:rPr>
          <w:iCs w:val="0"/>
        </w:rPr>
        <w:t>.</w:t>
      </w:r>
    </w:p>
    <w:p w:rsidR="00E6613C" w:rsidRPr="00FD5BAD" w:rsidRDefault="00E6613C" w:rsidP="00FD0B9F">
      <w:pPr>
        <w:pStyle w:val="Heading1"/>
      </w:pPr>
      <w:bookmarkStart w:id="47" w:name="_Toc331681999"/>
      <w:r w:rsidRPr="00FD5BAD">
        <w:t>Suspension on death of consumer</w:t>
      </w:r>
      <w:bookmarkEnd w:id="47"/>
      <w:r w:rsidRPr="00FD5BAD">
        <w:t xml:space="preserve"> </w:t>
      </w:r>
    </w:p>
    <w:p w:rsidR="00E6613C" w:rsidRPr="00FD5BAD" w:rsidRDefault="00E6613C" w:rsidP="000B4C12">
      <w:pPr>
        <w:pStyle w:val="HealthLevel1"/>
      </w:pPr>
      <w:r w:rsidRPr="00FD5BAD">
        <w:t xml:space="preserve">The System Operator must suspend access to a consumer’s PCEHR for all the consumer’s authorised representatives and nominated representatives if informed by the service operator that the status of the consumer’s healthcare identifier has been changed to </w:t>
      </w:r>
      <w:r w:rsidR="00B013C8" w:rsidRPr="00FD5BAD">
        <w:t>deceased</w:t>
      </w:r>
      <w:r w:rsidR="006B0D26" w:rsidRPr="00FD5BAD">
        <w:t>.</w:t>
      </w:r>
      <w:r w:rsidR="00C76D44" w:rsidRPr="00FD5BAD">
        <w:t xml:space="preserve"> </w:t>
      </w:r>
    </w:p>
    <w:p w:rsidR="00E6613C" w:rsidRPr="00FD5BAD" w:rsidRDefault="00E6613C" w:rsidP="00765780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</w:t>
      </w:r>
      <w:r w:rsidR="00765780" w:rsidRPr="00FD5BAD">
        <w:rPr>
          <w:iCs w:val="0"/>
        </w:rPr>
        <w:t xml:space="preserve"> 1</w:t>
      </w:r>
      <w:r w:rsidRPr="00FD5BAD">
        <w:rPr>
          <w:iCs w:val="0"/>
        </w:rPr>
        <w:t>:</w:t>
      </w:r>
      <w:r w:rsidRPr="00FD5BAD">
        <w:rPr>
          <w:iCs w:val="0"/>
        </w:rPr>
        <w:tab/>
      </w:r>
      <w:r w:rsidR="00765780" w:rsidRPr="00FD5BAD">
        <w:rPr>
          <w:iCs w:val="0"/>
        </w:rPr>
        <w:t xml:space="preserve">Where the status of a consumer’s healthcare identifier is </w:t>
      </w:r>
      <w:r w:rsidR="00B013C8" w:rsidRPr="00FD5BAD">
        <w:rPr>
          <w:iCs w:val="0"/>
        </w:rPr>
        <w:t>deceased</w:t>
      </w:r>
      <w:r w:rsidR="00765780" w:rsidRPr="00FD5BAD">
        <w:rPr>
          <w:iCs w:val="0"/>
        </w:rPr>
        <w:t xml:space="preserve">, this indicates that evidence of the consumer’s death has been received but the service operator has not yet received </w:t>
      </w:r>
      <w:r w:rsidR="0064546F" w:rsidRPr="00FD5BAD">
        <w:rPr>
          <w:iCs w:val="0"/>
        </w:rPr>
        <w:t xml:space="preserve">formal </w:t>
      </w:r>
      <w:r w:rsidR="00765780" w:rsidRPr="00FD5BAD">
        <w:rPr>
          <w:iCs w:val="0"/>
        </w:rPr>
        <w:t>confirmation in the form of fact of death data from the relevant State or Territory authority</w:t>
      </w:r>
      <w:r w:rsidRPr="00FD5BAD">
        <w:rPr>
          <w:iCs w:val="0"/>
        </w:rPr>
        <w:t>.</w:t>
      </w:r>
    </w:p>
    <w:p w:rsidR="00765780" w:rsidRPr="00FD5BAD" w:rsidRDefault="00392DC5" w:rsidP="00765780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 2:</w:t>
      </w:r>
      <w:r w:rsidRPr="00FD5BAD">
        <w:rPr>
          <w:iCs w:val="0"/>
        </w:rPr>
        <w:tab/>
      </w:r>
      <w:r w:rsidR="00C76D44" w:rsidRPr="00FD5BAD">
        <w:rPr>
          <w:iCs w:val="0"/>
        </w:rPr>
        <w:t xml:space="preserve">Once the service operator informs the System Operator that </w:t>
      </w:r>
      <w:r w:rsidR="00A553BA" w:rsidRPr="00FD5BAD">
        <w:rPr>
          <w:iCs w:val="0"/>
        </w:rPr>
        <w:t>the consumer’s healthcare identifier has been retired (that is, fact of death data</w:t>
      </w:r>
      <w:r w:rsidR="00C76D44" w:rsidRPr="00FD5BAD">
        <w:rPr>
          <w:iCs w:val="0"/>
        </w:rPr>
        <w:t xml:space="preserve"> </w:t>
      </w:r>
      <w:r w:rsidR="00A553BA" w:rsidRPr="00FD5BAD">
        <w:rPr>
          <w:iCs w:val="0"/>
        </w:rPr>
        <w:t xml:space="preserve">has been received), the System Operator must cancel the consumer’s registration under subsection 51(6) of the Act.  Where a consumer’s registration is cancelled, access </w:t>
      </w:r>
      <w:r w:rsidR="00E83A2D" w:rsidRPr="00FD5BAD">
        <w:rPr>
          <w:iCs w:val="0"/>
        </w:rPr>
        <w:t xml:space="preserve">to the consumer’s PCEHR ceases </w:t>
      </w:r>
      <w:r w:rsidR="00ED0447" w:rsidRPr="00FD5BAD">
        <w:rPr>
          <w:iCs w:val="0"/>
        </w:rPr>
        <w:t>for</w:t>
      </w:r>
      <w:r w:rsidR="00A553BA" w:rsidRPr="00FD5BAD">
        <w:rPr>
          <w:iCs w:val="0"/>
        </w:rPr>
        <w:t xml:space="preserve"> authorised representatives and nominated representatives</w:t>
      </w:r>
      <w:r w:rsidR="00E83A2D" w:rsidRPr="00FD5BAD">
        <w:rPr>
          <w:iCs w:val="0"/>
        </w:rPr>
        <w:t>.</w:t>
      </w:r>
    </w:p>
    <w:p w:rsidR="007E5528" w:rsidRPr="00FD5BAD" w:rsidRDefault="00392D7F" w:rsidP="00FD0B9F">
      <w:pPr>
        <w:pStyle w:val="Heading1"/>
      </w:pPr>
      <w:bookmarkStart w:id="48" w:name="_Toc331682000"/>
      <w:r w:rsidRPr="00FD5BAD">
        <w:t>S</w:t>
      </w:r>
      <w:r w:rsidR="004815B2" w:rsidRPr="00FD5BAD">
        <w:t>uspension and cancellation</w:t>
      </w:r>
      <w:r w:rsidR="00FD0B9F" w:rsidRPr="00FD5BAD">
        <w:t xml:space="preserve"> </w:t>
      </w:r>
      <w:r w:rsidR="00501ECC" w:rsidRPr="00FD5BAD">
        <w:t>where repre</w:t>
      </w:r>
      <w:r w:rsidR="0064546F" w:rsidRPr="00FD5BAD">
        <w:t>s</w:t>
      </w:r>
      <w:r w:rsidR="00501ECC" w:rsidRPr="00FD5BAD">
        <w:t>entation ceases</w:t>
      </w:r>
      <w:bookmarkEnd w:id="48"/>
    </w:p>
    <w:p w:rsidR="00A41515" w:rsidRPr="00FD5BAD" w:rsidRDefault="007668D8" w:rsidP="00A80F92">
      <w:pPr>
        <w:pStyle w:val="HealthnumLevel5"/>
        <w:numPr>
          <w:ilvl w:val="5"/>
          <w:numId w:val="19"/>
        </w:numPr>
      </w:pPr>
      <w:r w:rsidRPr="00FD5BAD">
        <w:t xml:space="preserve">The System Operator </w:t>
      </w:r>
      <w:r w:rsidR="00552F89" w:rsidRPr="00FD5BAD">
        <w:t xml:space="preserve">must </w:t>
      </w:r>
      <w:r w:rsidR="00531F5D" w:rsidRPr="00FD5BAD">
        <w:t xml:space="preserve">cancel </w:t>
      </w:r>
      <w:r w:rsidRPr="00FD5BAD">
        <w:t xml:space="preserve">access </w:t>
      </w:r>
      <w:r w:rsidR="008479FF" w:rsidRPr="00FD5BAD">
        <w:t>to</w:t>
      </w:r>
      <w:r w:rsidRPr="00FD5BAD">
        <w:t xml:space="preserve"> </w:t>
      </w:r>
      <w:r w:rsidR="008479FF" w:rsidRPr="00FD5BAD">
        <w:t xml:space="preserve">a consumer’s PCEHR for </w:t>
      </w:r>
      <w:r w:rsidR="002C331E" w:rsidRPr="00FD5BAD">
        <w:t xml:space="preserve">a person who is an </w:t>
      </w:r>
      <w:r w:rsidRPr="00FD5BAD">
        <w:t xml:space="preserve">authorised representative </w:t>
      </w:r>
      <w:r w:rsidR="00707432" w:rsidRPr="00FD5BAD">
        <w:t xml:space="preserve">or a nominated representative </w:t>
      </w:r>
      <w:r w:rsidR="002C331E" w:rsidRPr="00FD5BAD">
        <w:t>of the consumer if</w:t>
      </w:r>
      <w:r w:rsidR="00392D7F" w:rsidRPr="00FD5BAD">
        <w:t>:</w:t>
      </w:r>
      <w:r w:rsidR="001F40D4" w:rsidRPr="00FD5BAD">
        <w:t xml:space="preserve"> </w:t>
      </w:r>
    </w:p>
    <w:p w:rsidR="00205DFF" w:rsidRPr="00FD5BAD" w:rsidRDefault="00684A37" w:rsidP="00A80F92">
      <w:pPr>
        <w:pStyle w:val="Healthnumlevel2"/>
        <w:numPr>
          <w:ilvl w:val="2"/>
          <w:numId w:val="20"/>
        </w:numPr>
      </w:pPr>
      <w:r w:rsidRPr="00FD5BAD">
        <w:t>the System Operator</w:t>
      </w:r>
      <w:r w:rsidR="00205DFF" w:rsidRPr="00FD5BAD">
        <w:t>:</w:t>
      </w:r>
      <w:r w:rsidRPr="00FD5BAD">
        <w:t xml:space="preserve"> </w:t>
      </w:r>
    </w:p>
    <w:p w:rsidR="00205DFF" w:rsidRPr="00FD5BAD" w:rsidRDefault="00205DFF" w:rsidP="00205DFF">
      <w:pPr>
        <w:pStyle w:val="HealthnumLevel3"/>
        <w:jc w:val="left"/>
      </w:pPr>
      <w:r w:rsidRPr="00FD5BAD">
        <w:t>has been informed by the service operator that the status of the authorised representative’s</w:t>
      </w:r>
      <w:r w:rsidR="00BA22B9" w:rsidRPr="00FD5BAD">
        <w:t>,</w:t>
      </w:r>
      <w:r w:rsidRPr="00FD5BAD">
        <w:t xml:space="preserve"> or nominated representative’s</w:t>
      </w:r>
      <w:r w:rsidR="00BA22B9" w:rsidRPr="00FD5BAD">
        <w:t xml:space="preserve"> (if applicable), </w:t>
      </w:r>
      <w:r w:rsidRPr="00FD5BAD">
        <w:t>healthcare identifier has been changed to retired; or</w:t>
      </w:r>
    </w:p>
    <w:p w:rsidR="00392D7F" w:rsidRPr="00FD5BAD" w:rsidRDefault="00684A37" w:rsidP="00205DFF">
      <w:pPr>
        <w:pStyle w:val="HealthnumLevel3"/>
        <w:jc w:val="left"/>
      </w:pPr>
      <w:r w:rsidRPr="00FD5BAD">
        <w:t xml:space="preserve">is </w:t>
      </w:r>
      <w:r w:rsidR="00205DFF" w:rsidRPr="00FD5BAD">
        <w:t xml:space="preserve">otherwise </w:t>
      </w:r>
      <w:r w:rsidRPr="00FD5BAD">
        <w:t xml:space="preserve">satisfied that the </w:t>
      </w:r>
      <w:r w:rsidR="00707432" w:rsidRPr="00FD5BAD">
        <w:t xml:space="preserve">nominated representative </w:t>
      </w:r>
      <w:r w:rsidR="00392D7F" w:rsidRPr="00FD5BAD">
        <w:t>has died;</w:t>
      </w:r>
    </w:p>
    <w:p w:rsidR="00392D7F" w:rsidRPr="00FD5BAD" w:rsidRDefault="00684A37" w:rsidP="00A80F92">
      <w:pPr>
        <w:pStyle w:val="Healthnumlevel2"/>
        <w:numPr>
          <w:ilvl w:val="2"/>
          <w:numId w:val="20"/>
        </w:numPr>
      </w:pPr>
      <w:r w:rsidRPr="00FD5BAD">
        <w:t>the System Operator is no longer satisfied under section</w:t>
      </w:r>
      <w:r w:rsidR="001F40D4" w:rsidRPr="00FD5BAD">
        <w:t>s</w:t>
      </w:r>
      <w:r w:rsidRPr="00FD5BAD">
        <w:t xml:space="preserve"> 6 </w:t>
      </w:r>
      <w:r w:rsidR="001F40D4" w:rsidRPr="00FD5BAD">
        <w:t xml:space="preserve">or 7 </w:t>
      </w:r>
      <w:r w:rsidRPr="00FD5BAD">
        <w:t xml:space="preserve">of the Act that the person is an authorised representative </w:t>
      </w:r>
      <w:r w:rsidR="001F40D4" w:rsidRPr="00FD5BAD">
        <w:t xml:space="preserve">or nominated representative </w:t>
      </w:r>
      <w:r w:rsidRPr="00FD5BAD">
        <w:t>of the consumer</w:t>
      </w:r>
      <w:r w:rsidR="0035086E" w:rsidRPr="00FD5BAD">
        <w:t>;</w:t>
      </w:r>
      <w:r w:rsidR="00392D7F" w:rsidRPr="00FD5BAD">
        <w:t xml:space="preserve"> or</w:t>
      </w:r>
    </w:p>
    <w:p w:rsidR="00392D7F" w:rsidRPr="00FD5BAD" w:rsidRDefault="00A84B47" w:rsidP="00A80F92">
      <w:pPr>
        <w:pStyle w:val="Healthnumlevel2"/>
        <w:numPr>
          <w:ilvl w:val="2"/>
          <w:numId w:val="20"/>
        </w:numPr>
      </w:pPr>
      <w:r w:rsidRPr="00FD5BAD">
        <w:t xml:space="preserve">the person has notified the System Operator in writing that they no longer </w:t>
      </w:r>
      <w:r w:rsidR="00392D7F" w:rsidRPr="00FD5BAD">
        <w:t>wish to act as the consumer</w:t>
      </w:r>
      <w:r w:rsidR="00307A94" w:rsidRPr="00FD5BAD">
        <w:t>’s authorised representative or nominated representative</w:t>
      </w:r>
      <w:r w:rsidR="007267A4" w:rsidRPr="00FD5BAD">
        <w:t>.</w:t>
      </w:r>
    </w:p>
    <w:p w:rsidR="00D56EF9" w:rsidRPr="00FD5BAD" w:rsidRDefault="00D56EF9" w:rsidP="007668D8">
      <w:pPr>
        <w:pStyle w:val="HealthnumLevel5"/>
      </w:pPr>
      <w:r w:rsidRPr="00FD5BAD">
        <w:t xml:space="preserve">The System Operator must suspend access to a consumer’s PCEHR for a person who is an authorised representative or a nominated representative of the consumer if informed by the service operator that the status of the authorised representative’s or nominated representative’s healthcare identifier has been changed to </w:t>
      </w:r>
      <w:r w:rsidR="00B013C8" w:rsidRPr="00FD5BAD">
        <w:t>deceased</w:t>
      </w:r>
      <w:r w:rsidRPr="00FD5BAD">
        <w:t>.</w:t>
      </w:r>
    </w:p>
    <w:p w:rsidR="007668D8" w:rsidRPr="00FD5BAD" w:rsidRDefault="00307A94" w:rsidP="007668D8">
      <w:pPr>
        <w:pStyle w:val="HealthnumLevel5"/>
      </w:pPr>
      <w:r w:rsidRPr="00FD5BAD">
        <w:lastRenderedPageBreak/>
        <w:t xml:space="preserve">The System Operator may suspend access </w:t>
      </w:r>
      <w:r w:rsidR="008479FF" w:rsidRPr="00FD5BAD">
        <w:t xml:space="preserve">to a consumer’s PCEHR </w:t>
      </w:r>
      <w:r w:rsidR="00FD4646" w:rsidRPr="00FD5BAD">
        <w:t>for</w:t>
      </w:r>
      <w:r w:rsidRPr="00FD5BAD">
        <w:t xml:space="preserve"> a</w:t>
      </w:r>
      <w:r w:rsidR="00552F89" w:rsidRPr="00FD5BAD">
        <w:t xml:space="preserve"> consumer’s </w:t>
      </w:r>
      <w:r w:rsidRPr="00FD5BAD">
        <w:t xml:space="preserve">authorised representative or nominated representative while the System Operator investigates whether to take action under </w:t>
      </w:r>
      <w:r w:rsidR="007E7E0D" w:rsidRPr="00FD5BAD">
        <w:t>subrule</w:t>
      </w:r>
      <w:r w:rsidRPr="00FD5BAD">
        <w:t xml:space="preserve"> (1).</w:t>
      </w:r>
    </w:p>
    <w:p w:rsidR="007E7E0D" w:rsidRPr="00FD5BAD" w:rsidRDefault="007E7E0D" w:rsidP="007668D8">
      <w:pPr>
        <w:pStyle w:val="HealthnumLevel5"/>
      </w:pPr>
      <w:r w:rsidRPr="00FD5BAD">
        <w:t xml:space="preserve">If the System Operator suspends or cancels access to a consumer’s PCEHR for an authorised representative under this rule, the System Operator must also suspend or cancel access to the consumer’s PCEHR for </w:t>
      </w:r>
      <w:r w:rsidR="002E1D70" w:rsidRPr="00FD5BAD">
        <w:t xml:space="preserve">all </w:t>
      </w:r>
      <w:r w:rsidRPr="00FD5BAD">
        <w:t>nominated representatives</w:t>
      </w:r>
      <w:r w:rsidR="002E1D70" w:rsidRPr="00FD5BAD">
        <w:t>.</w:t>
      </w:r>
      <w:r w:rsidR="002E1D70" w:rsidRPr="00FD5BAD" w:rsidDel="002E1D70">
        <w:t xml:space="preserve"> </w:t>
      </w:r>
      <w:r w:rsidR="005848DF" w:rsidRPr="00FD5BAD">
        <w:t xml:space="preserve"> </w:t>
      </w:r>
    </w:p>
    <w:p w:rsidR="00D61A3E" w:rsidRPr="00FD5BAD" w:rsidRDefault="001A74FE" w:rsidP="007A28E3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 xml:space="preserve">Note </w:t>
      </w:r>
      <w:r w:rsidR="00D61A3E" w:rsidRPr="00FD5BAD">
        <w:rPr>
          <w:iCs w:val="0"/>
        </w:rPr>
        <w:t>1</w:t>
      </w:r>
      <w:r w:rsidRPr="00FD5BAD">
        <w:rPr>
          <w:iCs w:val="0"/>
        </w:rPr>
        <w:t>:</w:t>
      </w:r>
      <w:r w:rsidRPr="00FD5BAD">
        <w:rPr>
          <w:iCs w:val="0"/>
        </w:rPr>
        <w:tab/>
      </w:r>
      <w:r w:rsidR="00D61A3E" w:rsidRPr="00FD5BAD">
        <w:rPr>
          <w:iCs w:val="0"/>
        </w:rPr>
        <w:t>Not all nominated representatives will have a healthcare identifier</w:t>
      </w:r>
      <w:r w:rsidR="00195AF8" w:rsidRPr="00FD5BAD">
        <w:t xml:space="preserve">― </w:t>
      </w:r>
      <w:r w:rsidR="00D61A3E" w:rsidRPr="00FD5BAD">
        <w:rPr>
          <w:iCs w:val="0"/>
        </w:rPr>
        <w:t>see subsection 7(3) of the Act.</w:t>
      </w:r>
    </w:p>
    <w:p w:rsidR="001A74FE" w:rsidRPr="00FD5BAD" w:rsidRDefault="00D61A3E" w:rsidP="007A28E3">
      <w:pPr>
        <w:pStyle w:val="Healthnote"/>
        <w:ind w:left="1920" w:hanging="1069"/>
      </w:pPr>
      <w:r w:rsidRPr="00FD5BAD">
        <w:rPr>
          <w:iCs w:val="0"/>
        </w:rPr>
        <w:t>Note 2:</w:t>
      </w:r>
      <w:r w:rsidRPr="00FD5BAD">
        <w:rPr>
          <w:iCs w:val="0"/>
        </w:rPr>
        <w:tab/>
      </w:r>
      <w:r w:rsidR="001A74FE" w:rsidRPr="00FD5BAD">
        <w:rPr>
          <w:iCs w:val="0"/>
        </w:rPr>
        <w:t xml:space="preserve">Where access to a consumer’s PCEHR </w:t>
      </w:r>
      <w:r w:rsidR="009F5125" w:rsidRPr="00FD5BAD">
        <w:rPr>
          <w:iCs w:val="0"/>
        </w:rPr>
        <w:t xml:space="preserve">is cancelled </w:t>
      </w:r>
      <w:r w:rsidR="001A74FE" w:rsidRPr="00FD5BAD">
        <w:rPr>
          <w:iCs w:val="0"/>
        </w:rPr>
        <w:t>for a nominated representative</w:t>
      </w:r>
      <w:r w:rsidR="002D352D" w:rsidRPr="00FD5BAD">
        <w:rPr>
          <w:iCs w:val="0"/>
        </w:rPr>
        <w:t xml:space="preserve"> </w:t>
      </w:r>
      <w:r w:rsidR="001A74FE" w:rsidRPr="00FD5BAD">
        <w:rPr>
          <w:iCs w:val="0"/>
        </w:rPr>
        <w:t>under subrule (4), a</w:t>
      </w:r>
      <w:r w:rsidR="00B41E1B" w:rsidRPr="00FD5BAD">
        <w:rPr>
          <w:iCs w:val="0"/>
        </w:rPr>
        <w:t>ny remaining</w:t>
      </w:r>
      <w:r w:rsidR="001A74FE" w:rsidRPr="00FD5BAD">
        <w:rPr>
          <w:iCs w:val="0"/>
        </w:rPr>
        <w:t xml:space="preserve"> authorised representative</w:t>
      </w:r>
      <w:r w:rsidR="00B41E1B" w:rsidRPr="00FD5BAD">
        <w:rPr>
          <w:iCs w:val="0"/>
        </w:rPr>
        <w:t xml:space="preserve"> </w:t>
      </w:r>
      <w:r w:rsidR="001A74FE" w:rsidRPr="00FD5BAD">
        <w:rPr>
          <w:iCs w:val="0"/>
        </w:rPr>
        <w:t>may</w:t>
      </w:r>
      <w:r w:rsidR="00B41E1B" w:rsidRPr="00FD5BAD">
        <w:rPr>
          <w:iCs w:val="0"/>
        </w:rPr>
        <w:t xml:space="preserve"> </w:t>
      </w:r>
      <w:r w:rsidR="001A74FE" w:rsidRPr="00FD5BAD">
        <w:rPr>
          <w:iCs w:val="0"/>
        </w:rPr>
        <w:t xml:space="preserve">agree with </w:t>
      </w:r>
      <w:r w:rsidR="006C4375" w:rsidRPr="00FD5BAD">
        <w:rPr>
          <w:iCs w:val="0"/>
        </w:rPr>
        <w:t xml:space="preserve">a person </w:t>
      </w:r>
      <w:r w:rsidR="00B41E1B" w:rsidRPr="00FD5BAD">
        <w:rPr>
          <w:iCs w:val="0"/>
        </w:rPr>
        <w:t xml:space="preserve">that that person is to be </w:t>
      </w:r>
      <w:r w:rsidR="006C4375" w:rsidRPr="00FD5BAD">
        <w:rPr>
          <w:iCs w:val="0"/>
        </w:rPr>
        <w:t xml:space="preserve">a </w:t>
      </w:r>
      <w:r w:rsidR="001A74FE" w:rsidRPr="00FD5BAD">
        <w:rPr>
          <w:iCs w:val="0"/>
        </w:rPr>
        <w:t>nominated representative for the consumer.</w:t>
      </w:r>
    </w:p>
    <w:p w:rsidR="00501ECC" w:rsidRPr="00FD5BAD" w:rsidRDefault="00531F5D" w:rsidP="00501ECC">
      <w:pPr>
        <w:pStyle w:val="Heading1"/>
      </w:pPr>
      <w:bookmarkStart w:id="49" w:name="_Toc331682001"/>
      <w:r w:rsidRPr="00FD5BAD">
        <w:t>Suspension while investigating eligibility</w:t>
      </w:r>
      <w:bookmarkEnd w:id="49"/>
    </w:p>
    <w:p w:rsidR="00FD4646" w:rsidRPr="00FD5BAD" w:rsidRDefault="002A40BF" w:rsidP="00A80F92">
      <w:pPr>
        <w:pStyle w:val="HealthnumLevel5"/>
        <w:numPr>
          <w:ilvl w:val="5"/>
          <w:numId w:val="21"/>
        </w:numPr>
      </w:pPr>
      <w:r w:rsidRPr="00FD5BAD">
        <w:t>Until a decision is made under subrule (3), t</w:t>
      </w:r>
      <w:r w:rsidR="00531F5D" w:rsidRPr="00FD5BAD">
        <w:t xml:space="preserve">he </w:t>
      </w:r>
      <w:r w:rsidR="00FD4646" w:rsidRPr="00FD5BAD">
        <w:t>S</w:t>
      </w:r>
      <w:r w:rsidR="00531F5D" w:rsidRPr="00FD5BAD">
        <w:t xml:space="preserve">ystem </w:t>
      </w:r>
      <w:r w:rsidR="00FD4646" w:rsidRPr="00FD5BAD">
        <w:t>O</w:t>
      </w:r>
      <w:r w:rsidR="00531F5D" w:rsidRPr="00FD5BAD">
        <w:t xml:space="preserve">perator must suspend access </w:t>
      </w:r>
      <w:r w:rsidR="008479FF" w:rsidRPr="00FD5BAD">
        <w:t xml:space="preserve">to </w:t>
      </w:r>
      <w:r w:rsidR="00892055" w:rsidRPr="00FD5BAD">
        <w:t>a</w:t>
      </w:r>
      <w:r w:rsidR="008479FF" w:rsidRPr="00FD5BAD">
        <w:t xml:space="preserve"> consumer’s PCEHR </w:t>
      </w:r>
      <w:r w:rsidR="00FD4646" w:rsidRPr="00FD5BAD">
        <w:t>for</w:t>
      </w:r>
      <w:r w:rsidR="00531F5D" w:rsidRPr="00FD5BAD">
        <w:t xml:space="preserve"> all </w:t>
      </w:r>
      <w:r w:rsidR="00FD4646" w:rsidRPr="00FD5BAD">
        <w:t xml:space="preserve">a consumer’s </w:t>
      </w:r>
      <w:r w:rsidR="00552F89" w:rsidRPr="00FD5BAD">
        <w:t xml:space="preserve">authorised </w:t>
      </w:r>
      <w:r w:rsidR="00531F5D" w:rsidRPr="00FD5BAD">
        <w:t xml:space="preserve">representatives </w:t>
      </w:r>
      <w:r w:rsidR="00FD4646" w:rsidRPr="00FD5BAD">
        <w:t>and nominated representatives if the System Operator is notified of a claim that an authorised representative is no</w:t>
      </w:r>
      <w:r w:rsidR="00892055" w:rsidRPr="00FD5BAD">
        <w:t xml:space="preserve">t </w:t>
      </w:r>
      <w:r w:rsidR="00FD4646" w:rsidRPr="00FD5BAD">
        <w:t>eligible to be the consumer’s authorised representative.</w:t>
      </w:r>
    </w:p>
    <w:p w:rsidR="00531F5D" w:rsidRPr="00FD5BAD" w:rsidRDefault="00993061" w:rsidP="00A80F92">
      <w:pPr>
        <w:pStyle w:val="HealthnumLevel5"/>
        <w:numPr>
          <w:ilvl w:val="5"/>
          <w:numId w:val="21"/>
        </w:numPr>
      </w:pPr>
      <w:r w:rsidRPr="00FD5BAD">
        <w:t>The notice in subrule (1) must be given in the approved form</w:t>
      </w:r>
      <w:r w:rsidR="0037638C" w:rsidRPr="00FD5BAD">
        <w:t>.</w:t>
      </w:r>
      <w:r w:rsidRPr="00FD5BAD">
        <w:t xml:space="preserve"> </w:t>
      </w:r>
    </w:p>
    <w:p w:rsidR="00031200" w:rsidRPr="00FD5BAD" w:rsidRDefault="00031200" w:rsidP="00A80F92">
      <w:pPr>
        <w:pStyle w:val="HealthnumLevel5"/>
        <w:numPr>
          <w:ilvl w:val="5"/>
          <w:numId w:val="21"/>
        </w:numPr>
      </w:pPr>
      <w:r w:rsidRPr="00FD5BAD">
        <w:t xml:space="preserve">If notified of a claim under this </w:t>
      </w:r>
      <w:r w:rsidR="004D1FB5" w:rsidRPr="00FD5BAD">
        <w:t>r</w:t>
      </w:r>
      <w:r w:rsidR="00585751" w:rsidRPr="00FD5BAD">
        <w:t>ule</w:t>
      </w:r>
      <w:r w:rsidRPr="00FD5BAD">
        <w:t>, the System Operator must</w:t>
      </w:r>
      <w:r w:rsidR="005C0BC9" w:rsidRPr="00FD5BAD">
        <w:t xml:space="preserve"> investigate the claim and</w:t>
      </w:r>
      <w:r w:rsidRPr="00FD5BAD">
        <w:t xml:space="preserve"> decide to: </w:t>
      </w:r>
    </w:p>
    <w:p w:rsidR="00993061" w:rsidRPr="00FD5BAD" w:rsidRDefault="00031200" w:rsidP="00A80F92">
      <w:pPr>
        <w:pStyle w:val="Healthnumlevel2"/>
        <w:numPr>
          <w:ilvl w:val="2"/>
          <w:numId w:val="22"/>
        </w:numPr>
      </w:pPr>
      <w:r w:rsidRPr="00FD5BAD">
        <w:t>cancel access to the consumer’s PCEHR for a</w:t>
      </w:r>
      <w:r w:rsidR="00CD2570" w:rsidRPr="00FD5BAD">
        <w:t xml:space="preserve"> person </w:t>
      </w:r>
      <w:r w:rsidRPr="00FD5BAD">
        <w:t xml:space="preserve">if the System Operator is no longer satisfied that the </w:t>
      </w:r>
      <w:r w:rsidR="00CD2570" w:rsidRPr="00FD5BAD">
        <w:t xml:space="preserve">person </w:t>
      </w:r>
      <w:r w:rsidRPr="00FD5BAD">
        <w:t>is eligible to be the consumer’s authorised representative</w:t>
      </w:r>
      <w:r w:rsidR="00FC18A7" w:rsidRPr="00FD5BAD">
        <w:t xml:space="preserve">; </w:t>
      </w:r>
      <w:r w:rsidR="00430399" w:rsidRPr="00FD5BAD">
        <w:t xml:space="preserve">or </w:t>
      </w:r>
    </w:p>
    <w:p w:rsidR="00FC18A7" w:rsidRPr="00FD5BAD" w:rsidRDefault="00FC18A7" w:rsidP="00A80F92">
      <w:pPr>
        <w:pStyle w:val="Healthnumlevel2"/>
        <w:numPr>
          <w:ilvl w:val="2"/>
          <w:numId w:val="22"/>
        </w:numPr>
      </w:pPr>
      <w:r w:rsidRPr="00FD5BAD">
        <w:t>restore access to the consumer’s PCEHR for a</w:t>
      </w:r>
      <w:r w:rsidR="00CD2570" w:rsidRPr="00FD5BAD">
        <w:t xml:space="preserve"> person</w:t>
      </w:r>
      <w:r w:rsidRPr="00FD5BAD">
        <w:t xml:space="preserve"> if the System Operator is satisfied that the </w:t>
      </w:r>
      <w:r w:rsidR="00CD2570" w:rsidRPr="00FD5BAD">
        <w:t xml:space="preserve">person </w:t>
      </w:r>
      <w:r w:rsidRPr="00FD5BAD">
        <w:t>remains eligible to be the consumer’s authorised representative.</w:t>
      </w:r>
    </w:p>
    <w:p w:rsidR="00993061" w:rsidRPr="00FD5BAD" w:rsidRDefault="00FC18A7" w:rsidP="00A80F92">
      <w:pPr>
        <w:pStyle w:val="HealthnumLevel5"/>
        <w:numPr>
          <w:ilvl w:val="5"/>
          <w:numId w:val="21"/>
        </w:numPr>
      </w:pPr>
      <w:r w:rsidRPr="00FD5BAD">
        <w:t>If the System Operator cancels access to a consumer’s PCEHR for a</w:t>
      </w:r>
      <w:r w:rsidR="00CD2570" w:rsidRPr="00FD5BAD">
        <w:t xml:space="preserve"> person</w:t>
      </w:r>
      <w:r w:rsidRPr="00FD5BAD">
        <w:t xml:space="preserve"> under paragraph (3)(a), the System Operator must also cancel access to the consumer’s PCEHR for </w:t>
      </w:r>
      <w:r w:rsidR="00D07DFE" w:rsidRPr="00FD5BAD">
        <w:t xml:space="preserve">all </w:t>
      </w:r>
      <w:r w:rsidRPr="00FD5BAD">
        <w:t>nominated representatives</w:t>
      </w:r>
      <w:r w:rsidR="00D07DFE" w:rsidRPr="00FD5BAD">
        <w:t>.</w:t>
      </w:r>
    </w:p>
    <w:p w:rsidR="00774D89" w:rsidRPr="00FD5BAD" w:rsidRDefault="00FC18A7" w:rsidP="00FC18A7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</w:t>
      </w:r>
      <w:r w:rsidR="00A45500" w:rsidRPr="00FD5BAD">
        <w:rPr>
          <w:iCs w:val="0"/>
        </w:rPr>
        <w:t xml:space="preserve"> 1</w:t>
      </w:r>
      <w:r w:rsidRPr="00FD5BAD">
        <w:rPr>
          <w:iCs w:val="0"/>
        </w:rPr>
        <w:t>:</w:t>
      </w:r>
      <w:r w:rsidRPr="00FD5BAD">
        <w:rPr>
          <w:iCs w:val="0"/>
        </w:rPr>
        <w:tab/>
      </w:r>
      <w:r w:rsidR="00DA40EC" w:rsidRPr="00FD5BAD">
        <w:rPr>
          <w:iCs w:val="0"/>
        </w:rPr>
        <w:t>A decision about whether a person is or is not the authorised representative of</w:t>
      </w:r>
      <w:r w:rsidR="002C70F4" w:rsidRPr="00FD5BAD">
        <w:rPr>
          <w:iCs w:val="0"/>
        </w:rPr>
        <w:t xml:space="preserve"> </w:t>
      </w:r>
      <w:r w:rsidR="00DA40EC" w:rsidRPr="00FD5BAD">
        <w:rPr>
          <w:iCs w:val="0"/>
        </w:rPr>
        <w:t xml:space="preserve">a  consumer </w:t>
      </w:r>
      <w:r w:rsidR="002C70F4" w:rsidRPr="00FD5BAD">
        <w:rPr>
          <w:iCs w:val="0"/>
        </w:rPr>
        <w:t xml:space="preserve">is made by the System Operator under section 6 of the Act.  </w:t>
      </w:r>
      <w:r w:rsidRPr="00FD5BAD">
        <w:rPr>
          <w:iCs w:val="0"/>
        </w:rPr>
        <w:t xml:space="preserve">Paragraph 97(1)(a) of the Act </w:t>
      </w:r>
      <w:r w:rsidR="002C70F4" w:rsidRPr="00FD5BAD">
        <w:rPr>
          <w:iCs w:val="0"/>
        </w:rPr>
        <w:t xml:space="preserve">gives a right of review in relation to such decisions. </w:t>
      </w:r>
    </w:p>
    <w:p w:rsidR="00A45500" w:rsidRPr="00FD5BAD" w:rsidRDefault="00A45500" w:rsidP="00FC18A7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 2:</w:t>
      </w:r>
      <w:r w:rsidRPr="00FD5BAD">
        <w:rPr>
          <w:iCs w:val="0"/>
        </w:rPr>
        <w:tab/>
      </w:r>
      <w:r w:rsidR="00395341" w:rsidRPr="00FD5BAD">
        <w:rPr>
          <w:iCs w:val="0"/>
        </w:rPr>
        <w:t xml:space="preserve">Where access to a consumer’s PCEHR is cancelled for a nominated representative under subrule (4), any remaining authorised representative may agree with a person that that person is to be a nominated representative for the consumer.  </w:t>
      </w:r>
    </w:p>
    <w:p w:rsidR="00A41515" w:rsidRPr="00FD5BAD" w:rsidRDefault="000A3AE6" w:rsidP="00E76995">
      <w:pPr>
        <w:pStyle w:val="Heading1"/>
      </w:pPr>
      <w:bookmarkStart w:id="50" w:name="_Toc331682002"/>
      <w:r w:rsidRPr="00FD5BAD">
        <w:t>Temporary s</w:t>
      </w:r>
      <w:r w:rsidR="00E76995" w:rsidRPr="00FD5BAD">
        <w:t xml:space="preserve">uspension </w:t>
      </w:r>
      <w:r w:rsidRPr="00FD5BAD">
        <w:t xml:space="preserve">in the case of a </w:t>
      </w:r>
      <w:r w:rsidR="00E76995" w:rsidRPr="00FD5BAD">
        <w:t xml:space="preserve">serious </w:t>
      </w:r>
      <w:r w:rsidR="00933A09" w:rsidRPr="00FD5BAD">
        <w:t>risk</w:t>
      </w:r>
      <w:bookmarkEnd w:id="50"/>
    </w:p>
    <w:p w:rsidR="00E76995" w:rsidRPr="00FD5BAD" w:rsidRDefault="00892055" w:rsidP="00A80F92">
      <w:pPr>
        <w:pStyle w:val="HealthnumLevel5"/>
        <w:numPr>
          <w:ilvl w:val="5"/>
          <w:numId w:val="23"/>
        </w:numPr>
      </w:pPr>
      <w:r w:rsidRPr="00FD5BAD">
        <w:t xml:space="preserve">The System Operator </w:t>
      </w:r>
      <w:r w:rsidR="00C60E72" w:rsidRPr="00FD5BAD">
        <w:t xml:space="preserve">must suspend access to a consumer’s PCEHR for all the consumer’s authorised representatives and nominated representatives if: </w:t>
      </w:r>
    </w:p>
    <w:p w:rsidR="00C60E72" w:rsidRPr="00FD5BAD" w:rsidRDefault="00C60E72" w:rsidP="00A80F92">
      <w:pPr>
        <w:pStyle w:val="Healthnumlevel2"/>
        <w:numPr>
          <w:ilvl w:val="2"/>
          <w:numId w:val="24"/>
        </w:numPr>
      </w:pPr>
      <w:r w:rsidRPr="00FD5BAD">
        <w:t xml:space="preserve">an authorised representative of the consumer </w:t>
      </w:r>
      <w:r w:rsidR="00DC1EA4" w:rsidRPr="00FD5BAD">
        <w:t>notifies</w:t>
      </w:r>
      <w:r w:rsidRPr="00FD5BAD">
        <w:t xml:space="preserve"> the System Operator that continuing access to the consumer’s PCEHR by an </w:t>
      </w:r>
      <w:r w:rsidRPr="00FD5BAD">
        <w:lastRenderedPageBreak/>
        <w:t xml:space="preserve">authorised representative or nominated representative </w:t>
      </w:r>
      <w:r w:rsidR="00C73959" w:rsidRPr="00FD5BAD">
        <w:t>poses, or is likely to</w:t>
      </w:r>
      <w:r w:rsidRPr="00FD5BAD">
        <w:t xml:space="preserve"> pose</w:t>
      </w:r>
      <w:r w:rsidR="00C73959" w:rsidRPr="00FD5BAD">
        <w:t>,</w:t>
      </w:r>
      <w:r w:rsidRPr="00FD5BAD">
        <w:t xml:space="preserve"> a serious risk to an individual’s life, health or safety; and</w:t>
      </w:r>
    </w:p>
    <w:p w:rsidR="00C73959" w:rsidRPr="00FD5BAD" w:rsidRDefault="004D7A57" w:rsidP="00A80F92">
      <w:pPr>
        <w:pStyle w:val="Healthnumlevel2"/>
        <w:numPr>
          <w:ilvl w:val="2"/>
          <w:numId w:val="24"/>
        </w:numPr>
      </w:pPr>
      <w:r w:rsidRPr="00FD5BAD">
        <w:t>the System Operator is satisfied that</w:t>
      </w:r>
      <w:r w:rsidR="00C73959" w:rsidRPr="00FD5BAD">
        <w:t xml:space="preserve"> suspending access</w:t>
      </w:r>
      <w:r w:rsidR="00DC1EA4" w:rsidRPr="00FD5BAD">
        <w:t xml:space="preserve"> would be likely to reduce the risk to the individual’s life, health or safety.</w:t>
      </w:r>
    </w:p>
    <w:p w:rsidR="00126969" w:rsidRPr="00FD5BAD" w:rsidRDefault="00284C86" w:rsidP="00DC1EA4">
      <w:pPr>
        <w:pStyle w:val="HealthnumLevel5"/>
      </w:pPr>
      <w:r w:rsidRPr="00FD5BAD">
        <w:t>T</w:t>
      </w:r>
      <w:r w:rsidR="00580977" w:rsidRPr="00FD5BAD">
        <w:t xml:space="preserve">he suspension of access </w:t>
      </w:r>
      <w:r w:rsidR="00126969" w:rsidRPr="00FD5BAD">
        <w:t xml:space="preserve">under subrule (1) </w:t>
      </w:r>
      <w:r w:rsidR="00580977" w:rsidRPr="00FD5BAD">
        <w:t xml:space="preserve">is to </w:t>
      </w:r>
      <w:r w:rsidRPr="00FD5BAD">
        <w:t xml:space="preserve">continue </w:t>
      </w:r>
      <w:r w:rsidR="00126969" w:rsidRPr="00FD5BAD">
        <w:t>until the earlier of</w:t>
      </w:r>
      <w:r w:rsidR="002762FD" w:rsidRPr="00FD5BAD">
        <w:t xml:space="preserve"> the following</w:t>
      </w:r>
      <w:r w:rsidR="00126969" w:rsidRPr="00FD5BAD">
        <w:t>:</w:t>
      </w:r>
    </w:p>
    <w:p w:rsidR="00284C86" w:rsidRPr="00FD5BAD" w:rsidRDefault="00284C86" w:rsidP="00A80F92">
      <w:pPr>
        <w:pStyle w:val="Healthnumlevel2"/>
        <w:numPr>
          <w:ilvl w:val="2"/>
          <w:numId w:val="41"/>
        </w:numPr>
      </w:pPr>
      <w:r w:rsidRPr="00FD5BAD">
        <w:t>30 days from the date on which access was suspended under subrule</w:t>
      </w:r>
      <w:r w:rsidR="00FF7A2F" w:rsidRPr="00FD5BAD">
        <w:t> (</w:t>
      </w:r>
      <w:r w:rsidRPr="00FD5BAD">
        <w:t>1)</w:t>
      </w:r>
      <w:r w:rsidR="00FF7A2F" w:rsidRPr="00FD5BAD">
        <w:t xml:space="preserve">; </w:t>
      </w:r>
    </w:p>
    <w:p w:rsidR="00DC1EA4" w:rsidRPr="00FD5BAD" w:rsidRDefault="00D02731" w:rsidP="00A80F92">
      <w:pPr>
        <w:pStyle w:val="Healthnumlevel2"/>
        <w:numPr>
          <w:ilvl w:val="2"/>
          <w:numId w:val="41"/>
        </w:numPr>
      </w:pPr>
      <w:r w:rsidRPr="00FD5BAD">
        <w:t>the day on which the System Operator is notified in writing by the authorised representative who lodged the notification in paragraph</w:t>
      </w:r>
      <w:r w:rsidR="00551FF9" w:rsidRPr="00FD5BAD">
        <w:t> </w:t>
      </w:r>
      <w:r w:rsidRPr="00FD5BAD">
        <w:t>(1)(a) that there is no longer a risk to the individual’s life, health or safety.</w:t>
      </w:r>
      <w:r w:rsidR="008A2B83" w:rsidRPr="00FD5BAD">
        <w:t xml:space="preserve"> </w:t>
      </w:r>
    </w:p>
    <w:p w:rsidR="008A2B83" w:rsidRPr="00FD5BAD" w:rsidRDefault="00F62952" w:rsidP="00F62952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 1:</w:t>
      </w:r>
      <w:r w:rsidRPr="00FD5BAD">
        <w:rPr>
          <w:iCs w:val="0"/>
        </w:rPr>
        <w:tab/>
        <w:t>A decision to suspend access under rule 1</w:t>
      </w:r>
      <w:r w:rsidR="002C600F" w:rsidRPr="00FD5BAD">
        <w:rPr>
          <w:iCs w:val="0"/>
        </w:rPr>
        <w:t>4</w:t>
      </w:r>
      <w:r w:rsidRPr="00FD5BAD">
        <w:rPr>
          <w:iCs w:val="0"/>
        </w:rPr>
        <w:t xml:space="preserve"> would not prevent a decision being made to suspend access under rule 1</w:t>
      </w:r>
      <w:r w:rsidR="002C600F" w:rsidRPr="00FD5BAD">
        <w:rPr>
          <w:iCs w:val="0"/>
        </w:rPr>
        <w:t>3</w:t>
      </w:r>
      <w:r w:rsidRPr="00FD5BAD">
        <w:rPr>
          <w:iCs w:val="0"/>
        </w:rPr>
        <w:t xml:space="preserve"> if a claim about an authorised representative’s eligibility is notified to the System </w:t>
      </w:r>
      <w:r w:rsidR="00366ABC" w:rsidRPr="00FD5BAD">
        <w:rPr>
          <w:iCs w:val="0"/>
        </w:rPr>
        <w:t>O</w:t>
      </w:r>
      <w:r w:rsidRPr="00FD5BAD">
        <w:rPr>
          <w:iCs w:val="0"/>
        </w:rPr>
        <w:t>perator under subrule</w:t>
      </w:r>
      <w:r w:rsidR="002C600F" w:rsidRPr="00FD5BAD">
        <w:rPr>
          <w:iCs w:val="0"/>
        </w:rPr>
        <w:t> </w:t>
      </w:r>
      <w:r w:rsidRPr="00FD5BAD">
        <w:rPr>
          <w:iCs w:val="0"/>
        </w:rPr>
        <w:t>1</w:t>
      </w:r>
      <w:r w:rsidR="002C600F" w:rsidRPr="00FD5BAD">
        <w:rPr>
          <w:iCs w:val="0"/>
        </w:rPr>
        <w:t>3</w:t>
      </w:r>
      <w:r w:rsidRPr="00FD5BAD">
        <w:rPr>
          <w:iCs w:val="0"/>
        </w:rPr>
        <w:t xml:space="preserve">(1) within the 30 day period.  In such circumstances, access </w:t>
      </w:r>
      <w:r w:rsidR="0099793D" w:rsidRPr="00FD5BAD">
        <w:rPr>
          <w:iCs w:val="0"/>
        </w:rPr>
        <w:t>could, if necessary,</w:t>
      </w:r>
      <w:r w:rsidRPr="00FD5BAD">
        <w:rPr>
          <w:iCs w:val="0"/>
        </w:rPr>
        <w:t xml:space="preserve"> continue to be suspended after the </w:t>
      </w:r>
      <w:r w:rsidR="0099793D" w:rsidRPr="00FD5BAD">
        <w:rPr>
          <w:iCs w:val="0"/>
        </w:rPr>
        <w:t>30 day period specified in subrule</w:t>
      </w:r>
      <w:r w:rsidR="006B45B5" w:rsidRPr="00FD5BAD">
        <w:rPr>
          <w:iCs w:val="0"/>
        </w:rPr>
        <w:t> </w:t>
      </w:r>
      <w:r w:rsidR="0099793D" w:rsidRPr="00FD5BAD">
        <w:rPr>
          <w:iCs w:val="0"/>
        </w:rPr>
        <w:t>1</w:t>
      </w:r>
      <w:r w:rsidR="00E82A3B" w:rsidRPr="00FD5BAD">
        <w:rPr>
          <w:iCs w:val="0"/>
        </w:rPr>
        <w:t>4</w:t>
      </w:r>
      <w:r w:rsidR="0099793D" w:rsidRPr="00FD5BAD">
        <w:rPr>
          <w:iCs w:val="0"/>
        </w:rPr>
        <w:t xml:space="preserve">(2) </w:t>
      </w:r>
      <w:r w:rsidRPr="00FD5BAD">
        <w:rPr>
          <w:iCs w:val="0"/>
        </w:rPr>
        <w:t>ends.</w:t>
      </w:r>
    </w:p>
    <w:p w:rsidR="0099793D" w:rsidRPr="00FD5BAD" w:rsidRDefault="0099793D" w:rsidP="00F62952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 2:</w:t>
      </w:r>
      <w:r w:rsidRPr="00FD5BAD">
        <w:rPr>
          <w:iCs w:val="0"/>
        </w:rPr>
        <w:tab/>
        <w:t>A decision to suspend access under rule 1</w:t>
      </w:r>
      <w:r w:rsidR="002C600F" w:rsidRPr="00FD5BAD">
        <w:rPr>
          <w:iCs w:val="0"/>
        </w:rPr>
        <w:t>4</w:t>
      </w:r>
      <w:r w:rsidRPr="00FD5BAD">
        <w:rPr>
          <w:iCs w:val="0"/>
        </w:rPr>
        <w:t xml:space="preserve"> would not prevent a decision being made under subsection 51(1) of the Act to cancel or suspend a consumer’s registration on request.  </w:t>
      </w:r>
      <w:r w:rsidR="00014F9F" w:rsidRPr="00FD5BAD">
        <w:rPr>
          <w:iCs w:val="0"/>
        </w:rPr>
        <w:t xml:space="preserve"> </w:t>
      </w:r>
    </w:p>
    <w:p w:rsidR="00F2242F" w:rsidRPr="00FD5BAD" w:rsidRDefault="00F2242F" w:rsidP="00F2242F">
      <w:pPr>
        <w:pStyle w:val="Heading1"/>
      </w:pPr>
      <w:bookmarkStart w:id="51" w:name="_Toc331682003"/>
      <w:r w:rsidRPr="00FD5BAD">
        <w:t>Effect of suspension or cancellation</w:t>
      </w:r>
      <w:bookmarkEnd w:id="51"/>
    </w:p>
    <w:p w:rsidR="00B37FE8" w:rsidRPr="00FD5BAD" w:rsidRDefault="00F2242F" w:rsidP="00B37FE8">
      <w:pPr>
        <w:pStyle w:val="HealthLevel1"/>
      </w:pPr>
      <w:r w:rsidRPr="00FD5BAD">
        <w:t>Nothing in this Division</w:t>
      </w:r>
      <w:r w:rsidR="00B37FE8" w:rsidRPr="00FD5BAD">
        <w:t xml:space="preserve"> affects:</w:t>
      </w:r>
    </w:p>
    <w:p w:rsidR="00C73959" w:rsidRPr="00FD5BAD" w:rsidRDefault="00B37FE8" w:rsidP="00A80F92">
      <w:pPr>
        <w:pStyle w:val="Healthnumlevel2"/>
        <w:numPr>
          <w:ilvl w:val="2"/>
          <w:numId w:val="39"/>
        </w:numPr>
      </w:pPr>
      <w:r w:rsidRPr="00FD5BAD">
        <w:t>a consumer’s registration under the Act; or</w:t>
      </w:r>
    </w:p>
    <w:p w:rsidR="00B37FE8" w:rsidRPr="00FD5BAD" w:rsidRDefault="00B37FE8" w:rsidP="00A80F92">
      <w:pPr>
        <w:pStyle w:val="Healthnumlevel2"/>
        <w:numPr>
          <w:ilvl w:val="2"/>
          <w:numId w:val="39"/>
        </w:numPr>
      </w:pPr>
      <w:r w:rsidRPr="00FD5BAD">
        <w:t xml:space="preserve">the access control mechanisms that were in place for the consumer’s PCEHR immediately before </w:t>
      </w:r>
      <w:r w:rsidR="004A16CD" w:rsidRPr="00FD5BAD">
        <w:t xml:space="preserve">any </w:t>
      </w:r>
      <w:r w:rsidRPr="00FD5BAD">
        <w:t>suspension or cancellation</w:t>
      </w:r>
      <w:r w:rsidR="004A16CD" w:rsidRPr="00FD5BAD">
        <w:t xml:space="preserve"> of access to the consumer’s PCEHR</w:t>
      </w:r>
      <w:r w:rsidRPr="00FD5BAD">
        <w:t xml:space="preserve"> occur</w:t>
      </w:r>
      <w:r w:rsidR="000D48C7" w:rsidRPr="00FD5BAD">
        <w:t>r</w:t>
      </w:r>
      <w:r w:rsidRPr="00FD5BAD">
        <w:t>ed.</w:t>
      </w:r>
    </w:p>
    <w:p w:rsidR="00A41515" w:rsidRPr="00FD5BAD" w:rsidRDefault="00A41515" w:rsidP="00227A00">
      <w:pPr>
        <w:adjustRightInd w:val="0"/>
        <w:rPr>
          <w:i/>
        </w:rPr>
      </w:pPr>
    </w:p>
    <w:p w:rsidR="009C1E86" w:rsidRPr="00FD5BAD" w:rsidRDefault="00D14681" w:rsidP="00D14681">
      <w:pPr>
        <w:pStyle w:val="Heading1NoNum"/>
        <w:ind w:left="1680" w:hanging="1680"/>
      </w:pPr>
      <w:bookmarkStart w:id="52" w:name="_Toc331682004"/>
      <w:r w:rsidRPr="00FD5BAD">
        <w:lastRenderedPageBreak/>
        <w:t>Part 3</w:t>
      </w:r>
      <w:r w:rsidRPr="00FD5BAD">
        <w:tab/>
        <w:t>Identity verification</w:t>
      </w:r>
      <w:bookmarkEnd w:id="52"/>
    </w:p>
    <w:p w:rsidR="009C1E86" w:rsidRPr="00FD5BAD" w:rsidRDefault="00BA10EA" w:rsidP="00D14681">
      <w:pPr>
        <w:pStyle w:val="Heading1"/>
      </w:pPr>
      <w:bookmarkStart w:id="53" w:name="_Toc331682005"/>
      <w:r w:rsidRPr="00FD5BAD">
        <w:t>Requirement for verified healthcare identifier</w:t>
      </w:r>
      <w:bookmarkEnd w:id="53"/>
      <w:r w:rsidR="005163B1" w:rsidRPr="00FD5BAD">
        <w:t xml:space="preserve"> </w:t>
      </w:r>
    </w:p>
    <w:p w:rsidR="009C1E86" w:rsidRPr="00FD5BAD" w:rsidRDefault="005163B1" w:rsidP="00A80F92">
      <w:pPr>
        <w:pStyle w:val="HealthnumLevel5"/>
        <w:numPr>
          <w:ilvl w:val="5"/>
          <w:numId w:val="26"/>
        </w:numPr>
      </w:pPr>
      <w:r w:rsidRPr="00FD5BAD">
        <w:t>For the purposes of paragraph 41(1)(c)</w:t>
      </w:r>
      <w:r w:rsidR="00A22F35" w:rsidRPr="00FD5BAD">
        <w:t xml:space="preserve"> of the Act</w:t>
      </w:r>
      <w:r w:rsidRPr="00FD5BAD">
        <w:t>, the System Operator must be satisfied that the consumer has a verified healthcare identifier.</w:t>
      </w:r>
    </w:p>
    <w:p w:rsidR="00194F6E" w:rsidRPr="00FD5BAD" w:rsidRDefault="00194F6E" w:rsidP="00A80F92">
      <w:pPr>
        <w:pStyle w:val="HealthnumLevel5"/>
        <w:numPr>
          <w:ilvl w:val="5"/>
          <w:numId w:val="26"/>
        </w:numPr>
      </w:pPr>
      <w:r w:rsidRPr="00FD5BAD">
        <w:t xml:space="preserve">Subrule (1) does not limit the matters to which the System Operator may have regard when satisfying itself that the identity of a consumer has been appropriately verified. </w:t>
      </w:r>
    </w:p>
    <w:p w:rsidR="00FE59CB" w:rsidRPr="00FD5BAD" w:rsidRDefault="00846232" w:rsidP="00FE59CB">
      <w:pPr>
        <w:pStyle w:val="Heading1"/>
      </w:pPr>
      <w:bookmarkStart w:id="54" w:name="_Toc331682006"/>
      <w:r w:rsidRPr="00FD5BAD">
        <w:t>Identity verification on ceasing to have an authorised representative</w:t>
      </w:r>
      <w:bookmarkEnd w:id="54"/>
      <w:r w:rsidR="00FE59CB" w:rsidRPr="00FD5BAD">
        <w:t xml:space="preserve"> </w:t>
      </w:r>
    </w:p>
    <w:p w:rsidR="00FE59CB" w:rsidRPr="00FD5BAD" w:rsidRDefault="00FE59CB" w:rsidP="00A80F92">
      <w:pPr>
        <w:pStyle w:val="HealthnumLevel5"/>
        <w:numPr>
          <w:ilvl w:val="5"/>
          <w:numId w:val="27"/>
        </w:numPr>
      </w:pPr>
      <w:r w:rsidRPr="00FD5BAD">
        <w:t xml:space="preserve">For the purposes of paragraph </w:t>
      </w:r>
      <w:r w:rsidR="00A22F35" w:rsidRPr="00FD5BAD">
        <w:t>109</w:t>
      </w:r>
      <w:r w:rsidRPr="00FD5BAD">
        <w:t>(</w:t>
      </w:r>
      <w:r w:rsidR="00A22F35" w:rsidRPr="00FD5BAD">
        <w:t>7</w:t>
      </w:r>
      <w:r w:rsidRPr="00FD5BAD">
        <w:t>)(</w:t>
      </w:r>
      <w:r w:rsidR="00A22F35" w:rsidRPr="00FD5BAD">
        <w:t>b</w:t>
      </w:r>
      <w:r w:rsidRPr="00FD5BAD">
        <w:t>)</w:t>
      </w:r>
      <w:r w:rsidR="00A22F35" w:rsidRPr="00FD5BAD">
        <w:t xml:space="preserve"> of the Act</w:t>
      </w:r>
      <w:r w:rsidRPr="00FD5BAD">
        <w:t xml:space="preserve">, </w:t>
      </w:r>
      <w:r w:rsidR="00846232" w:rsidRPr="00FD5BAD">
        <w:t xml:space="preserve">if a consumer ceases to have an authorised representative </w:t>
      </w:r>
      <w:r w:rsidRPr="00FD5BAD">
        <w:t>the System Operator must</w:t>
      </w:r>
      <w:r w:rsidR="00B74772" w:rsidRPr="00FD5BAD">
        <w:t xml:space="preserve"> </w:t>
      </w:r>
      <w:r w:rsidR="004B6041" w:rsidRPr="00FD5BAD">
        <w:t>require the consumer to verify his or her identity before the consumer is able to take control of their PCEHR.</w:t>
      </w:r>
    </w:p>
    <w:p w:rsidR="00AA6F0C" w:rsidRPr="00FD5BAD" w:rsidRDefault="00AA6F0C" w:rsidP="00A80F92">
      <w:pPr>
        <w:pStyle w:val="HealthnumLevel5"/>
        <w:numPr>
          <w:ilvl w:val="5"/>
          <w:numId w:val="27"/>
        </w:numPr>
      </w:pPr>
      <w:r w:rsidRPr="00FD5BAD">
        <w:t>Subrule (1) does not apply if the consumer has previously verified his or her identity with the System Operator.</w:t>
      </w:r>
    </w:p>
    <w:p w:rsidR="00712F7C" w:rsidRPr="00FD5BAD" w:rsidRDefault="00712F7C" w:rsidP="00A80F92">
      <w:pPr>
        <w:pStyle w:val="HealthnumLevel5"/>
        <w:numPr>
          <w:ilvl w:val="5"/>
          <w:numId w:val="27"/>
        </w:numPr>
      </w:pPr>
      <w:r w:rsidRPr="00FD5BAD">
        <w:t>In deciding whether a consumer has verified his or her identity under subrule (1), the System Operator may hav</w:t>
      </w:r>
      <w:r w:rsidR="00764B4F" w:rsidRPr="00FD5BAD">
        <w:t>e regard to any relevant matter</w:t>
      </w:r>
      <w:r w:rsidR="004C06C4" w:rsidRPr="00FD5BAD">
        <w:t>.</w:t>
      </w:r>
    </w:p>
    <w:p w:rsidR="00A22F35" w:rsidRPr="00FD5BAD" w:rsidRDefault="00A22F35" w:rsidP="00A22F35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Note:</w:t>
      </w:r>
      <w:r w:rsidRPr="00FD5BAD">
        <w:rPr>
          <w:iCs w:val="0"/>
        </w:rPr>
        <w:tab/>
      </w:r>
      <w:r w:rsidR="00764B4F" w:rsidRPr="00FD5BAD">
        <w:rPr>
          <w:iCs w:val="0"/>
        </w:rPr>
        <w:t>Subrule 1</w:t>
      </w:r>
      <w:r w:rsidR="00145E10" w:rsidRPr="00FD5BAD">
        <w:rPr>
          <w:iCs w:val="0"/>
        </w:rPr>
        <w:t>0</w:t>
      </w:r>
      <w:r w:rsidR="00764B4F" w:rsidRPr="00FD5BAD">
        <w:rPr>
          <w:iCs w:val="0"/>
        </w:rPr>
        <w:t xml:space="preserve">(2) specifies </w:t>
      </w:r>
      <w:r w:rsidR="002462B4" w:rsidRPr="00FD5BAD">
        <w:rPr>
          <w:iCs w:val="0"/>
        </w:rPr>
        <w:t xml:space="preserve">when </w:t>
      </w:r>
      <w:r w:rsidR="00764B4F" w:rsidRPr="00FD5BAD">
        <w:rPr>
          <w:iCs w:val="0"/>
        </w:rPr>
        <w:t>a consumer take</w:t>
      </w:r>
      <w:r w:rsidR="002462B4" w:rsidRPr="00FD5BAD">
        <w:rPr>
          <w:iCs w:val="0"/>
        </w:rPr>
        <w:t>s</w:t>
      </w:r>
      <w:r w:rsidR="00764B4F" w:rsidRPr="00FD5BAD">
        <w:rPr>
          <w:iCs w:val="0"/>
        </w:rPr>
        <w:t xml:space="preserve"> control of his or her PCEHR.</w:t>
      </w:r>
      <w:r w:rsidRPr="00FD5BAD">
        <w:rPr>
          <w:iCs w:val="0"/>
        </w:rPr>
        <w:t xml:space="preserve"> </w:t>
      </w:r>
    </w:p>
    <w:p w:rsidR="00764B4F" w:rsidRPr="00FD5BAD" w:rsidRDefault="00764B4F" w:rsidP="00764B4F">
      <w:pPr>
        <w:pStyle w:val="Heading1NoNum"/>
        <w:ind w:left="1680" w:hanging="1680"/>
      </w:pPr>
      <w:bookmarkStart w:id="55" w:name="_Toc331682007"/>
      <w:r w:rsidRPr="00FD5BAD">
        <w:lastRenderedPageBreak/>
        <w:t>Part 4</w:t>
      </w:r>
      <w:r w:rsidRPr="00FD5BAD">
        <w:tab/>
      </w:r>
      <w:r w:rsidR="000A573F" w:rsidRPr="00FD5BAD">
        <w:t xml:space="preserve">Dealing with </w:t>
      </w:r>
      <w:r w:rsidRPr="00FD5BAD">
        <w:t>certain types of records</w:t>
      </w:r>
      <w:bookmarkEnd w:id="55"/>
    </w:p>
    <w:p w:rsidR="00764B4F" w:rsidRPr="00FD5BAD" w:rsidRDefault="000A573F" w:rsidP="00764B4F">
      <w:pPr>
        <w:pStyle w:val="Heading1"/>
      </w:pPr>
      <w:bookmarkStart w:id="56" w:name="_Toc331682008"/>
      <w:r w:rsidRPr="00FD5BAD">
        <w:t>Restriction on u</w:t>
      </w:r>
      <w:r w:rsidR="00F25CB9" w:rsidRPr="00FD5BAD">
        <w:t>ploading records other than shared health summaries</w:t>
      </w:r>
      <w:bookmarkEnd w:id="56"/>
      <w:r w:rsidR="00764B4F" w:rsidRPr="00FD5BAD">
        <w:t xml:space="preserve"> </w:t>
      </w:r>
    </w:p>
    <w:p w:rsidR="00764B4F" w:rsidRPr="00FD5BAD" w:rsidRDefault="00187FD4" w:rsidP="00187FD4">
      <w:pPr>
        <w:pStyle w:val="HealthLevel1"/>
      </w:pPr>
      <w:r w:rsidRPr="00FD5BAD">
        <w:t>For the purposes of paragraph 45(b)(</w:t>
      </w:r>
      <w:r w:rsidR="005562FA" w:rsidRPr="00FD5BAD">
        <w:t>ii</w:t>
      </w:r>
      <w:r w:rsidRPr="00FD5BAD">
        <w:t>) of the Act, all records other than shared health summaries are specified.</w:t>
      </w:r>
    </w:p>
    <w:p w:rsidR="00187FD4" w:rsidRPr="00FD5BAD" w:rsidRDefault="00187FD4" w:rsidP="00187FD4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Note:</w:t>
      </w:r>
      <w:r w:rsidRPr="00FD5BAD">
        <w:rPr>
          <w:iCs w:val="0"/>
        </w:rPr>
        <w:tab/>
      </w:r>
      <w:r w:rsidR="005562FA" w:rsidRPr="00FD5BAD">
        <w:rPr>
          <w:iCs w:val="0"/>
        </w:rPr>
        <w:t>T</w:t>
      </w:r>
      <w:r w:rsidRPr="00FD5BAD">
        <w:rPr>
          <w:iCs w:val="0"/>
        </w:rPr>
        <w:t xml:space="preserve">he Act and the </w:t>
      </w:r>
      <w:r w:rsidR="005562FA" w:rsidRPr="00FD5BAD">
        <w:rPr>
          <w:i/>
          <w:iCs w:val="0"/>
        </w:rPr>
        <w:t>Personally Controlled Electronic Health Records Regulation</w:t>
      </w:r>
      <w:r w:rsidR="00537680" w:rsidRPr="00FD5BAD">
        <w:rPr>
          <w:i/>
          <w:iCs w:val="0"/>
        </w:rPr>
        <w:t> </w:t>
      </w:r>
      <w:r w:rsidR="005562FA" w:rsidRPr="00FD5BAD">
        <w:rPr>
          <w:i/>
          <w:iCs w:val="0"/>
        </w:rPr>
        <w:t>2012</w:t>
      </w:r>
      <w:r w:rsidR="005562FA" w:rsidRPr="00FD5BAD">
        <w:rPr>
          <w:iCs w:val="0"/>
        </w:rPr>
        <w:t xml:space="preserve"> </w:t>
      </w:r>
      <w:r w:rsidRPr="00FD5BAD">
        <w:rPr>
          <w:iCs w:val="0"/>
        </w:rPr>
        <w:t>place</w:t>
      </w:r>
      <w:r w:rsidR="005562FA" w:rsidRPr="00FD5BAD">
        <w:rPr>
          <w:iCs w:val="0"/>
        </w:rPr>
        <w:t xml:space="preserve"> restrictions on the uploading of records to the PCEHR</w:t>
      </w:r>
      <w:r w:rsidR="00537680" w:rsidRPr="00FD5BAD">
        <w:rPr>
          <w:iCs w:val="0"/>
        </w:rPr>
        <w:t> </w:t>
      </w:r>
      <w:r w:rsidR="005562FA" w:rsidRPr="00FD5BAD">
        <w:rPr>
          <w:iCs w:val="0"/>
        </w:rPr>
        <w:t>system.</w:t>
      </w:r>
      <w:r w:rsidR="004A16CD" w:rsidRPr="00FD5BAD">
        <w:rPr>
          <w:iCs w:val="0"/>
        </w:rPr>
        <w:t xml:space="preserve"> </w:t>
      </w:r>
    </w:p>
    <w:p w:rsidR="000A573F" w:rsidRPr="00FD5BAD" w:rsidRDefault="00B5072E" w:rsidP="000A573F">
      <w:pPr>
        <w:pStyle w:val="Heading1"/>
      </w:pPr>
      <w:bookmarkStart w:id="57" w:name="_Toc331682009"/>
      <w:r w:rsidRPr="00FD5BAD">
        <w:t>Effective r</w:t>
      </w:r>
      <w:r w:rsidR="000A573F" w:rsidRPr="00FD5BAD">
        <w:t>emoval of records</w:t>
      </w:r>
      <w:bookmarkEnd w:id="57"/>
      <w:r w:rsidR="00825EB2" w:rsidRPr="00FD5BAD">
        <w:t xml:space="preserve"> </w:t>
      </w:r>
    </w:p>
    <w:p w:rsidR="00AD75DC" w:rsidRPr="00FD5BAD" w:rsidRDefault="00AD75DC" w:rsidP="00A80F92">
      <w:pPr>
        <w:pStyle w:val="HealthnumLevel5"/>
        <w:numPr>
          <w:ilvl w:val="5"/>
          <w:numId w:val="35"/>
        </w:numPr>
      </w:pPr>
      <w:r w:rsidRPr="00FD5BAD">
        <w:t>The System Operator may effectively remove, or may direct a participant in the PCEHR system to effectively remove, a record in the PCEHR system to the extent that the System Operator reasonably considers that the record:</w:t>
      </w:r>
    </w:p>
    <w:p w:rsidR="00AD75DC" w:rsidRPr="00FD5BAD" w:rsidRDefault="00AD75DC" w:rsidP="00A80F92">
      <w:pPr>
        <w:pStyle w:val="Healthnumlevel2"/>
        <w:numPr>
          <w:ilvl w:val="2"/>
          <w:numId w:val="36"/>
        </w:numPr>
      </w:pPr>
      <w:r w:rsidRPr="00FD5BAD">
        <w:t>contains a defamatory statement; or</w:t>
      </w:r>
    </w:p>
    <w:p w:rsidR="00AD75DC" w:rsidRPr="00FD5BAD" w:rsidRDefault="009D7953" w:rsidP="00A80F92">
      <w:pPr>
        <w:pStyle w:val="Healthnumlevel2"/>
        <w:numPr>
          <w:ilvl w:val="2"/>
          <w:numId w:val="36"/>
        </w:numPr>
      </w:pPr>
      <w:r w:rsidRPr="00FD5BAD">
        <w:t>affects</w:t>
      </w:r>
      <w:r w:rsidR="00825EB2" w:rsidRPr="00FD5BAD">
        <w:t>, or is likely to affect</w:t>
      </w:r>
      <w:r w:rsidRPr="00FD5BAD">
        <w:t>,</w:t>
      </w:r>
      <w:r w:rsidR="00825EB2" w:rsidRPr="00FD5BAD">
        <w:t xml:space="preserve"> the security or integrity of the PCEHR system.</w:t>
      </w:r>
      <w:r w:rsidR="00AD75DC" w:rsidRPr="00FD5BAD">
        <w:t xml:space="preserve"> </w:t>
      </w:r>
    </w:p>
    <w:p w:rsidR="00B5072E" w:rsidRPr="00FD5BAD" w:rsidRDefault="00AD75DC" w:rsidP="00A80F92">
      <w:pPr>
        <w:pStyle w:val="HealthnumLevel5"/>
        <w:numPr>
          <w:ilvl w:val="5"/>
          <w:numId w:val="35"/>
        </w:numPr>
      </w:pPr>
      <w:r w:rsidRPr="00FD5BAD">
        <w:t>A participant in the PCEHR system who is given a direction under subrule (1) must comply with the direction.</w:t>
      </w:r>
    </w:p>
    <w:p w:rsidR="00B5072E" w:rsidRPr="00FD5BAD" w:rsidRDefault="00B5072E" w:rsidP="00A80F92">
      <w:pPr>
        <w:pStyle w:val="HealthnumLevel5"/>
        <w:numPr>
          <w:ilvl w:val="5"/>
          <w:numId w:val="35"/>
        </w:numPr>
      </w:pPr>
      <w:r w:rsidRPr="00FD5BAD">
        <w:t xml:space="preserve">Where </w:t>
      </w:r>
      <w:r w:rsidR="00C65EED" w:rsidRPr="00FD5BAD">
        <w:t xml:space="preserve">the System Operator effectively removes, or directs a participant in the PCEHR system to effectively remove, </w:t>
      </w:r>
      <w:r w:rsidRPr="00FD5BAD">
        <w:t>a record under subrule</w:t>
      </w:r>
      <w:r w:rsidR="00AD75DC" w:rsidRPr="00FD5BAD">
        <w:t xml:space="preserve"> </w:t>
      </w:r>
      <w:r w:rsidRPr="00FD5BAD">
        <w:t xml:space="preserve">(1): </w:t>
      </w:r>
    </w:p>
    <w:p w:rsidR="00B030E9" w:rsidRPr="00FD5BAD" w:rsidRDefault="00B5072E" w:rsidP="00A80F92">
      <w:pPr>
        <w:pStyle w:val="Healthnumlevel2"/>
        <w:numPr>
          <w:ilvl w:val="2"/>
          <w:numId w:val="38"/>
        </w:numPr>
      </w:pPr>
      <w:r w:rsidRPr="00FD5BAD">
        <w:t>the System Operator must notif</w:t>
      </w:r>
      <w:r w:rsidR="00CE4B3F" w:rsidRPr="00FD5BAD">
        <w:t>y</w:t>
      </w:r>
      <w:r w:rsidR="00E50520" w:rsidRPr="00FD5BAD">
        <w:t xml:space="preserve"> in writing</w:t>
      </w:r>
      <w:r w:rsidR="00B030E9" w:rsidRPr="00FD5BAD">
        <w:t>:</w:t>
      </w:r>
      <w:r w:rsidRPr="00FD5BAD">
        <w:t xml:space="preserve"> </w:t>
      </w:r>
    </w:p>
    <w:p w:rsidR="00E50520" w:rsidRPr="00FD5BAD" w:rsidRDefault="00E50520" w:rsidP="009F6B8E">
      <w:pPr>
        <w:pStyle w:val="HealthnumLevel3"/>
      </w:pPr>
      <w:r w:rsidRPr="00FD5BAD">
        <w:t xml:space="preserve">the consumer </w:t>
      </w:r>
      <w:r w:rsidR="00EF51BB" w:rsidRPr="00FD5BAD">
        <w:t xml:space="preserve">from </w:t>
      </w:r>
      <w:r w:rsidRPr="00FD5BAD">
        <w:t>whose PCEHR the record was effectively removed; and</w:t>
      </w:r>
      <w:r w:rsidR="00EF51BB" w:rsidRPr="00FD5BAD">
        <w:t xml:space="preserve"> </w:t>
      </w:r>
    </w:p>
    <w:p w:rsidR="00F23319" w:rsidRPr="00FD5BAD" w:rsidRDefault="00B5072E" w:rsidP="009F6B8E">
      <w:pPr>
        <w:pStyle w:val="HealthnumLevel3"/>
      </w:pPr>
      <w:r w:rsidRPr="00FD5BAD">
        <w:t>the entity that uploaded the record</w:t>
      </w:r>
      <w:r w:rsidR="00F23319" w:rsidRPr="00FD5BAD">
        <w:t>,</w:t>
      </w:r>
      <w:r w:rsidRPr="00FD5BAD">
        <w:t xml:space="preserve"> </w:t>
      </w:r>
    </w:p>
    <w:p w:rsidR="00B5072E" w:rsidRPr="00FD5BAD" w:rsidRDefault="00783B74" w:rsidP="00F23319">
      <w:pPr>
        <w:pStyle w:val="HealthnumLevel3"/>
        <w:numPr>
          <w:ilvl w:val="0"/>
          <w:numId w:val="0"/>
        </w:numPr>
        <w:ind w:left="1985"/>
      </w:pPr>
      <w:r w:rsidRPr="00FD5BAD">
        <w:t>specifying</w:t>
      </w:r>
      <w:r w:rsidR="00B5072E" w:rsidRPr="00FD5BAD">
        <w:t xml:space="preserve"> the reasons for its decision; and</w:t>
      </w:r>
      <w:r w:rsidR="00F826AC" w:rsidRPr="00FD5BAD">
        <w:t xml:space="preserve"> </w:t>
      </w:r>
    </w:p>
    <w:p w:rsidR="00BF4149" w:rsidRPr="00FD5BAD" w:rsidRDefault="00B5072E" w:rsidP="00B5072E">
      <w:pPr>
        <w:pStyle w:val="Healthnumlevel2"/>
      </w:pPr>
      <w:r w:rsidRPr="00FD5BAD">
        <w:t xml:space="preserve">the entity may upload a replacement record </w:t>
      </w:r>
      <w:r w:rsidR="003D6D08" w:rsidRPr="00FD5BAD">
        <w:t>provided that</w:t>
      </w:r>
      <w:r w:rsidR="00BF4149" w:rsidRPr="00FD5BAD">
        <w:t>:</w:t>
      </w:r>
      <w:r w:rsidR="003D6D08" w:rsidRPr="00FD5BAD">
        <w:t xml:space="preserve"> </w:t>
      </w:r>
    </w:p>
    <w:p w:rsidR="00BF4149" w:rsidRPr="00FD5BAD" w:rsidRDefault="00BF4149" w:rsidP="00BF4149">
      <w:pPr>
        <w:pStyle w:val="HealthnumLevel3"/>
      </w:pPr>
      <w:r w:rsidRPr="00FD5BAD">
        <w:t xml:space="preserve">at the time of uploading the replacement record, </w:t>
      </w:r>
      <w:r w:rsidR="00FB34AD" w:rsidRPr="00FD5BAD">
        <w:t xml:space="preserve">the entity </w:t>
      </w:r>
      <w:r w:rsidRPr="00FD5BAD">
        <w:t>is</w:t>
      </w:r>
      <w:r w:rsidR="00FB34AD" w:rsidRPr="00FD5BAD">
        <w:t xml:space="preserve"> a participant in the PCEHR system</w:t>
      </w:r>
      <w:r w:rsidRPr="00FD5BAD">
        <w:t>;</w:t>
      </w:r>
      <w:r w:rsidR="00FB34AD" w:rsidRPr="00FD5BAD">
        <w:t xml:space="preserve"> and </w:t>
      </w:r>
    </w:p>
    <w:p w:rsidR="004E0877" w:rsidRPr="00FD5BAD" w:rsidRDefault="003D6D08" w:rsidP="00BF4149">
      <w:pPr>
        <w:pStyle w:val="HealthnumLevel3"/>
      </w:pPr>
      <w:r w:rsidRPr="00FD5BAD">
        <w:t>the re</w:t>
      </w:r>
      <w:r w:rsidR="00CE039F" w:rsidRPr="00FD5BAD">
        <w:t xml:space="preserve">placement record </w:t>
      </w:r>
      <w:r w:rsidR="00B5072E" w:rsidRPr="00FD5BAD">
        <w:t>addresses the System Operator’s concerns</w:t>
      </w:r>
      <w:r w:rsidR="00CE039F" w:rsidRPr="00FD5BAD">
        <w:t xml:space="preserve"> specified in the notice</w:t>
      </w:r>
      <w:r w:rsidR="00B5072E" w:rsidRPr="00FD5BAD">
        <w:t>.</w:t>
      </w:r>
      <w:r w:rsidR="00783B74" w:rsidRPr="00FD5BAD">
        <w:t xml:space="preserve"> </w:t>
      </w:r>
    </w:p>
    <w:p w:rsidR="00AD75DC" w:rsidRPr="00FD5BAD" w:rsidRDefault="00AD75DC" w:rsidP="00A80F92">
      <w:pPr>
        <w:pStyle w:val="HealthnumLevel5"/>
        <w:numPr>
          <w:ilvl w:val="5"/>
          <w:numId w:val="35"/>
        </w:numPr>
      </w:pPr>
      <w:r w:rsidRPr="00FD5BAD">
        <w:t>Nothing in subrule (1) affects by implication the System Operator’s functions or powers to manage the PCEHR system.</w:t>
      </w:r>
    </w:p>
    <w:p w:rsidR="00AD75DC" w:rsidRPr="00FD5BAD" w:rsidRDefault="000D6B79" w:rsidP="006A4430">
      <w:pPr>
        <w:pStyle w:val="Heading1"/>
      </w:pPr>
      <w:bookmarkStart w:id="58" w:name="_Toc331682010"/>
      <w:r w:rsidRPr="00FD5BAD">
        <w:t>T</w:t>
      </w:r>
      <w:r w:rsidR="000B49E6" w:rsidRPr="00FD5BAD">
        <w:t>ransfer</w:t>
      </w:r>
      <w:r w:rsidR="006A4430" w:rsidRPr="00FD5BAD">
        <w:t xml:space="preserve"> and disposal of records</w:t>
      </w:r>
      <w:bookmarkEnd w:id="58"/>
    </w:p>
    <w:p w:rsidR="00002DB0" w:rsidRPr="00FD5BAD" w:rsidRDefault="00002DB0" w:rsidP="00A80F92">
      <w:pPr>
        <w:pStyle w:val="HealthnumLevel5"/>
        <w:numPr>
          <w:ilvl w:val="5"/>
          <w:numId w:val="37"/>
        </w:numPr>
      </w:pPr>
      <w:r w:rsidRPr="00FD5BAD">
        <w:t>This rule applies to an entity that is, or at any time was, a registered repository operator or a registered portal operator.</w:t>
      </w:r>
    </w:p>
    <w:p w:rsidR="006A4430" w:rsidRPr="00FD5BAD" w:rsidRDefault="00002DB0" w:rsidP="00A80F92">
      <w:pPr>
        <w:pStyle w:val="HealthnumLevel5"/>
        <w:numPr>
          <w:ilvl w:val="5"/>
          <w:numId w:val="37"/>
        </w:numPr>
      </w:pPr>
      <w:r w:rsidRPr="00FD5BAD">
        <w:t>If the entity’s registration under Division 3 of Part 3 of the Act is cancelled, the entity must not transfer or dispose of health records held by the entity for PCEHR purposes without the prior written approval of the System Operator.</w:t>
      </w:r>
      <w:r w:rsidR="00EA365F" w:rsidRPr="00FD5BAD">
        <w:t xml:space="preserve"> </w:t>
      </w:r>
      <w:r w:rsidR="000D6B79" w:rsidRPr="00FD5BAD">
        <w:t xml:space="preserve"> </w:t>
      </w:r>
    </w:p>
    <w:p w:rsidR="00A22F35" w:rsidRPr="00FD5BAD" w:rsidRDefault="00924FC5" w:rsidP="00924FC5">
      <w:pPr>
        <w:pStyle w:val="Heading1NoNum"/>
        <w:ind w:left="1680" w:hanging="1680"/>
      </w:pPr>
      <w:bookmarkStart w:id="59" w:name="_Toc331682011"/>
      <w:r w:rsidRPr="00FD5BAD">
        <w:lastRenderedPageBreak/>
        <w:t>Part 5</w:t>
      </w:r>
      <w:r w:rsidRPr="00FD5BAD">
        <w:tab/>
        <w:t>Participation requirements</w:t>
      </w:r>
      <w:bookmarkEnd w:id="59"/>
    </w:p>
    <w:p w:rsidR="00375668" w:rsidRPr="00FD5BAD" w:rsidRDefault="00924FC5" w:rsidP="0019094E">
      <w:pPr>
        <w:pStyle w:val="Heading2NoNum"/>
      </w:pPr>
      <w:bookmarkStart w:id="60" w:name="_Toc331682012"/>
      <w:r w:rsidRPr="00FD5BAD">
        <w:t>Division 1</w:t>
      </w:r>
      <w:r w:rsidRPr="00FD5BAD">
        <w:tab/>
      </w:r>
      <w:r w:rsidR="008226E7" w:rsidRPr="00FD5BAD">
        <w:t>General requirements</w:t>
      </w:r>
      <w:bookmarkEnd w:id="60"/>
      <w:r w:rsidR="000A573F" w:rsidRPr="00FD5BAD">
        <w:t xml:space="preserve"> </w:t>
      </w:r>
    </w:p>
    <w:p w:rsidR="008226E7" w:rsidRPr="00FD5BAD" w:rsidRDefault="008226E7" w:rsidP="008226E7">
      <w:pPr>
        <w:pStyle w:val="Heading1"/>
        <w:rPr>
          <w:b w:val="0"/>
          <w:sz w:val="20"/>
          <w:szCs w:val="20"/>
        </w:rPr>
      </w:pPr>
      <w:bookmarkStart w:id="61" w:name="_Toc331682013"/>
      <w:r w:rsidRPr="00FD5BAD">
        <w:t>Authority to act on behalf of healthcare provider organisation</w:t>
      </w:r>
      <w:bookmarkEnd w:id="61"/>
      <w:r w:rsidR="005F5DD1" w:rsidRPr="00FD5BAD">
        <w:t xml:space="preserve"> </w:t>
      </w:r>
    </w:p>
    <w:p w:rsidR="008B6740" w:rsidRPr="00FD5BAD" w:rsidRDefault="00F275A5" w:rsidP="007D798E">
      <w:pPr>
        <w:pStyle w:val="HealthLevel1"/>
      </w:pPr>
      <w:r w:rsidRPr="00FD5BAD">
        <w:t xml:space="preserve">For paragraph 43(b) of the Act, </w:t>
      </w:r>
      <w:r w:rsidR="00985043" w:rsidRPr="00FD5BAD">
        <w:t xml:space="preserve">it is a requirement that </w:t>
      </w:r>
      <w:r w:rsidR="00604B57" w:rsidRPr="00FD5BAD">
        <w:t xml:space="preserve">a </w:t>
      </w:r>
      <w:r w:rsidR="008B6740" w:rsidRPr="00FD5BAD">
        <w:t>healthcare provider organisation ensure that:</w:t>
      </w:r>
    </w:p>
    <w:p w:rsidR="008B6740" w:rsidRPr="00FD5BAD" w:rsidRDefault="008B6740" w:rsidP="00A80F92">
      <w:pPr>
        <w:pStyle w:val="Healthnumlevel2"/>
        <w:numPr>
          <w:ilvl w:val="2"/>
          <w:numId w:val="43"/>
        </w:numPr>
      </w:pPr>
      <w:r w:rsidRPr="00FD5BAD">
        <w:t xml:space="preserve">if the organisation is </w:t>
      </w:r>
      <w:r w:rsidR="00FB452E" w:rsidRPr="00FD5BAD">
        <w:t xml:space="preserve">a </w:t>
      </w:r>
      <w:r w:rsidRPr="00FD5BAD">
        <w:t xml:space="preserve">seed organisation – </w:t>
      </w:r>
      <w:r w:rsidR="00FB452E" w:rsidRPr="00FD5BAD">
        <w:t xml:space="preserve">the organisation’s responsible officer and organisation maintenance officer are authorised to act on </w:t>
      </w:r>
      <w:r w:rsidR="009812A4" w:rsidRPr="00FD5BAD">
        <w:t xml:space="preserve">the organisation’s </w:t>
      </w:r>
      <w:r w:rsidR="00FB452E" w:rsidRPr="00FD5BAD">
        <w:t xml:space="preserve">behalf in </w:t>
      </w:r>
      <w:r w:rsidR="0010144C" w:rsidRPr="00FD5BAD">
        <w:t>its</w:t>
      </w:r>
      <w:r w:rsidR="00FB452E" w:rsidRPr="00FD5BAD">
        <w:t xml:space="preserve"> dealings with the System Operator; and</w:t>
      </w:r>
    </w:p>
    <w:p w:rsidR="0010144C" w:rsidRPr="00FD5BAD" w:rsidRDefault="00FB452E" w:rsidP="007A28E3">
      <w:pPr>
        <w:pStyle w:val="Healthnumlevel2"/>
      </w:pPr>
      <w:r w:rsidRPr="00FD5BAD">
        <w:t xml:space="preserve">if the organisation is a network organisation – </w:t>
      </w:r>
      <w:r w:rsidR="0010144C" w:rsidRPr="00FD5BAD">
        <w:t xml:space="preserve">the following individuals are authorised to act on </w:t>
      </w:r>
      <w:r w:rsidR="009833AA" w:rsidRPr="00FD5BAD">
        <w:t xml:space="preserve">the organisation’s </w:t>
      </w:r>
      <w:r w:rsidR="0010144C" w:rsidRPr="00FD5BAD">
        <w:t>behalf in its dealings with the System Operator:</w:t>
      </w:r>
      <w:r w:rsidR="009A0A02" w:rsidRPr="00FD5BAD">
        <w:t xml:space="preserve"> </w:t>
      </w:r>
    </w:p>
    <w:p w:rsidR="009833AA" w:rsidRPr="00FD5BAD" w:rsidRDefault="0010144C" w:rsidP="007A28E3">
      <w:pPr>
        <w:pStyle w:val="HealthnumLevel3"/>
      </w:pPr>
      <w:r w:rsidRPr="00FD5BAD">
        <w:t xml:space="preserve">the </w:t>
      </w:r>
      <w:r w:rsidR="00FB452E" w:rsidRPr="00FD5BAD">
        <w:t xml:space="preserve">responsible officer </w:t>
      </w:r>
      <w:r w:rsidR="00A479DC" w:rsidRPr="00FD5BAD">
        <w:t xml:space="preserve">and the organisation maintenance officer </w:t>
      </w:r>
      <w:r w:rsidR="009833AA" w:rsidRPr="00FD5BAD">
        <w:t>of the seed organisation for the network hierarchy to which the network organisation belongs;</w:t>
      </w:r>
    </w:p>
    <w:p w:rsidR="005F5DD1" w:rsidRPr="00FD5BAD" w:rsidRDefault="00FB452E" w:rsidP="0028674F">
      <w:pPr>
        <w:pStyle w:val="HealthnumLevel3"/>
      </w:pPr>
      <w:r w:rsidRPr="00FD5BAD">
        <w:t>the organisation</w:t>
      </w:r>
      <w:r w:rsidR="009833AA" w:rsidRPr="00FD5BAD">
        <w:t>’s organisation maintenance officer.</w:t>
      </w:r>
    </w:p>
    <w:p w:rsidR="00C77B9A" w:rsidRPr="00FD5BAD" w:rsidRDefault="00C77B9A" w:rsidP="00C77B9A">
      <w:pPr>
        <w:pStyle w:val="Heading1"/>
      </w:pPr>
      <w:bookmarkStart w:id="62" w:name="_Toc331682014"/>
      <w:r w:rsidRPr="00FD5BAD">
        <w:t>Requirement</w:t>
      </w:r>
      <w:r w:rsidR="00F57E0F" w:rsidRPr="00FD5BAD">
        <w:t>s</w:t>
      </w:r>
      <w:r w:rsidRPr="00FD5BAD">
        <w:t xml:space="preserve"> for seed organisation</w:t>
      </w:r>
      <w:r w:rsidR="00533ED2" w:rsidRPr="00FD5BAD">
        <w:t>, etc</w:t>
      </w:r>
      <w:r w:rsidRPr="00FD5BAD">
        <w:t xml:space="preserve"> to participate</w:t>
      </w:r>
      <w:bookmarkEnd w:id="62"/>
      <w:r w:rsidRPr="00FD5BAD">
        <w:t xml:space="preserve"> </w:t>
      </w:r>
    </w:p>
    <w:p w:rsidR="00E44F0C" w:rsidRPr="00FD5BAD" w:rsidRDefault="00885E19" w:rsidP="000B349D">
      <w:pPr>
        <w:pStyle w:val="HealthLevel1"/>
      </w:pPr>
      <w:r w:rsidRPr="00FD5BAD">
        <w:t>For paragraph 43(b) of the Act, i</w:t>
      </w:r>
      <w:r w:rsidR="00C77B9A" w:rsidRPr="00FD5BAD">
        <w:t>t is a requirement that</w:t>
      </w:r>
      <w:r w:rsidR="000B349D" w:rsidRPr="00FD5BAD">
        <w:t xml:space="preserve"> within a network hierarchy</w:t>
      </w:r>
      <w:r w:rsidR="00E44F0C" w:rsidRPr="00FD5BAD">
        <w:t>:</w:t>
      </w:r>
    </w:p>
    <w:p w:rsidR="000B349D" w:rsidRPr="00FD5BAD" w:rsidRDefault="00533ED2" w:rsidP="00A80F92">
      <w:pPr>
        <w:pStyle w:val="Healthnumlevel2"/>
        <w:numPr>
          <w:ilvl w:val="2"/>
          <w:numId w:val="40"/>
        </w:numPr>
      </w:pPr>
      <w:r w:rsidRPr="00FD5BAD">
        <w:t xml:space="preserve">the </w:t>
      </w:r>
      <w:r w:rsidR="00C77B9A" w:rsidRPr="00FD5BAD">
        <w:t>seed organisation b</w:t>
      </w:r>
      <w:r w:rsidR="00097A8D" w:rsidRPr="00FD5BAD">
        <w:t>e</w:t>
      </w:r>
      <w:r w:rsidR="00C77B9A" w:rsidRPr="00FD5BAD">
        <w:t xml:space="preserve"> registered under Division 2 of Part 3 of the Act</w:t>
      </w:r>
      <w:r w:rsidR="00097A8D" w:rsidRPr="00FD5BAD">
        <w:t xml:space="preserve"> in order for a</w:t>
      </w:r>
      <w:r w:rsidR="00570B2C" w:rsidRPr="00FD5BAD">
        <w:t>ny</w:t>
      </w:r>
      <w:r w:rsidR="00097A8D" w:rsidRPr="00FD5BAD">
        <w:t xml:space="preserve"> network organisation within the network hierarchy to be registered</w:t>
      </w:r>
      <w:r w:rsidRPr="00FD5BAD">
        <w:t xml:space="preserve">; </w:t>
      </w:r>
    </w:p>
    <w:p w:rsidR="00C77B9A" w:rsidRPr="00FD5BAD" w:rsidRDefault="000B349D" w:rsidP="00A80F92">
      <w:pPr>
        <w:pStyle w:val="Healthnumlevel2"/>
        <w:numPr>
          <w:ilvl w:val="2"/>
          <w:numId w:val="40"/>
        </w:numPr>
      </w:pPr>
      <w:r w:rsidRPr="00FD5BAD">
        <w:t xml:space="preserve">the healthcare provider organisation that is directly hierarchically superior to </w:t>
      </w:r>
      <w:r w:rsidR="0015161B" w:rsidRPr="00FD5BAD">
        <w:t>a</w:t>
      </w:r>
      <w:r w:rsidRPr="00FD5BAD">
        <w:t xml:space="preserve"> network organisation (</w:t>
      </w:r>
      <w:r w:rsidRPr="00FD5BAD">
        <w:rPr>
          <w:b/>
          <w:i/>
        </w:rPr>
        <w:t>the</w:t>
      </w:r>
      <w:r w:rsidRPr="00FD5BAD">
        <w:t xml:space="preserve"> </w:t>
      </w:r>
      <w:r w:rsidRPr="00FD5BAD">
        <w:rPr>
          <w:b/>
          <w:i/>
        </w:rPr>
        <w:t>applicant organisation</w:t>
      </w:r>
      <w:r w:rsidRPr="00FD5BAD">
        <w:t xml:space="preserve">) be registered under Division 2 of Part 3 of the Act in order for the applicant organisation to be registered; </w:t>
      </w:r>
    </w:p>
    <w:p w:rsidR="00E83519" w:rsidRPr="00FD5BAD" w:rsidRDefault="008F6D33" w:rsidP="00A80F92">
      <w:pPr>
        <w:pStyle w:val="Healthnumlevel2"/>
        <w:numPr>
          <w:ilvl w:val="2"/>
          <w:numId w:val="40"/>
        </w:numPr>
      </w:pPr>
      <w:r w:rsidRPr="00FD5BAD">
        <w:t>healthcare provider organisation</w:t>
      </w:r>
      <w:r w:rsidR="005A394B" w:rsidRPr="00FD5BAD">
        <w:t>s</w:t>
      </w:r>
      <w:r w:rsidRPr="00FD5BAD">
        <w:t xml:space="preserve"> ensure that </w:t>
      </w:r>
      <w:r w:rsidR="005A394B" w:rsidRPr="00FD5BAD">
        <w:t>their</w:t>
      </w:r>
      <w:r w:rsidRPr="00FD5BAD">
        <w:t xml:space="preserve"> </w:t>
      </w:r>
      <w:r w:rsidR="0030534B" w:rsidRPr="00FD5BAD">
        <w:t>organisation maintenance officer</w:t>
      </w:r>
      <w:r w:rsidR="005A394B" w:rsidRPr="00FD5BAD">
        <w:t>,</w:t>
      </w:r>
      <w:r w:rsidRPr="00FD5BAD">
        <w:t xml:space="preserve"> and if relevant </w:t>
      </w:r>
      <w:r w:rsidR="005A394B" w:rsidRPr="00FD5BAD">
        <w:t xml:space="preserve">their </w:t>
      </w:r>
      <w:r w:rsidRPr="00FD5BAD">
        <w:t>responsible officer</w:t>
      </w:r>
      <w:r w:rsidR="005A394B" w:rsidRPr="00FD5BAD">
        <w:t>,</w:t>
      </w:r>
      <w:r w:rsidRPr="00FD5BAD">
        <w:t xml:space="preserve"> </w:t>
      </w:r>
      <w:r w:rsidR="000B349D" w:rsidRPr="00FD5BAD">
        <w:t>establish and maintain a</w:t>
      </w:r>
      <w:r w:rsidR="004A296E" w:rsidRPr="00FD5BAD">
        <w:t>n accurate and up-to-date</w:t>
      </w:r>
      <w:r w:rsidR="000B349D" w:rsidRPr="00FD5BAD">
        <w:t xml:space="preserve"> record with the service operator</w:t>
      </w:r>
      <w:r w:rsidR="00E529B4" w:rsidRPr="00FD5BAD">
        <w:t xml:space="preserve"> of the linkages between organisations within the network hierarchy</w:t>
      </w:r>
      <w:r w:rsidR="00E83519" w:rsidRPr="00FD5BAD">
        <w:t>;</w:t>
      </w:r>
      <w:r w:rsidR="008A5611" w:rsidRPr="00FD5BAD">
        <w:t xml:space="preserve"> and </w:t>
      </w:r>
    </w:p>
    <w:p w:rsidR="000B349D" w:rsidRPr="00FD5BAD" w:rsidRDefault="00E83519" w:rsidP="00A80F92">
      <w:pPr>
        <w:pStyle w:val="Healthnumlevel2"/>
        <w:numPr>
          <w:ilvl w:val="2"/>
          <w:numId w:val="40"/>
        </w:numPr>
      </w:pPr>
      <w:r w:rsidRPr="00FD5BAD">
        <w:t>healthcare pro</w:t>
      </w:r>
      <w:r w:rsidR="008A5611" w:rsidRPr="00FD5BAD">
        <w:t>vider organisations ensure that their organisation maintenance officers establish and maintain with the service operator a</w:t>
      </w:r>
      <w:r w:rsidR="00540E42" w:rsidRPr="00FD5BAD">
        <w:t xml:space="preserve">n </w:t>
      </w:r>
      <w:r w:rsidR="00495F24" w:rsidRPr="00FD5BAD">
        <w:t xml:space="preserve">accurate and </w:t>
      </w:r>
      <w:r w:rsidR="00540E42" w:rsidRPr="00FD5BAD">
        <w:t>up-to-date</w:t>
      </w:r>
      <w:r w:rsidR="008A5611" w:rsidRPr="00FD5BAD">
        <w:t xml:space="preserve"> list of all identified healthcare providers </w:t>
      </w:r>
      <w:r w:rsidR="00540E42" w:rsidRPr="00FD5BAD">
        <w:t xml:space="preserve">who are individuals </w:t>
      </w:r>
      <w:r w:rsidR="008A5611" w:rsidRPr="00FD5BAD">
        <w:t xml:space="preserve">who are authorised to access the PCEHR system </w:t>
      </w:r>
      <w:r w:rsidR="00540E42" w:rsidRPr="00FD5BAD">
        <w:t xml:space="preserve">via or </w:t>
      </w:r>
      <w:r w:rsidR="008A5611" w:rsidRPr="00FD5BAD">
        <w:t>on behalf of the organisation using the provider portal.</w:t>
      </w:r>
      <w:r w:rsidRPr="00FD5BAD">
        <w:t xml:space="preserve"> </w:t>
      </w:r>
    </w:p>
    <w:p w:rsidR="003A7BC9" w:rsidRPr="00FD5BAD" w:rsidRDefault="007A1F9C" w:rsidP="003A7BC9">
      <w:pPr>
        <w:pStyle w:val="Heading1"/>
      </w:pPr>
      <w:bookmarkStart w:id="63" w:name="_Toc331682015"/>
      <w:r w:rsidRPr="00FD5BAD">
        <w:lastRenderedPageBreak/>
        <w:t>Registration of network organisations</w:t>
      </w:r>
      <w:bookmarkEnd w:id="63"/>
    </w:p>
    <w:p w:rsidR="000208E5" w:rsidRPr="00FD5BAD" w:rsidRDefault="007A1F9C" w:rsidP="007A1F9C">
      <w:pPr>
        <w:pStyle w:val="HealthLevel1"/>
      </w:pPr>
      <w:r w:rsidRPr="00FD5BAD">
        <w:t>For paragraph 43(b) of the Act, it is a requirement that a</w:t>
      </w:r>
      <w:r w:rsidR="00877BC4" w:rsidRPr="00FD5BAD">
        <w:t xml:space="preserve"> seed organisation</w:t>
      </w:r>
      <w:r w:rsidRPr="00FD5BAD">
        <w:t xml:space="preserve"> </w:t>
      </w:r>
      <w:r w:rsidR="00877BC4" w:rsidRPr="00FD5BAD">
        <w:t>ensure that its network hierarchy b</w:t>
      </w:r>
      <w:r w:rsidR="000208E5" w:rsidRPr="00FD5BAD">
        <w:t xml:space="preserve">e established and maintained in a manner that permits the assignment of access flags in accordance with rules </w:t>
      </w:r>
      <w:r w:rsidR="009C73C1" w:rsidRPr="00FD5BAD">
        <w:t>8 and 9</w:t>
      </w:r>
      <w:r w:rsidR="000208E5" w:rsidRPr="00FD5BAD">
        <w:t xml:space="preserve">. </w:t>
      </w:r>
    </w:p>
    <w:p w:rsidR="007A1F9C" w:rsidRPr="00FD5BAD" w:rsidRDefault="007A1F9C" w:rsidP="000208E5">
      <w:pPr>
        <w:pStyle w:val="Healthnote"/>
        <w:ind w:left="1920" w:hanging="1069"/>
        <w:rPr>
          <w:iCs w:val="0"/>
        </w:rPr>
      </w:pPr>
    </w:p>
    <w:p w:rsidR="006C1CE6" w:rsidRPr="00FD5BAD" w:rsidDel="006C1CE6" w:rsidRDefault="005605EC" w:rsidP="006C1CE6">
      <w:pPr>
        <w:pStyle w:val="Heading2NoNum"/>
        <w:keepNext/>
      </w:pPr>
      <w:bookmarkStart w:id="64" w:name="_Toc331682016"/>
      <w:r w:rsidRPr="00FD5BAD">
        <w:t>Division 2</w:t>
      </w:r>
      <w:bookmarkEnd w:id="64"/>
      <w:r w:rsidRPr="00FD5BAD">
        <w:tab/>
      </w:r>
    </w:p>
    <w:p w:rsidR="00202270" w:rsidRPr="00FD5BAD" w:rsidRDefault="00202270" w:rsidP="006C1CE6">
      <w:pPr>
        <w:pStyle w:val="Heading2NoNum"/>
        <w:keepNext/>
      </w:pPr>
      <w:bookmarkStart w:id="65" w:name="_Toc331682017"/>
      <w:r w:rsidRPr="00FD5BAD">
        <w:t>Security requirements</w:t>
      </w:r>
      <w:bookmarkEnd w:id="65"/>
      <w:r w:rsidR="004000F4" w:rsidRPr="00FD5BAD">
        <w:t xml:space="preserve"> </w:t>
      </w:r>
    </w:p>
    <w:p w:rsidR="00B16DD5" w:rsidRPr="00FD5BAD" w:rsidRDefault="00B16DD5" w:rsidP="00202270">
      <w:pPr>
        <w:pStyle w:val="Heading1"/>
      </w:pPr>
      <w:bookmarkStart w:id="66" w:name="_Toc331682018"/>
      <w:r w:rsidRPr="00FD5BAD">
        <w:t>Requirements for registration</w:t>
      </w:r>
      <w:bookmarkEnd w:id="66"/>
    </w:p>
    <w:p w:rsidR="00B16DD5" w:rsidRPr="00FD5BAD" w:rsidRDefault="00B16DD5" w:rsidP="00223C41">
      <w:pPr>
        <w:pStyle w:val="HealthLevel1"/>
      </w:pPr>
      <w:r w:rsidRPr="00FD5BAD">
        <w:t xml:space="preserve">For paragraph 43(b) of the Act, </w:t>
      </w:r>
      <w:r w:rsidR="00985043" w:rsidRPr="00FD5BAD">
        <w:t xml:space="preserve">it is a requirement that </w:t>
      </w:r>
      <w:r w:rsidRPr="00FD5BAD">
        <w:t xml:space="preserve">a healthcare provider organisation comply with the requirements specified in this </w:t>
      </w:r>
      <w:r w:rsidR="00223C41" w:rsidRPr="00FD5BAD">
        <w:t>Division</w:t>
      </w:r>
      <w:r w:rsidRPr="00FD5BAD">
        <w:t xml:space="preserve"> in order to be eligible</w:t>
      </w:r>
      <w:r w:rsidR="00223C41" w:rsidRPr="00FD5BAD">
        <w:t>,</w:t>
      </w:r>
      <w:r w:rsidRPr="00FD5BAD">
        <w:t xml:space="preserve"> </w:t>
      </w:r>
      <w:r w:rsidR="00223C41" w:rsidRPr="00FD5BAD">
        <w:t xml:space="preserve">and remain eligible, </w:t>
      </w:r>
      <w:r w:rsidRPr="00FD5BAD">
        <w:t>for registration under Division 2 of Part 3 of the Act</w:t>
      </w:r>
      <w:r w:rsidR="00223C41" w:rsidRPr="00FD5BAD">
        <w:t>.</w:t>
      </w:r>
    </w:p>
    <w:p w:rsidR="00202270" w:rsidRPr="00FD5BAD" w:rsidRDefault="002951A1" w:rsidP="00202270">
      <w:pPr>
        <w:pStyle w:val="Heading1"/>
      </w:pPr>
      <w:bookmarkStart w:id="67" w:name="_Toc331682019"/>
      <w:r w:rsidRPr="00FD5BAD">
        <w:t>Healthcare provider organisation policies</w:t>
      </w:r>
      <w:bookmarkEnd w:id="67"/>
    </w:p>
    <w:p w:rsidR="004000F4" w:rsidRPr="00FD5BAD" w:rsidRDefault="002951A1" w:rsidP="00A80F92">
      <w:pPr>
        <w:pStyle w:val="HealthnumLevel5"/>
        <w:numPr>
          <w:ilvl w:val="5"/>
          <w:numId w:val="47"/>
        </w:numPr>
      </w:pPr>
      <w:r w:rsidRPr="00FD5BAD">
        <w:t xml:space="preserve">Healthcare provider organisations must have a </w:t>
      </w:r>
      <w:r w:rsidR="00A80793" w:rsidRPr="00FD5BAD">
        <w:t xml:space="preserve">written </w:t>
      </w:r>
      <w:r w:rsidRPr="00FD5BAD">
        <w:t xml:space="preserve">policy that reasonably addresses the matters specified in subrule </w:t>
      </w:r>
      <w:r w:rsidR="0086237F" w:rsidRPr="00FD5BAD">
        <w:t>(</w:t>
      </w:r>
      <w:r w:rsidR="00B16DD5" w:rsidRPr="00FD5BAD">
        <w:t>4</w:t>
      </w:r>
      <w:r w:rsidR="0086237F" w:rsidRPr="00FD5BAD">
        <w:t>)</w:t>
      </w:r>
      <w:r w:rsidRPr="00FD5BAD">
        <w:t>.</w:t>
      </w:r>
    </w:p>
    <w:p w:rsidR="002951A1" w:rsidRPr="00FD5BAD" w:rsidRDefault="002951A1" w:rsidP="002951A1">
      <w:pPr>
        <w:pStyle w:val="HealthnumLevel5"/>
      </w:pPr>
      <w:r w:rsidRPr="00FD5BAD">
        <w:t xml:space="preserve">Healthcare provider organisations must communicate the policy </w:t>
      </w:r>
      <w:r w:rsidR="004D651D" w:rsidRPr="00FD5BAD">
        <w:t>mentioned in subrule (</w:t>
      </w:r>
      <w:r w:rsidR="00B16DD5" w:rsidRPr="00FD5BAD">
        <w:t>1</w:t>
      </w:r>
      <w:r w:rsidR="004D651D" w:rsidRPr="00FD5BAD">
        <w:t>)</w:t>
      </w:r>
      <w:r w:rsidR="00F312B4" w:rsidRPr="00FD5BAD">
        <w:t>, and ensure that the policy remains readily accessible,</w:t>
      </w:r>
      <w:r w:rsidR="004D651D" w:rsidRPr="00FD5BAD">
        <w:t xml:space="preserve"> </w:t>
      </w:r>
      <w:r w:rsidR="003374AF" w:rsidRPr="00FD5BAD">
        <w:t xml:space="preserve">to </w:t>
      </w:r>
      <w:r w:rsidR="004D651D" w:rsidRPr="00FD5BAD">
        <w:t xml:space="preserve">all </w:t>
      </w:r>
      <w:r w:rsidR="00F312B4" w:rsidRPr="00FD5BAD">
        <w:t>its</w:t>
      </w:r>
      <w:r w:rsidR="003374AF" w:rsidRPr="00FD5BAD">
        <w:t xml:space="preserve"> employees</w:t>
      </w:r>
      <w:r w:rsidR="004D651D" w:rsidRPr="00FD5BAD">
        <w:t xml:space="preserve"> and to any healthcare providers to whom the organisation supplies services under contract.</w:t>
      </w:r>
    </w:p>
    <w:p w:rsidR="004D651D" w:rsidRPr="00FD5BAD" w:rsidRDefault="00D27FBC" w:rsidP="00D27FBC">
      <w:pPr>
        <w:pStyle w:val="Healthnote"/>
        <w:ind w:left="1920" w:hanging="1069"/>
        <w:rPr>
          <w:iCs w:val="0"/>
        </w:rPr>
      </w:pPr>
      <w:r w:rsidRPr="00FD5BAD">
        <w:rPr>
          <w:iCs w:val="0"/>
        </w:rPr>
        <w:t>Example</w:t>
      </w:r>
      <w:r w:rsidR="004D651D" w:rsidRPr="00FD5BAD">
        <w:rPr>
          <w:iCs w:val="0"/>
        </w:rPr>
        <w:t>:</w:t>
      </w:r>
      <w:r w:rsidR="004D651D" w:rsidRPr="00FD5BAD">
        <w:rPr>
          <w:iCs w:val="0"/>
        </w:rPr>
        <w:tab/>
      </w:r>
      <w:r w:rsidRPr="00FD5BAD">
        <w:rPr>
          <w:iCs w:val="0"/>
        </w:rPr>
        <w:t>A healthcare provider organisation that supplies information technology services to individual healthcare providers, via which those providers access the PCEHR system, must communicate the policy to the providers</w:t>
      </w:r>
      <w:r w:rsidR="004D651D" w:rsidRPr="00FD5BAD">
        <w:rPr>
          <w:iCs w:val="0"/>
        </w:rPr>
        <w:t>.</w:t>
      </w:r>
    </w:p>
    <w:p w:rsidR="004D651D" w:rsidRPr="00FD5BAD" w:rsidRDefault="005C4847" w:rsidP="002951A1">
      <w:pPr>
        <w:pStyle w:val="HealthnumLevel5"/>
      </w:pPr>
      <w:r w:rsidRPr="00FD5BAD">
        <w:t>Healthcare provider organisations must enforce the policy mentioned in subrule (</w:t>
      </w:r>
      <w:r w:rsidR="00B16DD5" w:rsidRPr="00FD5BAD">
        <w:t>1</w:t>
      </w:r>
      <w:r w:rsidRPr="00FD5BAD">
        <w:t xml:space="preserve">) in relation to all </w:t>
      </w:r>
      <w:r w:rsidR="00F312B4" w:rsidRPr="00FD5BAD">
        <w:t>its</w:t>
      </w:r>
      <w:r w:rsidRPr="00FD5BAD">
        <w:t xml:space="preserve"> employees and any healthcare providers to whom the organisation supplies services under contract.</w:t>
      </w:r>
    </w:p>
    <w:p w:rsidR="005C4847" w:rsidRPr="00FD5BAD" w:rsidRDefault="003E459D" w:rsidP="002951A1">
      <w:pPr>
        <w:pStyle w:val="HealthnumLevel5"/>
      </w:pPr>
      <w:r w:rsidRPr="00FD5BAD">
        <w:t>Without limiting the matters a</w:t>
      </w:r>
      <w:r w:rsidR="005C4847" w:rsidRPr="00FD5BAD">
        <w:t xml:space="preserve"> healthcare provider organisation’s policy must reasonably address</w:t>
      </w:r>
      <w:r w:rsidRPr="00FD5BAD">
        <w:t>, the policy is</w:t>
      </w:r>
      <w:r w:rsidR="00D1709E" w:rsidRPr="00FD5BAD">
        <w:t>, subject to subrule (5),</w:t>
      </w:r>
      <w:r w:rsidRPr="00FD5BAD">
        <w:t xml:space="preserve"> to address</w:t>
      </w:r>
      <w:r w:rsidR="005C4847" w:rsidRPr="00FD5BAD">
        <w:t xml:space="preserve"> the following:</w:t>
      </w:r>
    </w:p>
    <w:p w:rsidR="005C506A" w:rsidRPr="00FD5BAD" w:rsidRDefault="005C4847" w:rsidP="00A80F92">
      <w:pPr>
        <w:pStyle w:val="Healthnumlevel2"/>
        <w:numPr>
          <w:ilvl w:val="2"/>
          <w:numId w:val="31"/>
        </w:numPr>
      </w:pPr>
      <w:r w:rsidRPr="00FD5BAD">
        <w:t xml:space="preserve">the manner of authorising persons </w:t>
      </w:r>
      <w:r w:rsidR="003E459D" w:rsidRPr="00FD5BAD">
        <w:t>accessing the PCEHR system via or on behalf of the healthcare provider organisation</w:t>
      </w:r>
      <w:r w:rsidR="00467045" w:rsidRPr="00FD5BAD">
        <w:t>,</w:t>
      </w:r>
      <w:r w:rsidRPr="00FD5BAD">
        <w:t xml:space="preserve"> including the manner of suspending and deactivating the </w:t>
      </w:r>
      <w:r w:rsidR="00FB6054" w:rsidRPr="00FD5BAD">
        <w:t xml:space="preserve">user </w:t>
      </w:r>
      <w:r w:rsidRPr="00FD5BAD">
        <w:t>account of any authorised person</w:t>
      </w:r>
      <w:r w:rsidR="005C506A" w:rsidRPr="00FD5BAD">
        <w:t>:</w:t>
      </w:r>
      <w:r w:rsidRPr="00FD5BAD">
        <w:t xml:space="preserve"> </w:t>
      </w:r>
    </w:p>
    <w:p w:rsidR="005C506A" w:rsidRPr="00FD5BAD" w:rsidRDefault="005C4847" w:rsidP="005C506A">
      <w:pPr>
        <w:pStyle w:val="HealthnumLevel3"/>
      </w:pPr>
      <w:r w:rsidRPr="00FD5BAD">
        <w:t>who leaves the healthcare provider organisation</w:t>
      </w:r>
      <w:r w:rsidR="005C506A" w:rsidRPr="00FD5BAD">
        <w:t>;</w:t>
      </w:r>
      <w:r w:rsidRPr="00FD5BAD">
        <w:t xml:space="preserve"> </w:t>
      </w:r>
    </w:p>
    <w:p w:rsidR="005C4847" w:rsidRPr="00FD5BAD" w:rsidRDefault="005C4847" w:rsidP="005C506A">
      <w:pPr>
        <w:pStyle w:val="HealthnumLevel3"/>
      </w:pPr>
      <w:r w:rsidRPr="00FD5BAD">
        <w:t>whose security has been compromised;</w:t>
      </w:r>
      <w:r w:rsidR="005C506A" w:rsidRPr="00FD5BAD">
        <w:t xml:space="preserve"> or</w:t>
      </w:r>
    </w:p>
    <w:p w:rsidR="005C506A" w:rsidRPr="00FD5BAD" w:rsidRDefault="005C506A" w:rsidP="005C506A">
      <w:pPr>
        <w:pStyle w:val="HealthnumLevel3"/>
      </w:pPr>
      <w:r w:rsidRPr="00FD5BAD">
        <w:t>whose duties no longer require them to access the PCEHR system;</w:t>
      </w:r>
    </w:p>
    <w:p w:rsidR="0086237F" w:rsidRPr="00FD5BAD" w:rsidRDefault="00CE59AD" w:rsidP="005C506A">
      <w:pPr>
        <w:pStyle w:val="Healthnumlevel2"/>
      </w:pPr>
      <w:r w:rsidRPr="00FD5BAD">
        <w:t xml:space="preserve">the training that will be provided before </w:t>
      </w:r>
      <w:r w:rsidR="00A20F6E" w:rsidRPr="00FD5BAD">
        <w:t xml:space="preserve">a person is </w:t>
      </w:r>
      <w:r w:rsidRPr="00FD5BAD">
        <w:t xml:space="preserve">authorised to </w:t>
      </w:r>
      <w:r w:rsidR="00A80793" w:rsidRPr="00FD5BAD">
        <w:t xml:space="preserve"> </w:t>
      </w:r>
      <w:r w:rsidRPr="00FD5BAD">
        <w:t xml:space="preserve">access the PCEHR system, including </w:t>
      </w:r>
      <w:r w:rsidR="00BA6F89" w:rsidRPr="00FD5BAD">
        <w:t xml:space="preserve">in relation to </w:t>
      </w:r>
      <w:r w:rsidRPr="00FD5BAD">
        <w:t>how to use the PCEHR system accurately and responsibly</w:t>
      </w:r>
      <w:r w:rsidR="00A20F6E" w:rsidRPr="00FD5BAD">
        <w:t>,</w:t>
      </w:r>
      <w:r w:rsidRPr="00FD5BAD">
        <w:t xml:space="preserve"> </w:t>
      </w:r>
      <w:r w:rsidR="00BA6F89" w:rsidRPr="00FD5BAD">
        <w:t xml:space="preserve">the legal obligations </w:t>
      </w:r>
      <w:r w:rsidR="00A20F6E" w:rsidRPr="00FD5BAD">
        <w:t>on</w:t>
      </w:r>
      <w:r w:rsidR="00BA6F89" w:rsidRPr="00FD5BAD">
        <w:t xml:space="preserve"> </w:t>
      </w:r>
      <w:r w:rsidR="00BA6F89" w:rsidRPr="00FD5BAD">
        <w:lastRenderedPageBreak/>
        <w:t>healthcare provider organisations and individuals using the PCEHR system</w:t>
      </w:r>
      <w:r w:rsidR="00A20F6E" w:rsidRPr="00FD5BAD">
        <w:t xml:space="preserve"> and the consequences of breaching those obligations</w:t>
      </w:r>
      <w:r w:rsidR="00BA6F89" w:rsidRPr="00FD5BAD">
        <w:t>;</w:t>
      </w:r>
    </w:p>
    <w:p w:rsidR="00BA6F89" w:rsidRPr="00FD5BAD" w:rsidRDefault="00BA6F89" w:rsidP="005C506A">
      <w:pPr>
        <w:pStyle w:val="Healthnumlevel2"/>
      </w:pPr>
      <w:r w:rsidRPr="00FD5BAD">
        <w:t xml:space="preserve">the process </w:t>
      </w:r>
      <w:r w:rsidR="00245A55" w:rsidRPr="00FD5BAD">
        <w:t xml:space="preserve">for identifying a person who requests access to a consumer’s PCEHR and communicating the </w:t>
      </w:r>
      <w:r w:rsidR="003E459D" w:rsidRPr="00FD5BAD">
        <w:t xml:space="preserve">person’s </w:t>
      </w:r>
      <w:r w:rsidR="00245A55" w:rsidRPr="00FD5BAD">
        <w:t>identity to the System Operator so that the healthcare provider organisation is able to meet its obligations under section 74 of the Act;</w:t>
      </w:r>
    </w:p>
    <w:p w:rsidR="00245A55" w:rsidRPr="00FD5BAD" w:rsidRDefault="00C32123" w:rsidP="005C506A">
      <w:pPr>
        <w:pStyle w:val="Healthnumlevel2"/>
      </w:pPr>
      <w:r w:rsidRPr="00FD5BAD">
        <w:t xml:space="preserve">the physical and information security measures that </w:t>
      </w:r>
      <w:r w:rsidR="00955288" w:rsidRPr="00FD5BAD">
        <w:t>are to be established and adhered to by the healthcare provider organisation and people accessing the PCEHR system via or on behalf of the h</w:t>
      </w:r>
      <w:r w:rsidR="003E459D" w:rsidRPr="00FD5BAD">
        <w:t>ealthcare provider organisation</w:t>
      </w:r>
      <w:r w:rsidR="00467045" w:rsidRPr="00FD5BAD">
        <w:t xml:space="preserve">, including the </w:t>
      </w:r>
      <w:r w:rsidR="005C506A" w:rsidRPr="00FD5BAD">
        <w:t xml:space="preserve">user </w:t>
      </w:r>
      <w:r w:rsidR="00467045" w:rsidRPr="00FD5BAD">
        <w:t>account management measures that must be implemented under rule 2</w:t>
      </w:r>
      <w:r w:rsidR="0046134E" w:rsidRPr="00FD5BAD">
        <w:t>7</w:t>
      </w:r>
      <w:r w:rsidR="00955288" w:rsidRPr="00FD5BAD">
        <w:t>; and</w:t>
      </w:r>
    </w:p>
    <w:p w:rsidR="00955288" w:rsidRPr="00FD5BAD" w:rsidRDefault="00955288" w:rsidP="005C506A">
      <w:pPr>
        <w:pStyle w:val="Healthnumlevel2"/>
      </w:pPr>
      <w:r w:rsidRPr="00FD5BAD">
        <w:t xml:space="preserve">mitigation strategies to ensure PCEHR-related security risks can be </w:t>
      </w:r>
      <w:r w:rsidR="009056FD" w:rsidRPr="00FD5BAD">
        <w:t xml:space="preserve">promptly </w:t>
      </w:r>
      <w:r w:rsidRPr="00FD5BAD">
        <w:t>identified</w:t>
      </w:r>
      <w:r w:rsidR="003E459D" w:rsidRPr="00FD5BAD">
        <w:t xml:space="preserve">, </w:t>
      </w:r>
      <w:r w:rsidRPr="00FD5BAD">
        <w:t>acted upon</w:t>
      </w:r>
      <w:r w:rsidR="003E459D" w:rsidRPr="00FD5BAD">
        <w:t xml:space="preserve"> and reported to the healthcare provider organisation’s management.</w:t>
      </w:r>
    </w:p>
    <w:p w:rsidR="003A2D1F" w:rsidRPr="00FD5BAD" w:rsidRDefault="00C545F2" w:rsidP="0086237F">
      <w:pPr>
        <w:pStyle w:val="HealthnumLevel5"/>
      </w:pPr>
      <w:r w:rsidRPr="00FD5BAD">
        <w:t xml:space="preserve">If in the reasonable opinion of a healthcare provider organisation, </w:t>
      </w:r>
      <w:r w:rsidR="00D93C52" w:rsidRPr="00FD5BAD">
        <w:t xml:space="preserve">a </w:t>
      </w:r>
      <w:r w:rsidRPr="00FD5BAD">
        <w:t xml:space="preserve">requirement in subrule (4) </w:t>
      </w:r>
      <w:r w:rsidR="00D93C52" w:rsidRPr="00FD5BAD">
        <w:t>is</w:t>
      </w:r>
      <w:r w:rsidRPr="00FD5BAD">
        <w:t xml:space="preserve"> not applicable to the organisation due to the limited size of the organisation</w:t>
      </w:r>
      <w:r w:rsidR="00D93C52" w:rsidRPr="00FD5BAD">
        <w:t xml:space="preserve">, the organisation’s policy </w:t>
      </w:r>
      <w:r w:rsidR="00D1709E" w:rsidRPr="00FD5BAD">
        <w:t xml:space="preserve">need not </w:t>
      </w:r>
      <w:r w:rsidR="008E354E" w:rsidRPr="00FD5BAD">
        <w:t>address that requirement.</w:t>
      </w:r>
      <w:r w:rsidR="00B3401E" w:rsidRPr="00FD5BAD">
        <w:t xml:space="preserve"> </w:t>
      </w:r>
    </w:p>
    <w:p w:rsidR="008540A3" w:rsidRPr="00FD5BAD" w:rsidRDefault="008B13F3" w:rsidP="0086237F">
      <w:pPr>
        <w:pStyle w:val="HealthnumLevel5"/>
      </w:pPr>
      <w:r w:rsidRPr="00FD5BAD">
        <w:t>Healthcare provider organisations must</w:t>
      </w:r>
      <w:r w:rsidR="008540A3" w:rsidRPr="00FD5BAD">
        <w:t xml:space="preserve"> ensure that: </w:t>
      </w:r>
    </w:p>
    <w:p w:rsidR="00925C8D" w:rsidRPr="00FD5BAD" w:rsidRDefault="008540A3" w:rsidP="00A80F92">
      <w:pPr>
        <w:pStyle w:val="Healthnumlevel2"/>
        <w:numPr>
          <w:ilvl w:val="2"/>
          <w:numId w:val="32"/>
        </w:numPr>
      </w:pPr>
      <w:r w:rsidRPr="00FD5BAD">
        <w:t>the policy mentioned in subrule (</w:t>
      </w:r>
      <w:r w:rsidR="00B16DD5" w:rsidRPr="00FD5BAD">
        <w:t>1</w:t>
      </w:r>
      <w:r w:rsidRPr="00FD5BAD">
        <w:t>) is</w:t>
      </w:r>
      <w:r w:rsidR="00925C8D" w:rsidRPr="00FD5BAD">
        <w:t>:</w:t>
      </w:r>
      <w:r w:rsidRPr="00FD5BAD">
        <w:t xml:space="preserve"> </w:t>
      </w:r>
    </w:p>
    <w:p w:rsidR="00925C8D" w:rsidRPr="00FD5BAD" w:rsidRDefault="00925C8D" w:rsidP="00925C8D">
      <w:pPr>
        <w:pStyle w:val="HealthnumLevel3"/>
        <w:jc w:val="left"/>
      </w:pPr>
      <w:r w:rsidRPr="00FD5BAD">
        <w:t>drafted in such a manner that the organisation’s performance can be audited against the policy to determine if the organisation has complied with the policy; and</w:t>
      </w:r>
    </w:p>
    <w:p w:rsidR="008540A3" w:rsidRPr="00FD5BAD" w:rsidRDefault="008540A3" w:rsidP="00925C8D">
      <w:pPr>
        <w:pStyle w:val="HealthnumLevel3"/>
        <w:jc w:val="left"/>
      </w:pPr>
      <w:r w:rsidRPr="00FD5BAD">
        <w:t xml:space="preserve">kept up-to-date; </w:t>
      </w:r>
    </w:p>
    <w:p w:rsidR="00925C8D" w:rsidRPr="00FD5BAD" w:rsidRDefault="00925C8D" w:rsidP="00A80F92">
      <w:pPr>
        <w:pStyle w:val="Healthnumlevel2"/>
        <w:numPr>
          <w:ilvl w:val="2"/>
          <w:numId w:val="32"/>
        </w:numPr>
      </w:pPr>
      <w:r w:rsidRPr="00FD5BAD">
        <w:t xml:space="preserve">each iteration of </w:t>
      </w:r>
      <w:r w:rsidR="00A07306" w:rsidRPr="00FD5BAD">
        <w:t xml:space="preserve">the </w:t>
      </w:r>
      <w:r w:rsidRPr="00FD5BAD">
        <w:t>policy contains a unique version number</w:t>
      </w:r>
      <w:r w:rsidR="00B3401E" w:rsidRPr="00FD5BAD">
        <w:t xml:space="preserve"> and the date when th</w:t>
      </w:r>
      <w:r w:rsidR="00A07306" w:rsidRPr="00FD5BAD">
        <w:t>at it</w:t>
      </w:r>
      <w:r w:rsidR="00B3401E" w:rsidRPr="00FD5BAD">
        <w:t>e</w:t>
      </w:r>
      <w:r w:rsidR="00A07306" w:rsidRPr="00FD5BAD">
        <w:t xml:space="preserve">ration </w:t>
      </w:r>
      <w:r w:rsidR="00B3401E" w:rsidRPr="00FD5BAD">
        <w:t>came into effect</w:t>
      </w:r>
      <w:r w:rsidRPr="00FD5BAD">
        <w:t>;</w:t>
      </w:r>
    </w:p>
    <w:p w:rsidR="005C4847" w:rsidRPr="00FD5BAD" w:rsidRDefault="008540A3" w:rsidP="00A80F92">
      <w:pPr>
        <w:pStyle w:val="Healthnumlevel2"/>
        <w:numPr>
          <w:ilvl w:val="2"/>
          <w:numId w:val="32"/>
        </w:numPr>
      </w:pPr>
      <w:r w:rsidRPr="00FD5BAD">
        <w:t>wit</w:t>
      </w:r>
      <w:r w:rsidR="00A80793" w:rsidRPr="00FD5BAD">
        <w:t>hout limiting paragraph (</w:t>
      </w:r>
      <w:r w:rsidR="003A2D1F" w:rsidRPr="00FD5BAD">
        <w:t>6</w:t>
      </w:r>
      <w:r w:rsidR="00A80793" w:rsidRPr="00FD5BAD">
        <w:t>)(</w:t>
      </w:r>
      <w:r w:rsidR="00925C8D" w:rsidRPr="00FD5BAD">
        <w:t>a</w:t>
      </w:r>
      <w:r w:rsidR="00A80793" w:rsidRPr="00FD5BAD">
        <w:t>)</w:t>
      </w:r>
      <w:r w:rsidR="00925C8D" w:rsidRPr="00FD5BAD">
        <w:t>(ii)</w:t>
      </w:r>
      <w:r w:rsidR="00A80793" w:rsidRPr="00FD5BAD">
        <w:t xml:space="preserve"> – </w:t>
      </w:r>
      <w:r w:rsidRPr="00FD5BAD">
        <w:t xml:space="preserve">the policy </w:t>
      </w:r>
      <w:r w:rsidR="00A80793" w:rsidRPr="00FD5BAD">
        <w:t xml:space="preserve">is reviewed </w:t>
      </w:r>
      <w:r w:rsidRPr="00FD5BAD">
        <w:t>at least annually</w:t>
      </w:r>
      <w:r w:rsidR="00A80793" w:rsidRPr="00FD5BAD">
        <w:t xml:space="preserve"> and </w:t>
      </w:r>
      <w:r w:rsidR="00987131" w:rsidRPr="00FD5BAD">
        <w:t xml:space="preserve">when </w:t>
      </w:r>
      <w:r w:rsidR="00A80793" w:rsidRPr="00FD5BAD">
        <w:t xml:space="preserve">any </w:t>
      </w:r>
      <w:r w:rsidR="00613E19" w:rsidRPr="00FD5BAD">
        <w:t xml:space="preserve">material </w:t>
      </w:r>
      <w:r w:rsidR="00A80793" w:rsidRPr="00FD5BAD">
        <w:t>new or changed risks are identified.  The review must include consideration of:</w:t>
      </w:r>
    </w:p>
    <w:p w:rsidR="008E76F0" w:rsidRPr="00FD5BAD" w:rsidRDefault="008E76F0" w:rsidP="00A80793">
      <w:pPr>
        <w:pStyle w:val="HealthnumLevel3"/>
      </w:pPr>
      <w:r w:rsidRPr="00FD5BAD">
        <w:t>factors that might result in:</w:t>
      </w:r>
    </w:p>
    <w:p w:rsidR="00A80793" w:rsidRPr="00FD5BAD" w:rsidRDefault="00A80793" w:rsidP="008E76F0">
      <w:pPr>
        <w:pStyle w:val="HealthnumLevel4"/>
      </w:pPr>
      <w:r w:rsidRPr="00FD5BAD">
        <w:t>unauthorised access to the PCEHR system using the healthcare provider organisation’s information systems;</w:t>
      </w:r>
    </w:p>
    <w:p w:rsidR="00A80793" w:rsidRPr="00FD5BAD" w:rsidRDefault="00F27A5B" w:rsidP="008E76F0">
      <w:pPr>
        <w:pStyle w:val="HealthnumLevel4"/>
      </w:pPr>
      <w:r w:rsidRPr="00FD5BAD">
        <w:t>the</w:t>
      </w:r>
      <w:r w:rsidR="00A80793" w:rsidRPr="00FD5BAD">
        <w:t xml:space="preserve"> misuse or unauthorised disclosure of information from a consumer’s PCEHR by persons authorised to access the PCEHR system via or on behalf of the healthcare provider organisation;</w:t>
      </w:r>
      <w:r w:rsidR="009056FD" w:rsidRPr="00FD5BAD">
        <w:t xml:space="preserve"> and</w:t>
      </w:r>
    </w:p>
    <w:p w:rsidR="00F312B4" w:rsidRPr="00FD5BAD" w:rsidRDefault="00F27A5B" w:rsidP="008E76F0">
      <w:pPr>
        <w:pStyle w:val="HealthnumLevel4"/>
      </w:pPr>
      <w:r w:rsidRPr="00FD5BAD">
        <w:t>the accidental disclosure of information contained in a consumer’s PCEHR</w:t>
      </w:r>
      <w:r w:rsidR="00F312B4" w:rsidRPr="00FD5BAD">
        <w:t>;</w:t>
      </w:r>
    </w:p>
    <w:p w:rsidR="008E76F0" w:rsidRPr="00FD5BAD" w:rsidRDefault="008E76F0" w:rsidP="008E76F0">
      <w:pPr>
        <w:pStyle w:val="HealthnumLevel3"/>
      </w:pPr>
      <w:r w:rsidRPr="00FD5BAD">
        <w:t>any changes to the PCEHR system that may affect the healthcare provider organisation;</w:t>
      </w:r>
      <w:r w:rsidR="00925C8D" w:rsidRPr="00FD5BAD">
        <w:t xml:space="preserve"> and</w:t>
      </w:r>
    </w:p>
    <w:p w:rsidR="008E76F0" w:rsidRPr="00FD5BAD" w:rsidRDefault="008E76F0" w:rsidP="008E76F0">
      <w:pPr>
        <w:pStyle w:val="HealthnumLevel3"/>
      </w:pPr>
      <w:r w:rsidRPr="00FD5BAD">
        <w:t xml:space="preserve">any </w:t>
      </w:r>
      <w:r w:rsidR="009056FD" w:rsidRPr="00FD5BAD">
        <w:t xml:space="preserve">relevant </w:t>
      </w:r>
      <w:r w:rsidRPr="00FD5BAD">
        <w:t>legal or regulatory changes that have occurred since the last review;</w:t>
      </w:r>
      <w:r w:rsidR="00925C8D" w:rsidRPr="00FD5BAD">
        <w:t xml:space="preserve"> and</w:t>
      </w:r>
    </w:p>
    <w:p w:rsidR="00F27A5B" w:rsidRPr="00FD5BAD" w:rsidRDefault="00F312B4" w:rsidP="00F312B4">
      <w:pPr>
        <w:pStyle w:val="Healthnumlevel2"/>
      </w:pPr>
      <w:r w:rsidRPr="00FD5BAD">
        <w:lastRenderedPageBreak/>
        <w:t>a record of each iteration of the policy mentioned in subrule (</w:t>
      </w:r>
      <w:r w:rsidR="00B16DD5" w:rsidRPr="00FD5BAD">
        <w:t>1</w:t>
      </w:r>
      <w:r w:rsidRPr="00FD5BAD">
        <w:t xml:space="preserve">) is retained </w:t>
      </w:r>
      <w:r w:rsidR="004A59E1" w:rsidRPr="00FD5BAD">
        <w:t>in accordance with the record keeping obligations (if any) applicable to the healthcare provider organisation.</w:t>
      </w:r>
    </w:p>
    <w:p w:rsidR="00202270" w:rsidRPr="00FD5BAD" w:rsidRDefault="004A59E1" w:rsidP="00FE59CB">
      <w:pPr>
        <w:pStyle w:val="Heading1"/>
      </w:pPr>
      <w:bookmarkStart w:id="68" w:name="_Toc331682020"/>
      <w:r w:rsidRPr="00FD5BAD">
        <w:t>Polic</w:t>
      </w:r>
      <w:r w:rsidR="00925C8D" w:rsidRPr="00FD5BAD">
        <w:t>y to be provided to the System O</w:t>
      </w:r>
      <w:r w:rsidRPr="00FD5BAD">
        <w:t>perator on request</w:t>
      </w:r>
      <w:bookmarkEnd w:id="68"/>
    </w:p>
    <w:p w:rsidR="004A59E1" w:rsidRPr="00FD5BAD" w:rsidRDefault="00925C8D" w:rsidP="00A80F92">
      <w:pPr>
        <w:pStyle w:val="HealthnumLevel5"/>
        <w:numPr>
          <w:ilvl w:val="5"/>
          <w:numId w:val="33"/>
        </w:numPr>
      </w:pPr>
      <w:r w:rsidRPr="00FD5BAD">
        <w:t xml:space="preserve">The System Operator may request in writing that </w:t>
      </w:r>
      <w:r w:rsidR="004A59E1" w:rsidRPr="00FD5BAD">
        <w:t xml:space="preserve">a healthcare provider organisation give </w:t>
      </w:r>
      <w:r w:rsidRPr="00FD5BAD">
        <w:t xml:space="preserve">it </w:t>
      </w:r>
      <w:r w:rsidR="004A59E1" w:rsidRPr="00FD5BAD">
        <w:t>a copy of the policy mentioned in subrule 2</w:t>
      </w:r>
      <w:r w:rsidR="002462B4" w:rsidRPr="00FD5BAD">
        <w:t>5</w:t>
      </w:r>
      <w:r w:rsidR="004A59E1" w:rsidRPr="00FD5BAD">
        <w:t>(</w:t>
      </w:r>
      <w:r w:rsidR="00B16DD5" w:rsidRPr="00FD5BAD">
        <w:t>1</w:t>
      </w:r>
      <w:r w:rsidR="004A59E1" w:rsidRPr="00FD5BAD">
        <w:t>).</w:t>
      </w:r>
    </w:p>
    <w:p w:rsidR="004A59E1" w:rsidRPr="00FD5BAD" w:rsidRDefault="00E60F6F" w:rsidP="00A80F92">
      <w:pPr>
        <w:pStyle w:val="HealthnumLevel5"/>
        <w:numPr>
          <w:ilvl w:val="5"/>
          <w:numId w:val="33"/>
        </w:numPr>
      </w:pPr>
      <w:r w:rsidRPr="00FD5BAD">
        <w:t xml:space="preserve">A healthcare provider </w:t>
      </w:r>
      <w:r w:rsidR="004A59E1" w:rsidRPr="00FD5BAD">
        <w:t xml:space="preserve">organisation must comply with a request </w:t>
      </w:r>
      <w:r w:rsidR="00925C8D" w:rsidRPr="00FD5BAD">
        <w:t xml:space="preserve">from the System Operator </w:t>
      </w:r>
      <w:r w:rsidR="004A59E1" w:rsidRPr="00FD5BAD">
        <w:t xml:space="preserve">under this rule within </w:t>
      </w:r>
      <w:r w:rsidR="00925C8D" w:rsidRPr="00FD5BAD">
        <w:t>7 days of receiving the request.</w:t>
      </w:r>
    </w:p>
    <w:p w:rsidR="00925C8D" w:rsidRPr="00FD5BAD" w:rsidRDefault="00925C8D" w:rsidP="00A80F92">
      <w:pPr>
        <w:pStyle w:val="HealthnumLevel5"/>
        <w:numPr>
          <w:ilvl w:val="5"/>
          <w:numId w:val="33"/>
        </w:numPr>
      </w:pPr>
      <w:r w:rsidRPr="00FD5BAD">
        <w:t xml:space="preserve">The System Operator may request a healthcare provider organisation’s current policy or the policy </w:t>
      </w:r>
      <w:r w:rsidR="00897A6E" w:rsidRPr="00FD5BAD">
        <w:t xml:space="preserve">that was </w:t>
      </w:r>
      <w:r w:rsidRPr="00FD5BAD">
        <w:t xml:space="preserve">in </w:t>
      </w:r>
      <w:r w:rsidR="00897A6E" w:rsidRPr="00FD5BAD">
        <w:t xml:space="preserve">force on a </w:t>
      </w:r>
      <w:r w:rsidRPr="00FD5BAD">
        <w:t xml:space="preserve">specified </w:t>
      </w:r>
      <w:r w:rsidR="00897A6E" w:rsidRPr="00FD5BAD">
        <w:t>date</w:t>
      </w:r>
      <w:r w:rsidRPr="00FD5BAD">
        <w:t>.</w:t>
      </w:r>
      <w:r w:rsidR="00897A6E" w:rsidRPr="00FD5BAD">
        <w:t xml:space="preserve"> </w:t>
      </w:r>
    </w:p>
    <w:p w:rsidR="00FE59CB" w:rsidRPr="00FD5BAD" w:rsidRDefault="00AB245E" w:rsidP="00FE59CB">
      <w:pPr>
        <w:pStyle w:val="Heading1"/>
      </w:pPr>
      <w:bookmarkStart w:id="69" w:name="_Toc331682021"/>
      <w:r w:rsidRPr="00FD5BAD">
        <w:t>User a</w:t>
      </w:r>
      <w:r w:rsidR="00467045" w:rsidRPr="00FD5BAD">
        <w:t>ccount management</w:t>
      </w:r>
      <w:r w:rsidR="003A1A17" w:rsidRPr="00FD5BAD">
        <w:t xml:space="preserve"> with</w:t>
      </w:r>
      <w:r w:rsidR="00467045" w:rsidRPr="00FD5BAD">
        <w:t>in</w:t>
      </w:r>
      <w:r w:rsidR="003A1A17" w:rsidRPr="00FD5BAD">
        <w:t xml:space="preserve"> healthcare provider organisations</w:t>
      </w:r>
      <w:bookmarkEnd w:id="69"/>
      <w:r w:rsidR="00C6025A" w:rsidRPr="00FD5BAD">
        <w:t xml:space="preserve"> </w:t>
      </w:r>
    </w:p>
    <w:p w:rsidR="000B7F34" w:rsidRPr="00FD5BAD" w:rsidRDefault="00897A6E" w:rsidP="000004E1">
      <w:pPr>
        <w:pStyle w:val="HealthLevel1"/>
      </w:pPr>
      <w:r w:rsidRPr="00FD5BAD">
        <w:t xml:space="preserve">Healthcare provider organisations must ensure that </w:t>
      </w:r>
      <w:r w:rsidR="00437A17" w:rsidRPr="00FD5BAD">
        <w:t xml:space="preserve">their information technology systems, </w:t>
      </w:r>
      <w:r w:rsidR="000B7F34" w:rsidRPr="00FD5BAD">
        <w:t xml:space="preserve">which are used by people to access the PCEHR system via or on behalf of the healthcare provider organisation, employ reasonable </w:t>
      </w:r>
      <w:r w:rsidR="00887737" w:rsidRPr="00FD5BAD">
        <w:t xml:space="preserve">user </w:t>
      </w:r>
      <w:r w:rsidR="000B7F34" w:rsidRPr="00FD5BAD">
        <w:t>account management practices including:</w:t>
      </w:r>
    </w:p>
    <w:p w:rsidR="000B7F34" w:rsidRPr="00FD5BAD" w:rsidRDefault="000B7F34" w:rsidP="00A80F92">
      <w:pPr>
        <w:pStyle w:val="Healthnumlevel2"/>
        <w:numPr>
          <w:ilvl w:val="2"/>
          <w:numId w:val="34"/>
        </w:numPr>
      </w:pPr>
      <w:r w:rsidRPr="00FD5BAD">
        <w:t>restricting access to those persons who require access as part of their duties;</w:t>
      </w:r>
    </w:p>
    <w:p w:rsidR="000B7F34" w:rsidRPr="00FD5BAD" w:rsidRDefault="000B7F34" w:rsidP="00A80F92">
      <w:pPr>
        <w:pStyle w:val="Healthnumlevel2"/>
        <w:numPr>
          <w:ilvl w:val="2"/>
          <w:numId w:val="34"/>
        </w:numPr>
      </w:pPr>
      <w:r w:rsidRPr="00FD5BAD">
        <w:t>uniquely identifying individuals using the healthcare provider organisation’s information technology systems, and having that unique identity protected by a password or equivalent protection mechanism;</w:t>
      </w:r>
    </w:p>
    <w:p w:rsidR="000B7F34" w:rsidRPr="00FD5BAD" w:rsidRDefault="00E75302" w:rsidP="00A80F92">
      <w:pPr>
        <w:pStyle w:val="Healthnumlevel2"/>
        <w:numPr>
          <w:ilvl w:val="2"/>
          <w:numId w:val="34"/>
        </w:numPr>
      </w:pPr>
      <w:r w:rsidRPr="00FD5BAD">
        <w:t>having password</w:t>
      </w:r>
      <w:r w:rsidR="000B7F34" w:rsidRPr="00FD5BAD">
        <w:t xml:space="preserve"> </w:t>
      </w:r>
      <w:r w:rsidRPr="00FD5BAD">
        <w:t>and</w:t>
      </w:r>
      <w:r w:rsidR="00DB1081" w:rsidRPr="00FD5BAD">
        <w:t>/or other</w:t>
      </w:r>
      <w:r w:rsidRPr="00FD5BAD">
        <w:t xml:space="preserve"> access mechanisms that are sufficiently secure and robust given the security and privacy risks associated with unauthorised access to the PCEHR system;</w:t>
      </w:r>
    </w:p>
    <w:p w:rsidR="00E75302" w:rsidRPr="00FD5BAD" w:rsidRDefault="00421FB0" w:rsidP="00A80F92">
      <w:pPr>
        <w:pStyle w:val="Healthnumlevel2"/>
        <w:numPr>
          <w:ilvl w:val="2"/>
          <w:numId w:val="34"/>
        </w:numPr>
      </w:pPr>
      <w:r w:rsidRPr="00FD5BAD">
        <w:t xml:space="preserve">ensuring that </w:t>
      </w:r>
      <w:r w:rsidR="00E75302" w:rsidRPr="00FD5BAD">
        <w:t xml:space="preserve">the </w:t>
      </w:r>
      <w:r w:rsidR="00FB6054" w:rsidRPr="00FD5BAD">
        <w:t xml:space="preserve">user </w:t>
      </w:r>
      <w:r w:rsidR="00E75302" w:rsidRPr="00FD5BAD">
        <w:t>accounts of persons no longer authorised to access the PCEHR system via or on behalf of the healthcare provider organisation</w:t>
      </w:r>
      <w:r w:rsidRPr="00FD5BAD">
        <w:t xml:space="preserve"> prevent access to the PCEHR system</w:t>
      </w:r>
      <w:r w:rsidR="00E75302" w:rsidRPr="00FD5BAD">
        <w:t>;</w:t>
      </w:r>
      <w:r w:rsidR="00DB1081" w:rsidRPr="00FD5BAD">
        <w:t xml:space="preserve"> and</w:t>
      </w:r>
      <w:r w:rsidR="00475389" w:rsidRPr="00FD5BAD">
        <w:t xml:space="preserve"> </w:t>
      </w:r>
    </w:p>
    <w:p w:rsidR="00EE5557" w:rsidRPr="00FD5BAD" w:rsidRDefault="00E75302" w:rsidP="00A80F92">
      <w:pPr>
        <w:pStyle w:val="Healthnumlevel2"/>
        <w:numPr>
          <w:ilvl w:val="2"/>
          <w:numId w:val="34"/>
        </w:numPr>
      </w:pPr>
      <w:r w:rsidRPr="00FD5BAD">
        <w:t>suspending a</w:t>
      </w:r>
      <w:r w:rsidR="00FB6054" w:rsidRPr="00FD5BAD">
        <w:t xml:space="preserve"> user</w:t>
      </w:r>
      <w:r w:rsidRPr="00FD5BAD">
        <w:t xml:space="preserve"> account </w:t>
      </w:r>
      <w:r w:rsidR="00475389" w:rsidRPr="00FD5BAD">
        <w:t xml:space="preserve">that enables access to the PCEHR system </w:t>
      </w:r>
      <w:r w:rsidRPr="00FD5BAD">
        <w:t xml:space="preserve">as soon as practicable after becoming aware that the account or its </w:t>
      </w:r>
      <w:r w:rsidR="00DB1081" w:rsidRPr="00FD5BAD">
        <w:t>password or access mechanism has been compromised.</w:t>
      </w:r>
      <w:r w:rsidRPr="00FD5BAD">
        <w:t xml:space="preserve"> </w:t>
      </w:r>
    </w:p>
    <w:p w:rsidR="005F386B" w:rsidRPr="00FD5BAD" w:rsidRDefault="00596D91" w:rsidP="007A28E3">
      <w:pPr>
        <w:pStyle w:val="Heading1"/>
      </w:pPr>
      <w:bookmarkStart w:id="70" w:name="_Toc331682022"/>
      <w:r w:rsidRPr="00FD5BAD">
        <w:t>Retention of record codes and document codes</w:t>
      </w:r>
      <w:bookmarkEnd w:id="70"/>
    </w:p>
    <w:p w:rsidR="00596D91" w:rsidRPr="00FD5BAD" w:rsidRDefault="00596D91" w:rsidP="007A28E3">
      <w:pPr>
        <w:pStyle w:val="HealthLevel1"/>
      </w:pPr>
      <w:r w:rsidRPr="00FD5BAD">
        <w:t>Healthcare provider organisations must ensure that people using their information technology systems to access the PCEHR system via or on behalf of the organisation do not record, store or retain a copy of a consumer’s record code or document code</w:t>
      </w:r>
      <w:r w:rsidR="00D349B3" w:rsidRPr="00FD5BAD">
        <w:t xml:space="preserve"> for </w:t>
      </w:r>
      <w:r w:rsidR="000B3776" w:rsidRPr="00FD5BAD">
        <w:t xml:space="preserve">the purposes of </w:t>
      </w:r>
      <w:r w:rsidR="00D349B3" w:rsidRPr="00FD5BAD">
        <w:t>access</w:t>
      </w:r>
      <w:r w:rsidR="000B3776" w:rsidRPr="00FD5BAD">
        <w:t>ing</w:t>
      </w:r>
      <w:r w:rsidR="00D349B3" w:rsidRPr="00FD5BAD">
        <w:t xml:space="preserve"> the consumer’s PCEHR</w:t>
      </w:r>
      <w:r w:rsidR="000B3776" w:rsidRPr="00FD5BAD">
        <w:t>,</w:t>
      </w:r>
      <w:r w:rsidR="00D349B3" w:rsidRPr="00FD5BAD">
        <w:t xml:space="preserve"> or a record in the consumer’s PCEHR</w:t>
      </w:r>
      <w:r w:rsidR="000B3776" w:rsidRPr="00FD5BAD">
        <w:t>, in the future</w:t>
      </w:r>
      <w:r w:rsidRPr="00FD5BAD">
        <w:t>.</w:t>
      </w:r>
    </w:p>
    <w:p w:rsidR="00E05BEB" w:rsidRPr="00FD5BAD" w:rsidRDefault="00E05BEB" w:rsidP="00E05BEB">
      <w:pPr>
        <w:pStyle w:val="Healthnote"/>
        <w:ind w:left="1843" w:hanging="992"/>
        <w:rPr>
          <w:iCs w:val="0"/>
          <w:color w:val="auto"/>
        </w:rPr>
      </w:pPr>
      <w:r w:rsidRPr="00FD5BAD">
        <w:t>Note:</w:t>
      </w:r>
      <w:r w:rsidRPr="00FD5BAD">
        <w:tab/>
      </w:r>
      <w:r w:rsidR="009C6A81" w:rsidRPr="00FD5BAD">
        <w:t xml:space="preserve">Where a record code or document code is used to access a PCEHR or a record in a PCEHR, the code is not stored in the healthcare provider organisation’s clinical information system. </w:t>
      </w:r>
      <w:r w:rsidR="001E2460" w:rsidRPr="00FD5BAD">
        <w:t>For example, u</w:t>
      </w:r>
      <w:r w:rsidR="009C6A81" w:rsidRPr="00FD5BAD">
        <w:t xml:space="preserve">sing </w:t>
      </w:r>
      <w:r w:rsidR="001E2460" w:rsidRPr="00FD5BAD">
        <w:t>a</w:t>
      </w:r>
      <w:r w:rsidR="009C6A81" w:rsidRPr="00FD5BAD">
        <w:t xml:space="preserve"> </w:t>
      </w:r>
      <w:r w:rsidR="001E2460" w:rsidRPr="00FD5BAD">
        <w:t xml:space="preserve">record </w:t>
      </w:r>
      <w:r w:rsidR="009C6A81" w:rsidRPr="00FD5BAD">
        <w:t>code</w:t>
      </w:r>
      <w:r w:rsidR="001E2460" w:rsidRPr="00FD5BAD">
        <w:t xml:space="preserve"> </w:t>
      </w:r>
      <w:r w:rsidR="009C6A81" w:rsidRPr="00FD5BAD">
        <w:t>places the organisation on the access list for the consumer’s PCEHR</w:t>
      </w:r>
      <w:r w:rsidR="001E2460" w:rsidRPr="00FD5BAD">
        <w:t xml:space="preserve">, and </w:t>
      </w:r>
      <w:r w:rsidR="0029204D" w:rsidRPr="00FD5BAD">
        <w:t>information about th</w:t>
      </w:r>
      <w:r w:rsidR="001E2460" w:rsidRPr="00FD5BAD">
        <w:t xml:space="preserve">is </w:t>
      </w:r>
      <w:r w:rsidR="0029204D" w:rsidRPr="00FD5BAD">
        <w:t xml:space="preserve">permitted </w:t>
      </w:r>
      <w:r w:rsidR="001E2460" w:rsidRPr="00FD5BAD">
        <w:t xml:space="preserve">access is stored by the System Operator.  </w:t>
      </w:r>
      <w:r w:rsidR="0029204D" w:rsidRPr="00FD5BAD">
        <w:t xml:space="preserve">It will not be </w:t>
      </w:r>
      <w:r w:rsidR="0029204D" w:rsidRPr="00FD5BAD">
        <w:lastRenderedPageBreak/>
        <w:t xml:space="preserve">necessary for a healthcare provider organisation to enter the record code each time access is needed to the same consumer’s PCEHR, provided the organisation remains on the access list for the consumer’s PCEHR. </w:t>
      </w:r>
    </w:p>
    <w:p w:rsidR="00642AF2" w:rsidRPr="00FD5BAD" w:rsidRDefault="005F02F9" w:rsidP="009756F9">
      <w:pPr>
        <w:pStyle w:val="Heading2NoNum"/>
        <w:keepNext/>
      </w:pPr>
      <w:bookmarkStart w:id="71" w:name="_Toc331682023"/>
      <w:r w:rsidRPr="00FD5BAD">
        <w:t xml:space="preserve">Division </w:t>
      </w:r>
      <w:r w:rsidR="0019094E" w:rsidRPr="00FD5BAD">
        <w:t>3</w:t>
      </w:r>
      <w:r w:rsidRPr="00FD5BAD">
        <w:tab/>
        <w:t xml:space="preserve">Responding to </w:t>
      </w:r>
      <w:r w:rsidR="00AC56AC" w:rsidRPr="00FD5BAD">
        <w:t xml:space="preserve">information </w:t>
      </w:r>
      <w:r w:rsidRPr="00FD5BAD">
        <w:t>security threats</w:t>
      </w:r>
      <w:bookmarkEnd w:id="71"/>
    </w:p>
    <w:p w:rsidR="00642AF2" w:rsidRPr="00FD5BAD" w:rsidRDefault="008D29AA" w:rsidP="009756F9">
      <w:pPr>
        <w:pStyle w:val="Heading1"/>
      </w:pPr>
      <w:bookmarkStart w:id="72" w:name="_Toc331682024"/>
      <w:r w:rsidRPr="00FD5BAD">
        <w:t>A</w:t>
      </w:r>
      <w:r w:rsidR="009756F9" w:rsidRPr="00FD5BAD">
        <w:t>ccess to the PCEHR system may be suspended</w:t>
      </w:r>
      <w:bookmarkEnd w:id="72"/>
    </w:p>
    <w:p w:rsidR="00B53B96" w:rsidRPr="00FD5BAD" w:rsidRDefault="00961DCA" w:rsidP="00A80F92">
      <w:pPr>
        <w:pStyle w:val="HealthnumLevel5"/>
        <w:numPr>
          <w:ilvl w:val="5"/>
          <w:numId w:val="50"/>
        </w:numPr>
      </w:pPr>
      <w:r w:rsidRPr="00FD5BAD">
        <w:t>I</w:t>
      </w:r>
      <w:r w:rsidR="000502DE" w:rsidRPr="00FD5BAD">
        <w:t xml:space="preserve">f </w:t>
      </w:r>
      <w:r w:rsidR="009756F9" w:rsidRPr="00FD5BAD">
        <w:t>the System Operator considers that</w:t>
      </w:r>
      <w:r w:rsidR="000502DE" w:rsidRPr="00FD5BAD">
        <w:t xml:space="preserve"> the security or integrity of the PCEHR System </w:t>
      </w:r>
      <w:r w:rsidR="00B53B96" w:rsidRPr="00FD5BAD">
        <w:t>has been</w:t>
      </w:r>
      <w:r w:rsidR="000502DE" w:rsidRPr="00FD5BAD">
        <w:t>, or may be, compromised by</w:t>
      </w:r>
      <w:r w:rsidR="00B53B96" w:rsidRPr="00FD5BAD">
        <w:t xml:space="preserve"> the information technology systems of a participant in the PCEHR system</w:t>
      </w:r>
      <w:r w:rsidRPr="00FD5BAD">
        <w:t>, t</w:t>
      </w:r>
      <w:r w:rsidR="00C018FA" w:rsidRPr="00FD5BAD">
        <w:t>he System Operator may suspend the participant’s access to the PCEHR system with immediate effect</w:t>
      </w:r>
      <w:r w:rsidRPr="00FD5BAD">
        <w:t>.</w:t>
      </w:r>
    </w:p>
    <w:p w:rsidR="00274D3A" w:rsidRPr="00FD5BAD" w:rsidRDefault="00274D3A" w:rsidP="00B53B96">
      <w:pPr>
        <w:pStyle w:val="HealthnumLevel5"/>
      </w:pPr>
      <w:r w:rsidRPr="00FD5BAD">
        <w:t xml:space="preserve">In this rule, </w:t>
      </w:r>
      <w:r w:rsidR="001538EC" w:rsidRPr="00FD5BAD">
        <w:t xml:space="preserve">the </w:t>
      </w:r>
      <w:r w:rsidRPr="00FD5BAD">
        <w:t xml:space="preserve">information technology systems of a participant in the PCEHR system include </w:t>
      </w:r>
      <w:r w:rsidR="001538EC" w:rsidRPr="00FD5BAD">
        <w:t>the credentials that enable a participant’s identity to be authenticated in electronic transmissions</w:t>
      </w:r>
      <w:r w:rsidR="00011241" w:rsidRPr="00FD5BAD">
        <w:t>.</w:t>
      </w:r>
    </w:p>
    <w:p w:rsidR="00961DCA" w:rsidRPr="00FD5BAD" w:rsidRDefault="00961DCA" w:rsidP="00B53B96">
      <w:pPr>
        <w:pStyle w:val="HealthnumLevel5"/>
      </w:pPr>
      <w:r w:rsidRPr="00FD5BAD">
        <w:t>The System Operator must notify in writing a</w:t>
      </w:r>
      <w:r w:rsidR="007923B6" w:rsidRPr="00FD5BAD">
        <w:t xml:space="preserve"> participant </w:t>
      </w:r>
      <w:r w:rsidRPr="00FD5BAD">
        <w:t>whose access to the P</w:t>
      </w:r>
      <w:r w:rsidR="00FC292B" w:rsidRPr="00FD5BAD">
        <w:t>C</w:t>
      </w:r>
      <w:r w:rsidRPr="00FD5BAD">
        <w:t xml:space="preserve">EHR system has been suspended under subrule (1). </w:t>
      </w:r>
    </w:p>
    <w:p w:rsidR="00961DCA" w:rsidRPr="00FD5BAD" w:rsidRDefault="00FC292B" w:rsidP="00B53B96">
      <w:pPr>
        <w:pStyle w:val="HealthnumLevel5"/>
      </w:pPr>
      <w:r w:rsidRPr="00FD5BAD">
        <w:t>The notice in subrule (</w:t>
      </w:r>
      <w:r w:rsidR="00274D3A" w:rsidRPr="00FD5BAD">
        <w:t>3</w:t>
      </w:r>
      <w:r w:rsidRPr="00FD5BAD">
        <w:t>) must be given as soon as practica</w:t>
      </w:r>
      <w:r w:rsidR="00645E2F" w:rsidRPr="00FD5BAD">
        <w:t>b</w:t>
      </w:r>
      <w:r w:rsidRPr="00FD5BAD">
        <w:t>l</w:t>
      </w:r>
      <w:r w:rsidR="00645E2F" w:rsidRPr="00FD5BAD">
        <w:t>e</w:t>
      </w:r>
      <w:r w:rsidRPr="00FD5BAD">
        <w:t xml:space="preserve"> after suspension occurs and must specify: </w:t>
      </w:r>
    </w:p>
    <w:p w:rsidR="000502DE" w:rsidRPr="00FD5BAD" w:rsidRDefault="00FC292B" w:rsidP="00A80F92">
      <w:pPr>
        <w:pStyle w:val="Healthnumlevel2"/>
        <w:numPr>
          <w:ilvl w:val="2"/>
          <w:numId w:val="49"/>
        </w:numPr>
      </w:pPr>
      <w:r w:rsidRPr="00FD5BAD">
        <w:t>the reasons for suspension; and</w:t>
      </w:r>
    </w:p>
    <w:p w:rsidR="009756F9" w:rsidRPr="00FD5BAD" w:rsidRDefault="00FC292B" w:rsidP="00B53B96">
      <w:pPr>
        <w:pStyle w:val="Healthnumlevel2"/>
      </w:pPr>
      <w:r w:rsidRPr="00FD5BAD">
        <w:t>the steps that the System Operator requires</w:t>
      </w:r>
      <w:r w:rsidR="0004639E" w:rsidRPr="00FD5BAD">
        <w:t xml:space="preserve"> the </w:t>
      </w:r>
      <w:r w:rsidR="007923B6" w:rsidRPr="00FD5BAD">
        <w:t xml:space="preserve">participant </w:t>
      </w:r>
      <w:r w:rsidR="0004639E" w:rsidRPr="00FD5BAD">
        <w:t xml:space="preserve">to take before the </w:t>
      </w:r>
      <w:r w:rsidR="007923B6" w:rsidRPr="00FD5BAD">
        <w:t xml:space="preserve">participant’s </w:t>
      </w:r>
      <w:r w:rsidR="0004639E" w:rsidRPr="00FD5BAD">
        <w:t xml:space="preserve">access to the </w:t>
      </w:r>
      <w:r w:rsidR="008D29AA" w:rsidRPr="00FD5BAD">
        <w:t>PCEHR system is restored.</w:t>
      </w:r>
      <w:r w:rsidR="009756F9" w:rsidRPr="00FD5BAD">
        <w:t xml:space="preserve"> </w:t>
      </w:r>
    </w:p>
    <w:p w:rsidR="000B69CF" w:rsidRPr="00FD5BAD" w:rsidRDefault="00B45D7F" w:rsidP="000B69CF">
      <w:pPr>
        <w:pStyle w:val="HealthnumLevel5"/>
      </w:pPr>
      <w:r w:rsidRPr="00FD5BAD">
        <w:t>The S</w:t>
      </w:r>
      <w:r w:rsidR="000B69CF" w:rsidRPr="00FD5BAD">
        <w:t xml:space="preserve">ystem </w:t>
      </w:r>
      <w:r w:rsidRPr="00FD5BAD">
        <w:t>O</w:t>
      </w:r>
      <w:r w:rsidR="000B69CF" w:rsidRPr="00FD5BAD">
        <w:t>perator must restore access to the PCEHR system for a</w:t>
      </w:r>
      <w:r w:rsidR="007923B6" w:rsidRPr="00FD5BAD">
        <w:t xml:space="preserve"> participant </w:t>
      </w:r>
      <w:r w:rsidR="00645E2F" w:rsidRPr="00FD5BAD">
        <w:t xml:space="preserve">whose access was suspended under subrule (1) as soon as practicable after the System Operator is satisfied that the </w:t>
      </w:r>
      <w:r w:rsidR="00BE0CB3" w:rsidRPr="00FD5BAD">
        <w:t xml:space="preserve">participant’s </w:t>
      </w:r>
      <w:r w:rsidR="00645E2F" w:rsidRPr="00FD5BAD">
        <w:t xml:space="preserve">information technology systems </w:t>
      </w:r>
      <w:r w:rsidRPr="00FD5BAD">
        <w:t>no longer compromise, or may compromise, the security or integrity of the PCEHR system.</w:t>
      </w:r>
    </w:p>
    <w:p w:rsidR="008D29AA" w:rsidRPr="00FD5BAD" w:rsidRDefault="008D29AA" w:rsidP="008D29AA">
      <w:pPr>
        <w:pStyle w:val="Heading1"/>
      </w:pPr>
      <w:bookmarkStart w:id="73" w:name="_Toc331682025"/>
      <w:r w:rsidRPr="00FD5BAD">
        <w:t>Effect of suspension of access</w:t>
      </w:r>
      <w:bookmarkEnd w:id="73"/>
    </w:p>
    <w:p w:rsidR="008D29AA" w:rsidRDefault="008D29AA" w:rsidP="000B69CF">
      <w:pPr>
        <w:pStyle w:val="HealthLevel1"/>
      </w:pPr>
      <w:r w:rsidRPr="00FD5BAD">
        <w:t xml:space="preserve">Nothing in </w:t>
      </w:r>
      <w:r w:rsidR="000B69CF" w:rsidRPr="00FD5BAD">
        <w:t xml:space="preserve">rule </w:t>
      </w:r>
      <w:r w:rsidR="002462B4" w:rsidRPr="00FD5BAD">
        <w:t>29</w:t>
      </w:r>
      <w:r w:rsidRPr="00FD5BAD">
        <w:t xml:space="preserve"> affects</w:t>
      </w:r>
      <w:r w:rsidR="000B69CF" w:rsidRPr="00FD5BAD">
        <w:t xml:space="preserve"> the registration of a participant in the PCEHR system under the Act.</w:t>
      </w:r>
    </w:p>
    <w:p w:rsidR="00642AF2" w:rsidRDefault="00642AF2" w:rsidP="00642AF2">
      <w:pPr>
        <w:pStyle w:val="HealthLevel1"/>
      </w:pPr>
    </w:p>
    <w:p w:rsidR="00642AF2" w:rsidRDefault="00642AF2" w:rsidP="00642AF2">
      <w:pPr>
        <w:pStyle w:val="HealthLevel1"/>
      </w:pPr>
    </w:p>
    <w:p w:rsidR="00642AF2" w:rsidRDefault="00642AF2" w:rsidP="00642AF2">
      <w:pPr>
        <w:pStyle w:val="HealthLevel1"/>
      </w:pPr>
    </w:p>
    <w:p w:rsidR="00642AF2" w:rsidRDefault="00642AF2" w:rsidP="00642AF2">
      <w:pPr>
        <w:pStyle w:val="HealthLevel1"/>
      </w:pPr>
    </w:p>
    <w:p w:rsidR="004643BE" w:rsidRPr="005402EE" w:rsidRDefault="004643BE" w:rsidP="00BD65B5">
      <w:bookmarkStart w:id="74" w:name="_Toc156230588"/>
      <w:bookmarkStart w:id="75" w:name="_Toc156230589"/>
      <w:bookmarkStart w:id="76" w:name="_Toc156230590"/>
      <w:bookmarkStart w:id="77" w:name="param0"/>
      <w:bookmarkStart w:id="78" w:name="param1"/>
      <w:bookmarkStart w:id="79" w:name="param2"/>
      <w:bookmarkStart w:id="80" w:name="param3"/>
      <w:bookmarkStart w:id="81" w:name="param4"/>
      <w:bookmarkStart w:id="82" w:name="_Toc311730540"/>
      <w:bookmarkStart w:id="83" w:name="_Toc311730541"/>
      <w:bookmarkEnd w:id="30"/>
      <w:bookmarkEnd w:id="31"/>
      <w:bookmarkEnd w:id="32"/>
      <w:bookmarkEnd w:id="34"/>
      <w:bookmarkEnd w:id="35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sectPr w:rsidR="004643BE" w:rsidRPr="005402EE" w:rsidSect="006878A6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440" w:right="1797" w:bottom="1440" w:left="1797" w:header="709" w:footer="252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CE" w:rsidRDefault="00757ECE">
      <w:r>
        <w:separator/>
      </w:r>
    </w:p>
  </w:endnote>
  <w:endnote w:type="continuationSeparator" w:id="0">
    <w:p w:rsidR="00757ECE" w:rsidRDefault="0075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701"/>
      <w:gridCol w:w="4933"/>
      <w:gridCol w:w="1701"/>
    </w:tblGrid>
    <w:tr w:rsidR="00AF6ACA">
      <w:tc>
        <w:tcPr>
          <w:tcW w:w="1701" w:type="dxa"/>
          <w:tcBorders>
            <w:top w:val="single" w:sz="4" w:space="0" w:color="auto"/>
          </w:tcBorders>
        </w:tcPr>
        <w:p w:rsidR="00AF6ACA" w:rsidRDefault="00B13126">
          <w:pPr>
            <w:pStyle w:val="Footer"/>
          </w:pPr>
          <w:r>
            <w:rPr>
              <w:rStyle w:val="PageNumber"/>
            </w:rPr>
            <w:fldChar w:fldCharType="begin"/>
          </w:r>
          <w:r w:rsidR="00AF6ACA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F6ACA"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AF6ACA" w:rsidRPr="00C87F5E" w:rsidRDefault="00AF6ACA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 w:rsidR="00B13126"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 w:rsidR="00B13126">
            <w:rPr>
              <w:i/>
              <w:iCs/>
            </w:rPr>
            <w:fldChar w:fldCharType="separate"/>
          </w:r>
        </w:p>
        <w:tbl>
          <w:tblPr>
            <w:tblW w:w="0" w:type="auto"/>
            <w:jc w:val="center"/>
            <w:tblLayout w:type="fixed"/>
            <w:tblLook w:val="0000"/>
          </w:tblPr>
          <w:tblGrid>
            <w:gridCol w:w="8335"/>
          </w:tblGrid>
          <w:tr w:rsidR="00AF6ACA" w:rsidRPr="00C87F5E">
            <w:trPr>
              <w:cantSplit/>
              <w:jc w:val="center"/>
            </w:trPr>
            <w:tc>
              <w:tcPr>
                <w:tcW w:w="8335" w:type="dxa"/>
              </w:tcPr>
              <w:p w:rsidR="00AF6ACA" w:rsidRPr="00C87F5E" w:rsidRDefault="00AF6ACA">
                <w:pPr>
                  <w:pStyle w:val="Header"/>
                  <w:tabs>
                    <w:tab w:val="clear" w:pos="4153"/>
                    <w:tab w:val="left" w:pos="3590"/>
                  </w:tabs>
                  <w:jc w:val="right"/>
                  <w:rPr>
                    <w:rFonts w:ascii="Times New Roman" w:hAnsi="Times New Roman"/>
                    <w:b w:val="0"/>
                    <w:i/>
                    <w:iCs/>
                    <w:sz w:val="24"/>
                  </w:rPr>
                </w:pPr>
                <w:r w:rsidRPr="00C87F5E">
                  <w:rPr>
                    <w:rFonts w:ascii="Times New Roman" w:hAnsi="Times New Roman"/>
                    <w:b w:val="0"/>
                    <w:i/>
                    <w:iCs/>
                    <w:sz w:val="24"/>
                  </w:rPr>
                  <w:t>Part 1</w:t>
                </w:r>
                <w:r w:rsidRPr="00C87F5E">
                  <w:rPr>
                    <w:rFonts w:ascii="Times New Roman" w:hAnsi="Times New Roman"/>
                    <w:b w:val="0"/>
                    <w:i/>
                    <w:iCs/>
                    <w:sz w:val="24"/>
                  </w:rPr>
                  <w:tab/>
                  <w:t>Preliminary</w:t>
                </w:r>
              </w:p>
            </w:tc>
          </w:tr>
          <w:tr w:rsidR="00AF6ACA" w:rsidRPr="00C87F5E">
            <w:trPr>
              <w:cantSplit/>
              <w:jc w:val="center"/>
            </w:trPr>
            <w:tc>
              <w:tcPr>
                <w:tcW w:w="8335" w:type="dxa"/>
              </w:tcPr>
              <w:p w:rsidR="00AF6ACA" w:rsidRPr="00C87F5E" w:rsidRDefault="00AF6ACA">
                <w:pPr>
                  <w:rPr>
                    <w:i/>
                    <w:iCs/>
                  </w:rPr>
                </w:pPr>
              </w:p>
            </w:tc>
          </w:tr>
          <w:tr w:rsidR="00AF6ACA" w:rsidRPr="00C87F5E">
            <w:trPr>
              <w:cantSplit/>
              <w:jc w:val="center"/>
            </w:trPr>
            <w:tc>
              <w:tcPr>
                <w:tcW w:w="8335" w:type="dxa"/>
                <w:tcBorders>
                  <w:bottom w:val="single" w:sz="4" w:space="0" w:color="auto"/>
                </w:tcBorders>
              </w:tcPr>
              <w:p w:rsidR="00AF6ACA" w:rsidRPr="00C87F5E" w:rsidRDefault="00AF6ACA">
                <w:pPr>
                  <w:pStyle w:val="Header"/>
                  <w:rPr>
                    <w:rFonts w:ascii="Times New Roman" w:hAnsi="Times New Roman"/>
                    <w:b w:val="0"/>
                    <w:i/>
                    <w:iCs/>
                    <w:sz w:val="24"/>
                  </w:rPr>
                </w:pPr>
              </w:p>
            </w:tc>
          </w:tr>
        </w:tbl>
        <w:p w:rsidR="00AF6ACA" w:rsidRPr="00C87F5E" w:rsidRDefault="00AF6ACA">
          <w:pPr>
            <w:rPr>
              <w:i/>
              <w:iCs/>
            </w:rPr>
          </w:pPr>
        </w:p>
        <w:p w:rsidR="00AF6ACA" w:rsidRDefault="00B13126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AF6ACA" w:rsidRDefault="00B13126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 w:rsidR="00AF6ACA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F6ACA"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</w:tr>
  </w:tbl>
  <w:p w:rsidR="00AF6ACA" w:rsidRDefault="00AF6A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8335"/>
    </w:tblGrid>
    <w:tr w:rsidR="00AF6ACA">
      <w:tc>
        <w:tcPr>
          <w:tcW w:w="8335" w:type="dxa"/>
          <w:tcBorders>
            <w:top w:val="single" w:sz="4" w:space="0" w:color="auto"/>
          </w:tcBorders>
        </w:tcPr>
        <w:p w:rsidR="00AF6ACA" w:rsidRDefault="00B13126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 w:rsidR="00AF6ACA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77FB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AF6ACA" w:rsidRPr="007129FF" w:rsidRDefault="00AF6ACA" w:rsidP="009C1421">
    <w:pPr>
      <w:pStyle w:val="Footer"/>
      <w:jc w:val="center"/>
    </w:pPr>
    <w:bookmarkStart w:id="6" w:name="IsForm"/>
    <w:bookmarkEnd w:id="6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560"/>
      <w:gridCol w:w="5074"/>
      <w:gridCol w:w="1701"/>
    </w:tblGrid>
    <w:tr w:rsidR="00AF6ACA">
      <w:tc>
        <w:tcPr>
          <w:tcW w:w="1560" w:type="dxa"/>
          <w:tcBorders>
            <w:top w:val="single" w:sz="4" w:space="0" w:color="auto"/>
          </w:tcBorders>
        </w:tcPr>
        <w:p w:rsidR="00AF6ACA" w:rsidRDefault="00B13126">
          <w:pPr>
            <w:pStyle w:val="Footer"/>
          </w:pPr>
          <w:r>
            <w:rPr>
              <w:rStyle w:val="PageNumber"/>
            </w:rPr>
            <w:fldChar w:fldCharType="begin"/>
          </w:r>
          <w:r w:rsidR="00AF6ACA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F6ACA"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  <w:tc>
        <w:tcPr>
          <w:tcW w:w="5074" w:type="dxa"/>
          <w:tcBorders>
            <w:top w:val="single" w:sz="4" w:space="0" w:color="auto"/>
          </w:tcBorders>
        </w:tcPr>
        <w:p w:rsidR="00AF6ACA" w:rsidRPr="00B90F4A" w:rsidRDefault="00B13126" w:rsidP="00C44574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 w:rsidRPr="00B90F4A">
            <w:rPr>
              <w:i/>
              <w:iCs/>
            </w:rPr>
            <w:fldChar w:fldCharType="begin"/>
          </w:r>
          <w:r w:rsidR="00AF6ACA" w:rsidRPr="00B90F4A">
            <w:rPr>
              <w:i/>
              <w:iCs/>
            </w:rPr>
            <w:instrText xml:space="preserve"> REF  Title6  \* MERGEFORMAT </w:instrText>
          </w:r>
          <w:r w:rsidRPr="00B90F4A">
            <w:rPr>
              <w:i/>
              <w:iCs/>
            </w:rPr>
            <w:fldChar w:fldCharType="separate"/>
          </w:r>
          <w:r w:rsidR="00AF6ACA">
            <w:rPr>
              <w:b/>
              <w:bCs/>
              <w:i/>
              <w:iCs/>
              <w:lang w:val="en-US"/>
            </w:rPr>
            <w:t>Error! Reference source not found.</w:t>
          </w:r>
          <w:r w:rsidRPr="00B90F4A"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AF6ACA" w:rsidRDefault="00AF6ACA">
          <w:pPr>
            <w:pStyle w:val="Footer"/>
            <w:jc w:val="right"/>
          </w:pPr>
        </w:p>
      </w:tc>
    </w:tr>
  </w:tbl>
  <w:p w:rsidR="00AF6ACA" w:rsidRDefault="00AF6AC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701"/>
      <w:gridCol w:w="5103"/>
      <w:gridCol w:w="1531"/>
    </w:tblGrid>
    <w:tr w:rsidR="00AF6ACA">
      <w:tc>
        <w:tcPr>
          <w:tcW w:w="1701" w:type="dxa"/>
          <w:tcBorders>
            <w:top w:val="single" w:sz="4" w:space="0" w:color="auto"/>
          </w:tcBorders>
        </w:tcPr>
        <w:p w:rsidR="00AF6ACA" w:rsidRDefault="00AF6ACA">
          <w:pPr>
            <w:pStyle w:val="Footer"/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AF6ACA" w:rsidRPr="007E06CF" w:rsidRDefault="00AF6ACA" w:rsidP="00805466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PCEHR Rules 2012</w:t>
          </w:r>
        </w:p>
      </w:tc>
      <w:tc>
        <w:tcPr>
          <w:tcW w:w="1531" w:type="dxa"/>
          <w:tcBorders>
            <w:top w:val="single" w:sz="4" w:space="0" w:color="auto"/>
          </w:tcBorders>
        </w:tcPr>
        <w:p w:rsidR="00AF6ACA" w:rsidRDefault="00B13126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 w:rsidR="00AF6ACA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77FB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AF6ACA" w:rsidRDefault="00AF6AC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701"/>
      <w:gridCol w:w="5103"/>
      <w:gridCol w:w="1531"/>
    </w:tblGrid>
    <w:tr w:rsidR="00AF6ACA">
      <w:tc>
        <w:tcPr>
          <w:tcW w:w="1701" w:type="dxa"/>
          <w:tcBorders>
            <w:top w:val="single" w:sz="4" w:space="0" w:color="auto"/>
          </w:tcBorders>
        </w:tcPr>
        <w:p w:rsidR="00AF6ACA" w:rsidRDefault="00AF6ACA">
          <w:pPr>
            <w:pStyle w:val="Footer"/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AF6ACA" w:rsidRPr="0093739B" w:rsidRDefault="00AF6ACA" w:rsidP="00805466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PCEHR Rules 2012</w:t>
          </w:r>
        </w:p>
      </w:tc>
      <w:tc>
        <w:tcPr>
          <w:tcW w:w="1531" w:type="dxa"/>
          <w:tcBorders>
            <w:top w:val="single" w:sz="4" w:space="0" w:color="auto"/>
          </w:tcBorders>
        </w:tcPr>
        <w:p w:rsidR="00AF6ACA" w:rsidRDefault="00B13126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 w:rsidR="00AF6ACA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77FB5">
            <w:rPr>
              <w:rStyle w:val="PageNumber"/>
              <w:noProof/>
            </w:rPr>
            <w:t>21</w:t>
          </w:r>
          <w:r>
            <w:rPr>
              <w:rStyle w:val="PageNumber"/>
            </w:rPr>
            <w:fldChar w:fldCharType="end"/>
          </w:r>
        </w:p>
      </w:tc>
    </w:tr>
  </w:tbl>
  <w:p w:rsidR="00AF6ACA" w:rsidRDefault="00AF6A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CE" w:rsidRDefault="00757ECE">
      <w:pPr>
        <w:pStyle w:val="Header"/>
      </w:pPr>
    </w:p>
    <w:p w:rsidR="00757ECE" w:rsidRDefault="00757ECE"/>
    <w:tbl>
      <w:tblPr>
        <w:tblW w:w="8335" w:type="dxa"/>
        <w:jc w:val="center"/>
        <w:tblLayout w:type="fixed"/>
        <w:tblLook w:val="0000"/>
      </w:tblPr>
      <w:tblGrid>
        <w:gridCol w:w="8335"/>
      </w:tblGrid>
      <w:tr w:rsidR="00757ECE">
        <w:trPr>
          <w:cantSplit/>
          <w:jc w:val="center"/>
        </w:trPr>
        <w:tc>
          <w:tcPr>
            <w:tcW w:w="8335" w:type="dxa"/>
          </w:tcPr>
          <w:p w:rsidR="00757ECE" w:rsidRDefault="00B13126" w:rsidP="00A16B9D">
            <w:pPr>
              <w:pStyle w:val="Header"/>
              <w:jc w:val="both"/>
              <w:rPr>
                <w:b w:val="0"/>
              </w:rPr>
            </w:pPr>
            <w:fldSimple w:instr=" STYLEREF &quot;Heading 1 No Num&quot;\l \* mergeformat  ">
              <w:r w:rsidR="00757ECE">
                <w:rPr>
                  <w:b w:val="0"/>
                  <w:noProof/>
                </w:rPr>
                <w:t>Part 2</w:t>
              </w:r>
              <w:r w:rsidR="00757ECE">
                <w:rPr>
                  <w:b w:val="0"/>
                  <w:noProof/>
                </w:rPr>
                <w:tab/>
                <w:t>Access control mechanisms</w:t>
              </w:r>
            </w:fldSimple>
          </w:p>
        </w:tc>
      </w:tr>
      <w:tr w:rsidR="00757ECE">
        <w:trPr>
          <w:cantSplit/>
          <w:jc w:val="center"/>
        </w:trPr>
        <w:tc>
          <w:tcPr>
            <w:tcW w:w="8335" w:type="dxa"/>
          </w:tcPr>
          <w:p w:rsidR="00757ECE" w:rsidRDefault="00757ECE"/>
        </w:tc>
      </w:tr>
      <w:tr w:rsidR="00757ECE">
        <w:trPr>
          <w:cantSplit/>
          <w:jc w:val="center"/>
        </w:trPr>
        <w:tc>
          <w:tcPr>
            <w:tcW w:w="8335" w:type="dxa"/>
            <w:tcBorders>
              <w:bottom w:val="single" w:sz="4" w:space="0" w:color="auto"/>
            </w:tcBorders>
          </w:tcPr>
          <w:p w:rsidR="00757ECE" w:rsidRDefault="00757ECE">
            <w:pPr>
              <w:pStyle w:val="Header"/>
            </w:pPr>
          </w:p>
        </w:tc>
      </w:tr>
    </w:tbl>
    <w:p w:rsidR="00757ECE" w:rsidRDefault="00757ECE"/>
    <w:tbl>
      <w:tblPr>
        <w:tblW w:w="0" w:type="auto"/>
        <w:jc w:val="center"/>
        <w:tblLayout w:type="fixed"/>
        <w:tblLook w:val="0000"/>
      </w:tblPr>
      <w:tblGrid>
        <w:gridCol w:w="8335"/>
      </w:tblGrid>
      <w:tr w:rsidR="00757ECE">
        <w:trPr>
          <w:cantSplit/>
          <w:jc w:val="center"/>
        </w:trPr>
        <w:tc>
          <w:tcPr>
            <w:tcW w:w="8335" w:type="dxa"/>
          </w:tcPr>
          <w:p w:rsidR="00757ECE" w:rsidRDefault="00B13126">
            <w:pPr>
              <w:pStyle w:val="Header"/>
              <w:tabs>
                <w:tab w:val="clear" w:pos="4153"/>
                <w:tab w:val="left" w:pos="3590"/>
              </w:tabs>
              <w:jc w:val="right"/>
              <w:rPr>
                <w:b w:val="0"/>
              </w:rPr>
            </w:pPr>
            <w:fldSimple w:instr=" STYLEREF &quot;Heading 1 No Num&quot;\l \* mergeformat  ">
              <w:r w:rsidR="00757ECE">
                <w:rPr>
                  <w:b w:val="0"/>
                  <w:noProof/>
                </w:rPr>
                <w:t>Part 2</w:t>
              </w:r>
              <w:r w:rsidR="00757ECE">
                <w:rPr>
                  <w:b w:val="0"/>
                  <w:noProof/>
                </w:rPr>
                <w:tab/>
                <w:t>Access control mechanisms</w:t>
              </w:r>
            </w:fldSimple>
            <w:bookmarkStart w:id="0" w:name="x"/>
            <w:bookmarkStart w:id="1" w:name="citation"/>
            <w:bookmarkEnd w:id="0"/>
          </w:p>
        </w:tc>
      </w:tr>
      <w:tr w:rsidR="00757ECE">
        <w:trPr>
          <w:cantSplit/>
          <w:jc w:val="center"/>
        </w:trPr>
        <w:tc>
          <w:tcPr>
            <w:tcW w:w="8335" w:type="dxa"/>
          </w:tcPr>
          <w:p w:rsidR="00757ECE" w:rsidRDefault="00757ECE"/>
        </w:tc>
      </w:tr>
      <w:tr w:rsidR="00757ECE">
        <w:trPr>
          <w:cantSplit/>
          <w:jc w:val="center"/>
        </w:trPr>
        <w:tc>
          <w:tcPr>
            <w:tcW w:w="8335" w:type="dxa"/>
            <w:tcBorders>
              <w:bottom w:val="single" w:sz="4" w:space="0" w:color="auto"/>
            </w:tcBorders>
          </w:tcPr>
          <w:p w:rsidR="00757ECE" w:rsidRDefault="00757ECE">
            <w:pPr>
              <w:pStyle w:val="Header"/>
            </w:pPr>
          </w:p>
        </w:tc>
      </w:tr>
    </w:tbl>
    <w:p w:rsidR="00757ECE" w:rsidRDefault="00757ECE"/>
    <w:bookmarkEnd w:id="1"/>
    <w:p w:rsidR="00757ECE" w:rsidRDefault="00757ECE">
      <w:pPr>
        <w:pStyle w:val="Header"/>
      </w:pPr>
    </w:p>
    <w:p w:rsidR="00757ECE" w:rsidRDefault="00757ECE"/>
    <w:p w:rsidR="00757ECE" w:rsidRDefault="00757ECE">
      <w:r>
        <w:separator/>
      </w:r>
    </w:p>
  </w:footnote>
  <w:footnote w:type="continuationSeparator" w:id="0">
    <w:p w:rsidR="00757ECE" w:rsidRDefault="0075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531"/>
      <w:gridCol w:w="6804"/>
    </w:tblGrid>
    <w:tr w:rsidR="00AF6ACA">
      <w:trPr>
        <w:jc w:val="center"/>
      </w:trPr>
      <w:tc>
        <w:tcPr>
          <w:tcW w:w="1531" w:type="dxa"/>
        </w:tcPr>
        <w:p w:rsidR="00AF6ACA" w:rsidRDefault="00AF6ACA"/>
      </w:tc>
      <w:tc>
        <w:tcPr>
          <w:tcW w:w="6804" w:type="dxa"/>
        </w:tcPr>
        <w:p w:rsidR="00AF6ACA" w:rsidRDefault="00AF6ACA"/>
      </w:tc>
    </w:tr>
    <w:tr w:rsidR="00AF6ACA">
      <w:trPr>
        <w:jc w:val="center"/>
      </w:trPr>
      <w:tc>
        <w:tcPr>
          <w:tcW w:w="1531" w:type="dxa"/>
        </w:tcPr>
        <w:p w:rsidR="00AF6ACA" w:rsidRDefault="00AF6ACA"/>
      </w:tc>
      <w:tc>
        <w:tcPr>
          <w:tcW w:w="6804" w:type="dxa"/>
        </w:tcPr>
        <w:p w:rsidR="00AF6ACA" w:rsidRDefault="00AF6ACA"/>
      </w:tc>
    </w:tr>
    <w:tr w:rsidR="00AF6ACA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AF6ACA" w:rsidRDefault="00AF6ACA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AF6ACA" w:rsidRDefault="00AF6ACA">
          <w:pPr>
            <w:spacing w:before="120" w:after="60"/>
          </w:pPr>
        </w:p>
      </w:tc>
    </w:tr>
  </w:tbl>
  <w:p w:rsidR="00AF6ACA" w:rsidRDefault="00AF6A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CA" w:rsidRDefault="00AF6ACA">
    <w:pPr>
      <w:pStyle w:val="Header"/>
      <w:jc w:val="right"/>
      <w:rPr>
        <w:outline/>
        <w:shadow/>
        <w:sz w:val="7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CA" w:rsidRDefault="00AF6AC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531"/>
      <w:gridCol w:w="6804"/>
    </w:tblGrid>
    <w:tr w:rsidR="00AF6ACA">
      <w:trPr>
        <w:jc w:val="center"/>
      </w:trPr>
      <w:tc>
        <w:tcPr>
          <w:tcW w:w="1531" w:type="dxa"/>
        </w:tcPr>
        <w:p w:rsidR="00AF6ACA" w:rsidRDefault="00AF6ACA"/>
      </w:tc>
      <w:tc>
        <w:tcPr>
          <w:tcW w:w="6804" w:type="dxa"/>
        </w:tcPr>
        <w:p w:rsidR="00AF6ACA" w:rsidRDefault="00AF6ACA">
          <w:pPr>
            <w:jc w:val="right"/>
            <w:rPr>
              <w:rFonts w:ascii="Arial" w:hAnsi="Arial" w:cs="Arial"/>
            </w:rPr>
          </w:pPr>
        </w:p>
      </w:tc>
    </w:tr>
    <w:tr w:rsidR="00AF6ACA">
      <w:trPr>
        <w:jc w:val="center"/>
      </w:trPr>
      <w:tc>
        <w:tcPr>
          <w:tcW w:w="1531" w:type="dxa"/>
        </w:tcPr>
        <w:p w:rsidR="00AF6ACA" w:rsidRDefault="00AF6ACA"/>
      </w:tc>
      <w:tc>
        <w:tcPr>
          <w:tcW w:w="6804" w:type="dxa"/>
        </w:tcPr>
        <w:p w:rsidR="00AF6ACA" w:rsidRDefault="00AF6ACA"/>
      </w:tc>
    </w:tr>
    <w:tr w:rsidR="00AF6ACA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AF6ACA" w:rsidRDefault="00AF6ACA">
          <w:pPr>
            <w:pStyle w:val="Header"/>
            <w:jc w:val="right"/>
          </w:pPr>
          <w:r>
            <w:t>Contents</w:t>
          </w:r>
        </w:p>
      </w:tc>
    </w:tr>
  </w:tbl>
  <w:p w:rsidR="00AF6ACA" w:rsidRDefault="00AF6AC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531"/>
      <w:gridCol w:w="6804"/>
    </w:tblGrid>
    <w:tr w:rsidR="00AF6ACA">
      <w:trPr>
        <w:jc w:val="center"/>
      </w:trPr>
      <w:tc>
        <w:tcPr>
          <w:tcW w:w="1531" w:type="dxa"/>
        </w:tcPr>
        <w:p w:rsidR="00AF6ACA" w:rsidRDefault="00AF6ACA"/>
      </w:tc>
      <w:tc>
        <w:tcPr>
          <w:tcW w:w="6804" w:type="dxa"/>
        </w:tcPr>
        <w:p w:rsidR="00AF6ACA" w:rsidRDefault="00AF6ACA">
          <w:pPr>
            <w:jc w:val="right"/>
            <w:rPr>
              <w:rFonts w:ascii="Arial" w:hAnsi="Arial" w:cs="Arial"/>
            </w:rPr>
          </w:pPr>
        </w:p>
      </w:tc>
    </w:tr>
    <w:tr w:rsidR="00AF6ACA">
      <w:trPr>
        <w:jc w:val="center"/>
      </w:trPr>
      <w:tc>
        <w:tcPr>
          <w:tcW w:w="1531" w:type="dxa"/>
        </w:tcPr>
        <w:p w:rsidR="00AF6ACA" w:rsidRDefault="00AF6ACA"/>
      </w:tc>
      <w:tc>
        <w:tcPr>
          <w:tcW w:w="6804" w:type="dxa"/>
        </w:tcPr>
        <w:p w:rsidR="00AF6ACA" w:rsidRDefault="00AF6ACA"/>
      </w:tc>
    </w:tr>
    <w:tr w:rsidR="00AF6ACA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AF6ACA" w:rsidRDefault="00AF6ACA">
          <w:pPr>
            <w:pStyle w:val="Header"/>
            <w:jc w:val="right"/>
          </w:pPr>
          <w:r>
            <w:t>Contents</w:t>
          </w:r>
        </w:p>
      </w:tc>
    </w:tr>
  </w:tbl>
  <w:p w:rsidR="00AF6ACA" w:rsidRDefault="00AF6ACA">
    <w:pPr>
      <w:pStyle w:val="Header"/>
      <w:jc w:val="right"/>
      <w:rPr>
        <w:outline/>
        <w:shadow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CA" w:rsidRDefault="00AF6ACA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35" w:type="dxa"/>
      <w:jc w:val="center"/>
      <w:tblLayout w:type="fixed"/>
      <w:tblLook w:val="0000"/>
    </w:tblPr>
    <w:tblGrid>
      <w:gridCol w:w="8335"/>
    </w:tblGrid>
    <w:tr w:rsidR="00AF6ACA">
      <w:trPr>
        <w:cantSplit/>
        <w:jc w:val="center"/>
      </w:trPr>
      <w:tc>
        <w:tcPr>
          <w:tcW w:w="8335" w:type="dxa"/>
        </w:tcPr>
        <w:p w:rsidR="00AF6ACA" w:rsidRDefault="00B13126" w:rsidP="00A16B9D">
          <w:pPr>
            <w:pStyle w:val="Header"/>
            <w:jc w:val="both"/>
            <w:rPr>
              <w:b w:val="0"/>
            </w:rPr>
          </w:pPr>
          <w:fldSimple w:instr=" STYLEREF &quot;Heading 1 No Num&quot;\l \* mergeformat  ">
            <w:r w:rsidR="00AF6ACA">
              <w:rPr>
                <w:b w:val="0"/>
                <w:noProof/>
              </w:rPr>
              <w:t>Part 1</w:t>
            </w:r>
            <w:r w:rsidR="00AF6ACA">
              <w:rPr>
                <w:b w:val="0"/>
                <w:noProof/>
              </w:rPr>
              <w:tab/>
              <w:t>Preliminary</w:t>
            </w:r>
          </w:fldSimple>
        </w:p>
      </w:tc>
    </w:tr>
    <w:tr w:rsidR="00AF6ACA">
      <w:trPr>
        <w:cantSplit/>
        <w:jc w:val="center"/>
      </w:trPr>
      <w:tc>
        <w:tcPr>
          <w:tcW w:w="8335" w:type="dxa"/>
        </w:tcPr>
        <w:p w:rsidR="00AF6ACA" w:rsidRDefault="00AF6ACA"/>
      </w:tc>
    </w:tr>
    <w:tr w:rsidR="00AF6ACA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AF6ACA" w:rsidRDefault="00AF6ACA">
          <w:pPr>
            <w:pStyle w:val="Header"/>
          </w:pPr>
        </w:p>
      </w:tc>
    </w:tr>
  </w:tbl>
  <w:p w:rsidR="00AF6ACA" w:rsidRDefault="00AF6AC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8335"/>
    </w:tblGrid>
    <w:tr w:rsidR="00AF6ACA" w:rsidTr="005B7226">
      <w:trPr>
        <w:cantSplit/>
        <w:jc w:val="center"/>
      </w:trPr>
      <w:tc>
        <w:tcPr>
          <w:tcW w:w="8335" w:type="dxa"/>
        </w:tcPr>
        <w:p w:rsidR="00AF6ACA" w:rsidRDefault="00B13126" w:rsidP="00B26BDA">
          <w:pPr>
            <w:pStyle w:val="Header"/>
            <w:tabs>
              <w:tab w:val="clear" w:pos="4153"/>
              <w:tab w:val="clear" w:pos="8306"/>
              <w:tab w:val="left" w:pos="144"/>
              <w:tab w:val="right" w:pos="8126"/>
            </w:tabs>
            <w:jc w:val="right"/>
            <w:rPr>
              <w:b w:val="0"/>
            </w:rPr>
          </w:pPr>
          <w:fldSimple w:instr=" STYLEREF &quot;Heading 1 No Num&quot;\l \* mergeformat  ">
            <w:r w:rsidR="00477FB5" w:rsidRPr="00477FB5">
              <w:rPr>
                <w:b w:val="0"/>
                <w:noProof/>
              </w:rPr>
              <w:t>Part 5</w:t>
            </w:r>
            <w:r w:rsidR="00477FB5" w:rsidRPr="00477FB5">
              <w:rPr>
                <w:b w:val="0"/>
                <w:noProof/>
              </w:rPr>
              <w:tab/>
              <w:t>Participation</w:t>
            </w:r>
            <w:r w:rsidR="00477FB5">
              <w:rPr>
                <w:noProof/>
              </w:rPr>
              <w:t xml:space="preserve"> requirements</w:t>
            </w:r>
          </w:fldSimple>
        </w:p>
        <w:p w:rsidR="00AF6ACA" w:rsidRDefault="00AF6ACA" w:rsidP="005B7226">
          <w:pPr>
            <w:pStyle w:val="Header"/>
            <w:tabs>
              <w:tab w:val="clear" w:pos="4153"/>
              <w:tab w:val="left" w:pos="3590"/>
            </w:tabs>
            <w:jc w:val="right"/>
            <w:rPr>
              <w:b w:val="0"/>
            </w:rPr>
          </w:pPr>
        </w:p>
      </w:tc>
    </w:tr>
    <w:tr w:rsidR="00AF6ACA" w:rsidTr="005B7226">
      <w:trPr>
        <w:cantSplit/>
        <w:jc w:val="center"/>
      </w:trPr>
      <w:tc>
        <w:tcPr>
          <w:tcW w:w="8335" w:type="dxa"/>
        </w:tcPr>
        <w:p w:rsidR="00AF6ACA" w:rsidRDefault="00AF6ACA" w:rsidP="005B7226"/>
      </w:tc>
    </w:tr>
    <w:tr w:rsidR="00AF6ACA" w:rsidTr="005B7226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AF6ACA" w:rsidRDefault="00AF6ACA" w:rsidP="005B7226">
          <w:pPr>
            <w:pStyle w:val="Header"/>
          </w:pPr>
        </w:p>
      </w:tc>
    </w:tr>
  </w:tbl>
  <w:p w:rsidR="00AF6ACA" w:rsidRDefault="00AF6AC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CA" w:rsidRDefault="00AF6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095A"/>
    <w:multiLevelType w:val="hybridMultilevel"/>
    <w:tmpl w:val="F4F29FE0"/>
    <w:lvl w:ilvl="0" w:tplc="7CB0ED34">
      <w:start w:val="1"/>
      <w:numFmt w:val="lowerLetter"/>
      <w:pStyle w:val="sub-paraxChar"/>
      <w:lvlText w:val="(%1)"/>
      <w:lvlJc w:val="left"/>
      <w:pPr>
        <w:tabs>
          <w:tab w:val="num" w:pos="3827"/>
        </w:tabs>
        <w:ind w:left="3827" w:hanging="567"/>
      </w:pPr>
      <w:rPr>
        <w:rFonts w:hint="default"/>
        <w:b w:val="0"/>
        <w:i w:val="0"/>
        <w:color w:val="000000"/>
      </w:rPr>
    </w:lvl>
    <w:lvl w:ilvl="1" w:tplc="E9C4AB7C">
      <w:start w:val="1"/>
      <w:numFmt w:val="lowerLetter"/>
      <w:lvlText w:val="(%2)"/>
      <w:lvlJc w:val="left"/>
      <w:pPr>
        <w:tabs>
          <w:tab w:val="num" w:pos="2497"/>
        </w:tabs>
        <w:ind w:left="2497" w:hanging="567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347F305B"/>
    <w:multiLevelType w:val="multilevel"/>
    <w:tmpl w:val="C9728F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lowerLetter"/>
      <w:pStyle w:val="Heading91"/>
      <w:lvlText w:val="(%5)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58144413"/>
    <w:multiLevelType w:val="multilevel"/>
    <w:tmpl w:val="CE701EF0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5">
    <w:nsid w:val="6D8E1E6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FF944BF"/>
    <w:multiLevelType w:val="multilevel"/>
    <w:tmpl w:val="8C284C68"/>
    <w:lvl w:ilvl="0">
      <w:start w:val="1"/>
      <w:numFmt w:val="decimal"/>
      <w:lvlRestart w:val="0"/>
      <w:pStyle w:val="Heading1A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none"/>
      <w:pStyle w:val="Heading2"/>
      <w:lvlText w:val="8A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hint="default"/>
        <w:sz w:val="24"/>
        <w:szCs w:val="24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170"/>
        </w:tabs>
        <w:ind w:left="2170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pStyle w:val="HealthnumLevel5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pStyle w:val="HealthnumLevel6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removePersonalInformation/>
  <w:removeDateAndTime/>
  <w:proofState w:spelling="clean"/>
  <w:stylePaneFormatFilter w:val="3F01"/>
  <w:doNotTrackMoves/>
  <w:doNotTrackFormatting/>
  <w:defaultTabStop w:val="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D9C"/>
    <w:rsid w:val="000004E1"/>
    <w:rsid w:val="00001AC3"/>
    <w:rsid w:val="00001C61"/>
    <w:rsid w:val="00001DB9"/>
    <w:rsid w:val="000021E4"/>
    <w:rsid w:val="0000227E"/>
    <w:rsid w:val="000026D6"/>
    <w:rsid w:val="00002DB0"/>
    <w:rsid w:val="00004586"/>
    <w:rsid w:val="00004DCA"/>
    <w:rsid w:val="00004F70"/>
    <w:rsid w:val="00005955"/>
    <w:rsid w:val="0000600B"/>
    <w:rsid w:val="00006525"/>
    <w:rsid w:val="0001070D"/>
    <w:rsid w:val="00011241"/>
    <w:rsid w:val="0001299A"/>
    <w:rsid w:val="00012CAD"/>
    <w:rsid w:val="00012D47"/>
    <w:rsid w:val="00013204"/>
    <w:rsid w:val="00013669"/>
    <w:rsid w:val="0001389C"/>
    <w:rsid w:val="00013CDF"/>
    <w:rsid w:val="00014221"/>
    <w:rsid w:val="000147D5"/>
    <w:rsid w:val="00014F35"/>
    <w:rsid w:val="00014F9F"/>
    <w:rsid w:val="00015273"/>
    <w:rsid w:val="00016592"/>
    <w:rsid w:val="0001715A"/>
    <w:rsid w:val="00017492"/>
    <w:rsid w:val="00017665"/>
    <w:rsid w:val="00017798"/>
    <w:rsid w:val="00017802"/>
    <w:rsid w:val="000208E5"/>
    <w:rsid w:val="00020C47"/>
    <w:rsid w:val="00021047"/>
    <w:rsid w:val="00021CF6"/>
    <w:rsid w:val="000227EB"/>
    <w:rsid w:val="0002295D"/>
    <w:rsid w:val="00022A1C"/>
    <w:rsid w:val="000231C6"/>
    <w:rsid w:val="00023E2E"/>
    <w:rsid w:val="00024D42"/>
    <w:rsid w:val="00025BA3"/>
    <w:rsid w:val="00025BA6"/>
    <w:rsid w:val="0002608F"/>
    <w:rsid w:val="00026F0E"/>
    <w:rsid w:val="0002786F"/>
    <w:rsid w:val="0003068B"/>
    <w:rsid w:val="00030780"/>
    <w:rsid w:val="00031200"/>
    <w:rsid w:val="000320F1"/>
    <w:rsid w:val="00032EE0"/>
    <w:rsid w:val="00033803"/>
    <w:rsid w:val="00033B21"/>
    <w:rsid w:val="000341B0"/>
    <w:rsid w:val="00035A61"/>
    <w:rsid w:val="000367B0"/>
    <w:rsid w:val="00036F87"/>
    <w:rsid w:val="00037732"/>
    <w:rsid w:val="00037734"/>
    <w:rsid w:val="0003793A"/>
    <w:rsid w:val="00037BC0"/>
    <w:rsid w:val="0004010D"/>
    <w:rsid w:val="00040748"/>
    <w:rsid w:val="00040796"/>
    <w:rsid w:val="00040A27"/>
    <w:rsid w:val="000414B3"/>
    <w:rsid w:val="00041BA9"/>
    <w:rsid w:val="00041D8F"/>
    <w:rsid w:val="000420BA"/>
    <w:rsid w:val="000426AA"/>
    <w:rsid w:val="00042AE4"/>
    <w:rsid w:val="00043EC9"/>
    <w:rsid w:val="00044782"/>
    <w:rsid w:val="00046032"/>
    <w:rsid w:val="000462C6"/>
    <w:rsid w:val="0004639E"/>
    <w:rsid w:val="00046B2C"/>
    <w:rsid w:val="000502DE"/>
    <w:rsid w:val="000506DC"/>
    <w:rsid w:val="00050B74"/>
    <w:rsid w:val="00051B91"/>
    <w:rsid w:val="00051DC8"/>
    <w:rsid w:val="0005223D"/>
    <w:rsid w:val="0005260C"/>
    <w:rsid w:val="00052770"/>
    <w:rsid w:val="00052E18"/>
    <w:rsid w:val="00052FC7"/>
    <w:rsid w:val="00053F65"/>
    <w:rsid w:val="000545C6"/>
    <w:rsid w:val="00056675"/>
    <w:rsid w:val="00056B97"/>
    <w:rsid w:val="00056F23"/>
    <w:rsid w:val="0006071B"/>
    <w:rsid w:val="00060A16"/>
    <w:rsid w:val="00060E70"/>
    <w:rsid w:val="00061AAA"/>
    <w:rsid w:val="00063D8B"/>
    <w:rsid w:val="000641CA"/>
    <w:rsid w:val="00064351"/>
    <w:rsid w:val="000644FF"/>
    <w:rsid w:val="000647F9"/>
    <w:rsid w:val="00064C3A"/>
    <w:rsid w:val="000665F9"/>
    <w:rsid w:val="00066865"/>
    <w:rsid w:val="00066BF6"/>
    <w:rsid w:val="00067AC4"/>
    <w:rsid w:val="00067B98"/>
    <w:rsid w:val="000705ED"/>
    <w:rsid w:val="0007123F"/>
    <w:rsid w:val="000713CC"/>
    <w:rsid w:val="000716A0"/>
    <w:rsid w:val="00071D57"/>
    <w:rsid w:val="00071FEA"/>
    <w:rsid w:val="00072147"/>
    <w:rsid w:val="000723F5"/>
    <w:rsid w:val="00074543"/>
    <w:rsid w:val="000747E7"/>
    <w:rsid w:val="0007547F"/>
    <w:rsid w:val="00075557"/>
    <w:rsid w:val="00076BCC"/>
    <w:rsid w:val="000774C0"/>
    <w:rsid w:val="00077A55"/>
    <w:rsid w:val="00077DE7"/>
    <w:rsid w:val="00077F98"/>
    <w:rsid w:val="000805CD"/>
    <w:rsid w:val="00082945"/>
    <w:rsid w:val="0008395E"/>
    <w:rsid w:val="00083C41"/>
    <w:rsid w:val="00083CB2"/>
    <w:rsid w:val="00084687"/>
    <w:rsid w:val="00085F6B"/>
    <w:rsid w:val="0008601F"/>
    <w:rsid w:val="00086396"/>
    <w:rsid w:val="00086592"/>
    <w:rsid w:val="00087E23"/>
    <w:rsid w:val="0009009F"/>
    <w:rsid w:val="000900EC"/>
    <w:rsid w:val="0009072C"/>
    <w:rsid w:val="0009082D"/>
    <w:rsid w:val="000909D7"/>
    <w:rsid w:val="00090BDE"/>
    <w:rsid w:val="000910FD"/>
    <w:rsid w:val="0009131D"/>
    <w:rsid w:val="00092326"/>
    <w:rsid w:val="0009269B"/>
    <w:rsid w:val="000929FC"/>
    <w:rsid w:val="00092EA7"/>
    <w:rsid w:val="000932F2"/>
    <w:rsid w:val="00093522"/>
    <w:rsid w:val="00094497"/>
    <w:rsid w:val="00094ECF"/>
    <w:rsid w:val="000950F0"/>
    <w:rsid w:val="0009596D"/>
    <w:rsid w:val="00095E9E"/>
    <w:rsid w:val="000973DB"/>
    <w:rsid w:val="00097A8D"/>
    <w:rsid w:val="000A1BCE"/>
    <w:rsid w:val="000A2724"/>
    <w:rsid w:val="000A3968"/>
    <w:rsid w:val="000A3AE6"/>
    <w:rsid w:val="000A44B8"/>
    <w:rsid w:val="000A573F"/>
    <w:rsid w:val="000A6145"/>
    <w:rsid w:val="000A6250"/>
    <w:rsid w:val="000A6BB3"/>
    <w:rsid w:val="000A75F1"/>
    <w:rsid w:val="000B2C5E"/>
    <w:rsid w:val="000B3454"/>
    <w:rsid w:val="000B349D"/>
    <w:rsid w:val="000B3776"/>
    <w:rsid w:val="000B39AC"/>
    <w:rsid w:val="000B3EE1"/>
    <w:rsid w:val="000B3F39"/>
    <w:rsid w:val="000B439F"/>
    <w:rsid w:val="000B46E2"/>
    <w:rsid w:val="000B49E6"/>
    <w:rsid w:val="000B4C12"/>
    <w:rsid w:val="000B5ECD"/>
    <w:rsid w:val="000B6494"/>
    <w:rsid w:val="000B69CF"/>
    <w:rsid w:val="000B7EEF"/>
    <w:rsid w:val="000B7F34"/>
    <w:rsid w:val="000C18EB"/>
    <w:rsid w:val="000C1C22"/>
    <w:rsid w:val="000C2919"/>
    <w:rsid w:val="000C2F35"/>
    <w:rsid w:val="000C38AF"/>
    <w:rsid w:val="000C4754"/>
    <w:rsid w:val="000C59B9"/>
    <w:rsid w:val="000C5B8F"/>
    <w:rsid w:val="000C5C53"/>
    <w:rsid w:val="000C5FE0"/>
    <w:rsid w:val="000C7514"/>
    <w:rsid w:val="000C7AC7"/>
    <w:rsid w:val="000D0223"/>
    <w:rsid w:val="000D1EE8"/>
    <w:rsid w:val="000D1F8C"/>
    <w:rsid w:val="000D24F0"/>
    <w:rsid w:val="000D29A1"/>
    <w:rsid w:val="000D2F5A"/>
    <w:rsid w:val="000D354E"/>
    <w:rsid w:val="000D3B70"/>
    <w:rsid w:val="000D3DEF"/>
    <w:rsid w:val="000D3F02"/>
    <w:rsid w:val="000D48C7"/>
    <w:rsid w:val="000D53AC"/>
    <w:rsid w:val="000D5AF9"/>
    <w:rsid w:val="000D5C9F"/>
    <w:rsid w:val="000D6B79"/>
    <w:rsid w:val="000D797A"/>
    <w:rsid w:val="000E1A6F"/>
    <w:rsid w:val="000E204D"/>
    <w:rsid w:val="000E2E2C"/>
    <w:rsid w:val="000E2E48"/>
    <w:rsid w:val="000E30E9"/>
    <w:rsid w:val="000E3C64"/>
    <w:rsid w:val="000E51D8"/>
    <w:rsid w:val="000E5ABD"/>
    <w:rsid w:val="000E6A80"/>
    <w:rsid w:val="000E6E61"/>
    <w:rsid w:val="000E71A8"/>
    <w:rsid w:val="000E786D"/>
    <w:rsid w:val="000E7D58"/>
    <w:rsid w:val="000F0412"/>
    <w:rsid w:val="000F08BA"/>
    <w:rsid w:val="000F1248"/>
    <w:rsid w:val="000F1599"/>
    <w:rsid w:val="000F1701"/>
    <w:rsid w:val="000F17C1"/>
    <w:rsid w:val="000F2B2D"/>
    <w:rsid w:val="000F37CB"/>
    <w:rsid w:val="000F4629"/>
    <w:rsid w:val="000F4EBA"/>
    <w:rsid w:val="000F59FF"/>
    <w:rsid w:val="000F619B"/>
    <w:rsid w:val="000F67D6"/>
    <w:rsid w:val="000F6BC0"/>
    <w:rsid w:val="000F7290"/>
    <w:rsid w:val="000F79A1"/>
    <w:rsid w:val="0010049B"/>
    <w:rsid w:val="0010081F"/>
    <w:rsid w:val="0010091C"/>
    <w:rsid w:val="0010095A"/>
    <w:rsid w:val="00100A6F"/>
    <w:rsid w:val="001012B9"/>
    <w:rsid w:val="0010144C"/>
    <w:rsid w:val="00101BD6"/>
    <w:rsid w:val="001021FF"/>
    <w:rsid w:val="00104D8D"/>
    <w:rsid w:val="001051F3"/>
    <w:rsid w:val="00106437"/>
    <w:rsid w:val="001064E5"/>
    <w:rsid w:val="001068B3"/>
    <w:rsid w:val="0010735F"/>
    <w:rsid w:val="0010770F"/>
    <w:rsid w:val="001078CD"/>
    <w:rsid w:val="00110A40"/>
    <w:rsid w:val="00110B49"/>
    <w:rsid w:val="00111629"/>
    <w:rsid w:val="00111CB2"/>
    <w:rsid w:val="0011211D"/>
    <w:rsid w:val="001124AD"/>
    <w:rsid w:val="00112F43"/>
    <w:rsid w:val="00113164"/>
    <w:rsid w:val="00114EDD"/>
    <w:rsid w:val="001155EC"/>
    <w:rsid w:val="00115AF1"/>
    <w:rsid w:val="00115CB0"/>
    <w:rsid w:val="00115CFF"/>
    <w:rsid w:val="00116A3D"/>
    <w:rsid w:val="00120754"/>
    <w:rsid w:val="00120A38"/>
    <w:rsid w:val="00121B4C"/>
    <w:rsid w:val="00121BFD"/>
    <w:rsid w:val="001221CE"/>
    <w:rsid w:val="0012342F"/>
    <w:rsid w:val="001234D5"/>
    <w:rsid w:val="00123894"/>
    <w:rsid w:val="00124427"/>
    <w:rsid w:val="00124472"/>
    <w:rsid w:val="00125B25"/>
    <w:rsid w:val="001262F9"/>
    <w:rsid w:val="00126969"/>
    <w:rsid w:val="00127825"/>
    <w:rsid w:val="00127C88"/>
    <w:rsid w:val="001300CB"/>
    <w:rsid w:val="001304C8"/>
    <w:rsid w:val="001312B7"/>
    <w:rsid w:val="00131850"/>
    <w:rsid w:val="00131C08"/>
    <w:rsid w:val="001332B3"/>
    <w:rsid w:val="001344AF"/>
    <w:rsid w:val="001358E5"/>
    <w:rsid w:val="00135FC1"/>
    <w:rsid w:val="0013668F"/>
    <w:rsid w:val="00137C3A"/>
    <w:rsid w:val="00137CC7"/>
    <w:rsid w:val="00140A9A"/>
    <w:rsid w:val="001436E7"/>
    <w:rsid w:val="00143D90"/>
    <w:rsid w:val="00143F31"/>
    <w:rsid w:val="001446A1"/>
    <w:rsid w:val="00145E10"/>
    <w:rsid w:val="00146EF4"/>
    <w:rsid w:val="0014742C"/>
    <w:rsid w:val="00147510"/>
    <w:rsid w:val="001479D2"/>
    <w:rsid w:val="00147A36"/>
    <w:rsid w:val="0015068C"/>
    <w:rsid w:val="0015087F"/>
    <w:rsid w:val="001509B3"/>
    <w:rsid w:val="00150C00"/>
    <w:rsid w:val="00151021"/>
    <w:rsid w:val="0015161B"/>
    <w:rsid w:val="00151976"/>
    <w:rsid w:val="001519F0"/>
    <w:rsid w:val="00151CD2"/>
    <w:rsid w:val="00151FF7"/>
    <w:rsid w:val="00153137"/>
    <w:rsid w:val="001536F7"/>
    <w:rsid w:val="001538EC"/>
    <w:rsid w:val="0015462F"/>
    <w:rsid w:val="00155097"/>
    <w:rsid w:val="00157107"/>
    <w:rsid w:val="00157F0F"/>
    <w:rsid w:val="001600D8"/>
    <w:rsid w:val="001606D1"/>
    <w:rsid w:val="00160BF1"/>
    <w:rsid w:val="001618BC"/>
    <w:rsid w:val="00162182"/>
    <w:rsid w:val="0016344B"/>
    <w:rsid w:val="00163872"/>
    <w:rsid w:val="00163ED0"/>
    <w:rsid w:val="00164EE1"/>
    <w:rsid w:val="00165248"/>
    <w:rsid w:val="00165391"/>
    <w:rsid w:val="001656B8"/>
    <w:rsid w:val="001658B8"/>
    <w:rsid w:val="00165B07"/>
    <w:rsid w:val="0016681D"/>
    <w:rsid w:val="00166EA3"/>
    <w:rsid w:val="00166F5C"/>
    <w:rsid w:val="00167782"/>
    <w:rsid w:val="00167ADB"/>
    <w:rsid w:val="00167B34"/>
    <w:rsid w:val="00170B7A"/>
    <w:rsid w:val="0017139C"/>
    <w:rsid w:val="00171EE1"/>
    <w:rsid w:val="00171F4E"/>
    <w:rsid w:val="00172680"/>
    <w:rsid w:val="00172903"/>
    <w:rsid w:val="00173406"/>
    <w:rsid w:val="001734BF"/>
    <w:rsid w:val="001739DE"/>
    <w:rsid w:val="00173C8B"/>
    <w:rsid w:val="00173EA1"/>
    <w:rsid w:val="00174CA9"/>
    <w:rsid w:val="0017533C"/>
    <w:rsid w:val="00175844"/>
    <w:rsid w:val="00175ED1"/>
    <w:rsid w:val="001765B1"/>
    <w:rsid w:val="001771B3"/>
    <w:rsid w:val="00180351"/>
    <w:rsid w:val="00180E1D"/>
    <w:rsid w:val="001829ED"/>
    <w:rsid w:val="00183087"/>
    <w:rsid w:val="00183746"/>
    <w:rsid w:val="00183B2F"/>
    <w:rsid w:val="00184248"/>
    <w:rsid w:val="00185675"/>
    <w:rsid w:val="00185FC4"/>
    <w:rsid w:val="00187628"/>
    <w:rsid w:val="001876A0"/>
    <w:rsid w:val="00187FD4"/>
    <w:rsid w:val="0019079C"/>
    <w:rsid w:val="0019094E"/>
    <w:rsid w:val="00190A52"/>
    <w:rsid w:val="001912BC"/>
    <w:rsid w:val="0019130B"/>
    <w:rsid w:val="0019146A"/>
    <w:rsid w:val="00191A4C"/>
    <w:rsid w:val="00191EEE"/>
    <w:rsid w:val="001920D2"/>
    <w:rsid w:val="001920F7"/>
    <w:rsid w:val="00192CBC"/>
    <w:rsid w:val="00192D48"/>
    <w:rsid w:val="0019321E"/>
    <w:rsid w:val="00193644"/>
    <w:rsid w:val="00193E84"/>
    <w:rsid w:val="00193F3B"/>
    <w:rsid w:val="00194DDA"/>
    <w:rsid w:val="00194F6E"/>
    <w:rsid w:val="00195A89"/>
    <w:rsid w:val="00195AF8"/>
    <w:rsid w:val="001966C4"/>
    <w:rsid w:val="0019797A"/>
    <w:rsid w:val="001A0439"/>
    <w:rsid w:val="001A06D2"/>
    <w:rsid w:val="001A2BDA"/>
    <w:rsid w:val="001A2BF9"/>
    <w:rsid w:val="001A2DFE"/>
    <w:rsid w:val="001A2F1C"/>
    <w:rsid w:val="001A34C8"/>
    <w:rsid w:val="001A3B2D"/>
    <w:rsid w:val="001A40D4"/>
    <w:rsid w:val="001A51D1"/>
    <w:rsid w:val="001A5700"/>
    <w:rsid w:val="001A5A93"/>
    <w:rsid w:val="001A6A94"/>
    <w:rsid w:val="001A74FE"/>
    <w:rsid w:val="001A7EEA"/>
    <w:rsid w:val="001A7F1C"/>
    <w:rsid w:val="001B188B"/>
    <w:rsid w:val="001B1F51"/>
    <w:rsid w:val="001B21E5"/>
    <w:rsid w:val="001B25D8"/>
    <w:rsid w:val="001B4076"/>
    <w:rsid w:val="001B408A"/>
    <w:rsid w:val="001B6C01"/>
    <w:rsid w:val="001B7779"/>
    <w:rsid w:val="001C0D53"/>
    <w:rsid w:val="001C104C"/>
    <w:rsid w:val="001C14EB"/>
    <w:rsid w:val="001C15BF"/>
    <w:rsid w:val="001C25DE"/>
    <w:rsid w:val="001C3ECD"/>
    <w:rsid w:val="001C4064"/>
    <w:rsid w:val="001C40F4"/>
    <w:rsid w:val="001C42EA"/>
    <w:rsid w:val="001C44A5"/>
    <w:rsid w:val="001C5A62"/>
    <w:rsid w:val="001C61EC"/>
    <w:rsid w:val="001C62A6"/>
    <w:rsid w:val="001C72E0"/>
    <w:rsid w:val="001C7A8E"/>
    <w:rsid w:val="001C7AA6"/>
    <w:rsid w:val="001D0258"/>
    <w:rsid w:val="001D1004"/>
    <w:rsid w:val="001D1318"/>
    <w:rsid w:val="001D1CEF"/>
    <w:rsid w:val="001D2A80"/>
    <w:rsid w:val="001D2B1C"/>
    <w:rsid w:val="001D3B20"/>
    <w:rsid w:val="001D4E5A"/>
    <w:rsid w:val="001D4EFC"/>
    <w:rsid w:val="001D53CA"/>
    <w:rsid w:val="001D61DA"/>
    <w:rsid w:val="001D654F"/>
    <w:rsid w:val="001D7AA2"/>
    <w:rsid w:val="001E015B"/>
    <w:rsid w:val="001E193E"/>
    <w:rsid w:val="001E2460"/>
    <w:rsid w:val="001E2EC0"/>
    <w:rsid w:val="001E2FFF"/>
    <w:rsid w:val="001E5051"/>
    <w:rsid w:val="001E6AD9"/>
    <w:rsid w:val="001E7222"/>
    <w:rsid w:val="001E74CC"/>
    <w:rsid w:val="001E7585"/>
    <w:rsid w:val="001F063F"/>
    <w:rsid w:val="001F0BB0"/>
    <w:rsid w:val="001F249B"/>
    <w:rsid w:val="001F255D"/>
    <w:rsid w:val="001F2924"/>
    <w:rsid w:val="001F2D05"/>
    <w:rsid w:val="001F40D4"/>
    <w:rsid w:val="001F46FE"/>
    <w:rsid w:val="001F4AEE"/>
    <w:rsid w:val="001F4B79"/>
    <w:rsid w:val="001F4C17"/>
    <w:rsid w:val="001F61F9"/>
    <w:rsid w:val="001F6608"/>
    <w:rsid w:val="0020092C"/>
    <w:rsid w:val="002010F3"/>
    <w:rsid w:val="002014F4"/>
    <w:rsid w:val="00201E49"/>
    <w:rsid w:val="00202270"/>
    <w:rsid w:val="00202286"/>
    <w:rsid w:val="00202B9E"/>
    <w:rsid w:val="00203F7D"/>
    <w:rsid w:val="00203F9A"/>
    <w:rsid w:val="00204E61"/>
    <w:rsid w:val="00204ECE"/>
    <w:rsid w:val="0020550A"/>
    <w:rsid w:val="00205DFF"/>
    <w:rsid w:val="00206520"/>
    <w:rsid w:val="00207375"/>
    <w:rsid w:val="00207E91"/>
    <w:rsid w:val="002105F4"/>
    <w:rsid w:val="00210808"/>
    <w:rsid w:val="00210815"/>
    <w:rsid w:val="00210A97"/>
    <w:rsid w:val="002118BD"/>
    <w:rsid w:val="0021257A"/>
    <w:rsid w:val="00212C54"/>
    <w:rsid w:val="00212F23"/>
    <w:rsid w:val="0021402A"/>
    <w:rsid w:val="00214C3E"/>
    <w:rsid w:val="00215A1B"/>
    <w:rsid w:val="002169D9"/>
    <w:rsid w:val="00217B80"/>
    <w:rsid w:val="00217B92"/>
    <w:rsid w:val="00217C98"/>
    <w:rsid w:val="00220DFF"/>
    <w:rsid w:val="00221F79"/>
    <w:rsid w:val="00222197"/>
    <w:rsid w:val="002222A2"/>
    <w:rsid w:val="00222F9E"/>
    <w:rsid w:val="00223475"/>
    <w:rsid w:val="00223C41"/>
    <w:rsid w:val="002257DC"/>
    <w:rsid w:val="002259A1"/>
    <w:rsid w:val="00225A4A"/>
    <w:rsid w:val="00225A80"/>
    <w:rsid w:val="0022626A"/>
    <w:rsid w:val="00227A00"/>
    <w:rsid w:val="0023025F"/>
    <w:rsid w:val="00230610"/>
    <w:rsid w:val="00230FF1"/>
    <w:rsid w:val="00230FF2"/>
    <w:rsid w:val="00231318"/>
    <w:rsid w:val="002315E1"/>
    <w:rsid w:val="0023249F"/>
    <w:rsid w:val="00232858"/>
    <w:rsid w:val="00232D1D"/>
    <w:rsid w:val="0023326A"/>
    <w:rsid w:val="002337AF"/>
    <w:rsid w:val="00233FC3"/>
    <w:rsid w:val="002344A6"/>
    <w:rsid w:val="00234562"/>
    <w:rsid w:val="0023501F"/>
    <w:rsid w:val="00235239"/>
    <w:rsid w:val="00236AC6"/>
    <w:rsid w:val="00237333"/>
    <w:rsid w:val="00240365"/>
    <w:rsid w:val="0024055C"/>
    <w:rsid w:val="00240606"/>
    <w:rsid w:val="00240AB7"/>
    <w:rsid w:val="00241487"/>
    <w:rsid w:val="00241933"/>
    <w:rsid w:val="00242421"/>
    <w:rsid w:val="00243063"/>
    <w:rsid w:val="0024367E"/>
    <w:rsid w:val="002446D5"/>
    <w:rsid w:val="00244995"/>
    <w:rsid w:val="00244DB4"/>
    <w:rsid w:val="00244F12"/>
    <w:rsid w:val="0024597E"/>
    <w:rsid w:val="00245A55"/>
    <w:rsid w:val="00245C62"/>
    <w:rsid w:val="002462B4"/>
    <w:rsid w:val="00246C90"/>
    <w:rsid w:val="00247975"/>
    <w:rsid w:val="00247B1B"/>
    <w:rsid w:val="00250884"/>
    <w:rsid w:val="00250F8E"/>
    <w:rsid w:val="002519C9"/>
    <w:rsid w:val="00252267"/>
    <w:rsid w:val="00252E9D"/>
    <w:rsid w:val="00253543"/>
    <w:rsid w:val="002537F1"/>
    <w:rsid w:val="002539BE"/>
    <w:rsid w:val="00253F7E"/>
    <w:rsid w:val="00254123"/>
    <w:rsid w:val="002541A3"/>
    <w:rsid w:val="00255CB6"/>
    <w:rsid w:val="00255E20"/>
    <w:rsid w:val="00256CB3"/>
    <w:rsid w:val="002571E8"/>
    <w:rsid w:val="00257B54"/>
    <w:rsid w:val="00257DBB"/>
    <w:rsid w:val="00262AD5"/>
    <w:rsid w:val="0026318F"/>
    <w:rsid w:val="00263AFA"/>
    <w:rsid w:val="00264641"/>
    <w:rsid w:val="00264BFC"/>
    <w:rsid w:val="00264C89"/>
    <w:rsid w:val="00267DA3"/>
    <w:rsid w:val="002701A4"/>
    <w:rsid w:val="0027281C"/>
    <w:rsid w:val="00272CDA"/>
    <w:rsid w:val="00273398"/>
    <w:rsid w:val="0027379E"/>
    <w:rsid w:val="0027386A"/>
    <w:rsid w:val="002738FB"/>
    <w:rsid w:val="00273B6C"/>
    <w:rsid w:val="00273CB1"/>
    <w:rsid w:val="00273EA4"/>
    <w:rsid w:val="00274583"/>
    <w:rsid w:val="00274CAC"/>
    <w:rsid w:val="00274D3A"/>
    <w:rsid w:val="0027566B"/>
    <w:rsid w:val="00275DD9"/>
    <w:rsid w:val="002762B1"/>
    <w:rsid w:val="002762FD"/>
    <w:rsid w:val="002765DB"/>
    <w:rsid w:val="0027680D"/>
    <w:rsid w:val="00276BD6"/>
    <w:rsid w:val="00276CF5"/>
    <w:rsid w:val="00276F30"/>
    <w:rsid w:val="002773C0"/>
    <w:rsid w:val="00277671"/>
    <w:rsid w:val="00277BD8"/>
    <w:rsid w:val="00277BDC"/>
    <w:rsid w:val="0028047A"/>
    <w:rsid w:val="00280B78"/>
    <w:rsid w:val="00281149"/>
    <w:rsid w:val="002814C1"/>
    <w:rsid w:val="0028150E"/>
    <w:rsid w:val="002822E2"/>
    <w:rsid w:val="002824A8"/>
    <w:rsid w:val="002829A0"/>
    <w:rsid w:val="00282C5F"/>
    <w:rsid w:val="0028302C"/>
    <w:rsid w:val="00283053"/>
    <w:rsid w:val="0028361C"/>
    <w:rsid w:val="00283A2E"/>
    <w:rsid w:val="002840D5"/>
    <w:rsid w:val="0028499B"/>
    <w:rsid w:val="00284C86"/>
    <w:rsid w:val="002861CA"/>
    <w:rsid w:val="0028674F"/>
    <w:rsid w:val="00287103"/>
    <w:rsid w:val="00287AB7"/>
    <w:rsid w:val="00290761"/>
    <w:rsid w:val="002907AB"/>
    <w:rsid w:val="00291092"/>
    <w:rsid w:val="0029204D"/>
    <w:rsid w:val="002922BF"/>
    <w:rsid w:val="00292938"/>
    <w:rsid w:val="00292943"/>
    <w:rsid w:val="00292CFD"/>
    <w:rsid w:val="00292F5B"/>
    <w:rsid w:val="002938AE"/>
    <w:rsid w:val="00294657"/>
    <w:rsid w:val="00294E6F"/>
    <w:rsid w:val="0029500E"/>
    <w:rsid w:val="002951A1"/>
    <w:rsid w:val="00295602"/>
    <w:rsid w:val="002961D8"/>
    <w:rsid w:val="002966A0"/>
    <w:rsid w:val="002966CC"/>
    <w:rsid w:val="00297BE8"/>
    <w:rsid w:val="00297D3E"/>
    <w:rsid w:val="002A0193"/>
    <w:rsid w:val="002A03FA"/>
    <w:rsid w:val="002A045E"/>
    <w:rsid w:val="002A0B1F"/>
    <w:rsid w:val="002A15AD"/>
    <w:rsid w:val="002A1B02"/>
    <w:rsid w:val="002A1FE4"/>
    <w:rsid w:val="002A212A"/>
    <w:rsid w:val="002A2211"/>
    <w:rsid w:val="002A2C5A"/>
    <w:rsid w:val="002A2FFE"/>
    <w:rsid w:val="002A397B"/>
    <w:rsid w:val="002A3F1F"/>
    <w:rsid w:val="002A40BF"/>
    <w:rsid w:val="002A5403"/>
    <w:rsid w:val="002A638C"/>
    <w:rsid w:val="002A65CC"/>
    <w:rsid w:val="002B0996"/>
    <w:rsid w:val="002B0F53"/>
    <w:rsid w:val="002B14D3"/>
    <w:rsid w:val="002B1B09"/>
    <w:rsid w:val="002B2FE7"/>
    <w:rsid w:val="002B3412"/>
    <w:rsid w:val="002B42BE"/>
    <w:rsid w:val="002B460C"/>
    <w:rsid w:val="002B4721"/>
    <w:rsid w:val="002B4EDC"/>
    <w:rsid w:val="002B56BB"/>
    <w:rsid w:val="002B61D5"/>
    <w:rsid w:val="002B756B"/>
    <w:rsid w:val="002B77F3"/>
    <w:rsid w:val="002B78A7"/>
    <w:rsid w:val="002B7B55"/>
    <w:rsid w:val="002B7EF7"/>
    <w:rsid w:val="002C127E"/>
    <w:rsid w:val="002C132D"/>
    <w:rsid w:val="002C1756"/>
    <w:rsid w:val="002C1855"/>
    <w:rsid w:val="002C22B4"/>
    <w:rsid w:val="002C331E"/>
    <w:rsid w:val="002C3989"/>
    <w:rsid w:val="002C3EC7"/>
    <w:rsid w:val="002C4537"/>
    <w:rsid w:val="002C4D33"/>
    <w:rsid w:val="002C516F"/>
    <w:rsid w:val="002C5E88"/>
    <w:rsid w:val="002C600F"/>
    <w:rsid w:val="002C66EB"/>
    <w:rsid w:val="002C70F4"/>
    <w:rsid w:val="002C72EE"/>
    <w:rsid w:val="002C7E05"/>
    <w:rsid w:val="002D04FC"/>
    <w:rsid w:val="002D12B1"/>
    <w:rsid w:val="002D3455"/>
    <w:rsid w:val="002D352D"/>
    <w:rsid w:val="002D473A"/>
    <w:rsid w:val="002D4E89"/>
    <w:rsid w:val="002D597E"/>
    <w:rsid w:val="002D6AD9"/>
    <w:rsid w:val="002D708B"/>
    <w:rsid w:val="002D7627"/>
    <w:rsid w:val="002D7B49"/>
    <w:rsid w:val="002E086D"/>
    <w:rsid w:val="002E1714"/>
    <w:rsid w:val="002E1B49"/>
    <w:rsid w:val="002E1D70"/>
    <w:rsid w:val="002E4779"/>
    <w:rsid w:val="002E4795"/>
    <w:rsid w:val="002E50D4"/>
    <w:rsid w:val="002E5771"/>
    <w:rsid w:val="002E577E"/>
    <w:rsid w:val="002E611A"/>
    <w:rsid w:val="002F07B6"/>
    <w:rsid w:val="002F09C8"/>
    <w:rsid w:val="002F174A"/>
    <w:rsid w:val="002F2070"/>
    <w:rsid w:val="002F23F9"/>
    <w:rsid w:val="002F297F"/>
    <w:rsid w:val="002F35FC"/>
    <w:rsid w:val="002F4CC7"/>
    <w:rsid w:val="002F4E6C"/>
    <w:rsid w:val="002F6265"/>
    <w:rsid w:val="002F664D"/>
    <w:rsid w:val="002F7656"/>
    <w:rsid w:val="002F7E19"/>
    <w:rsid w:val="00302114"/>
    <w:rsid w:val="0030315D"/>
    <w:rsid w:val="00303951"/>
    <w:rsid w:val="0030414A"/>
    <w:rsid w:val="00304207"/>
    <w:rsid w:val="00305180"/>
    <w:rsid w:val="0030534B"/>
    <w:rsid w:val="00305CBA"/>
    <w:rsid w:val="00305EE9"/>
    <w:rsid w:val="00305F50"/>
    <w:rsid w:val="00306966"/>
    <w:rsid w:val="0030760A"/>
    <w:rsid w:val="00307A94"/>
    <w:rsid w:val="003103FE"/>
    <w:rsid w:val="003104CD"/>
    <w:rsid w:val="0031076C"/>
    <w:rsid w:val="0031122F"/>
    <w:rsid w:val="00311269"/>
    <w:rsid w:val="00312160"/>
    <w:rsid w:val="00312586"/>
    <w:rsid w:val="00314D40"/>
    <w:rsid w:val="003150D9"/>
    <w:rsid w:val="0031594A"/>
    <w:rsid w:val="00315A47"/>
    <w:rsid w:val="00315FBD"/>
    <w:rsid w:val="003162AF"/>
    <w:rsid w:val="003162B9"/>
    <w:rsid w:val="003163F2"/>
    <w:rsid w:val="00320293"/>
    <w:rsid w:val="0032032B"/>
    <w:rsid w:val="00320EA6"/>
    <w:rsid w:val="00322962"/>
    <w:rsid w:val="00323D99"/>
    <w:rsid w:val="00324D60"/>
    <w:rsid w:val="00326EF9"/>
    <w:rsid w:val="003303CB"/>
    <w:rsid w:val="00330819"/>
    <w:rsid w:val="00330C98"/>
    <w:rsid w:val="00330FA0"/>
    <w:rsid w:val="00331419"/>
    <w:rsid w:val="00332B26"/>
    <w:rsid w:val="00335277"/>
    <w:rsid w:val="00335964"/>
    <w:rsid w:val="00335AA1"/>
    <w:rsid w:val="00335B3A"/>
    <w:rsid w:val="00336001"/>
    <w:rsid w:val="003373F1"/>
    <w:rsid w:val="003374AF"/>
    <w:rsid w:val="00337B5C"/>
    <w:rsid w:val="00337E00"/>
    <w:rsid w:val="00340034"/>
    <w:rsid w:val="0034040A"/>
    <w:rsid w:val="0034191D"/>
    <w:rsid w:val="00341D68"/>
    <w:rsid w:val="00341D72"/>
    <w:rsid w:val="003428E3"/>
    <w:rsid w:val="00342C1B"/>
    <w:rsid w:val="0034337A"/>
    <w:rsid w:val="00343850"/>
    <w:rsid w:val="00343A96"/>
    <w:rsid w:val="00343BA8"/>
    <w:rsid w:val="00343E9E"/>
    <w:rsid w:val="003445F4"/>
    <w:rsid w:val="00345275"/>
    <w:rsid w:val="0034628E"/>
    <w:rsid w:val="00346772"/>
    <w:rsid w:val="00347088"/>
    <w:rsid w:val="0034743B"/>
    <w:rsid w:val="00347F4D"/>
    <w:rsid w:val="00347F5A"/>
    <w:rsid w:val="00350447"/>
    <w:rsid w:val="0035086E"/>
    <w:rsid w:val="00350A14"/>
    <w:rsid w:val="00350E1B"/>
    <w:rsid w:val="003518DB"/>
    <w:rsid w:val="00351FBE"/>
    <w:rsid w:val="00352562"/>
    <w:rsid w:val="00352663"/>
    <w:rsid w:val="00352BEF"/>
    <w:rsid w:val="0035309B"/>
    <w:rsid w:val="003530D3"/>
    <w:rsid w:val="003532C7"/>
    <w:rsid w:val="00354345"/>
    <w:rsid w:val="0035533E"/>
    <w:rsid w:val="00355EF3"/>
    <w:rsid w:val="00356156"/>
    <w:rsid w:val="00356602"/>
    <w:rsid w:val="00360877"/>
    <w:rsid w:val="003614AB"/>
    <w:rsid w:val="003616F4"/>
    <w:rsid w:val="00361892"/>
    <w:rsid w:val="00362DD3"/>
    <w:rsid w:val="00362DE0"/>
    <w:rsid w:val="00363016"/>
    <w:rsid w:val="00363D0F"/>
    <w:rsid w:val="00363DA9"/>
    <w:rsid w:val="00364D7E"/>
    <w:rsid w:val="003651C0"/>
    <w:rsid w:val="0036547A"/>
    <w:rsid w:val="003659FE"/>
    <w:rsid w:val="00366944"/>
    <w:rsid w:val="00366ABC"/>
    <w:rsid w:val="00366D09"/>
    <w:rsid w:val="00366E56"/>
    <w:rsid w:val="0037244E"/>
    <w:rsid w:val="003724C4"/>
    <w:rsid w:val="0037399B"/>
    <w:rsid w:val="00373E20"/>
    <w:rsid w:val="0037435F"/>
    <w:rsid w:val="003751A5"/>
    <w:rsid w:val="00375668"/>
    <w:rsid w:val="00375892"/>
    <w:rsid w:val="00375C88"/>
    <w:rsid w:val="0037638C"/>
    <w:rsid w:val="003768C5"/>
    <w:rsid w:val="00376DA2"/>
    <w:rsid w:val="00377111"/>
    <w:rsid w:val="0037770A"/>
    <w:rsid w:val="00377BD7"/>
    <w:rsid w:val="003800A1"/>
    <w:rsid w:val="00380CA2"/>
    <w:rsid w:val="00382559"/>
    <w:rsid w:val="00383E24"/>
    <w:rsid w:val="00384FBD"/>
    <w:rsid w:val="003859AA"/>
    <w:rsid w:val="00385E4D"/>
    <w:rsid w:val="003863A7"/>
    <w:rsid w:val="00386658"/>
    <w:rsid w:val="00386D40"/>
    <w:rsid w:val="00387758"/>
    <w:rsid w:val="00390EFF"/>
    <w:rsid w:val="00392191"/>
    <w:rsid w:val="00392D7F"/>
    <w:rsid w:val="00392DC5"/>
    <w:rsid w:val="0039335A"/>
    <w:rsid w:val="003933FC"/>
    <w:rsid w:val="003939C5"/>
    <w:rsid w:val="00395341"/>
    <w:rsid w:val="003955FB"/>
    <w:rsid w:val="00395773"/>
    <w:rsid w:val="00395E57"/>
    <w:rsid w:val="0039653B"/>
    <w:rsid w:val="00396603"/>
    <w:rsid w:val="0039679C"/>
    <w:rsid w:val="00396CE1"/>
    <w:rsid w:val="003974D6"/>
    <w:rsid w:val="00397AF2"/>
    <w:rsid w:val="00397B26"/>
    <w:rsid w:val="003A05D0"/>
    <w:rsid w:val="003A0F8B"/>
    <w:rsid w:val="003A1A17"/>
    <w:rsid w:val="003A1BF6"/>
    <w:rsid w:val="003A1C86"/>
    <w:rsid w:val="003A239D"/>
    <w:rsid w:val="003A23D5"/>
    <w:rsid w:val="003A29F8"/>
    <w:rsid w:val="003A2C31"/>
    <w:rsid w:val="003A2D1F"/>
    <w:rsid w:val="003A3020"/>
    <w:rsid w:val="003A4469"/>
    <w:rsid w:val="003A4F9C"/>
    <w:rsid w:val="003A6348"/>
    <w:rsid w:val="003A635C"/>
    <w:rsid w:val="003A684E"/>
    <w:rsid w:val="003A6F7A"/>
    <w:rsid w:val="003A7637"/>
    <w:rsid w:val="003A7BC9"/>
    <w:rsid w:val="003B2424"/>
    <w:rsid w:val="003B3076"/>
    <w:rsid w:val="003B4514"/>
    <w:rsid w:val="003B48DF"/>
    <w:rsid w:val="003B4E4E"/>
    <w:rsid w:val="003B4F8C"/>
    <w:rsid w:val="003B4FFA"/>
    <w:rsid w:val="003B5674"/>
    <w:rsid w:val="003B62BF"/>
    <w:rsid w:val="003C0C44"/>
    <w:rsid w:val="003C172B"/>
    <w:rsid w:val="003C1BDF"/>
    <w:rsid w:val="003C1C42"/>
    <w:rsid w:val="003C2AA0"/>
    <w:rsid w:val="003C3673"/>
    <w:rsid w:val="003C51C3"/>
    <w:rsid w:val="003C5973"/>
    <w:rsid w:val="003C7744"/>
    <w:rsid w:val="003D0426"/>
    <w:rsid w:val="003D0C40"/>
    <w:rsid w:val="003D0EBA"/>
    <w:rsid w:val="003D1097"/>
    <w:rsid w:val="003D1BD4"/>
    <w:rsid w:val="003D244B"/>
    <w:rsid w:val="003D2C34"/>
    <w:rsid w:val="003D338C"/>
    <w:rsid w:val="003D370F"/>
    <w:rsid w:val="003D3EC5"/>
    <w:rsid w:val="003D4320"/>
    <w:rsid w:val="003D58D8"/>
    <w:rsid w:val="003D6010"/>
    <w:rsid w:val="003D6398"/>
    <w:rsid w:val="003D6999"/>
    <w:rsid w:val="003D6D08"/>
    <w:rsid w:val="003D788C"/>
    <w:rsid w:val="003D7925"/>
    <w:rsid w:val="003E06F3"/>
    <w:rsid w:val="003E0980"/>
    <w:rsid w:val="003E36D7"/>
    <w:rsid w:val="003E373D"/>
    <w:rsid w:val="003E38F5"/>
    <w:rsid w:val="003E3A72"/>
    <w:rsid w:val="003E459D"/>
    <w:rsid w:val="003E582C"/>
    <w:rsid w:val="003E6269"/>
    <w:rsid w:val="003E6AB5"/>
    <w:rsid w:val="003E6D80"/>
    <w:rsid w:val="003E6F27"/>
    <w:rsid w:val="003E6F39"/>
    <w:rsid w:val="003E7085"/>
    <w:rsid w:val="003E77FE"/>
    <w:rsid w:val="003E7D74"/>
    <w:rsid w:val="003F07B7"/>
    <w:rsid w:val="003F1737"/>
    <w:rsid w:val="003F1A23"/>
    <w:rsid w:val="003F2176"/>
    <w:rsid w:val="003F3180"/>
    <w:rsid w:val="003F3215"/>
    <w:rsid w:val="003F3728"/>
    <w:rsid w:val="003F43B7"/>
    <w:rsid w:val="003F6272"/>
    <w:rsid w:val="003F681D"/>
    <w:rsid w:val="003F683D"/>
    <w:rsid w:val="004000F4"/>
    <w:rsid w:val="00401307"/>
    <w:rsid w:val="00401F61"/>
    <w:rsid w:val="00402093"/>
    <w:rsid w:val="004034E9"/>
    <w:rsid w:val="00403C04"/>
    <w:rsid w:val="00403DD5"/>
    <w:rsid w:val="004040DF"/>
    <w:rsid w:val="0040438C"/>
    <w:rsid w:val="004048E9"/>
    <w:rsid w:val="00405149"/>
    <w:rsid w:val="00405BA0"/>
    <w:rsid w:val="00405C08"/>
    <w:rsid w:val="00405C59"/>
    <w:rsid w:val="004061E1"/>
    <w:rsid w:val="0040622E"/>
    <w:rsid w:val="00406468"/>
    <w:rsid w:val="004069D4"/>
    <w:rsid w:val="00406F39"/>
    <w:rsid w:val="00406F6A"/>
    <w:rsid w:val="00407B59"/>
    <w:rsid w:val="00410B70"/>
    <w:rsid w:val="004128C9"/>
    <w:rsid w:val="004130F0"/>
    <w:rsid w:val="00413602"/>
    <w:rsid w:val="004136A7"/>
    <w:rsid w:val="00413903"/>
    <w:rsid w:val="00413E1B"/>
    <w:rsid w:val="00414593"/>
    <w:rsid w:val="004158D2"/>
    <w:rsid w:val="004160B3"/>
    <w:rsid w:val="00416D59"/>
    <w:rsid w:val="004202B4"/>
    <w:rsid w:val="004204E5"/>
    <w:rsid w:val="00420C1E"/>
    <w:rsid w:val="004214B6"/>
    <w:rsid w:val="00421534"/>
    <w:rsid w:val="0042178E"/>
    <w:rsid w:val="00421949"/>
    <w:rsid w:val="00421FB0"/>
    <w:rsid w:val="00424024"/>
    <w:rsid w:val="004244D5"/>
    <w:rsid w:val="00424B29"/>
    <w:rsid w:val="00424DC5"/>
    <w:rsid w:val="00424F11"/>
    <w:rsid w:val="004251FD"/>
    <w:rsid w:val="004258AC"/>
    <w:rsid w:val="004261D7"/>
    <w:rsid w:val="00426283"/>
    <w:rsid w:val="00427584"/>
    <w:rsid w:val="004277B2"/>
    <w:rsid w:val="00427B62"/>
    <w:rsid w:val="00430399"/>
    <w:rsid w:val="00431375"/>
    <w:rsid w:val="004316F1"/>
    <w:rsid w:val="004318B5"/>
    <w:rsid w:val="00432CCC"/>
    <w:rsid w:val="00433CC2"/>
    <w:rsid w:val="00433F89"/>
    <w:rsid w:val="00434DA1"/>
    <w:rsid w:val="004354E8"/>
    <w:rsid w:val="00435B29"/>
    <w:rsid w:val="00435FDB"/>
    <w:rsid w:val="00436F24"/>
    <w:rsid w:val="00437A17"/>
    <w:rsid w:val="00437E34"/>
    <w:rsid w:val="0044026B"/>
    <w:rsid w:val="00440330"/>
    <w:rsid w:val="00440E1E"/>
    <w:rsid w:val="0044155A"/>
    <w:rsid w:val="00442235"/>
    <w:rsid w:val="00442FAD"/>
    <w:rsid w:val="00443E0C"/>
    <w:rsid w:val="00443F43"/>
    <w:rsid w:val="004446CB"/>
    <w:rsid w:val="00445B64"/>
    <w:rsid w:val="00445F14"/>
    <w:rsid w:val="004467FF"/>
    <w:rsid w:val="00446891"/>
    <w:rsid w:val="00446B73"/>
    <w:rsid w:val="00446BD0"/>
    <w:rsid w:val="00447846"/>
    <w:rsid w:val="00447878"/>
    <w:rsid w:val="00447CD7"/>
    <w:rsid w:val="0045035D"/>
    <w:rsid w:val="0045070F"/>
    <w:rsid w:val="00450896"/>
    <w:rsid w:val="004515F5"/>
    <w:rsid w:val="00451794"/>
    <w:rsid w:val="00451F14"/>
    <w:rsid w:val="004522EF"/>
    <w:rsid w:val="00454ED1"/>
    <w:rsid w:val="00455390"/>
    <w:rsid w:val="00455955"/>
    <w:rsid w:val="00455A52"/>
    <w:rsid w:val="00455E90"/>
    <w:rsid w:val="00456AB5"/>
    <w:rsid w:val="00456BED"/>
    <w:rsid w:val="004575F0"/>
    <w:rsid w:val="00457859"/>
    <w:rsid w:val="0046134E"/>
    <w:rsid w:val="004629E4"/>
    <w:rsid w:val="004635BA"/>
    <w:rsid w:val="00463949"/>
    <w:rsid w:val="00463E56"/>
    <w:rsid w:val="004643BE"/>
    <w:rsid w:val="004654AD"/>
    <w:rsid w:val="00465550"/>
    <w:rsid w:val="004662F0"/>
    <w:rsid w:val="00466BD6"/>
    <w:rsid w:val="00466BE7"/>
    <w:rsid w:val="00466D9C"/>
    <w:rsid w:val="00467045"/>
    <w:rsid w:val="0046758D"/>
    <w:rsid w:val="00467FF7"/>
    <w:rsid w:val="004708C7"/>
    <w:rsid w:val="004708DF"/>
    <w:rsid w:val="00470EFC"/>
    <w:rsid w:val="004713A8"/>
    <w:rsid w:val="004719EB"/>
    <w:rsid w:val="004724A5"/>
    <w:rsid w:val="004731CF"/>
    <w:rsid w:val="00473527"/>
    <w:rsid w:val="00473A9E"/>
    <w:rsid w:val="00473BD4"/>
    <w:rsid w:val="00474CEF"/>
    <w:rsid w:val="00474DD3"/>
    <w:rsid w:val="00475389"/>
    <w:rsid w:val="004762C8"/>
    <w:rsid w:val="00476A99"/>
    <w:rsid w:val="00477FB5"/>
    <w:rsid w:val="004800CE"/>
    <w:rsid w:val="004800E4"/>
    <w:rsid w:val="00480A50"/>
    <w:rsid w:val="004815B2"/>
    <w:rsid w:val="0048194D"/>
    <w:rsid w:val="00481A8C"/>
    <w:rsid w:val="0048284C"/>
    <w:rsid w:val="00482F68"/>
    <w:rsid w:val="004832E5"/>
    <w:rsid w:val="00483848"/>
    <w:rsid w:val="00483B96"/>
    <w:rsid w:val="00483E94"/>
    <w:rsid w:val="00485194"/>
    <w:rsid w:val="00485413"/>
    <w:rsid w:val="004858FC"/>
    <w:rsid w:val="00485FE0"/>
    <w:rsid w:val="00487198"/>
    <w:rsid w:val="004873CD"/>
    <w:rsid w:val="004874D4"/>
    <w:rsid w:val="004874EE"/>
    <w:rsid w:val="00492424"/>
    <w:rsid w:val="0049248E"/>
    <w:rsid w:val="00492F95"/>
    <w:rsid w:val="00493E2D"/>
    <w:rsid w:val="00494718"/>
    <w:rsid w:val="00494F91"/>
    <w:rsid w:val="00495F24"/>
    <w:rsid w:val="0049664C"/>
    <w:rsid w:val="004967BC"/>
    <w:rsid w:val="0049726D"/>
    <w:rsid w:val="004972BE"/>
    <w:rsid w:val="004A0059"/>
    <w:rsid w:val="004A1193"/>
    <w:rsid w:val="004A1688"/>
    <w:rsid w:val="004A16CD"/>
    <w:rsid w:val="004A296E"/>
    <w:rsid w:val="004A2CFE"/>
    <w:rsid w:val="004A2E4B"/>
    <w:rsid w:val="004A3623"/>
    <w:rsid w:val="004A38B0"/>
    <w:rsid w:val="004A42BF"/>
    <w:rsid w:val="004A4A70"/>
    <w:rsid w:val="004A59E1"/>
    <w:rsid w:val="004A6C19"/>
    <w:rsid w:val="004A7005"/>
    <w:rsid w:val="004B0967"/>
    <w:rsid w:val="004B0A9E"/>
    <w:rsid w:val="004B111F"/>
    <w:rsid w:val="004B1CB3"/>
    <w:rsid w:val="004B22EF"/>
    <w:rsid w:val="004B2D21"/>
    <w:rsid w:val="004B2D97"/>
    <w:rsid w:val="004B3A79"/>
    <w:rsid w:val="004B3D29"/>
    <w:rsid w:val="004B3FBE"/>
    <w:rsid w:val="004B41C1"/>
    <w:rsid w:val="004B43AC"/>
    <w:rsid w:val="004B4D06"/>
    <w:rsid w:val="004B591C"/>
    <w:rsid w:val="004B5FC8"/>
    <w:rsid w:val="004B6041"/>
    <w:rsid w:val="004B6250"/>
    <w:rsid w:val="004B65C9"/>
    <w:rsid w:val="004C003A"/>
    <w:rsid w:val="004C00C6"/>
    <w:rsid w:val="004C06C4"/>
    <w:rsid w:val="004C0AF4"/>
    <w:rsid w:val="004C1472"/>
    <w:rsid w:val="004C17F6"/>
    <w:rsid w:val="004C18DE"/>
    <w:rsid w:val="004C1CAB"/>
    <w:rsid w:val="004C256C"/>
    <w:rsid w:val="004C3618"/>
    <w:rsid w:val="004C3685"/>
    <w:rsid w:val="004C383A"/>
    <w:rsid w:val="004C4429"/>
    <w:rsid w:val="004C4BA0"/>
    <w:rsid w:val="004C5203"/>
    <w:rsid w:val="004C5E28"/>
    <w:rsid w:val="004C78BC"/>
    <w:rsid w:val="004C7F1E"/>
    <w:rsid w:val="004D0E55"/>
    <w:rsid w:val="004D1A97"/>
    <w:rsid w:val="004D1FB5"/>
    <w:rsid w:val="004D205F"/>
    <w:rsid w:val="004D21A1"/>
    <w:rsid w:val="004D2B32"/>
    <w:rsid w:val="004D3BDB"/>
    <w:rsid w:val="004D450E"/>
    <w:rsid w:val="004D4A61"/>
    <w:rsid w:val="004D526B"/>
    <w:rsid w:val="004D52AB"/>
    <w:rsid w:val="004D651D"/>
    <w:rsid w:val="004D7A57"/>
    <w:rsid w:val="004D7E47"/>
    <w:rsid w:val="004E0029"/>
    <w:rsid w:val="004E02B4"/>
    <w:rsid w:val="004E06F2"/>
    <w:rsid w:val="004E0877"/>
    <w:rsid w:val="004E0D10"/>
    <w:rsid w:val="004E1D2B"/>
    <w:rsid w:val="004E26DB"/>
    <w:rsid w:val="004E2BCC"/>
    <w:rsid w:val="004E6272"/>
    <w:rsid w:val="004E6B1B"/>
    <w:rsid w:val="004E6B3B"/>
    <w:rsid w:val="004E6F40"/>
    <w:rsid w:val="004E72F6"/>
    <w:rsid w:val="004E7942"/>
    <w:rsid w:val="004F053C"/>
    <w:rsid w:val="004F0CAE"/>
    <w:rsid w:val="004F0E88"/>
    <w:rsid w:val="004F138B"/>
    <w:rsid w:val="004F198F"/>
    <w:rsid w:val="004F28F7"/>
    <w:rsid w:val="004F2B87"/>
    <w:rsid w:val="004F2BF5"/>
    <w:rsid w:val="004F2E54"/>
    <w:rsid w:val="004F31AC"/>
    <w:rsid w:val="004F45ED"/>
    <w:rsid w:val="004F588B"/>
    <w:rsid w:val="004F626B"/>
    <w:rsid w:val="004F7A71"/>
    <w:rsid w:val="00501536"/>
    <w:rsid w:val="00501843"/>
    <w:rsid w:val="00501ECC"/>
    <w:rsid w:val="005021CE"/>
    <w:rsid w:val="00502C8F"/>
    <w:rsid w:val="00502CEB"/>
    <w:rsid w:val="00502D2E"/>
    <w:rsid w:val="00502DEF"/>
    <w:rsid w:val="00503435"/>
    <w:rsid w:val="00503BA8"/>
    <w:rsid w:val="0050415B"/>
    <w:rsid w:val="0050485D"/>
    <w:rsid w:val="00505F48"/>
    <w:rsid w:val="00506F18"/>
    <w:rsid w:val="0050705D"/>
    <w:rsid w:val="005075E8"/>
    <w:rsid w:val="00507C41"/>
    <w:rsid w:val="00510A95"/>
    <w:rsid w:val="00510AD0"/>
    <w:rsid w:val="00511BE7"/>
    <w:rsid w:val="005122CC"/>
    <w:rsid w:val="005143A9"/>
    <w:rsid w:val="00514411"/>
    <w:rsid w:val="00514F3C"/>
    <w:rsid w:val="00514F69"/>
    <w:rsid w:val="005156D9"/>
    <w:rsid w:val="005162B6"/>
    <w:rsid w:val="005163B1"/>
    <w:rsid w:val="00517C0B"/>
    <w:rsid w:val="00517EF6"/>
    <w:rsid w:val="00521CDC"/>
    <w:rsid w:val="00521D4B"/>
    <w:rsid w:val="0052308F"/>
    <w:rsid w:val="00523371"/>
    <w:rsid w:val="00523671"/>
    <w:rsid w:val="00523841"/>
    <w:rsid w:val="00523CAC"/>
    <w:rsid w:val="00524229"/>
    <w:rsid w:val="005245B8"/>
    <w:rsid w:val="00524680"/>
    <w:rsid w:val="00524822"/>
    <w:rsid w:val="00524C24"/>
    <w:rsid w:val="00524DF0"/>
    <w:rsid w:val="005264E5"/>
    <w:rsid w:val="00526FF9"/>
    <w:rsid w:val="0052740C"/>
    <w:rsid w:val="0053008A"/>
    <w:rsid w:val="0053031C"/>
    <w:rsid w:val="00530D0A"/>
    <w:rsid w:val="0053118A"/>
    <w:rsid w:val="00531703"/>
    <w:rsid w:val="00531F5D"/>
    <w:rsid w:val="0053200C"/>
    <w:rsid w:val="005322D4"/>
    <w:rsid w:val="0053284D"/>
    <w:rsid w:val="00532AB9"/>
    <w:rsid w:val="00532DEB"/>
    <w:rsid w:val="00533ED2"/>
    <w:rsid w:val="00534253"/>
    <w:rsid w:val="00534D2F"/>
    <w:rsid w:val="00534DC5"/>
    <w:rsid w:val="00534FC1"/>
    <w:rsid w:val="00536479"/>
    <w:rsid w:val="00536789"/>
    <w:rsid w:val="00537680"/>
    <w:rsid w:val="00540CD1"/>
    <w:rsid w:val="00540D36"/>
    <w:rsid w:val="00540E42"/>
    <w:rsid w:val="005412EC"/>
    <w:rsid w:val="00541887"/>
    <w:rsid w:val="00541B82"/>
    <w:rsid w:val="005426F5"/>
    <w:rsid w:val="00543CE9"/>
    <w:rsid w:val="00544B60"/>
    <w:rsid w:val="00547758"/>
    <w:rsid w:val="00547C2D"/>
    <w:rsid w:val="00551FF9"/>
    <w:rsid w:val="005522CE"/>
    <w:rsid w:val="0055281E"/>
    <w:rsid w:val="00552D90"/>
    <w:rsid w:val="00552F89"/>
    <w:rsid w:val="00553326"/>
    <w:rsid w:val="005536CA"/>
    <w:rsid w:val="00554DD6"/>
    <w:rsid w:val="0055513F"/>
    <w:rsid w:val="005559D4"/>
    <w:rsid w:val="005562FA"/>
    <w:rsid w:val="00556329"/>
    <w:rsid w:val="0055676F"/>
    <w:rsid w:val="00556ADF"/>
    <w:rsid w:val="0055776F"/>
    <w:rsid w:val="00557E0A"/>
    <w:rsid w:val="005605EC"/>
    <w:rsid w:val="0056064B"/>
    <w:rsid w:val="0056094C"/>
    <w:rsid w:val="00560D9C"/>
    <w:rsid w:val="00561573"/>
    <w:rsid w:val="00561E8A"/>
    <w:rsid w:val="00562F60"/>
    <w:rsid w:val="00563575"/>
    <w:rsid w:val="0056384D"/>
    <w:rsid w:val="005638FD"/>
    <w:rsid w:val="00564151"/>
    <w:rsid w:val="005646CA"/>
    <w:rsid w:val="00564CFA"/>
    <w:rsid w:val="005657B0"/>
    <w:rsid w:val="00566127"/>
    <w:rsid w:val="0056680A"/>
    <w:rsid w:val="00566D93"/>
    <w:rsid w:val="0056707C"/>
    <w:rsid w:val="005671EB"/>
    <w:rsid w:val="00567BBE"/>
    <w:rsid w:val="0057076E"/>
    <w:rsid w:val="00570B2C"/>
    <w:rsid w:val="00572D70"/>
    <w:rsid w:val="00573169"/>
    <w:rsid w:val="005733EF"/>
    <w:rsid w:val="005734BB"/>
    <w:rsid w:val="0057366A"/>
    <w:rsid w:val="005736BE"/>
    <w:rsid w:val="00573813"/>
    <w:rsid w:val="0057484B"/>
    <w:rsid w:val="00574CED"/>
    <w:rsid w:val="00576983"/>
    <w:rsid w:val="00576B3A"/>
    <w:rsid w:val="00576DBE"/>
    <w:rsid w:val="00577884"/>
    <w:rsid w:val="00580977"/>
    <w:rsid w:val="0058128A"/>
    <w:rsid w:val="0058217A"/>
    <w:rsid w:val="00583FD1"/>
    <w:rsid w:val="005848DF"/>
    <w:rsid w:val="00585751"/>
    <w:rsid w:val="0058678C"/>
    <w:rsid w:val="00586EC4"/>
    <w:rsid w:val="0058777C"/>
    <w:rsid w:val="0059023D"/>
    <w:rsid w:val="0059026A"/>
    <w:rsid w:val="005902F7"/>
    <w:rsid w:val="0059051B"/>
    <w:rsid w:val="005905A6"/>
    <w:rsid w:val="00590A49"/>
    <w:rsid w:val="005916B3"/>
    <w:rsid w:val="0059211C"/>
    <w:rsid w:val="0059268B"/>
    <w:rsid w:val="00592881"/>
    <w:rsid w:val="00592FEA"/>
    <w:rsid w:val="00593BE5"/>
    <w:rsid w:val="00595440"/>
    <w:rsid w:val="0059602E"/>
    <w:rsid w:val="00596789"/>
    <w:rsid w:val="00596D91"/>
    <w:rsid w:val="00597236"/>
    <w:rsid w:val="005973A8"/>
    <w:rsid w:val="00597C54"/>
    <w:rsid w:val="00597CAD"/>
    <w:rsid w:val="005A108A"/>
    <w:rsid w:val="005A10B4"/>
    <w:rsid w:val="005A235D"/>
    <w:rsid w:val="005A24EE"/>
    <w:rsid w:val="005A29EF"/>
    <w:rsid w:val="005A394B"/>
    <w:rsid w:val="005A4B51"/>
    <w:rsid w:val="005A566D"/>
    <w:rsid w:val="005A5686"/>
    <w:rsid w:val="005A5AB9"/>
    <w:rsid w:val="005A6135"/>
    <w:rsid w:val="005A6F1F"/>
    <w:rsid w:val="005A7233"/>
    <w:rsid w:val="005A77A0"/>
    <w:rsid w:val="005A7ABD"/>
    <w:rsid w:val="005B02A6"/>
    <w:rsid w:val="005B044C"/>
    <w:rsid w:val="005B1027"/>
    <w:rsid w:val="005B1525"/>
    <w:rsid w:val="005B166A"/>
    <w:rsid w:val="005B1DB1"/>
    <w:rsid w:val="005B1F66"/>
    <w:rsid w:val="005B227E"/>
    <w:rsid w:val="005B32E5"/>
    <w:rsid w:val="005B3F15"/>
    <w:rsid w:val="005B490A"/>
    <w:rsid w:val="005B526E"/>
    <w:rsid w:val="005B5A31"/>
    <w:rsid w:val="005B7226"/>
    <w:rsid w:val="005B7D0B"/>
    <w:rsid w:val="005C04DD"/>
    <w:rsid w:val="005C0BC9"/>
    <w:rsid w:val="005C1B90"/>
    <w:rsid w:val="005C1DFB"/>
    <w:rsid w:val="005C25EC"/>
    <w:rsid w:val="005C2620"/>
    <w:rsid w:val="005C27E4"/>
    <w:rsid w:val="005C2AD1"/>
    <w:rsid w:val="005C2C44"/>
    <w:rsid w:val="005C2DD3"/>
    <w:rsid w:val="005C3352"/>
    <w:rsid w:val="005C429A"/>
    <w:rsid w:val="005C4847"/>
    <w:rsid w:val="005C506A"/>
    <w:rsid w:val="005C509A"/>
    <w:rsid w:val="005C51F6"/>
    <w:rsid w:val="005C5AFD"/>
    <w:rsid w:val="005C5C11"/>
    <w:rsid w:val="005C7042"/>
    <w:rsid w:val="005C7227"/>
    <w:rsid w:val="005C729D"/>
    <w:rsid w:val="005C7718"/>
    <w:rsid w:val="005C775D"/>
    <w:rsid w:val="005C7A6F"/>
    <w:rsid w:val="005C7E85"/>
    <w:rsid w:val="005D0BD9"/>
    <w:rsid w:val="005D0FA4"/>
    <w:rsid w:val="005D1478"/>
    <w:rsid w:val="005D1D87"/>
    <w:rsid w:val="005D24B5"/>
    <w:rsid w:val="005D24F7"/>
    <w:rsid w:val="005D250B"/>
    <w:rsid w:val="005D2A44"/>
    <w:rsid w:val="005D2AFA"/>
    <w:rsid w:val="005D2E50"/>
    <w:rsid w:val="005D3273"/>
    <w:rsid w:val="005D3E8F"/>
    <w:rsid w:val="005D4221"/>
    <w:rsid w:val="005D5615"/>
    <w:rsid w:val="005D5907"/>
    <w:rsid w:val="005D656E"/>
    <w:rsid w:val="005D6600"/>
    <w:rsid w:val="005D67F4"/>
    <w:rsid w:val="005D6D56"/>
    <w:rsid w:val="005D6EBF"/>
    <w:rsid w:val="005E06D8"/>
    <w:rsid w:val="005E075F"/>
    <w:rsid w:val="005E147B"/>
    <w:rsid w:val="005E342F"/>
    <w:rsid w:val="005E3692"/>
    <w:rsid w:val="005E4143"/>
    <w:rsid w:val="005E4DAA"/>
    <w:rsid w:val="005E62E1"/>
    <w:rsid w:val="005E6783"/>
    <w:rsid w:val="005E6946"/>
    <w:rsid w:val="005E6E46"/>
    <w:rsid w:val="005E7063"/>
    <w:rsid w:val="005E7433"/>
    <w:rsid w:val="005F0225"/>
    <w:rsid w:val="005F02F9"/>
    <w:rsid w:val="005F04E8"/>
    <w:rsid w:val="005F10C5"/>
    <w:rsid w:val="005F12B1"/>
    <w:rsid w:val="005F165B"/>
    <w:rsid w:val="005F1B12"/>
    <w:rsid w:val="005F386B"/>
    <w:rsid w:val="005F3A6C"/>
    <w:rsid w:val="005F3BAF"/>
    <w:rsid w:val="005F3EEB"/>
    <w:rsid w:val="005F47B2"/>
    <w:rsid w:val="005F48EF"/>
    <w:rsid w:val="005F538D"/>
    <w:rsid w:val="005F5C63"/>
    <w:rsid w:val="005F5DD1"/>
    <w:rsid w:val="005F7C8C"/>
    <w:rsid w:val="00601904"/>
    <w:rsid w:val="0060198D"/>
    <w:rsid w:val="00601D03"/>
    <w:rsid w:val="0060206F"/>
    <w:rsid w:val="0060334A"/>
    <w:rsid w:val="006034DE"/>
    <w:rsid w:val="00604281"/>
    <w:rsid w:val="006042B8"/>
    <w:rsid w:val="00604B57"/>
    <w:rsid w:val="00605772"/>
    <w:rsid w:val="00606311"/>
    <w:rsid w:val="00606B14"/>
    <w:rsid w:val="00607845"/>
    <w:rsid w:val="00607874"/>
    <w:rsid w:val="00607B74"/>
    <w:rsid w:val="0061052E"/>
    <w:rsid w:val="00611D59"/>
    <w:rsid w:val="00612C3C"/>
    <w:rsid w:val="00613E19"/>
    <w:rsid w:val="00613FFE"/>
    <w:rsid w:val="00614098"/>
    <w:rsid w:val="00614355"/>
    <w:rsid w:val="006150B8"/>
    <w:rsid w:val="00615F4A"/>
    <w:rsid w:val="00616404"/>
    <w:rsid w:val="00616DCC"/>
    <w:rsid w:val="00617680"/>
    <w:rsid w:val="00617783"/>
    <w:rsid w:val="006178E2"/>
    <w:rsid w:val="00621023"/>
    <w:rsid w:val="00621357"/>
    <w:rsid w:val="00621A61"/>
    <w:rsid w:val="00621A67"/>
    <w:rsid w:val="0062214C"/>
    <w:rsid w:val="00622E41"/>
    <w:rsid w:val="00622F18"/>
    <w:rsid w:val="006240AC"/>
    <w:rsid w:val="00625BD8"/>
    <w:rsid w:val="0062618C"/>
    <w:rsid w:val="00626345"/>
    <w:rsid w:val="00626738"/>
    <w:rsid w:val="006267DC"/>
    <w:rsid w:val="006268A5"/>
    <w:rsid w:val="00626A18"/>
    <w:rsid w:val="0063008B"/>
    <w:rsid w:val="00630DB8"/>
    <w:rsid w:val="0063151D"/>
    <w:rsid w:val="00631822"/>
    <w:rsid w:val="00631EDA"/>
    <w:rsid w:val="00632107"/>
    <w:rsid w:val="0063367D"/>
    <w:rsid w:val="00633E81"/>
    <w:rsid w:val="00634334"/>
    <w:rsid w:val="00634C31"/>
    <w:rsid w:val="006351D7"/>
    <w:rsid w:val="006355F2"/>
    <w:rsid w:val="00635805"/>
    <w:rsid w:val="00637512"/>
    <w:rsid w:val="00637562"/>
    <w:rsid w:val="006421E9"/>
    <w:rsid w:val="00642AF2"/>
    <w:rsid w:val="00642BA1"/>
    <w:rsid w:val="00643DC9"/>
    <w:rsid w:val="00643EE8"/>
    <w:rsid w:val="00644803"/>
    <w:rsid w:val="00644CA9"/>
    <w:rsid w:val="0064532F"/>
    <w:rsid w:val="0064546F"/>
    <w:rsid w:val="00645B73"/>
    <w:rsid w:val="00645E2F"/>
    <w:rsid w:val="00646785"/>
    <w:rsid w:val="00647F0E"/>
    <w:rsid w:val="00650BC2"/>
    <w:rsid w:val="00650D05"/>
    <w:rsid w:val="00650E8C"/>
    <w:rsid w:val="006510CC"/>
    <w:rsid w:val="00651147"/>
    <w:rsid w:val="006515EF"/>
    <w:rsid w:val="00652A41"/>
    <w:rsid w:val="006530E5"/>
    <w:rsid w:val="00655153"/>
    <w:rsid w:val="006554A3"/>
    <w:rsid w:val="006560AB"/>
    <w:rsid w:val="0065666B"/>
    <w:rsid w:val="00656D7D"/>
    <w:rsid w:val="00656ECA"/>
    <w:rsid w:val="00657336"/>
    <w:rsid w:val="00657546"/>
    <w:rsid w:val="00657799"/>
    <w:rsid w:val="00661A30"/>
    <w:rsid w:val="006620C9"/>
    <w:rsid w:val="006632AE"/>
    <w:rsid w:val="006637D1"/>
    <w:rsid w:val="00663FB3"/>
    <w:rsid w:val="00664718"/>
    <w:rsid w:val="0066480D"/>
    <w:rsid w:val="00665B52"/>
    <w:rsid w:val="00665DAB"/>
    <w:rsid w:val="00666B55"/>
    <w:rsid w:val="00667315"/>
    <w:rsid w:val="00667BB4"/>
    <w:rsid w:val="00670705"/>
    <w:rsid w:val="00671932"/>
    <w:rsid w:val="0067221A"/>
    <w:rsid w:val="00673083"/>
    <w:rsid w:val="00673236"/>
    <w:rsid w:val="00673D7B"/>
    <w:rsid w:val="00675109"/>
    <w:rsid w:val="006774CF"/>
    <w:rsid w:val="00677E18"/>
    <w:rsid w:val="00680326"/>
    <w:rsid w:val="00680B7E"/>
    <w:rsid w:val="00683948"/>
    <w:rsid w:val="00684432"/>
    <w:rsid w:val="00684701"/>
    <w:rsid w:val="006849BE"/>
    <w:rsid w:val="00684A37"/>
    <w:rsid w:val="00685451"/>
    <w:rsid w:val="00685DAE"/>
    <w:rsid w:val="00685E0E"/>
    <w:rsid w:val="00685EC6"/>
    <w:rsid w:val="0068639E"/>
    <w:rsid w:val="006878A6"/>
    <w:rsid w:val="00687D61"/>
    <w:rsid w:val="006900C7"/>
    <w:rsid w:val="0069086E"/>
    <w:rsid w:val="00690981"/>
    <w:rsid w:val="00691DA7"/>
    <w:rsid w:val="006921A4"/>
    <w:rsid w:val="00692E53"/>
    <w:rsid w:val="00693678"/>
    <w:rsid w:val="00693D26"/>
    <w:rsid w:val="00694BAA"/>
    <w:rsid w:val="00695111"/>
    <w:rsid w:val="00695605"/>
    <w:rsid w:val="00695C1A"/>
    <w:rsid w:val="00695F5A"/>
    <w:rsid w:val="00696219"/>
    <w:rsid w:val="006969BE"/>
    <w:rsid w:val="00696F4F"/>
    <w:rsid w:val="00697224"/>
    <w:rsid w:val="006A058E"/>
    <w:rsid w:val="006A09C6"/>
    <w:rsid w:val="006A0D2A"/>
    <w:rsid w:val="006A2338"/>
    <w:rsid w:val="006A30FD"/>
    <w:rsid w:val="006A3254"/>
    <w:rsid w:val="006A4010"/>
    <w:rsid w:val="006A4430"/>
    <w:rsid w:val="006A4C3A"/>
    <w:rsid w:val="006A501B"/>
    <w:rsid w:val="006A5898"/>
    <w:rsid w:val="006A59CF"/>
    <w:rsid w:val="006A5B25"/>
    <w:rsid w:val="006A659F"/>
    <w:rsid w:val="006A6D08"/>
    <w:rsid w:val="006A6D26"/>
    <w:rsid w:val="006A6F98"/>
    <w:rsid w:val="006A717A"/>
    <w:rsid w:val="006A7E75"/>
    <w:rsid w:val="006B0179"/>
    <w:rsid w:val="006B0C69"/>
    <w:rsid w:val="006B0C85"/>
    <w:rsid w:val="006B0D26"/>
    <w:rsid w:val="006B0E22"/>
    <w:rsid w:val="006B2EB8"/>
    <w:rsid w:val="006B3A49"/>
    <w:rsid w:val="006B41B9"/>
    <w:rsid w:val="006B45B5"/>
    <w:rsid w:val="006B5072"/>
    <w:rsid w:val="006B56C4"/>
    <w:rsid w:val="006B5DA5"/>
    <w:rsid w:val="006B7384"/>
    <w:rsid w:val="006B7929"/>
    <w:rsid w:val="006C138E"/>
    <w:rsid w:val="006C1636"/>
    <w:rsid w:val="006C1CE6"/>
    <w:rsid w:val="006C2517"/>
    <w:rsid w:val="006C27CA"/>
    <w:rsid w:val="006C2CBF"/>
    <w:rsid w:val="006C2E6A"/>
    <w:rsid w:val="006C3693"/>
    <w:rsid w:val="006C4375"/>
    <w:rsid w:val="006C4CC3"/>
    <w:rsid w:val="006C5096"/>
    <w:rsid w:val="006C5CAF"/>
    <w:rsid w:val="006C6281"/>
    <w:rsid w:val="006C70D6"/>
    <w:rsid w:val="006C7A6E"/>
    <w:rsid w:val="006C7CED"/>
    <w:rsid w:val="006D0268"/>
    <w:rsid w:val="006D0A47"/>
    <w:rsid w:val="006D241E"/>
    <w:rsid w:val="006D2505"/>
    <w:rsid w:val="006D2A11"/>
    <w:rsid w:val="006D34D6"/>
    <w:rsid w:val="006D3D0F"/>
    <w:rsid w:val="006D3ED2"/>
    <w:rsid w:val="006D45DE"/>
    <w:rsid w:val="006D4FE1"/>
    <w:rsid w:val="006D5272"/>
    <w:rsid w:val="006D61DD"/>
    <w:rsid w:val="006D7671"/>
    <w:rsid w:val="006D78D5"/>
    <w:rsid w:val="006E0D44"/>
    <w:rsid w:val="006E11D8"/>
    <w:rsid w:val="006E18DC"/>
    <w:rsid w:val="006E2F2A"/>
    <w:rsid w:val="006E3257"/>
    <w:rsid w:val="006E5AA7"/>
    <w:rsid w:val="006E64FE"/>
    <w:rsid w:val="006E7080"/>
    <w:rsid w:val="006E74FE"/>
    <w:rsid w:val="006E7792"/>
    <w:rsid w:val="006E79BF"/>
    <w:rsid w:val="006E7B5B"/>
    <w:rsid w:val="006F01F9"/>
    <w:rsid w:val="006F020E"/>
    <w:rsid w:val="006F126F"/>
    <w:rsid w:val="006F137E"/>
    <w:rsid w:val="006F1413"/>
    <w:rsid w:val="006F28EB"/>
    <w:rsid w:val="006F2CE7"/>
    <w:rsid w:val="006F2E7A"/>
    <w:rsid w:val="006F32C9"/>
    <w:rsid w:val="006F3E0B"/>
    <w:rsid w:val="006F4EAB"/>
    <w:rsid w:val="006F528E"/>
    <w:rsid w:val="006F6033"/>
    <w:rsid w:val="006F62C5"/>
    <w:rsid w:val="006F6A68"/>
    <w:rsid w:val="006F7678"/>
    <w:rsid w:val="006F7EBB"/>
    <w:rsid w:val="00700714"/>
    <w:rsid w:val="00700D9A"/>
    <w:rsid w:val="007019EF"/>
    <w:rsid w:val="00702277"/>
    <w:rsid w:val="007022DE"/>
    <w:rsid w:val="00702EE6"/>
    <w:rsid w:val="00703544"/>
    <w:rsid w:val="007036E7"/>
    <w:rsid w:val="007037BD"/>
    <w:rsid w:val="00704D2E"/>
    <w:rsid w:val="00705545"/>
    <w:rsid w:val="00705D0C"/>
    <w:rsid w:val="0070703D"/>
    <w:rsid w:val="00707432"/>
    <w:rsid w:val="00707FA9"/>
    <w:rsid w:val="007100C0"/>
    <w:rsid w:val="0071110F"/>
    <w:rsid w:val="00711729"/>
    <w:rsid w:val="00711F57"/>
    <w:rsid w:val="00712204"/>
    <w:rsid w:val="00712564"/>
    <w:rsid w:val="007129FF"/>
    <w:rsid w:val="00712BFC"/>
    <w:rsid w:val="00712F7C"/>
    <w:rsid w:val="0071304B"/>
    <w:rsid w:val="0071329F"/>
    <w:rsid w:val="00713543"/>
    <w:rsid w:val="007138A1"/>
    <w:rsid w:val="007138A7"/>
    <w:rsid w:val="00714145"/>
    <w:rsid w:val="00714E2B"/>
    <w:rsid w:val="00715A8D"/>
    <w:rsid w:val="00716406"/>
    <w:rsid w:val="007168B5"/>
    <w:rsid w:val="00716F53"/>
    <w:rsid w:val="007179C8"/>
    <w:rsid w:val="00720385"/>
    <w:rsid w:val="00721362"/>
    <w:rsid w:val="0072182C"/>
    <w:rsid w:val="00723518"/>
    <w:rsid w:val="007236A6"/>
    <w:rsid w:val="007256A7"/>
    <w:rsid w:val="00725736"/>
    <w:rsid w:val="00726326"/>
    <w:rsid w:val="007267A4"/>
    <w:rsid w:val="00726E56"/>
    <w:rsid w:val="007311B7"/>
    <w:rsid w:val="00731556"/>
    <w:rsid w:val="007321FE"/>
    <w:rsid w:val="00733904"/>
    <w:rsid w:val="00733DD2"/>
    <w:rsid w:val="007344BD"/>
    <w:rsid w:val="00737FAC"/>
    <w:rsid w:val="00740DAC"/>
    <w:rsid w:val="0074205E"/>
    <w:rsid w:val="007421C9"/>
    <w:rsid w:val="007429FC"/>
    <w:rsid w:val="00742D39"/>
    <w:rsid w:val="00743188"/>
    <w:rsid w:val="00743AF5"/>
    <w:rsid w:val="00743B27"/>
    <w:rsid w:val="0074464E"/>
    <w:rsid w:val="00744F91"/>
    <w:rsid w:val="00745C03"/>
    <w:rsid w:val="00745C31"/>
    <w:rsid w:val="00745E5A"/>
    <w:rsid w:val="00745F10"/>
    <w:rsid w:val="007460C4"/>
    <w:rsid w:val="007467E7"/>
    <w:rsid w:val="0074789D"/>
    <w:rsid w:val="00747B8A"/>
    <w:rsid w:val="00750496"/>
    <w:rsid w:val="007511C5"/>
    <w:rsid w:val="007516D4"/>
    <w:rsid w:val="007521F7"/>
    <w:rsid w:val="0075281F"/>
    <w:rsid w:val="0075330A"/>
    <w:rsid w:val="00753ED0"/>
    <w:rsid w:val="0075414E"/>
    <w:rsid w:val="00755224"/>
    <w:rsid w:val="00755B95"/>
    <w:rsid w:val="00755F2B"/>
    <w:rsid w:val="00757A76"/>
    <w:rsid w:val="00757AE2"/>
    <w:rsid w:val="00757ECE"/>
    <w:rsid w:val="00760378"/>
    <w:rsid w:val="00760750"/>
    <w:rsid w:val="00760795"/>
    <w:rsid w:val="00762249"/>
    <w:rsid w:val="007623A0"/>
    <w:rsid w:val="0076259A"/>
    <w:rsid w:val="00762A49"/>
    <w:rsid w:val="007633D0"/>
    <w:rsid w:val="00763A4C"/>
    <w:rsid w:val="00764744"/>
    <w:rsid w:val="00764B4F"/>
    <w:rsid w:val="00765780"/>
    <w:rsid w:val="007668D8"/>
    <w:rsid w:val="00766CE9"/>
    <w:rsid w:val="00766FD6"/>
    <w:rsid w:val="00771BD1"/>
    <w:rsid w:val="00772B3D"/>
    <w:rsid w:val="00772BD4"/>
    <w:rsid w:val="00772C66"/>
    <w:rsid w:val="00774BBF"/>
    <w:rsid w:val="00774D89"/>
    <w:rsid w:val="00776B8E"/>
    <w:rsid w:val="00776FEB"/>
    <w:rsid w:val="007804B9"/>
    <w:rsid w:val="00780511"/>
    <w:rsid w:val="00780877"/>
    <w:rsid w:val="00780956"/>
    <w:rsid w:val="00780966"/>
    <w:rsid w:val="00780E14"/>
    <w:rsid w:val="00780E4C"/>
    <w:rsid w:val="00781317"/>
    <w:rsid w:val="0078166A"/>
    <w:rsid w:val="00781A78"/>
    <w:rsid w:val="00781E3A"/>
    <w:rsid w:val="0078265C"/>
    <w:rsid w:val="00783645"/>
    <w:rsid w:val="00783B74"/>
    <w:rsid w:val="00783F23"/>
    <w:rsid w:val="007846CF"/>
    <w:rsid w:val="007846EE"/>
    <w:rsid w:val="007854E2"/>
    <w:rsid w:val="0078554F"/>
    <w:rsid w:val="007865C4"/>
    <w:rsid w:val="00786965"/>
    <w:rsid w:val="007902DE"/>
    <w:rsid w:val="00790311"/>
    <w:rsid w:val="00790840"/>
    <w:rsid w:val="00790C4B"/>
    <w:rsid w:val="00791D59"/>
    <w:rsid w:val="007923B6"/>
    <w:rsid w:val="00792423"/>
    <w:rsid w:val="0079296D"/>
    <w:rsid w:val="00793789"/>
    <w:rsid w:val="007947D8"/>
    <w:rsid w:val="00794D15"/>
    <w:rsid w:val="0079548F"/>
    <w:rsid w:val="00796012"/>
    <w:rsid w:val="00796334"/>
    <w:rsid w:val="007964CE"/>
    <w:rsid w:val="00796749"/>
    <w:rsid w:val="00796D20"/>
    <w:rsid w:val="00797078"/>
    <w:rsid w:val="00797670"/>
    <w:rsid w:val="00797DDC"/>
    <w:rsid w:val="00797F02"/>
    <w:rsid w:val="007A067C"/>
    <w:rsid w:val="007A1F9C"/>
    <w:rsid w:val="007A28E3"/>
    <w:rsid w:val="007A2F42"/>
    <w:rsid w:val="007A44DB"/>
    <w:rsid w:val="007A4504"/>
    <w:rsid w:val="007A4C7E"/>
    <w:rsid w:val="007A5A7F"/>
    <w:rsid w:val="007A5D07"/>
    <w:rsid w:val="007A5EA4"/>
    <w:rsid w:val="007A6A26"/>
    <w:rsid w:val="007A7505"/>
    <w:rsid w:val="007A7F19"/>
    <w:rsid w:val="007B00B6"/>
    <w:rsid w:val="007B115F"/>
    <w:rsid w:val="007B11B4"/>
    <w:rsid w:val="007B1CA4"/>
    <w:rsid w:val="007B2C55"/>
    <w:rsid w:val="007B38DB"/>
    <w:rsid w:val="007B3EF3"/>
    <w:rsid w:val="007B426C"/>
    <w:rsid w:val="007B471D"/>
    <w:rsid w:val="007B6359"/>
    <w:rsid w:val="007B6CE1"/>
    <w:rsid w:val="007B7068"/>
    <w:rsid w:val="007B7243"/>
    <w:rsid w:val="007B77F2"/>
    <w:rsid w:val="007C1016"/>
    <w:rsid w:val="007C1869"/>
    <w:rsid w:val="007C1A6E"/>
    <w:rsid w:val="007C20F7"/>
    <w:rsid w:val="007C394C"/>
    <w:rsid w:val="007C3ACE"/>
    <w:rsid w:val="007C499B"/>
    <w:rsid w:val="007C536E"/>
    <w:rsid w:val="007C5FB1"/>
    <w:rsid w:val="007C647E"/>
    <w:rsid w:val="007C65BB"/>
    <w:rsid w:val="007D0BCF"/>
    <w:rsid w:val="007D0F30"/>
    <w:rsid w:val="007D12FA"/>
    <w:rsid w:val="007D1BD0"/>
    <w:rsid w:val="007D2210"/>
    <w:rsid w:val="007D231A"/>
    <w:rsid w:val="007D2AEF"/>
    <w:rsid w:val="007D3A12"/>
    <w:rsid w:val="007D481F"/>
    <w:rsid w:val="007D4950"/>
    <w:rsid w:val="007D4F1E"/>
    <w:rsid w:val="007D5281"/>
    <w:rsid w:val="007D5C8D"/>
    <w:rsid w:val="007D5CE8"/>
    <w:rsid w:val="007D674D"/>
    <w:rsid w:val="007D6884"/>
    <w:rsid w:val="007D73F6"/>
    <w:rsid w:val="007D767B"/>
    <w:rsid w:val="007D7689"/>
    <w:rsid w:val="007D798E"/>
    <w:rsid w:val="007D7DCE"/>
    <w:rsid w:val="007E06CF"/>
    <w:rsid w:val="007E0EB7"/>
    <w:rsid w:val="007E16B4"/>
    <w:rsid w:val="007E171B"/>
    <w:rsid w:val="007E2717"/>
    <w:rsid w:val="007E29BF"/>
    <w:rsid w:val="007E3B52"/>
    <w:rsid w:val="007E3E73"/>
    <w:rsid w:val="007E4A8E"/>
    <w:rsid w:val="007E5528"/>
    <w:rsid w:val="007E5A9D"/>
    <w:rsid w:val="007E6048"/>
    <w:rsid w:val="007E6302"/>
    <w:rsid w:val="007E633D"/>
    <w:rsid w:val="007E6FEF"/>
    <w:rsid w:val="007E7091"/>
    <w:rsid w:val="007E70E8"/>
    <w:rsid w:val="007E7740"/>
    <w:rsid w:val="007E7CAC"/>
    <w:rsid w:val="007E7E0D"/>
    <w:rsid w:val="007F0692"/>
    <w:rsid w:val="007F090B"/>
    <w:rsid w:val="007F140E"/>
    <w:rsid w:val="007F157C"/>
    <w:rsid w:val="007F211E"/>
    <w:rsid w:val="007F2B23"/>
    <w:rsid w:val="007F2CFE"/>
    <w:rsid w:val="007F6157"/>
    <w:rsid w:val="008014D5"/>
    <w:rsid w:val="00802A98"/>
    <w:rsid w:val="00803975"/>
    <w:rsid w:val="00804C75"/>
    <w:rsid w:val="00805466"/>
    <w:rsid w:val="00805DA0"/>
    <w:rsid w:val="00806387"/>
    <w:rsid w:val="00806ED8"/>
    <w:rsid w:val="00811C77"/>
    <w:rsid w:val="00811DC7"/>
    <w:rsid w:val="008123A3"/>
    <w:rsid w:val="00812671"/>
    <w:rsid w:val="008138C2"/>
    <w:rsid w:val="008140A3"/>
    <w:rsid w:val="008147B6"/>
    <w:rsid w:val="00814996"/>
    <w:rsid w:val="00814D8C"/>
    <w:rsid w:val="008152BC"/>
    <w:rsid w:val="00815317"/>
    <w:rsid w:val="008163B4"/>
    <w:rsid w:val="008168D2"/>
    <w:rsid w:val="00816C94"/>
    <w:rsid w:val="0081764E"/>
    <w:rsid w:val="00820DC7"/>
    <w:rsid w:val="008210B6"/>
    <w:rsid w:val="00821305"/>
    <w:rsid w:val="008213DE"/>
    <w:rsid w:val="00821A9B"/>
    <w:rsid w:val="008226E7"/>
    <w:rsid w:val="00822D53"/>
    <w:rsid w:val="008230E4"/>
    <w:rsid w:val="008234D4"/>
    <w:rsid w:val="00823532"/>
    <w:rsid w:val="008241EC"/>
    <w:rsid w:val="00824A6C"/>
    <w:rsid w:val="0082562D"/>
    <w:rsid w:val="00825EB2"/>
    <w:rsid w:val="008267E4"/>
    <w:rsid w:val="00827E0A"/>
    <w:rsid w:val="00827EBB"/>
    <w:rsid w:val="00830303"/>
    <w:rsid w:val="00830827"/>
    <w:rsid w:val="008314FA"/>
    <w:rsid w:val="00832BEE"/>
    <w:rsid w:val="00832C77"/>
    <w:rsid w:val="00833545"/>
    <w:rsid w:val="00833C9E"/>
    <w:rsid w:val="0083513F"/>
    <w:rsid w:val="008351F0"/>
    <w:rsid w:val="00836D10"/>
    <w:rsid w:val="0083738C"/>
    <w:rsid w:val="008373D0"/>
    <w:rsid w:val="00837915"/>
    <w:rsid w:val="0084076A"/>
    <w:rsid w:val="0084089F"/>
    <w:rsid w:val="008411F1"/>
    <w:rsid w:val="0084159E"/>
    <w:rsid w:val="00841C88"/>
    <w:rsid w:val="00841FEC"/>
    <w:rsid w:val="0084230A"/>
    <w:rsid w:val="00842940"/>
    <w:rsid w:val="00843E26"/>
    <w:rsid w:val="00845102"/>
    <w:rsid w:val="00845F39"/>
    <w:rsid w:val="00846232"/>
    <w:rsid w:val="00846E30"/>
    <w:rsid w:val="0084792E"/>
    <w:rsid w:val="008479FF"/>
    <w:rsid w:val="00847D45"/>
    <w:rsid w:val="0085050D"/>
    <w:rsid w:val="00851045"/>
    <w:rsid w:val="00851905"/>
    <w:rsid w:val="00851ADA"/>
    <w:rsid w:val="008523C1"/>
    <w:rsid w:val="00852475"/>
    <w:rsid w:val="008532AA"/>
    <w:rsid w:val="00853317"/>
    <w:rsid w:val="0085358C"/>
    <w:rsid w:val="008540A3"/>
    <w:rsid w:val="00854809"/>
    <w:rsid w:val="00854968"/>
    <w:rsid w:val="00854D5F"/>
    <w:rsid w:val="00855AEC"/>
    <w:rsid w:val="008563AD"/>
    <w:rsid w:val="00856731"/>
    <w:rsid w:val="008568EB"/>
    <w:rsid w:val="00856D76"/>
    <w:rsid w:val="00857F11"/>
    <w:rsid w:val="008612C2"/>
    <w:rsid w:val="0086164F"/>
    <w:rsid w:val="008620E0"/>
    <w:rsid w:val="0086237F"/>
    <w:rsid w:val="008630CD"/>
    <w:rsid w:val="00864A9C"/>
    <w:rsid w:val="00864C3F"/>
    <w:rsid w:val="00865E28"/>
    <w:rsid w:val="00865F7E"/>
    <w:rsid w:val="00866E15"/>
    <w:rsid w:val="008673EE"/>
    <w:rsid w:val="008706F6"/>
    <w:rsid w:val="00870794"/>
    <w:rsid w:val="008708C2"/>
    <w:rsid w:val="00870B6E"/>
    <w:rsid w:val="00870E21"/>
    <w:rsid w:val="00870F1C"/>
    <w:rsid w:val="008710B0"/>
    <w:rsid w:val="00871361"/>
    <w:rsid w:val="00871DA6"/>
    <w:rsid w:val="00872034"/>
    <w:rsid w:val="0087205B"/>
    <w:rsid w:val="00873AE5"/>
    <w:rsid w:val="00873F51"/>
    <w:rsid w:val="008747AA"/>
    <w:rsid w:val="00874F6C"/>
    <w:rsid w:val="008766D6"/>
    <w:rsid w:val="00877114"/>
    <w:rsid w:val="00877403"/>
    <w:rsid w:val="0087786F"/>
    <w:rsid w:val="00877BC4"/>
    <w:rsid w:val="0088056C"/>
    <w:rsid w:val="00880872"/>
    <w:rsid w:val="0088124E"/>
    <w:rsid w:val="00881B32"/>
    <w:rsid w:val="00882757"/>
    <w:rsid w:val="00882E88"/>
    <w:rsid w:val="0088302F"/>
    <w:rsid w:val="008835A8"/>
    <w:rsid w:val="00884378"/>
    <w:rsid w:val="0088437B"/>
    <w:rsid w:val="00884F29"/>
    <w:rsid w:val="00885E19"/>
    <w:rsid w:val="00886A56"/>
    <w:rsid w:val="00887737"/>
    <w:rsid w:val="008877C6"/>
    <w:rsid w:val="00887D29"/>
    <w:rsid w:val="00890FA9"/>
    <w:rsid w:val="00891389"/>
    <w:rsid w:val="00891770"/>
    <w:rsid w:val="00892055"/>
    <w:rsid w:val="008928C4"/>
    <w:rsid w:val="0089292A"/>
    <w:rsid w:val="00894A23"/>
    <w:rsid w:val="008951BE"/>
    <w:rsid w:val="00895B05"/>
    <w:rsid w:val="00895CD7"/>
    <w:rsid w:val="00897A6E"/>
    <w:rsid w:val="00897CF9"/>
    <w:rsid w:val="008A07EF"/>
    <w:rsid w:val="008A0931"/>
    <w:rsid w:val="008A0F2A"/>
    <w:rsid w:val="008A16A3"/>
    <w:rsid w:val="008A16EB"/>
    <w:rsid w:val="008A1A7D"/>
    <w:rsid w:val="008A2B83"/>
    <w:rsid w:val="008A3435"/>
    <w:rsid w:val="008A3977"/>
    <w:rsid w:val="008A4388"/>
    <w:rsid w:val="008A4466"/>
    <w:rsid w:val="008A46D8"/>
    <w:rsid w:val="008A4D7A"/>
    <w:rsid w:val="008A5611"/>
    <w:rsid w:val="008A5915"/>
    <w:rsid w:val="008A5B4E"/>
    <w:rsid w:val="008A5E29"/>
    <w:rsid w:val="008A6C46"/>
    <w:rsid w:val="008A6DF8"/>
    <w:rsid w:val="008A739B"/>
    <w:rsid w:val="008A7BFC"/>
    <w:rsid w:val="008B033C"/>
    <w:rsid w:val="008B13F3"/>
    <w:rsid w:val="008B34A5"/>
    <w:rsid w:val="008B3A4F"/>
    <w:rsid w:val="008B3CBE"/>
    <w:rsid w:val="008B606B"/>
    <w:rsid w:val="008B646B"/>
    <w:rsid w:val="008B6740"/>
    <w:rsid w:val="008B748A"/>
    <w:rsid w:val="008B7AD6"/>
    <w:rsid w:val="008B7E10"/>
    <w:rsid w:val="008C042A"/>
    <w:rsid w:val="008C10F1"/>
    <w:rsid w:val="008C2970"/>
    <w:rsid w:val="008C2C7B"/>
    <w:rsid w:val="008C3A3C"/>
    <w:rsid w:val="008C4DC6"/>
    <w:rsid w:val="008C4F13"/>
    <w:rsid w:val="008C582B"/>
    <w:rsid w:val="008C5C4C"/>
    <w:rsid w:val="008C605B"/>
    <w:rsid w:val="008C65CA"/>
    <w:rsid w:val="008C683D"/>
    <w:rsid w:val="008D08D9"/>
    <w:rsid w:val="008D16CE"/>
    <w:rsid w:val="008D1822"/>
    <w:rsid w:val="008D29AA"/>
    <w:rsid w:val="008D2C06"/>
    <w:rsid w:val="008D2F77"/>
    <w:rsid w:val="008D3139"/>
    <w:rsid w:val="008D3D21"/>
    <w:rsid w:val="008D47A8"/>
    <w:rsid w:val="008D4B65"/>
    <w:rsid w:val="008D5133"/>
    <w:rsid w:val="008D5503"/>
    <w:rsid w:val="008D59E6"/>
    <w:rsid w:val="008D5AED"/>
    <w:rsid w:val="008E12BB"/>
    <w:rsid w:val="008E223F"/>
    <w:rsid w:val="008E2C2A"/>
    <w:rsid w:val="008E354E"/>
    <w:rsid w:val="008E3A1B"/>
    <w:rsid w:val="008E3EA7"/>
    <w:rsid w:val="008E4143"/>
    <w:rsid w:val="008E43A3"/>
    <w:rsid w:val="008E6137"/>
    <w:rsid w:val="008E709C"/>
    <w:rsid w:val="008E766F"/>
    <w:rsid w:val="008E76F0"/>
    <w:rsid w:val="008F00CF"/>
    <w:rsid w:val="008F071D"/>
    <w:rsid w:val="008F0864"/>
    <w:rsid w:val="008F1371"/>
    <w:rsid w:val="008F1A7F"/>
    <w:rsid w:val="008F2219"/>
    <w:rsid w:val="008F2591"/>
    <w:rsid w:val="008F25F0"/>
    <w:rsid w:val="008F26DA"/>
    <w:rsid w:val="008F2EC8"/>
    <w:rsid w:val="008F3B33"/>
    <w:rsid w:val="008F3B5C"/>
    <w:rsid w:val="008F4EBF"/>
    <w:rsid w:val="008F55CC"/>
    <w:rsid w:val="008F5F4B"/>
    <w:rsid w:val="008F6432"/>
    <w:rsid w:val="008F6D33"/>
    <w:rsid w:val="008F76DD"/>
    <w:rsid w:val="008F7AD9"/>
    <w:rsid w:val="00901C49"/>
    <w:rsid w:val="00902B0D"/>
    <w:rsid w:val="00902F2D"/>
    <w:rsid w:val="009035B7"/>
    <w:rsid w:val="00903974"/>
    <w:rsid w:val="00904267"/>
    <w:rsid w:val="00904342"/>
    <w:rsid w:val="00905250"/>
    <w:rsid w:val="009056FD"/>
    <w:rsid w:val="009065D0"/>
    <w:rsid w:val="009067C5"/>
    <w:rsid w:val="00906A17"/>
    <w:rsid w:val="009072E9"/>
    <w:rsid w:val="0090740F"/>
    <w:rsid w:val="009101D9"/>
    <w:rsid w:val="0091044D"/>
    <w:rsid w:val="00910599"/>
    <w:rsid w:val="0091075F"/>
    <w:rsid w:val="00911AF4"/>
    <w:rsid w:val="00911B24"/>
    <w:rsid w:val="00912CA8"/>
    <w:rsid w:val="0091399A"/>
    <w:rsid w:val="00913E33"/>
    <w:rsid w:val="009144E3"/>
    <w:rsid w:val="009146AE"/>
    <w:rsid w:val="00914BA7"/>
    <w:rsid w:val="009157BB"/>
    <w:rsid w:val="00915A20"/>
    <w:rsid w:val="00916F03"/>
    <w:rsid w:val="00917297"/>
    <w:rsid w:val="009204D7"/>
    <w:rsid w:val="00921355"/>
    <w:rsid w:val="009220C0"/>
    <w:rsid w:val="00922554"/>
    <w:rsid w:val="00922C24"/>
    <w:rsid w:val="00923451"/>
    <w:rsid w:val="00923594"/>
    <w:rsid w:val="009237C0"/>
    <w:rsid w:val="0092408F"/>
    <w:rsid w:val="009249A6"/>
    <w:rsid w:val="00924FC5"/>
    <w:rsid w:val="00925C8D"/>
    <w:rsid w:val="009263C6"/>
    <w:rsid w:val="0092691B"/>
    <w:rsid w:val="00926A02"/>
    <w:rsid w:val="00927520"/>
    <w:rsid w:val="00927ADC"/>
    <w:rsid w:val="009302CB"/>
    <w:rsid w:val="00930817"/>
    <w:rsid w:val="0093153F"/>
    <w:rsid w:val="00932920"/>
    <w:rsid w:val="00933099"/>
    <w:rsid w:val="00933A09"/>
    <w:rsid w:val="00936298"/>
    <w:rsid w:val="00936459"/>
    <w:rsid w:val="00936FED"/>
    <w:rsid w:val="0093739B"/>
    <w:rsid w:val="00937545"/>
    <w:rsid w:val="00937999"/>
    <w:rsid w:val="00940976"/>
    <w:rsid w:val="009410A0"/>
    <w:rsid w:val="0094131E"/>
    <w:rsid w:val="00941337"/>
    <w:rsid w:val="00942770"/>
    <w:rsid w:val="009430B5"/>
    <w:rsid w:val="00944362"/>
    <w:rsid w:val="00945867"/>
    <w:rsid w:val="00945B5B"/>
    <w:rsid w:val="009465C2"/>
    <w:rsid w:val="00946615"/>
    <w:rsid w:val="00946927"/>
    <w:rsid w:val="00946FE0"/>
    <w:rsid w:val="009477D6"/>
    <w:rsid w:val="0095094C"/>
    <w:rsid w:val="00950F3F"/>
    <w:rsid w:val="00951C02"/>
    <w:rsid w:val="00951E40"/>
    <w:rsid w:val="00953579"/>
    <w:rsid w:val="00953D92"/>
    <w:rsid w:val="009543DE"/>
    <w:rsid w:val="00954743"/>
    <w:rsid w:val="00955288"/>
    <w:rsid w:val="00957B0C"/>
    <w:rsid w:val="00957D48"/>
    <w:rsid w:val="00960068"/>
    <w:rsid w:val="00960367"/>
    <w:rsid w:val="0096085B"/>
    <w:rsid w:val="0096088A"/>
    <w:rsid w:val="00960C05"/>
    <w:rsid w:val="009616E0"/>
    <w:rsid w:val="00961DCA"/>
    <w:rsid w:val="00962E5B"/>
    <w:rsid w:val="00963A85"/>
    <w:rsid w:val="00964160"/>
    <w:rsid w:val="0096488D"/>
    <w:rsid w:val="00964BBE"/>
    <w:rsid w:val="00964BC1"/>
    <w:rsid w:val="00964FB8"/>
    <w:rsid w:val="00965B54"/>
    <w:rsid w:val="0096632C"/>
    <w:rsid w:val="00967CF9"/>
    <w:rsid w:val="00970177"/>
    <w:rsid w:val="009705D9"/>
    <w:rsid w:val="00970DFF"/>
    <w:rsid w:val="0097111B"/>
    <w:rsid w:val="00974A55"/>
    <w:rsid w:val="00974FC0"/>
    <w:rsid w:val="009756F9"/>
    <w:rsid w:val="00975A39"/>
    <w:rsid w:val="009763A2"/>
    <w:rsid w:val="00976A03"/>
    <w:rsid w:val="00977295"/>
    <w:rsid w:val="009773F0"/>
    <w:rsid w:val="00980B83"/>
    <w:rsid w:val="009812A4"/>
    <w:rsid w:val="009819C7"/>
    <w:rsid w:val="0098211A"/>
    <w:rsid w:val="009833AA"/>
    <w:rsid w:val="009835D8"/>
    <w:rsid w:val="00983658"/>
    <w:rsid w:val="00983A45"/>
    <w:rsid w:val="00983AF1"/>
    <w:rsid w:val="0098414D"/>
    <w:rsid w:val="00985043"/>
    <w:rsid w:val="00985800"/>
    <w:rsid w:val="009858A2"/>
    <w:rsid w:val="009859D6"/>
    <w:rsid w:val="009860A7"/>
    <w:rsid w:val="00986559"/>
    <w:rsid w:val="00987131"/>
    <w:rsid w:val="009874D5"/>
    <w:rsid w:val="00987EFC"/>
    <w:rsid w:val="0099058A"/>
    <w:rsid w:val="009913DA"/>
    <w:rsid w:val="009914D1"/>
    <w:rsid w:val="009918BE"/>
    <w:rsid w:val="00991999"/>
    <w:rsid w:val="00991AF2"/>
    <w:rsid w:val="00992271"/>
    <w:rsid w:val="00993061"/>
    <w:rsid w:val="009930F0"/>
    <w:rsid w:val="00993393"/>
    <w:rsid w:val="00993BA5"/>
    <w:rsid w:val="0099499E"/>
    <w:rsid w:val="009949B1"/>
    <w:rsid w:val="00994F73"/>
    <w:rsid w:val="0099531C"/>
    <w:rsid w:val="009953E3"/>
    <w:rsid w:val="0099570B"/>
    <w:rsid w:val="0099614C"/>
    <w:rsid w:val="00996726"/>
    <w:rsid w:val="009978D6"/>
    <w:rsid w:val="0099793D"/>
    <w:rsid w:val="009A05A9"/>
    <w:rsid w:val="009A0A02"/>
    <w:rsid w:val="009A10AF"/>
    <w:rsid w:val="009A12BA"/>
    <w:rsid w:val="009A14B5"/>
    <w:rsid w:val="009A1D32"/>
    <w:rsid w:val="009A4222"/>
    <w:rsid w:val="009A45E4"/>
    <w:rsid w:val="009A468C"/>
    <w:rsid w:val="009A4ECF"/>
    <w:rsid w:val="009A5202"/>
    <w:rsid w:val="009A52AF"/>
    <w:rsid w:val="009A54AC"/>
    <w:rsid w:val="009A59B2"/>
    <w:rsid w:val="009A638C"/>
    <w:rsid w:val="009A6AF0"/>
    <w:rsid w:val="009A734B"/>
    <w:rsid w:val="009A790E"/>
    <w:rsid w:val="009B08FE"/>
    <w:rsid w:val="009B1848"/>
    <w:rsid w:val="009B1DEC"/>
    <w:rsid w:val="009B2034"/>
    <w:rsid w:val="009B2E4A"/>
    <w:rsid w:val="009B37E6"/>
    <w:rsid w:val="009B3B0E"/>
    <w:rsid w:val="009B4648"/>
    <w:rsid w:val="009B5ADF"/>
    <w:rsid w:val="009B5E66"/>
    <w:rsid w:val="009B72DD"/>
    <w:rsid w:val="009B7BAE"/>
    <w:rsid w:val="009C00AE"/>
    <w:rsid w:val="009C0183"/>
    <w:rsid w:val="009C037E"/>
    <w:rsid w:val="009C0E61"/>
    <w:rsid w:val="009C1421"/>
    <w:rsid w:val="009C1D6D"/>
    <w:rsid w:val="009C1E86"/>
    <w:rsid w:val="009C2BC0"/>
    <w:rsid w:val="009C4062"/>
    <w:rsid w:val="009C4622"/>
    <w:rsid w:val="009C55FA"/>
    <w:rsid w:val="009C628D"/>
    <w:rsid w:val="009C62CE"/>
    <w:rsid w:val="009C6A81"/>
    <w:rsid w:val="009C73C1"/>
    <w:rsid w:val="009C74EE"/>
    <w:rsid w:val="009C7E5B"/>
    <w:rsid w:val="009C7E64"/>
    <w:rsid w:val="009D0227"/>
    <w:rsid w:val="009D2E82"/>
    <w:rsid w:val="009D2F63"/>
    <w:rsid w:val="009D307E"/>
    <w:rsid w:val="009D3D2C"/>
    <w:rsid w:val="009D4481"/>
    <w:rsid w:val="009D4543"/>
    <w:rsid w:val="009D473C"/>
    <w:rsid w:val="009D4CD3"/>
    <w:rsid w:val="009D4E95"/>
    <w:rsid w:val="009D5425"/>
    <w:rsid w:val="009D5572"/>
    <w:rsid w:val="009D5B19"/>
    <w:rsid w:val="009D5CB3"/>
    <w:rsid w:val="009D6284"/>
    <w:rsid w:val="009D62B1"/>
    <w:rsid w:val="009D6B61"/>
    <w:rsid w:val="009D7112"/>
    <w:rsid w:val="009D7953"/>
    <w:rsid w:val="009D7E72"/>
    <w:rsid w:val="009E0109"/>
    <w:rsid w:val="009E013E"/>
    <w:rsid w:val="009E0629"/>
    <w:rsid w:val="009E1411"/>
    <w:rsid w:val="009E2043"/>
    <w:rsid w:val="009E2B72"/>
    <w:rsid w:val="009E310B"/>
    <w:rsid w:val="009E32DC"/>
    <w:rsid w:val="009E56F3"/>
    <w:rsid w:val="009E6900"/>
    <w:rsid w:val="009E71D2"/>
    <w:rsid w:val="009E7370"/>
    <w:rsid w:val="009E7374"/>
    <w:rsid w:val="009E75A4"/>
    <w:rsid w:val="009E76CF"/>
    <w:rsid w:val="009F01D6"/>
    <w:rsid w:val="009F0798"/>
    <w:rsid w:val="009F0B3A"/>
    <w:rsid w:val="009F1132"/>
    <w:rsid w:val="009F13DA"/>
    <w:rsid w:val="009F2052"/>
    <w:rsid w:val="009F2369"/>
    <w:rsid w:val="009F2480"/>
    <w:rsid w:val="009F265C"/>
    <w:rsid w:val="009F30D5"/>
    <w:rsid w:val="009F3E97"/>
    <w:rsid w:val="009F5125"/>
    <w:rsid w:val="009F52C9"/>
    <w:rsid w:val="009F6ADF"/>
    <w:rsid w:val="009F6B8E"/>
    <w:rsid w:val="009F7D0B"/>
    <w:rsid w:val="009F7DB9"/>
    <w:rsid w:val="009F7FA0"/>
    <w:rsid w:val="00A01161"/>
    <w:rsid w:val="00A014E8"/>
    <w:rsid w:val="00A02705"/>
    <w:rsid w:val="00A03415"/>
    <w:rsid w:val="00A03B7B"/>
    <w:rsid w:val="00A03BF5"/>
    <w:rsid w:val="00A04C98"/>
    <w:rsid w:val="00A04FA6"/>
    <w:rsid w:val="00A06B46"/>
    <w:rsid w:val="00A07306"/>
    <w:rsid w:val="00A10B36"/>
    <w:rsid w:val="00A122A8"/>
    <w:rsid w:val="00A12C2C"/>
    <w:rsid w:val="00A13614"/>
    <w:rsid w:val="00A15FB1"/>
    <w:rsid w:val="00A16646"/>
    <w:rsid w:val="00A16888"/>
    <w:rsid w:val="00A16B9D"/>
    <w:rsid w:val="00A16CCC"/>
    <w:rsid w:val="00A16DC5"/>
    <w:rsid w:val="00A204A2"/>
    <w:rsid w:val="00A20F6E"/>
    <w:rsid w:val="00A21007"/>
    <w:rsid w:val="00A210BC"/>
    <w:rsid w:val="00A212B7"/>
    <w:rsid w:val="00A219B6"/>
    <w:rsid w:val="00A21D45"/>
    <w:rsid w:val="00A22487"/>
    <w:rsid w:val="00A22F30"/>
    <w:rsid w:val="00A22F35"/>
    <w:rsid w:val="00A23626"/>
    <w:rsid w:val="00A24350"/>
    <w:rsid w:val="00A2498A"/>
    <w:rsid w:val="00A24B9A"/>
    <w:rsid w:val="00A24DF9"/>
    <w:rsid w:val="00A25156"/>
    <w:rsid w:val="00A25302"/>
    <w:rsid w:val="00A26D4D"/>
    <w:rsid w:val="00A30306"/>
    <w:rsid w:val="00A3243E"/>
    <w:rsid w:val="00A32440"/>
    <w:rsid w:val="00A32631"/>
    <w:rsid w:val="00A326AD"/>
    <w:rsid w:val="00A32862"/>
    <w:rsid w:val="00A32EE4"/>
    <w:rsid w:val="00A32F2C"/>
    <w:rsid w:val="00A33A39"/>
    <w:rsid w:val="00A346CD"/>
    <w:rsid w:val="00A35E76"/>
    <w:rsid w:val="00A36B39"/>
    <w:rsid w:val="00A36F62"/>
    <w:rsid w:val="00A3705C"/>
    <w:rsid w:val="00A37665"/>
    <w:rsid w:val="00A40408"/>
    <w:rsid w:val="00A4056E"/>
    <w:rsid w:val="00A40807"/>
    <w:rsid w:val="00A41515"/>
    <w:rsid w:val="00A422E2"/>
    <w:rsid w:val="00A4305E"/>
    <w:rsid w:val="00A43555"/>
    <w:rsid w:val="00A44426"/>
    <w:rsid w:val="00A447DE"/>
    <w:rsid w:val="00A45500"/>
    <w:rsid w:val="00A465F1"/>
    <w:rsid w:val="00A46713"/>
    <w:rsid w:val="00A46797"/>
    <w:rsid w:val="00A46C04"/>
    <w:rsid w:val="00A46D90"/>
    <w:rsid w:val="00A479DC"/>
    <w:rsid w:val="00A50962"/>
    <w:rsid w:val="00A5226E"/>
    <w:rsid w:val="00A537A0"/>
    <w:rsid w:val="00A53AA4"/>
    <w:rsid w:val="00A53B4F"/>
    <w:rsid w:val="00A53E47"/>
    <w:rsid w:val="00A540F9"/>
    <w:rsid w:val="00A54105"/>
    <w:rsid w:val="00A545B5"/>
    <w:rsid w:val="00A553BA"/>
    <w:rsid w:val="00A55B1E"/>
    <w:rsid w:val="00A569F5"/>
    <w:rsid w:val="00A57ED2"/>
    <w:rsid w:val="00A60709"/>
    <w:rsid w:val="00A61E42"/>
    <w:rsid w:val="00A62680"/>
    <w:rsid w:val="00A62971"/>
    <w:rsid w:val="00A62A4C"/>
    <w:rsid w:val="00A62D4B"/>
    <w:rsid w:val="00A63ABF"/>
    <w:rsid w:val="00A64822"/>
    <w:rsid w:val="00A649F2"/>
    <w:rsid w:val="00A64B37"/>
    <w:rsid w:val="00A64E42"/>
    <w:rsid w:val="00A661DE"/>
    <w:rsid w:val="00A6630E"/>
    <w:rsid w:val="00A679C1"/>
    <w:rsid w:val="00A70388"/>
    <w:rsid w:val="00A70500"/>
    <w:rsid w:val="00A7070E"/>
    <w:rsid w:val="00A70719"/>
    <w:rsid w:val="00A71825"/>
    <w:rsid w:val="00A71EB6"/>
    <w:rsid w:val="00A727DA"/>
    <w:rsid w:val="00A72D3B"/>
    <w:rsid w:val="00A730C8"/>
    <w:rsid w:val="00A74758"/>
    <w:rsid w:val="00A74B26"/>
    <w:rsid w:val="00A7530A"/>
    <w:rsid w:val="00A75FD3"/>
    <w:rsid w:val="00A77F07"/>
    <w:rsid w:val="00A77F54"/>
    <w:rsid w:val="00A8003F"/>
    <w:rsid w:val="00A80793"/>
    <w:rsid w:val="00A80880"/>
    <w:rsid w:val="00A80A9B"/>
    <w:rsid w:val="00A80CC4"/>
    <w:rsid w:val="00A80F92"/>
    <w:rsid w:val="00A81EE6"/>
    <w:rsid w:val="00A83499"/>
    <w:rsid w:val="00A84B47"/>
    <w:rsid w:val="00A8538C"/>
    <w:rsid w:val="00A855B5"/>
    <w:rsid w:val="00A85CEF"/>
    <w:rsid w:val="00A87132"/>
    <w:rsid w:val="00A873B5"/>
    <w:rsid w:val="00A87BCD"/>
    <w:rsid w:val="00A901AE"/>
    <w:rsid w:val="00A9082F"/>
    <w:rsid w:val="00A91821"/>
    <w:rsid w:val="00A91B5A"/>
    <w:rsid w:val="00A91D8C"/>
    <w:rsid w:val="00A92DEE"/>
    <w:rsid w:val="00A93435"/>
    <w:rsid w:val="00A936DD"/>
    <w:rsid w:val="00A93940"/>
    <w:rsid w:val="00A93AF2"/>
    <w:rsid w:val="00A93ED7"/>
    <w:rsid w:val="00A947DD"/>
    <w:rsid w:val="00A94CE5"/>
    <w:rsid w:val="00A95499"/>
    <w:rsid w:val="00A95608"/>
    <w:rsid w:val="00A95767"/>
    <w:rsid w:val="00A96030"/>
    <w:rsid w:val="00A9624D"/>
    <w:rsid w:val="00A976B9"/>
    <w:rsid w:val="00A97975"/>
    <w:rsid w:val="00A97BA0"/>
    <w:rsid w:val="00A97F92"/>
    <w:rsid w:val="00AA12C3"/>
    <w:rsid w:val="00AA1631"/>
    <w:rsid w:val="00AA1670"/>
    <w:rsid w:val="00AA1E70"/>
    <w:rsid w:val="00AA2065"/>
    <w:rsid w:val="00AA2069"/>
    <w:rsid w:val="00AA20CD"/>
    <w:rsid w:val="00AA237A"/>
    <w:rsid w:val="00AA4310"/>
    <w:rsid w:val="00AA4965"/>
    <w:rsid w:val="00AA5582"/>
    <w:rsid w:val="00AA6618"/>
    <w:rsid w:val="00AA6F0C"/>
    <w:rsid w:val="00AA713E"/>
    <w:rsid w:val="00AA75F7"/>
    <w:rsid w:val="00AA7CEB"/>
    <w:rsid w:val="00AA7FC2"/>
    <w:rsid w:val="00AB0923"/>
    <w:rsid w:val="00AB1774"/>
    <w:rsid w:val="00AB197C"/>
    <w:rsid w:val="00AB2169"/>
    <w:rsid w:val="00AB2182"/>
    <w:rsid w:val="00AB245E"/>
    <w:rsid w:val="00AB3411"/>
    <w:rsid w:val="00AB3DB2"/>
    <w:rsid w:val="00AB42B3"/>
    <w:rsid w:val="00AB44A5"/>
    <w:rsid w:val="00AB4515"/>
    <w:rsid w:val="00AB46F0"/>
    <w:rsid w:val="00AB5C50"/>
    <w:rsid w:val="00AB6782"/>
    <w:rsid w:val="00AB713B"/>
    <w:rsid w:val="00AB76C0"/>
    <w:rsid w:val="00AB7BFB"/>
    <w:rsid w:val="00AC0831"/>
    <w:rsid w:val="00AC08AC"/>
    <w:rsid w:val="00AC1689"/>
    <w:rsid w:val="00AC2594"/>
    <w:rsid w:val="00AC388A"/>
    <w:rsid w:val="00AC4D18"/>
    <w:rsid w:val="00AC4FEC"/>
    <w:rsid w:val="00AC51B8"/>
    <w:rsid w:val="00AC56AC"/>
    <w:rsid w:val="00AC588C"/>
    <w:rsid w:val="00AC6459"/>
    <w:rsid w:val="00AC6F01"/>
    <w:rsid w:val="00AC7151"/>
    <w:rsid w:val="00AC72A4"/>
    <w:rsid w:val="00AC773A"/>
    <w:rsid w:val="00AD012F"/>
    <w:rsid w:val="00AD0289"/>
    <w:rsid w:val="00AD10DF"/>
    <w:rsid w:val="00AD11FE"/>
    <w:rsid w:val="00AD1573"/>
    <w:rsid w:val="00AD2CE3"/>
    <w:rsid w:val="00AD3178"/>
    <w:rsid w:val="00AD652D"/>
    <w:rsid w:val="00AD6789"/>
    <w:rsid w:val="00AD7107"/>
    <w:rsid w:val="00AD75DC"/>
    <w:rsid w:val="00AE0913"/>
    <w:rsid w:val="00AE162A"/>
    <w:rsid w:val="00AE1E2A"/>
    <w:rsid w:val="00AE21C7"/>
    <w:rsid w:val="00AE2291"/>
    <w:rsid w:val="00AE356A"/>
    <w:rsid w:val="00AE39A3"/>
    <w:rsid w:val="00AE3A68"/>
    <w:rsid w:val="00AE3C19"/>
    <w:rsid w:val="00AE3FB4"/>
    <w:rsid w:val="00AE454C"/>
    <w:rsid w:val="00AE62EA"/>
    <w:rsid w:val="00AE6A2E"/>
    <w:rsid w:val="00AE6CCC"/>
    <w:rsid w:val="00AF0563"/>
    <w:rsid w:val="00AF062E"/>
    <w:rsid w:val="00AF13D4"/>
    <w:rsid w:val="00AF1539"/>
    <w:rsid w:val="00AF1BDA"/>
    <w:rsid w:val="00AF1DBA"/>
    <w:rsid w:val="00AF2A82"/>
    <w:rsid w:val="00AF33C0"/>
    <w:rsid w:val="00AF383A"/>
    <w:rsid w:val="00AF3E4B"/>
    <w:rsid w:val="00AF4187"/>
    <w:rsid w:val="00AF430E"/>
    <w:rsid w:val="00AF4F0B"/>
    <w:rsid w:val="00AF51D0"/>
    <w:rsid w:val="00AF64AD"/>
    <w:rsid w:val="00AF69E7"/>
    <w:rsid w:val="00AF6ACA"/>
    <w:rsid w:val="00AF703F"/>
    <w:rsid w:val="00AF7D0D"/>
    <w:rsid w:val="00B00BAE"/>
    <w:rsid w:val="00B013C8"/>
    <w:rsid w:val="00B01792"/>
    <w:rsid w:val="00B020AC"/>
    <w:rsid w:val="00B024DE"/>
    <w:rsid w:val="00B02990"/>
    <w:rsid w:val="00B02A11"/>
    <w:rsid w:val="00B030E9"/>
    <w:rsid w:val="00B032F2"/>
    <w:rsid w:val="00B04F64"/>
    <w:rsid w:val="00B05B90"/>
    <w:rsid w:val="00B1028D"/>
    <w:rsid w:val="00B10C42"/>
    <w:rsid w:val="00B10E10"/>
    <w:rsid w:val="00B12231"/>
    <w:rsid w:val="00B128D0"/>
    <w:rsid w:val="00B12918"/>
    <w:rsid w:val="00B12CD0"/>
    <w:rsid w:val="00B12E67"/>
    <w:rsid w:val="00B13126"/>
    <w:rsid w:val="00B13695"/>
    <w:rsid w:val="00B13968"/>
    <w:rsid w:val="00B13D58"/>
    <w:rsid w:val="00B14933"/>
    <w:rsid w:val="00B1556B"/>
    <w:rsid w:val="00B15A13"/>
    <w:rsid w:val="00B16B3C"/>
    <w:rsid w:val="00B16DD5"/>
    <w:rsid w:val="00B205B7"/>
    <w:rsid w:val="00B20785"/>
    <w:rsid w:val="00B21012"/>
    <w:rsid w:val="00B2135C"/>
    <w:rsid w:val="00B218B2"/>
    <w:rsid w:val="00B21B5F"/>
    <w:rsid w:val="00B21FB9"/>
    <w:rsid w:val="00B2206C"/>
    <w:rsid w:val="00B22C19"/>
    <w:rsid w:val="00B22C6F"/>
    <w:rsid w:val="00B23158"/>
    <w:rsid w:val="00B24410"/>
    <w:rsid w:val="00B245D5"/>
    <w:rsid w:val="00B26BDA"/>
    <w:rsid w:val="00B31D29"/>
    <w:rsid w:val="00B33195"/>
    <w:rsid w:val="00B33A82"/>
    <w:rsid w:val="00B3401E"/>
    <w:rsid w:val="00B347B7"/>
    <w:rsid w:val="00B34D9B"/>
    <w:rsid w:val="00B3507C"/>
    <w:rsid w:val="00B3555D"/>
    <w:rsid w:val="00B3570C"/>
    <w:rsid w:val="00B35823"/>
    <w:rsid w:val="00B35F62"/>
    <w:rsid w:val="00B36956"/>
    <w:rsid w:val="00B36AF2"/>
    <w:rsid w:val="00B36EEE"/>
    <w:rsid w:val="00B36F8A"/>
    <w:rsid w:val="00B376C4"/>
    <w:rsid w:val="00B37FE8"/>
    <w:rsid w:val="00B4044C"/>
    <w:rsid w:val="00B405C3"/>
    <w:rsid w:val="00B41923"/>
    <w:rsid w:val="00B41E1B"/>
    <w:rsid w:val="00B42444"/>
    <w:rsid w:val="00B424C8"/>
    <w:rsid w:val="00B424D9"/>
    <w:rsid w:val="00B426BA"/>
    <w:rsid w:val="00B42CA4"/>
    <w:rsid w:val="00B42D1A"/>
    <w:rsid w:val="00B4407C"/>
    <w:rsid w:val="00B447EE"/>
    <w:rsid w:val="00B44AC5"/>
    <w:rsid w:val="00B4501A"/>
    <w:rsid w:val="00B45189"/>
    <w:rsid w:val="00B45D7F"/>
    <w:rsid w:val="00B46308"/>
    <w:rsid w:val="00B46722"/>
    <w:rsid w:val="00B47A41"/>
    <w:rsid w:val="00B47E7E"/>
    <w:rsid w:val="00B47E93"/>
    <w:rsid w:val="00B500F6"/>
    <w:rsid w:val="00B50159"/>
    <w:rsid w:val="00B5072E"/>
    <w:rsid w:val="00B508CD"/>
    <w:rsid w:val="00B50FFD"/>
    <w:rsid w:val="00B511F1"/>
    <w:rsid w:val="00B51609"/>
    <w:rsid w:val="00B52114"/>
    <w:rsid w:val="00B52A39"/>
    <w:rsid w:val="00B53317"/>
    <w:rsid w:val="00B53B96"/>
    <w:rsid w:val="00B54182"/>
    <w:rsid w:val="00B557AD"/>
    <w:rsid w:val="00B55AD6"/>
    <w:rsid w:val="00B55CDE"/>
    <w:rsid w:val="00B564A1"/>
    <w:rsid w:val="00B56D65"/>
    <w:rsid w:val="00B572BB"/>
    <w:rsid w:val="00B5754A"/>
    <w:rsid w:val="00B57978"/>
    <w:rsid w:val="00B57BAA"/>
    <w:rsid w:val="00B60714"/>
    <w:rsid w:val="00B60879"/>
    <w:rsid w:val="00B61132"/>
    <w:rsid w:val="00B613C1"/>
    <w:rsid w:val="00B613CD"/>
    <w:rsid w:val="00B61BF5"/>
    <w:rsid w:val="00B61C68"/>
    <w:rsid w:val="00B628A9"/>
    <w:rsid w:val="00B63B2F"/>
    <w:rsid w:val="00B6531F"/>
    <w:rsid w:val="00B65840"/>
    <w:rsid w:val="00B65B63"/>
    <w:rsid w:val="00B7050B"/>
    <w:rsid w:val="00B718C9"/>
    <w:rsid w:val="00B7242F"/>
    <w:rsid w:val="00B74556"/>
    <w:rsid w:val="00B74772"/>
    <w:rsid w:val="00B74F36"/>
    <w:rsid w:val="00B75AC1"/>
    <w:rsid w:val="00B76777"/>
    <w:rsid w:val="00B76B92"/>
    <w:rsid w:val="00B77A2E"/>
    <w:rsid w:val="00B77A49"/>
    <w:rsid w:val="00B77E4E"/>
    <w:rsid w:val="00B80787"/>
    <w:rsid w:val="00B80884"/>
    <w:rsid w:val="00B81398"/>
    <w:rsid w:val="00B813BE"/>
    <w:rsid w:val="00B81A42"/>
    <w:rsid w:val="00B81CF6"/>
    <w:rsid w:val="00B81DB1"/>
    <w:rsid w:val="00B840ED"/>
    <w:rsid w:val="00B8462D"/>
    <w:rsid w:val="00B8501D"/>
    <w:rsid w:val="00B85836"/>
    <w:rsid w:val="00B85E35"/>
    <w:rsid w:val="00B87D83"/>
    <w:rsid w:val="00B90294"/>
    <w:rsid w:val="00B902C8"/>
    <w:rsid w:val="00B906BD"/>
    <w:rsid w:val="00B90F4A"/>
    <w:rsid w:val="00B91459"/>
    <w:rsid w:val="00B91A4E"/>
    <w:rsid w:val="00B91C77"/>
    <w:rsid w:val="00B91EC0"/>
    <w:rsid w:val="00B92E7E"/>
    <w:rsid w:val="00B931F4"/>
    <w:rsid w:val="00B93856"/>
    <w:rsid w:val="00B93C0B"/>
    <w:rsid w:val="00B93E22"/>
    <w:rsid w:val="00B942C9"/>
    <w:rsid w:val="00B94842"/>
    <w:rsid w:val="00B95175"/>
    <w:rsid w:val="00B95543"/>
    <w:rsid w:val="00B95992"/>
    <w:rsid w:val="00B9612D"/>
    <w:rsid w:val="00B966DC"/>
    <w:rsid w:val="00BA0C68"/>
    <w:rsid w:val="00BA10EA"/>
    <w:rsid w:val="00BA1B21"/>
    <w:rsid w:val="00BA1F8D"/>
    <w:rsid w:val="00BA22B9"/>
    <w:rsid w:val="00BA27AA"/>
    <w:rsid w:val="00BA289F"/>
    <w:rsid w:val="00BA2EB7"/>
    <w:rsid w:val="00BA31AB"/>
    <w:rsid w:val="00BA34B9"/>
    <w:rsid w:val="00BA3930"/>
    <w:rsid w:val="00BA3D1F"/>
    <w:rsid w:val="00BA504B"/>
    <w:rsid w:val="00BA525D"/>
    <w:rsid w:val="00BA5C19"/>
    <w:rsid w:val="00BA6679"/>
    <w:rsid w:val="00BA6B86"/>
    <w:rsid w:val="00BA6F89"/>
    <w:rsid w:val="00BB0CF7"/>
    <w:rsid w:val="00BB0DED"/>
    <w:rsid w:val="00BB0FB0"/>
    <w:rsid w:val="00BB1F3D"/>
    <w:rsid w:val="00BB3DA1"/>
    <w:rsid w:val="00BC0E5A"/>
    <w:rsid w:val="00BC10E0"/>
    <w:rsid w:val="00BC150F"/>
    <w:rsid w:val="00BC20F7"/>
    <w:rsid w:val="00BC233B"/>
    <w:rsid w:val="00BC304D"/>
    <w:rsid w:val="00BC31E1"/>
    <w:rsid w:val="00BC3C2B"/>
    <w:rsid w:val="00BC40D5"/>
    <w:rsid w:val="00BC5606"/>
    <w:rsid w:val="00BC5A2F"/>
    <w:rsid w:val="00BC5DAF"/>
    <w:rsid w:val="00BC74F1"/>
    <w:rsid w:val="00BC76FF"/>
    <w:rsid w:val="00BC7DD4"/>
    <w:rsid w:val="00BC7E8F"/>
    <w:rsid w:val="00BD094A"/>
    <w:rsid w:val="00BD149D"/>
    <w:rsid w:val="00BD1A4F"/>
    <w:rsid w:val="00BD264B"/>
    <w:rsid w:val="00BD2A9B"/>
    <w:rsid w:val="00BD3391"/>
    <w:rsid w:val="00BD3452"/>
    <w:rsid w:val="00BD41C8"/>
    <w:rsid w:val="00BD576F"/>
    <w:rsid w:val="00BD5922"/>
    <w:rsid w:val="00BD65B5"/>
    <w:rsid w:val="00BD65BE"/>
    <w:rsid w:val="00BD6702"/>
    <w:rsid w:val="00BD689B"/>
    <w:rsid w:val="00BD6FC7"/>
    <w:rsid w:val="00BD7FF3"/>
    <w:rsid w:val="00BE045F"/>
    <w:rsid w:val="00BE097B"/>
    <w:rsid w:val="00BE0B2A"/>
    <w:rsid w:val="00BE0CB3"/>
    <w:rsid w:val="00BE0E05"/>
    <w:rsid w:val="00BE17AE"/>
    <w:rsid w:val="00BE2AAB"/>
    <w:rsid w:val="00BE2F5B"/>
    <w:rsid w:val="00BE333B"/>
    <w:rsid w:val="00BE3A54"/>
    <w:rsid w:val="00BE433B"/>
    <w:rsid w:val="00BE45A4"/>
    <w:rsid w:val="00BE602E"/>
    <w:rsid w:val="00BF0471"/>
    <w:rsid w:val="00BF15FB"/>
    <w:rsid w:val="00BF1797"/>
    <w:rsid w:val="00BF1A12"/>
    <w:rsid w:val="00BF1B3C"/>
    <w:rsid w:val="00BF2A0F"/>
    <w:rsid w:val="00BF2AF6"/>
    <w:rsid w:val="00BF2DBF"/>
    <w:rsid w:val="00BF2E3B"/>
    <w:rsid w:val="00BF4149"/>
    <w:rsid w:val="00BF4BCD"/>
    <w:rsid w:val="00BF4E91"/>
    <w:rsid w:val="00BF50AC"/>
    <w:rsid w:val="00BF5888"/>
    <w:rsid w:val="00BF5A59"/>
    <w:rsid w:val="00BF5E64"/>
    <w:rsid w:val="00BF673B"/>
    <w:rsid w:val="00BF6E4D"/>
    <w:rsid w:val="00BF6F73"/>
    <w:rsid w:val="00BF73F4"/>
    <w:rsid w:val="00BF754E"/>
    <w:rsid w:val="00BF7DF9"/>
    <w:rsid w:val="00C012BD"/>
    <w:rsid w:val="00C012D2"/>
    <w:rsid w:val="00C0136F"/>
    <w:rsid w:val="00C014DA"/>
    <w:rsid w:val="00C018FA"/>
    <w:rsid w:val="00C01DBC"/>
    <w:rsid w:val="00C0231B"/>
    <w:rsid w:val="00C026ED"/>
    <w:rsid w:val="00C043DE"/>
    <w:rsid w:val="00C04BA2"/>
    <w:rsid w:val="00C04FE7"/>
    <w:rsid w:val="00C05906"/>
    <w:rsid w:val="00C05C8A"/>
    <w:rsid w:val="00C05D2E"/>
    <w:rsid w:val="00C06493"/>
    <w:rsid w:val="00C06CC9"/>
    <w:rsid w:val="00C07269"/>
    <w:rsid w:val="00C075BA"/>
    <w:rsid w:val="00C07B5E"/>
    <w:rsid w:val="00C109FF"/>
    <w:rsid w:val="00C1149B"/>
    <w:rsid w:val="00C1194E"/>
    <w:rsid w:val="00C12054"/>
    <w:rsid w:val="00C132D8"/>
    <w:rsid w:val="00C13420"/>
    <w:rsid w:val="00C13652"/>
    <w:rsid w:val="00C14DE9"/>
    <w:rsid w:val="00C155CC"/>
    <w:rsid w:val="00C15620"/>
    <w:rsid w:val="00C15B75"/>
    <w:rsid w:val="00C16775"/>
    <w:rsid w:val="00C1689B"/>
    <w:rsid w:val="00C1716F"/>
    <w:rsid w:val="00C17533"/>
    <w:rsid w:val="00C17CC4"/>
    <w:rsid w:val="00C17E01"/>
    <w:rsid w:val="00C201A2"/>
    <w:rsid w:val="00C20942"/>
    <w:rsid w:val="00C212C5"/>
    <w:rsid w:val="00C228CB"/>
    <w:rsid w:val="00C23824"/>
    <w:rsid w:val="00C23D3F"/>
    <w:rsid w:val="00C2415D"/>
    <w:rsid w:val="00C24D04"/>
    <w:rsid w:val="00C26035"/>
    <w:rsid w:val="00C27581"/>
    <w:rsid w:val="00C278CE"/>
    <w:rsid w:val="00C302B3"/>
    <w:rsid w:val="00C306B8"/>
    <w:rsid w:val="00C31036"/>
    <w:rsid w:val="00C32123"/>
    <w:rsid w:val="00C3237E"/>
    <w:rsid w:val="00C326C3"/>
    <w:rsid w:val="00C327A5"/>
    <w:rsid w:val="00C33488"/>
    <w:rsid w:val="00C34958"/>
    <w:rsid w:val="00C3545E"/>
    <w:rsid w:val="00C35971"/>
    <w:rsid w:val="00C35998"/>
    <w:rsid w:val="00C36273"/>
    <w:rsid w:val="00C368D6"/>
    <w:rsid w:val="00C369BD"/>
    <w:rsid w:val="00C36EF2"/>
    <w:rsid w:val="00C3787A"/>
    <w:rsid w:val="00C3796F"/>
    <w:rsid w:val="00C37D66"/>
    <w:rsid w:val="00C412FA"/>
    <w:rsid w:val="00C41CF5"/>
    <w:rsid w:val="00C42F5D"/>
    <w:rsid w:val="00C43403"/>
    <w:rsid w:val="00C439A5"/>
    <w:rsid w:val="00C44574"/>
    <w:rsid w:val="00C44578"/>
    <w:rsid w:val="00C44DCC"/>
    <w:rsid w:val="00C45225"/>
    <w:rsid w:val="00C454A6"/>
    <w:rsid w:val="00C457ED"/>
    <w:rsid w:val="00C4591D"/>
    <w:rsid w:val="00C45AB4"/>
    <w:rsid w:val="00C46297"/>
    <w:rsid w:val="00C474DA"/>
    <w:rsid w:val="00C4757D"/>
    <w:rsid w:val="00C475CC"/>
    <w:rsid w:val="00C47D07"/>
    <w:rsid w:val="00C510E6"/>
    <w:rsid w:val="00C51822"/>
    <w:rsid w:val="00C5395C"/>
    <w:rsid w:val="00C53AA8"/>
    <w:rsid w:val="00C53F34"/>
    <w:rsid w:val="00C545F2"/>
    <w:rsid w:val="00C54E98"/>
    <w:rsid w:val="00C5511C"/>
    <w:rsid w:val="00C5532C"/>
    <w:rsid w:val="00C5555F"/>
    <w:rsid w:val="00C5692F"/>
    <w:rsid w:val="00C57D2C"/>
    <w:rsid w:val="00C6025A"/>
    <w:rsid w:val="00C60E72"/>
    <w:rsid w:val="00C6120B"/>
    <w:rsid w:val="00C61ABF"/>
    <w:rsid w:val="00C61B0A"/>
    <w:rsid w:val="00C61F91"/>
    <w:rsid w:val="00C63F0F"/>
    <w:rsid w:val="00C65EED"/>
    <w:rsid w:val="00C66173"/>
    <w:rsid w:val="00C66590"/>
    <w:rsid w:val="00C6685D"/>
    <w:rsid w:val="00C66BD5"/>
    <w:rsid w:val="00C66C4F"/>
    <w:rsid w:val="00C67026"/>
    <w:rsid w:val="00C6739D"/>
    <w:rsid w:val="00C70070"/>
    <w:rsid w:val="00C72CEC"/>
    <w:rsid w:val="00C73959"/>
    <w:rsid w:val="00C74418"/>
    <w:rsid w:val="00C7491F"/>
    <w:rsid w:val="00C74D0E"/>
    <w:rsid w:val="00C75AA4"/>
    <w:rsid w:val="00C75C1C"/>
    <w:rsid w:val="00C76162"/>
    <w:rsid w:val="00C7632F"/>
    <w:rsid w:val="00C765F1"/>
    <w:rsid w:val="00C76D44"/>
    <w:rsid w:val="00C7749A"/>
    <w:rsid w:val="00C777CA"/>
    <w:rsid w:val="00C77B9A"/>
    <w:rsid w:val="00C808CE"/>
    <w:rsid w:val="00C8136C"/>
    <w:rsid w:val="00C8206F"/>
    <w:rsid w:val="00C825D3"/>
    <w:rsid w:val="00C82B1F"/>
    <w:rsid w:val="00C830AC"/>
    <w:rsid w:val="00C8371A"/>
    <w:rsid w:val="00C83F56"/>
    <w:rsid w:val="00C85C4D"/>
    <w:rsid w:val="00C86258"/>
    <w:rsid w:val="00C86423"/>
    <w:rsid w:val="00C864B9"/>
    <w:rsid w:val="00C8689D"/>
    <w:rsid w:val="00C869D6"/>
    <w:rsid w:val="00C8714E"/>
    <w:rsid w:val="00C87F5E"/>
    <w:rsid w:val="00C90B9F"/>
    <w:rsid w:val="00C90DB5"/>
    <w:rsid w:val="00C92201"/>
    <w:rsid w:val="00C92B3F"/>
    <w:rsid w:val="00C92D61"/>
    <w:rsid w:val="00C92EFB"/>
    <w:rsid w:val="00C93835"/>
    <w:rsid w:val="00C93AA6"/>
    <w:rsid w:val="00C94836"/>
    <w:rsid w:val="00C94B48"/>
    <w:rsid w:val="00C95243"/>
    <w:rsid w:val="00C955FE"/>
    <w:rsid w:val="00C95C0B"/>
    <w:rsid w:val="00C95CF7"/>
    <w:rsid w:val="00C96563"/>
    <w:rsid w:val="00C97074"/>
    <w:rsid w:val="00C97A44"/>
    <w:rsid w:val="00C97C45"/>
    <w:rsid w:val="00C97DDF"/>
    <w:rsid w:val="00CA0054"/>
    <w:rsid w:val="00CA085F"/>
    <w:rsid w:val="00CA0AF6"/>
    <w:rsid w:val="00CA1793"/>
    <w:rsid w:val="00CA1AE3"/>
    <w:rsid w:val="00CA1FF0"/>
    <w:rsid w:val="00CA2725"/>
    <w:rsid w:val="00CA2A1C"/>
    <w:rsid w:val="00CA306A"/>
    <w:rsid w:val="00CA39FC"/>
    <w:rsid w:val="00CA3B11"/>
    <w:rsid w:val="00CA410F"/>
    <w:rsid w:val="00CA4C13"/>
    <w:rsid w:val="00CA4E54"/>
    <w:rsid w:val="00CA651B"/>
    <w:rsid w:val="00CA67C0"/>
    <w:rsid w:val="00CA6916"/>
    <w:rsid w:val="00CA69A6"/>
    <w:rsid w:val="00CB054C"/>
    <w:rsid w:val="00CB05F7"/>
    <w:rsid w:val="00CB086A"/>
    <w:rsid w:val="00CB0CEB"/>
    <w:rsid w:val="00CB0F92"/>
    <w:rsid w:val="00CB1628"/>
    <w:rsid w:val="00CB324A"/>
    <w:rsid w:val="00CB46B6"/>
    <w:rsid w:val="00CB4DA5"/>
    <w:rsid w:val="00CB4DD7"/>
    <w:rsid w:val="00CB5A1F"/>
    <w:rsid w:val="00CB67B2"/>
    <w:rsid w:val="00CB6D2D"/>
    <w:rsid w:val="00CB7128"/>
    <w:rsid w:val="00CC121B"/>
    <w:rsid w:val="00CC1674"/>
    <w:rsid w:val="00CC1779"/>
    <w:rsid w:val="00CC17D8"/>
    <w:rsid w:val="00CC1E94"/>
    <w:rsid w:val="00CC2B12"/>
    <w:rsid w:val="00CC3A72"/>
    <w:rsid w:val="00CC481A"/>
    <w:rsid w:val="00CC6007"/>
    <w:rsid w:val="00CC600E"/>
    <w:rsid w:val="00CC68FF"/>
    <w:rsid w:val="00CC79B3"/>
    <w:rsid w:val="00CD0023"/>
    <w:rsid w:val="00CD04A1"/>
    <w:rsid w:val="00CD0F01"/>
    <w:rsid w:val="00CD161B"/>
    <w:rsid w:val="00CD2570"/>
    <w:rsid w:val="00CD2B4B"/>
    <w:rsid w:val="00CD327F"/>
    <w:rsid w:val="00CD346A"/>
    <w:rsid w:val="00CD3DE9"/>
    <w:rsid w:val="00CD3ECF"/>
    <w:rsid w:val="00CD4A7E"/>
    <w:rsid w:val="00CD5648"/>
    <w:rsid w:val="00CD6EF3"/>
    <w:rsid w:val="00CD771D"/>
    <w:rsid w:val="00CE039F"/>
    <w:rsid w:val="00CE0FFB"/>
    <w:rsid w:val="00CE1965"/>
    <w:rsid w:val="00CE2600"/>
    <w:rsid w:val="00CE301A"/>
    <w:rsid w:val="00CE32F0"/>
    <w:rsid w:val="00CE497E"/>
    <w:rsid w:val="00CE4B3F"/>
    <w:rsid w:val="00CE4ECC"/>
    <w:rsid w:val="00CE5069"/>
    <w:rsid w:val="00CE57E0"/>
    <w:rsid w:val="00CE593F"/>
    <w:rsid w:val="00CE59AD"/>
    <w:rsid w:val="00CE6CAA"/>
    <w:rsid w:val="00CE7051"/>
    <w:rsid w:val="00CE7A7A"/>
    <w:rsid w:val="00CF1AB9"/>
    <w:rsid w:val="00CF3293"/>
    <w:rsid w:val="00CF43D5"/>
    <w:rsid w:val="00CF5248"/>
    <w:rsid w:val="00CF5620"/>
    <w:rsid w:val="00CF6806"/>
    <w:rsid w:val="00CF6A3F"/>
    <w:rsid w:val="00CF6B7C"/>
    <w:rsid w:val="00CF6C62"/>
    <w:rsid w:val="00CF7EAA"/>
    <w:rsid w:val="00D00967"/>
    <w:rsid w:val="00D01B1F"/>
    <w:rsid w:val="00D02584"/>
    <w:rsid w:val="00D02731"/>
    <w:rsid w:val="00D0333E"/>
    <w:rsid w:val="00D03796"/>
    <w:rsid w:val="00D042DC"/>
    <w:rsid w:val="00D047C9"/>
    <w:rsid w:val="00D0556C"/>
    <w:rsid w:val="00D05ADD"/>
    <w:rsid w:val="00D06330"/>
    <w:rsid w:val="00D063C0"/>
    <w:rsid w:val="00D0644E"/>
    <w:rsid w:val="00D077FC"/>
    <w:rsid w:val="00D07DFE"/>
    <w:rsid w:val="00D1167C"/>
    <w:rsid w:val="00D11E91"/>
    <w:rsid w:val="00D1203B"/>
    <w:rsid w:val="00D1235D"/>
    <w:rsid w:val="00D1272E"/>
    <w:rsid w:val="00D136CB"/>
    <w:rsid w:val="00D1399F"/>
    <w:rsid w:val="00D143DE"/>
    <w:rsid w:val="00D14681"/>
    <w:rsid w:val="00D151B4"/>
    <w:rsid w:val="00D1567D"/>
    <w:rsid w:val="00D1601F"/>
    <w:rsid w:val="00D1664D"/>
    <w:rsid w:val="00D16799"/>
    <w:rsid w:val="00D16C64"/>
    <w:rsid w:val="00D1709E"/>
    <w:rsid w:val="00D1741D"/>
    <w:rsid w:val="00D174E5"/>
    <w:rsid w:val="00D17C7F"/>
    <w:rsid w:val="00D20E9C"/>
    <w:rsid w:val="00D20FEA"/>
    <w:rsid w:val="00D2141B"/>
    <w:rsid w:val="00D21BDE"/>
    <w:rsid w:val="00D21E97"/>
    <w:rsid w:val="00D230D0"/>
    <w:rsid w:val="00D23148"/>
    <w:rsid w:val="00D23417"/>
    <w:rsid w:val="00D237E3"/>
    <w:rsid w:val="00D24767"/>
    <w:rsid w:val="00D24F5F"/>
    <w:rsid w:val="00D26122"/>
    <w:rsid w:val="00D2748A"/>
    <w:rsid w:val="00D27694"/>
    <w:rsid w:val="00D27FBC"/>
    <w:rsid w:val="00D27FFC"/>
    <w:rsid w:val="00D3020A"/>
    <w:rsid w:val="00D30403"/>
    <w:rsid w:val="00D314E5"/>
    <w:rsid w:val="00D32026"/>
    <w:rsid w:val="00D340D8"/>
    <w:rsid w:val="00D3419D"/>
    <w:rsid w:val="00D341B4"/>
    <w:rsid w:val="00D349B3"/>
    <w:rsid w:val="00D35747"/>
    <w:rsid w:val="00D36573"/>
    <w:rsid w:val="00D36B1C"/>
    <w:rsid w:val="00D36EFB"/>
    <w:rsid w:val="00D37A82"/>
    <w:rsid w:val="00D4053F"/>
    <w:rsid w:val="00D40CBA"/>
    <w:rsid w:val="00D41232"/>
    <w:rsid w:val="00D41551"/>
    <w:rsid w:val="00D419F0"/>
    <w:rsid w:val="00D42585"/>
    <w:rsid w:val="00D42E73"/>
    <w:rsid w:val="00D43E94"/>
    <w:rsid w:val="00D448C5"/>
    <w:rsid w:val="00D44C12"/>
    <w:rsid w:val="00D44D3B"/>
    <w:rsid w:val="00D46A22"/>
    <w:rsid w:val="00D4701C"/>
    <w:rsid w:val="00D472AE"/>
    <w:rsid w:val="00D47D7B"/>
    <w:rsid w:val="00D47E81"/>
    <w:rsid w:val="00D52303"/>
    <w:rsid w:val="00D52601"/>
    <w:rsid w:val="00D52B85"/>
    <w:rsid w:val="00D52EDB"/>
    <w:rsid w:val="00D54063"/>
    <w:rsid w:val="00D544CB"/>
    <w:rsid w:val="00D56EF9"/>
    <w:rsid w:val="00D56FFD"/>
    <w:rsid w:val="00D6041A"/>
    <w:rsid w:val="00D606B7"/>
    <w:rsid w:val="00D61A3E"/>
    <w:rsid w:val="00D627B5"/>
    <w:rsid w:val="00D63790"/>
    <w:rsid w:val="00D63C49"/>
    <w:rsid w:val="00D643C3"/>
    <w:rsid w:val="00D649EA"/>
    <w:rsid w:val="00D65056"/>
    <w:rsid w:val="00D65B07"/>
    <w:rsid w:val="00D66552"/>
    <w:rsid w:val="00D668EE"/>
    <w:rsid w:val="00D66AF8"/>
    <w:rsid w:val="00D67551"/>
    <w:rsid w:val="00D67A9E"/>
    <w:rsid w:val="00D702BB"/>
    <w:rsid w:val="00D708EC"/>
    <w:rsid w:val="00D70EA4"/>
    <w:rsid w:val="00D713F5"/>
    <w:rsid w:val="00D714DE"/>
    <w:rsid w:val="00D71A43"/>
    <w:rsid w:val="00D72071"/>
    <w:rsid w:val="00D7222E"/>
    <w:rsid w:val="00D72B3C"/>
    <w:rsid w:val="00D72C5D"/>
    <w:rsid w:val="00D72DE1"/>
    <w:rsid w:val="00D7330F"/>
    <w:rsid w:val="00D74BCF"/>
    <w:rsid w:val="00D74CAE"/>
    <w:rsid w:val="00D74DBB"/>
    <w:rsid w:val="00D7563A"/>
    <w:rsid w:val="00D762A0"/>
    <w:rsid w:val="00D77213"/>
    <w:rsid w:val="00D81304"/>
    <w:rsid w:val="00D81C78"/>
    <w:rsid w:val="00D81F6B"/>
    <w:rsid w:val="00D82838"/>
    <w:rsid w:val="00D8296C"/>
    <w:rsid w:val="00D83F08"/>
    <w:rsid w:val="00D84B31"/>
    <w:rsid w:val="00D85229"/>
    <w:rsid w:val="00D85671"/>
    <w:rsid w:val="00D871B9"/>
    <w:rsid w:val="00D907D9"/>
    <w:rsid w:val="00D90B78"/>
    <w:rsid w:val="00D90D85"/>
    <w:rsid w:val="00D91D9A"/>
    <w:rsid w:val="00D929B0"/>
    <w:rsid w:val="00D92E21"/>
    <w:rsid w:val="00D93350"/>
    <w:rsid w:val="00D93969"/>
    <w:rsid w:val="00D93C52"/>
    <w:rsid w:val="00D946D9"/>
    <w:rsid w:val="00D94914"/>
    <w:rsid w:val="00D94B55"/>
    <w:rsid w:val="00D9553A"/>
    <w:rsid w:val="00D96A10"/>
    <w:rsid w:val="00D9716C"/>
    <w:rsid w:val="00D97693"/>
    <w:rsid w:val="00DA0607"/>
    <w:rsid w:val="00DA08B0"/>
    <w:rsid w:val="00DA0976"/>
    <w:rsid w:val="00DA107E"/>
    <w:rsid w:val="00DA1235"/>
    <w:rsid w:val="00DA2D16"/>
    <w:rsid w:val="00DA381C"/>
    <w:rsid w:val="00DA3EC6"/>
    <w:rsid w:val="00DA40EC"/>
    <w:rsid w:val="00DA4844"/>
    <w:rsid w:val="00DA4CE0"/>
    <w:rsid w:val="00DA5EAE"/>
    <w:rsid w:val="00DA605C"/>
    <w:rsid w:val="00DA6945"/>
    <w:rsid w:val="00DA7335"/>
    <w:rsid w:val="00DB0091"/>
    <w:rsid w:val="00DB09DB"/>
    <w:rsid w:val="00DB0C49"/>
    <w:rsid w:val="00DB1081"/>
    <w:rsid w:val="00DB10D9"/>
    <w:rsid w:val="00DB14DA"/>
    <w:rsid w:val="00DB18CF"/>
    <w:rsid w:val="00DB1D82"/>
    <w:rsid w:val="00DB1F90"/>
    <w:rsid w:val="00DB2162"/>
    <w:rsid w:val="00DB29BE"/>
    <w:rsid w:val="00DB380E"/>
    <w:rsid w:val="00DB3F71"/>
    <w:rsid w:val="00DB45BC"/>
    <w:rsid w:val="00DB4832"/>
    <w:rsid w:val="00DB4C29"/>
    <w:rsid w:val="00DB6A83"/>
    <w:rsid w:val="00DB6AD3"/>
    <w:rsid w:val="00DB6D5D"/>
    <w:rsid w:val="00DB7361"/>
    <w:rsid w:val="00DC10D3"/>
    <w:rsid w:val="00DC12E6"/>
    <w:rsid w:val="00DC149D"/>
    <w:rsid w:val="00DC1EA4"/>
    <w:rsid w:val="00DC1F6E"/>
    <w:rsid w:val="00DC21CD"/>
    <w:rsid w:val="00DC2B18"/>
    <w:rsid w:val="00DC3257"/>
    <w:rsid w:val="00DC34A7"/>
    <w:rsid w:val="00DC4028"/>
    <w:rsid w:val="00DC419B"/>
    <w:rsid w:val="00DC506E"/>
    <w:rsid w:val="00DC5D2B"/>
    <w:rsid w:val="00DC66F1"/>
    <w:rsid w:val="00DC6895"/>
    <w:rsid w:val="00DC6FA5"/>
    <w:rsid w:val="00DC72AF"/>
    <w:rsid w:val="00DD0663"/>
    <w:rsid w:val="00DD1584"/>
    <w:rsid w:val="00DD1D4E"/>
    <w:rsid w:val="00DD2141"/>
    <w:rsid w:val="00DD2145"/>
    <w:rsid w:val="00DD441F"/>
    <w:rsid w:val="00DD4434"/>
    <w:rsid w:val="00DD4885"/>
    <w:rsid w:val="00DD518B"/>
    <w:rsid w:val="00DD5466"/>
    <w:rsid w:val="00DD5481"/>
    <w:rsid w:val="00DD5CC8"/>
    <w:rsid w:val="00DD686D"/>
    <w:rsid w:val="00DD6953"/>
    <w:rsid w:val="00DE15C0"/>
    <w:rsid w:val="00DE172F"/>
    <w:rsid w:val="00DE4D39"/>
    <w:rsid w:val="00DE534A"/>
    <w:rsid w:val="00DE5B27"/>
    <w:rsid w:val="00DE5BCF"/>
    <w:rsid w:val="00DE5F75"/>
    <w:rsid w:val="00DE6E2F"/>
    <w:rsid w:val="00DE7156"/>
    <w:rsid w:val="00DF00A3"/>
    <w:rsid w:val="00DF0B79"/>
    <w:rsid w:val="00DF1569"/>
    <w:rsid w:val="00DF2456"/>
    <w:rsid w:val="00DF2BB2"/>
    <w:rsid w:val="00DF2C34"/>
    <w:rsid w:val="00DF3924"/>
    <w:rsid w:val="00DF47E0"/>
    <w:rsid w:val="00DF4B5E"/>
    <w:rsid w:val="00DF559A"/>
    <w:rsid w:val="00DF5BC1"/>
    <w:rsid w:val="00DF6EE8"/>
    <w:rsid w:val="00DF7AD2"/>
    <w:rsid w:val="00E0043D"/>
    <w:rsid w:val="00E00DDE"/>
    <w:rsid w:val="00E01C31"/>
    <w:rsid w:val="00E01F17"/>
    <w:rsid w:val="00E033FA"/>
    <w:rsid w:val="00E04447"/>
    <w:rsid w:val="00E0475C"/>
    <w:rsid w:val="00E051FA"/>
    <w:rsid w:val="00E05BEB"/>
    <w:rsid w:val="00E05C7F"/>
    <w:rsid w:val="00E062BB"/>
    <w:rsid w:val="00E06C54"/>
    <w:rsid w:val="00E07024"/>
    <w:rsid w:val="00E10DBE"/>
    <w:rsid w:val="00E11146"/>
    <w:rsid w:val="00E11705"/>
    <w:rsid w:val="00E117B0"/>
    <w:rsid w:val="00E11CE4"/>
    <w:rsid w:val="00E121EC"/>
    <w:rsid w:val="00E127F2"/>
    <w:rsid w:val="00E13365"/>
    <w:rsid w:val="00E13BF2"/>
    <w:rsid w:val="00E150F5"/>
    <w:rsid w:val="00E1640A"/>
    <w:rsid w:val="00E17CF6"/>
    <w:rsid w:val="00E20115"/>
    <w:rsid w:val="00E212BD"/>
    <w:rsid w:val="00E21546"/>
    <w:rsid w:val="00E2165F"/>
    <w:rsid w:val="00E2183C"/>
    <w:rsid w:val="00E21BAA"/>
    <w:rsid w:val="00E23C38"/>
    <w:rsid w:val="00E243E5"/>
    <w:rsid w:val="00E245BB"/>
    <w:rsid w:val="00E24EAC"/>
    <w:rsid w:val="00E25367"/>
    <w:rsid w:val="00E256FA"/>
    <w:rsid w:val="00E27827"/>
    <w:rsid w:val="00E27B99"/>
    <w:rsid w:val="00E27F60"/>
    <w:rsid w:val="00E3042E"/>
    <w:rsid w:val="00E30F07"/>
    <w:rsid w:val="00E3192D"/>
    <w:rsid w:val="00E31BE1"/>
    <w:rsid w:val="00E32107"/>
    <w:rsid w:val="00E326F2"/>
    <w:rsid w:val="00E32733"/>
    <w:rsid w:val="00E33A28"/>
    <w:rsid w:val="00E342E4"/>
    <w:rsid w:val="00E34BE1"/>
    <w:rsid w:val="00E35544"/>
    <w:rsid w:val="00E366EE"/>
    <w:rsid w:val="00E3682C"/>
    <w:rsid w:val="00E36874"/>
    <w:rsid w:val="00E370C6"/>
    <w:rsid w:val="00E3746C"/>
    <w:rsid w:val="00E37670"/>
    <w:rsid w:val="00E414D3"/>
    <w:rsid w:val="00E422EA"/>
    <w:rsid w:val="00E42982"/>
    <w:rsid w:val="00E43501"/>
    <w:rsid w:val="00E43561"/>
    <w:rsid w:val="00E437AB"/>
    <w:rsid w:val="00E43909"/>
    <w:rsid w:val="00E441F4"/>
    <w:rsid w:val="00E44610"/>
    <w:rsid w:val="00E44F0C"/>
    <w:rsid w:val="00E46D3A"/>
    <w:rsid w:val="00E46FB6"/>
    <w:rsid w:val="00E47291"/>
    <w:rsid w:val="00E50520"/>
    <w:rsid w:val="00E50685"/>
    <w:rsid w:val="00E50A4E"/>
    <w:rsid w:val="00E511BB"/>
    <w:rsid w:val="00E512A7"/>
    <w:rsid w:val="00E51506"/>
    <w:rsid w:val="00E52133"/>
    <w:rsid w:val="00E52828"/>
    <w:rsid w:val="00E529B4"/>
    <w:rsid w:val="00E52E0A"/>
    <w:rsid w:val="00E52F34"/>
    <w:rsid w:val="00E5326C"/>
    <w:rsid w:val="00E5380D"/>
    <w:rsid w:val="00E53964"/>
    <w:rsid w:val="00E54CFF"/>
    <w:rsid w:val="00E55352"/>
    <w:rsid w:val="00E554C5"/>
    <w:rsid w:val="00E571B2"/>
    <w:rsid w:val="00E57649"/>
    <w:rsid w:val="00E57FFE"/>
    <w:rsid w:val="00E603EF"/>
    <w:rsid w:val="00E60E36"/>
    <w:rsid w:val="00E60F6F"/>
    <w:rsid w:val="00E60FA8"/>
    <w:rsid w:val="00E6191C"/>
    <w:rsid w:val="00E61D55"/>
    <w:rsid w:val="00E62F08"/>
    <w:rsid w:val="00E63390"/>
    <w:rsid w:val="00E64D12"/>
    <w:rsid w:val="00E64D3F"/>
    <w:rsid w:val="00E6555A"/>
    <w:rsid w:val="00E658E3"/>
    <w:rsid w:val="00E6613C"/>
    <w:rsid w:val="00E66682"/>
    <w:rsid w:val="00E67BB6"/>
    <w:rsid w:val="00E67C34"/>
    <w:rsid w:val="00E7196A"/>
    <w:rsid w:val="00E71A09"/>
    <w:rsid w:val="00E71A14"/>
    <w:rsid w:val="00E71AF4"/>
    <w:rsid w:val="00E723C4"/>
    <w:rsid w:val="00E73540"/>
    <w:rsid w:val="00E74819"/>
    <w:rsid w:val="00E74EF2"/>
    <w:rsid w:val="00E7503F"/>
    <w:rsid w:val="00E75302"/>
    <w:rsid w:val="00E75435"/>
    <w:rsid w:val="00E75FED"/>
    <w:rsid w:val="00E76995"/>
    <w:rsid w:val="00E77042"/>
    <w:rsid w:val="00E77EF4"/>
    <w:rsid w:val="00E80F85"/>
    <w:rsid w:val="00E810D1"/>
    <w:rsid w:val="00E81630"/>
    <w:rsid w:val="00E82A3B"/>
    <w:rsid w:val="00E83098"/>
    <w:rsid w:val="00E830AE"/>
    <w:rsid w:val="00E83519"/>
    <w:rsid w:val="00E83A2D"/>
    <w:rsid w:val="00E84193"/>
    <w:rsid w:val="00E84CB3"/>
    <w:rsid w:val="00E84D56"/>
    <w:rsid w:val="00E8724B"/>
    <w:rsid w:val="00E8764D"/>
    <w:rsid w:val="00E87A2F"/>
    <w:rsid w:val="00E9037F"/>
    <w:rsid w:val="00E90443"/>
    <w:rsid w:val="00E91E68"/>
    <w:rsid w:val="00E9388F"/>
    <w:rsid w:val="00E93BD6"/>
    <w:rsid w:val="00E94641"/>
    <w:rsid w:val="00E94B19"/>
    <w:rsid w:val="00E95201"/>
    <w:rsid w:val="00E954D6"/>
    <w:rsid w:val="00E957C7"/>
    <w:rsid w:val="00E96A0F"/>
    <w:rsid w:val="00E9700E"/>
    <w:rsid w:val="00E970F3"/>
    <w:rsid w:val="00E971A8"/>
    <w:rsid w:val="00E9733A"/>
    <w:rsid w:val="00E97C6A"/>
    <w:rsid w:val="00E97E9B"/>
    <w:rsid w:val="00EA1D88"/>
    <w:rsid w:val="00EA2F2E"/>
    <w:rsid w:val="00EA2FFA"/>
    <w:rsid w:val="00EA3053"/>
    <w:rsid w:val="00EA31E5"/>
    <w:rsid w:val="00EA365F"/>
    <w:rsid w:val="00EA37DC"/>
    <w:rsid w:val="00EA3B53"/>
    <w:rsid w:val="00EA40BC"/>
    <w:rsid w:val="00EA4801"/>
    <w:rsid w:val="00EA4974"/>
    <w:rsid w:val="00EA4CDA"/>
    <w:rsid w:val="00EA503B"/>
    <w:rsid w:val="00EA56AF"/>
    <w:rsid w:val="00EA59FA"/>
    <w:rsid w:val="00EA794A"/>
    <w:rsid w:val="00EA7D24"/>
    <w:rsid w:val="00EB0A60"/>
    <w:rsid w:val="00EB54E6"/>
    <w:rsid w:val="00EB56C2"/>
    <w:rsid w:val="00EB56D3"/>
    <w:rsid w:val="00EB5984"/>
    <w:rsid w:val="00EB6800"/>
    <w:rsid w:val="00EC013D"/>
    <w:rsid w:val="00EC03C4"/>
    <w:rsid w:val="00EC082F"/>
    <w:rsid w:val="00EC1244"/>
    <w:rsid w:val="00EC1886"/>
    <w:rsid w:val="00EC2103"/>
    <w:rsid w:val="00EC230A"/>
    <w:rsid w:val="00EC2D35"/>
    <w:rsid w:val="00EC2D4C"/>
    <w:rsid w:val="00EC3CE2"/>
    <w:rsid w:val="00EC3F4F"/>
    <w:rsid w:val="00EC456D"/>
    <w:rsid w:val="00EC4F8D"/>
    <w:rsid w:val="00EC5553"/>
    <w:rsid w:val="00EC58EC"/>
    <w:rsid w:val="00EC5AB2"/>
    <w:rsid w:val="00EC5C99"/>
    <w:rsid w:val="00EC621B"/>
    <w:rsid w:val="00EC695F"/>
    <w:rsid w:val="00ED021E"/>
    <w:rsid w:val="00ED0447"/>
    <w:rsid w:val="00ED04AF"/>
    <w:rsid w:val="00ED0D0F"/>
    <w:rsid w:val="00ED28E0"/>
    <w:rsid w:val="00ED308E"/>
    <w:rsid w:val="00ED3326"/>
    <w:rsid w:val="00ED343A"/>
    <w:rsid w:val="00ED35DC"/>
    <w:rsid w:val="00ED43AA"/>
    <w:rsid w:val="00ED4A6B"/>
    <w:rsid w:val="00ED4BDD"/>
    <w:rsid w:val="00ED4D60"/>
    <w:rsid w:val="00ED4EF2"/>
    <w:rsid w:val="00ED6A46"/>
    <w:rsid w:val="00ED6F3D"/>
    <w:rsid w:val="00ED6FF4"/>
    <w:rsid w:val="00ED7113"/>
    <w:rsid w:val="00ED72BB"/>
    <w:rsid w:val="00EE045A"/>
    <w:rsid w:val="00EE14BE"/>
    <w:rsid w:val="00EE157A"/>
    <w:rsid w:val="00EE1D42"/>
    <w:rsid w:val="00EE216F"/>
    <w:rsid w:val="00EE2665"/>
    <w:rsid w:val="00EE2A3C"/>
    <w:rsid w:val="00EE312B"/>
    <w:rsid w:val="00EE3199"/>
    <w:rsid w:val="00EE3619"/>
    <w:rsid w:val="00EE3866"/>
    <w:rsid w:val="00EE4855"/>
    <w:rsid w:val="00EE48D9"/>
    <w:rsid w:val="00EE5557"/>
    <w:rsid w:val="00EE5C81"/>
    <w:rsid w:val="00EE5FA6"/>
    <w:rsid w:val="00EE6418"/>
    <w:rsid w:val="00EE6D99"/>
    <w:rsid w:val="00EE72D0"/>
    <w:rsid w:val="00EE7A8C"/>
    <w:rsid w:val="00EE7F20"/>
    <w:rsid w:val="00EF105D"/>
    <w:rsid w:val="00EF1206"/>
    <w:rsid w:val="00EF168E"/>
    <w:rsid w:val="00EF1B3C"/>
    <w:rsid w:val="00EF1BD1"/>
    <w:rsid w:val="00EF20C2"/>
    <w:rsid w:val="00EF2626"/>
    <w:rsid w:val="00EF457C"/>
    <w:rsid w:val="00EF49B2"/>
    <w:rsid w:val="00EF51BB"/>
    <w:rsid w:val="00EF5EB5"/>
    <w:rsid w:val="00EF6798"/>
    <w:rsid w:val="00EF7B49"/>
    <w:rsid w:val="00EF7DC9"/>
    <w:rsid w:val="00F00566"/>
    <w:rsid w:val="00F016E5"/>
    <w:rsid w:val="00F01CF1"/>
    <w:rsid w:val="00F01E1E"/>
    <w:rsid w:val="00F023A0"/>
    <w:rsid w:val="00F035CD"/>
    <w:rsid w:val="00F037D4"/>
    <w:rsid w:val="00F039FE"/>
    <w:rsid w:val="00F04724"/>
    <w:rsid w:val="00F047BB"/>
    <w:rsid w:val="00F050C9"/>
    <w:rsid w:val="00F0553F"/>
    <w:rsid w:val="00F0580E"/>
    <w:rsid w:val="00F05984"/>
    <w:rsid w:val="00F06033"/>
    <w:rsid w:val="00F10D59"/>
    <w:rsid w:val="00F11161"/>
    <w:rsid w:val="00F1182D"/>
    <w:rsid w:val="00F11BC2"/>
    <w:rsid w:val="00F12596"/>
    <w:rsid w:val="00F12F80"/>
    <w:rsid w:val="00F132E0"/>
    <w:rsid w:val="00F134E3"/>
    <w:rsid w:val="00F1367A"/>
    <w:rsid w:val="00F13C01"/>
    <w:rsid w:val="00F15165"/>
    <w:rsid w:val="00F15994"/>
    <w:rsid w:val="00F16779"/>
    <w:rsid w:val="00F1748C"/>
    <w:rsid w:val="00F17CAB"/>
    <w:rsid w:val="00F17F2C"/>
    <w:rsid w:val="00F2032B"/>
    <w:rsid w:val="00F21216"/>
    <w:rsid w:val="00F21401"/>
    <w:rsid w:val="00F21987"/>
    <w:rsid w:val="00F21D90"/>
    <w:rsid w:val="00F21E2F"/>
    <w:rsid w:val="00F22250"/>
    <w:rsid w:val="00F2242F"/>
    <w:rsid w:val="00F22B1C"/>
    <w:rsid w:val="00F23319"/>
    <w:rsid w:val="00F2373F"/>
    <w:rsid w:val="00F23F58"/>
    <w:rsid w:val="00F257F6"/>
    <w:rsid w:val="00F25CB9"/>
    <w:rsid w:val="00F25F74"/>
    <w:rsid w:val="00F25FA8"/>
    <w:rsid w:val="00F2654E"/>
    <w:rsid w:val="00F2686D"/>
    <w:rsid w:val="00F275A5"/>
    <w:rsid w:val="00F27759"/>
    <w:rsid w:val="00F27A5B"/>
    <w:rsid w:val="00F27BBC"/>
    <w:rsid w:val="00F300DD"/>
    <w:rsid w:val="00F30400"/>
    <w:rsid w:val="00F31122"/>
    <w:rsid w:val="00F312B4"/>
    <w:rsid w:val="00F31CAC"/>
    <w:rsid w:val="00F31E64"/>
    <w:rsid w:val="00F33FB6"/>
    <w:rsid w:val="00F3457C"/>
    <w:rsid w:val="00F34CAE"/>
    <w:rsid w:val="00F34F44"/>
    <w:rsid w:val="00F35847"/>
    <w:rsid w:val="00F35B96"/>
    <w:rsid w:val="00F36105"/>
    <w:rsid w:val="00F3743E"/>
    <w:rsid w:val="00F40217"/>
    <w:rsid w:val="00F40284"/>
    <w:rsid w:val="00F40545"/>
    <w:rsid w:val="00F41443"/>
    <w:rsid w:val="00F41460"/>
    <w:rsid w:val="00F424D5"/>
    <w:rsid w:val="00F424E2"/>
    <w:rsid w:val="00F42B91"/>
    <w:rsid w:val="00F43523"/>
    <w:rsid w:val="00F43893"/>
    <w:rsid w:val="00F4469F"/>
    <w:rsid w:val="00F44ADB"/>
    <w:rsid w:val="00F4547E"/>
    <w:rsid w:val="00F4605A"/>
    <w:rsid w:val="00F46B5D"/>
    <w:rsid w:val="00F47C92"/>
    <w:rsid w:val="00F50010"/>
    <w:rsid w:val="00F50229"/>
    <w:rsid w:val="00F51590"/>
    <w:rsid w:val="00F5195A"/>
    <w:rsid w:val="00F527DA"/>
    <w:rsid w:val="00F529EC"/>
    <w:rsid w:val="00F52F78"/>
    <w:rsid w:val="00F5341B"/>
    <w:rsid w:val="00F535CE"/>
    <w:rsid w:val="00F546FF"/>
    <w:rsid w:val="00F5571C"/>
    <w:rsid w:val="00F55E05"/>
    <w:rsid w:val="00F55E46"/>
    <w:rsid w:val="00F55EC0"/>
    <w:rsid w:val="00F5629F"/>
    <w:rsid w:val="00F566B0"/>
    <w:rsid w:val="00F57039"/>
    <w:rsid w:val="00F576F2"/>
    <w:rsid w:val="00F57964"/>
    <w:rsid w:val="00F57E0F"/>
    <w:rsid w:val="00F60234"/>
    <w:rsid w:val="00F6032D"/>
    <w:rsid w:val="00F603AC"/>
    <w:rsid w:val="00F61213"/>
    <w:rsid w:val="00F61542"/>
    <w:rsid w:val="00F618E9"/>
    <w:rsid w:val="00F621A2"/>
    <w:rsid w:val="00F62952"/>
    <w:rsid w:val="00F64206"/>
    <w:rsid w:val="00F64867"/>
    <w:rsid w:val="00F64B23"/>
    <w:rsid w:val="00F64DB3"/>
    <w:rsid w:val="00F65779"/>
    <w:rsid w:val="00F6626A"/>
    <w:rsid w:val="00F6689E"/>
    <w:rsid w:val="00F67869"/>
    <w:rsid w:val="00F70C1F"/>
    <w:rsid w:val="00F71800"/>
    <w:rsid w:val="00F72B06"/>
    <w:rsid w:val="00F72E75"/>
    <w:rsid w:val="00F73551"/>
    <w:rsid w:val="00F73EF1"/>
    <w:rsid w:val="00F76087"/>
    <w:rsid w:val="00F8034D"/>
    <w:rsid w:val="00F80D21"/>
    <w:rsid w:val="00F811FA"/>
    <w:rsid w:val="00F81342"/>
    <w:rsid w:val="00F815D1"/>
    <w:rsid w:val="00F81983"/>
    <w:rsid w:val="00F81B20"/>
    <w:rsid w:val="00F826AC"/>
    <w:rsid w:val="00F82AD2"/>
    <w:rsid w:val="00F82DF1"/>
    <w:rsid w:val="00F83671"/>
    <w:rsid w:val="00F84475"/>
    <w:rsid w:val="00F84E26"/>
    <w:rsid w:val="00F84E82"/>
    <w:rsid w:val="00F85C6C"/>
    <w:rsid w:val="00F864B1"/>
    <w:rsid w:val="00F868CF"/>
    <w:rsid w:val="00F86C36"/>
    <w:rsid w:val="00F87718"/>
    <w:rsid w:val="00F87A97"/>
    <w:rsid w:val="00F90257"/>
    <w:rsid w:val="00F90D96"/>
    <w:rsid w:val="00F911F2"/>
    <w:rsid w:val="00F91869"/>
    <w:rsid w:val="00F91AB6"/>
    <w:rsid w:val="00F91E9C"/>
    <w:rsid w:val="00F92887"/>
    <w:rsid w:val="00F92CA8"/>
    <w:rsid w:val="00F93112"/>
    <w:rsid w:val="00F943FE"/>
    <w:rsid w:val="00F945BC"/>
    <w:rsid w:val="00F94709"/>
    <w:rsid w:val="00F95881"/>
    <w:rsid w:val="00F95C8B"/>
    <w:rsid w:val="00F95DA2"/>
    <w:rsid w:val="00F95F3A"/>
    <w:rsid w:val="00F964B5"/>
    <w:rsid w:val="00F96BC9"/>
    <w:rsid w:val="00F96F70"/>
    <w:rsid w:val="00F96FDB"/>
    <w:rsid w:val="00F97293"/>
    <w:rsid w:val="00F972F2"/>
    <w:rsid w:val="00F9733D"/>
    <w:rsid w:val="00F9789E"/>
    <w:rsid w:val="00FA0F3E"/>
    <w:rsid w:val="00FA1382"/>
    <w:rsid w:val="00FA1D50"/>
    <w:rsid w:val="00FA39C0"/>
    <w:rsid w:val="00FA3C87"/>
    <w:rsid w:val="00FA4876"/>
    <w:rsid w:val="00FA4C31"/>
    <w:rsid w:val="00FA53B7"/>
    <w:rsid w:val="00FA6AF9"/>
    <w:rsid w:val="00FA6EF0"/>
    <w:rsid w:val="00FA7629"/>
    <w:rsid w:val="00FA7CBE"/>
    <w:rsid w:val="00FA7FF4"/>
    <w:rsid w:val="00FB078C"/>
    <w:rsid w:val="00FB178A"/>
    <w:rsid w:val="00FB20C8"/>
    <w:rsid w:val="00FB34AD"/>
    <w:rsid w:val="00FB3DF9"/>
    <w:rsid w:val="00FB4015"/>
    <w:rsid w:val="00FB44AC"/>
    <w:rsid w:val="00FB452E"/>
    <w:rsid w:val="00FB54FB"/>
    <w:rsid w:val="00FB5D2C"/>
    <w:rsid w:val="00FB6054"/>
    <w:rsid w:val="00FB6125"/>
    <w:rsid w:val="00FB61F5"/>
    <w:rsid w:val="00FB69B8"/>
    <w:rsid w:val="00FB6A67"/>
    <w:rsid w:val="00FB76D9"/>
    <w:rsid w:val="00FB78DB"/>
    <w:rsid w:val="00FC0D58"/>
    <w:rsid w:val="00FC141F"/>
    <w:rsid w:val="00FC18A7"/>
    <w:rsid w:val="00FC1B09"/>
    <w:rsid w:val="00FC1D02"/>
    <w:rsid w:val="00FC1D1B"/>
    <w:rsid w:val="00FC228D"/>
    <w:rsid w:val="00FC28AD"/>
    <w:rsid w:val="00FC292B"/>
    <w:rsid w:val="00FC3312"/>
    <w:rsid w:val="00FC3335"/>
    <w:rsid w:val="00FC4000"/>
    <w:rsid w:val="00FC41B5"/>
    <w:rsid w:val="00FC4BC0"/>
    <w:rsid w:val="00FC57DE"/>
    <w:rsid w:val="00FC5A7F"/>
    <w:rsid w:val="00FC6822"/>
    <w:rsid w:val="00FC749B"/>
    <w:rsid w:val="00FD03CD"/>
    <w:rsid w:val="00FD03E6"/>
    <w:rsid w:val="00FD0B9F"/>
    <w:rsid w:val="00FD121C"/>
    <w:rsid w:val="00FD125D"/>
    <w:rsid w:val="00FD1271"/>
    <w:rsid w:val="00FD3311"/>
    <w:rsid w:val="00FD37ED"/>
    <w:rsid w:val="00FD395E"/>
    <w:rsid w:val="00FD3BFC"/>
    <w:rsid w:val="00FD4646"/>
    <w:rsid w:val="00FD4EC3"/>
    <w:rsid w:val="00FD581D"/>
    <w:rsid w:val="00FD5BAD"/>
    <w:rsid w:val="00FD5E90"/>
    <w:rsid w:val="00FD5ECB"/>
    <w:rsid w:val="00FD68A9"/>
    <w:rsid w:val="00FD7E43"/>
    <w:rsid w:val="00FE0915"/>
    <w:rsid w:val="00FE0BE7"/>
    <w:rsid w:val="00FE1393"/>
    <w:rsid w:val="00FE14AE"/>
    <w:rsid w:val="00FE2744"/>
    <w:rsid w:val="00FE2858"/>
    <w:rsid w:val="00FE36A1"/>
    <w:rsid w:val="00FE38E9"/>
    <w:rsid w:val="00FE3F21"/>
    <w:rsid w:val="00FE4017"/>
    <w:rsid w:val="00FE4253"/>
    <w:rsid w:val="00FE4565"/>
    <w:rsid w:val="00FE58C1"/>
    <w:rsid w:val="00FE59CB"/>
    <w:rsid w:val="00FE5F7E"/>
    <w:rsid w:val="00FE6B2C"/>
    <w:rsid w:val="00FE7D0D"/>
    <w:rsid w:val="00FE7DA7"/>
    <w:rsid w:val="00FF0B56"/>
    <w:rsid w:val="00FF13FE"/>
    <w:rsid w:val="00FF1F66"/>
    <w:rsid w:val="00FF21A6"/>
    <w:rsid w:val="00FF2A30"/>
    <w:rsid w:val="00FF2C98"/>
    <w:rsid w:val="00FF3E26"/>
    <w:rsid w:val="00FF3F42"/>
    <w:rsid w:val="00FF45F5"/>
    <w:rsid w:val="00FF46E3"/>
    <w:rsid w:val="00FF6965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126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B13126"/>
    <w:pPr>
      <w:keepNext/>
      <w:numPr>
        <w:numId w:val="6"/>
      </w:numPr>
      <w:spacing w:before="3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D67551"/>
    <w:pPr>
      <w:keepNext/>
      <w:numPr>
        <w:ilvl w:val="1"/>
        <w:numId w:val="48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- Side,H3,C Sub-Sub/Italic,h3 sub heading,Head 3,Head 31,Head 32,C Sub-Sub/Italic1,3,13,h3,Level-3 heading,heading3,Level 1 - 1,Minor,l3,Level 3 Head,Head 33,C Sub-Sub/Italic2,Head 311,Head 321,C Sub-Sub/Italic11,h31,HeadSmall,31,l31,d"/>
    <w:basedOn w:val="Normal"/>
    <w:next w:val="Normal"/>
    <w:qFormat/>
    <w:rsid w:val="00B13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13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"/>
    <w:basedOn w:val="Normal"/>
    <w:next w:val="Normal"/>
    <w:qFormat/>
    <w:rsid w:val="00B131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131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1312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131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131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B1312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D67551"/>
    <w:pPr>
      <w:numPr>
        <w:ilvl w:val="2"/>
        <w:numId w:val="48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D67551"/>
    <w:pPr>
      <w:numPr>
        <w:ilvl w:val="3"/>
        <w:numId w:val="48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D67551"/>
    <w:pPr>
      <w:numPr>
        <w:ilvl w:val="4"/>
        <w:numId w:val="48"/>
      </w:numPr>
      <w:spacing w:before="60" w:line="260" w:lineRule="exact"/>
    </w:pPr>
  </w:style>
  <w:style w:type="paragraph" w:customStyle="1" w:styleId="HealthnumLevel5">
    <w:name w:val="Health (num) Level 5"/>
    <w:basedOn w:val="Normal"/>
    <w:link w:val="HealthnumLevel5Char"/>
    <w:rsid w:val="00D67551"/>
    <w:pPr>
      <w:numPr>
        <w:ilvl w:val="5"/>
        <w:numId w:val="48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D67551"/>
    <w:pPr>
      <w:numPr>
        <w:ilvl w:val="6"/>
        <w:numId w:val="48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B1312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lthNoteHeading">
    <w:name w:val="Health Note Heading"/>
    <w:basedOn w:val="Healthnote"/>
    <w:rsid w:val="00B13126"/>
    <w:rPr>
      <w:i/>
    </w:rPr>
  </w:style>
  <w:style w:type="paragraph" w:customStyle="1" w:styleId="Healthexamplebullet">
    <w:name w:val="Health example bullet"/>
    <w:basedOn w:val="Normal"/>
    <w:rsid w:val="00B13126"/>
    <w:pPr>
      <w:tabs>
        <w:tab w:val="num" w:pos="1211"/>
      </w:tabs>
      <w:spacing w:before="60" w:line="220" w:lineRule="exact"/>
      <w:ind w:left="1134" w:hanging="283"/>
      <w:jc w:val="both"/>
    </w:pPr>
    <w:rPr>
      <w:sz w:val="20"/>
      <w:szCs w:val="20"/>
    </w:rPr>
  </w:style>
  <w:style w:type="paragraph" w:customStyle="1" w:styleId="HealthLevel2">
    <w:name w:val="Health Level 2"/>
    <w:basedOn w:val="HealthLevel1"/>
    <w:rsid w:val="00B13126"/>
    <w:pPr>
      <w:ind w:left="1701"/>
    </w:pPr>
  </w:style>
  <w:style w:type="paragraph" w:customStyle="1" w:styleId="Heading1NoNum">
    <w:name w:val="Heading 1 No Num"/>
    <w:basedOn w:val="Normal"/>
    <w:rsid w:val="00B1312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ing2NoNum">
    <w:name w:val="Heading 2 No Num"/>
    <w:basedOn w:val="Normal"/>
    <w:rsid w:val="005F3A6C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rsid w:val="00B1312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B1312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B1312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B1312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Heathformula">
    <w:name w:val="Heath formula"/>
    <w:basedOn w:val="Normal"/>
    <w:rsid w:val="00B13126"/>
    <w:pPr>
      <w:spacing w:before="240"/>
      <w:ind w:left="3402"/>
    </w:pPr>
    <w:rPr>
      <w:color w:val="000000"/>
    </w:rPr>
  </w:style>
  <w:style w:type="paragraph" w:customStyle="1" w:styleId="HealthTOA">
    <w:name w:val="Health TOA"/>
    <w:basedOn w:val="Normal"/>
    <w:rsid w:val="00B13126"/>
    <w:pPr>
      <w:spacing w:before="60" w:line="200" w:lineRule="exact"/>
    </w:pPr>
    <w:rPr>
      <w:rFonts w:ascii="Arial" w:hAnsi="Arial"/>
      <w:sz w:val="18"/>
    </w:rPr>
  </w:style>
  <w:style w:type="paragraph" w:customStyle="1" w:styleId="HealthTOA2">
    <w:name w:val="Health TOA2"/>
    <w:basedOn w:val="HealthTOA"/>
    <w:rsid w:val="00B13126"/>
    <w:rPr>
      <w:sz w:val="16"/>
    </w:rPr>
  </w:style>
  <w:style w:type="paragraph" w:customStyle="1" w:styleId="HealthTableHeading">
    <w:name w:val="Health Table Heading"/>
    <w:basedOn w:val="Normal"/>
    <w:rsid w:val="00B13126"/>
    <w:pPr>
      <w:spacing w:before="120" w:after="60" w:line="200" w:lineRule="exact"/>
    </w:pPr>
    <w:rPr>
      <w:rFonts w:ascii="Arial" w:hAnsi="Arial"/>
      <w:b/>
      <w:sz w:val="18"/>
    </w:rPr>
  </w:style>
  <w:style w:type="paragraph" w:customStyle="1" w:styleId="SigningPageBreak">
    <w:name w:val="SigningPageBreak"/>
    <w:basedOn w:val="Normal"/>
    <w:next w:val="Normal"/>
    <w:rsid w:val="00B13126"/>
  </w:style>
  <w:style w:type="paragraph" w:customStyle="1" w:styleId="HeaderLiteEven">
    <w:name w:val="HeaderLiteEven"/>
    <w:basedOn w:val="Normal"/>
    <w:rsid w:val="00B13126"/>
    <w:pPr>
      <w:spacing w:before="60"/>
    </w:pPr>
    <w:rPr>
      <w:rFonts w:ascii="Arial" w:hAnsi="Arial" w:cs="Arial"/>
      <w:sz w:val="18"/>
      <w:szCs w:val="18"/>
    </w:rPr>
  </w:style>
  <w:style w:type="paragraph" w:customStyle="1" w:styleId="CoverAct">
    <w:name w:val="CoverAct"/>
    <w:basedOn w:val="Normal"/>
    <w:next w:val="Normal"/>
    <w:rsid w:val="00B13126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StatRule">
    <w:name w:val="CoverStatRule"/>
    <w:basedOn w:val="Normal"/>
    <w:next w:val="Normal"/>
    <w:rsid w:val="00B13126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rsid w:val="00B13126"/>
    <w:pPr>
      <w:spacing w:before="240"/>
    </w:pPr>
  </w:style>
  <w:style w:type="paragraph" w:customStyle="1" w:styleId="CoverMade">
    <w:name w:val="CoverMade"/>
    <w:basedOn w:val="Normal"/>
    <w:rsid w:val="00B13126"/>
    <w:pPr>
      <w:spacing w:before="240" w:after="24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rsid w:val="00B1312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B1312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semiHidden/>
    <w:rsid w:val="00B13126"/>
    <w:pPr>
      <w:ind w:left="480"/>
    </w:pPr>
  </w:style>
  <w:style w:type="paragraph" w:styleId="TOC4">
    <w:name w:val="toc 4"/>
    <w:basedOn w:val="Normal"/>
    <w:next w:val="Normal"/>
    <w:autoRedefine/>
    <w:semiHidden/>
    <w:rsid w:val="00B13126"/>
    <w:pPr>
      <w:ind w:left="720"/>
    </w:pPr>
  </w:style>
  <w:style w:type="paragraph" w:styleId="TOC5">
    <w:name w:val="toc 5"/>
    <w:basedOn w:val="Normal"/>
    <w:next w:val="Normal"/>
    <w:autoRedefine/>
    <w:semiHidden/>
    <w:rsid w:val="00B13126"/>
    <w:pPr>
      <w:ind w:left="960"/>
    </w:pPr>
  </w:style>
  <w:style w:type="paragraph" w:styleId="TOC6">
    <w:name w:val="toc 6"/>
    <w:basedOn w:val="Normal"/>
    <w:next w:val="Normal"/>
    <w:autoRedefine/>
    <w:semiHidden/>
    <w:rsid w:val="00B13126"/>
    <w:pPr>
      <w:ind w:left="1200"/>
    </w:pPr>
  </w:style>
  <w:style w:type="paragraph" w:styleId="TOC7">
    <w:name w:val="toc 7"/>
    <w:basedOn w:val="Normal"/>
    <w:next w:val="Normal"/>
    <w:autoRedefine/>
    <w:semiHidden/>
    <w:rsid w:val="00B13126"/>
    <w:pPr>
      <w:ind w:left="1440"/>
    </w:pPr>
  </w:style>
  <w:style w:type="paragraph" w:styleId="TOC8">
    <w:name w:val="toc 8"/>
    <w:basedOn w:val="Normal"/>
    <w:next w:val="Normal"/>
    <w:autoRedefine/>
    <w:semiHidden/>
    <w:rsid w:val="00B13126"/>
    <w:pPr>
      <w:ind w:left="1680"/>
    </w:pPr>
  </w:style>
  <w:style w:type="paragraph" w:styleId="TOC9">
    <w:name w:val="toc 9"/>
    <w:basedOn w:val="Normal"/>
    <w:next w:val="Normal"/>
    <w:autoRedefine/>
    <w:semiHidden/>
    <w:rsid w:val="00B13126"/>
    <w:pPr>
      <w:ind w:left="1920"/>
    </w:pPr>
  </w:style>
  <w:style w:type="character" w:styleId="Hyperlink">
    <w:name w:val="Hyperlink"/>
    <w:rsid w:val="00B1312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1312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1312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1312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1312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1312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1312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1312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1312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1312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13126"/>
  </w:style>
  <w:style w:type="character" w:styleId="FollowedHyperlink">
    <w:name w:val="FollowedHyperlink"/>
    <w:rsid w:val="00B13126"/>
    <w:rPr>
      <w:color w:val="800080"/>
      <w:u w:val="single"/>
    </w:rPr>
  </w:style>
  <w:style w:type="paragraph" w:customStyle="1" w:styleId="Heading1NoTOC">
    <w:name w:val="Heading 1 No TOC"/>
    <w:basedOn w:val="Heading1"/>
    <w:rsid w:val="00B13126"/>
    <w:pPr>
      <w:numPr>
        <w:numId w:val="0"/>
      </w:numPr>
    </w:pPr>
  </w:style>
  <w:style w:type="paragraph" w:customStyle="1" w:styleId="PFLevel4">
    <w:name w:val="PF Level 4"/>
    <w:basedOn w:val="Normal"/>
    <w:rsid w:val="00B13126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3697"/>
    </w:pPr>
    <w:rPr>
      <w:rFonts w:ascii="Arial" w:hAnsi="Arial" w:cs="Arial"/>
      <w:color w:val="000000"/>
      <w:sz w:val="22"/>
      <w:szCs w:val="22"/>
    </w:rPr>
  </w:style>
  <w:style w:type="paragraph" w:customStyle="1" w:styleId="PFParaNumLevel1">
    <w:name w:val="PF (ParaNum) Level 1"/>
    <w:basedOn w:val="Normal"/>
    <w:rsid w:val="00B13126"/>
    <w:pPr>
      <w:numPr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B13126"/>
    <w:pPr>
      <w:numPr>
        <w:ilvl w:val="1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B13126"/>
    <w:pPr>
      <w:numPr>
        <w:ilvl w:val="2"/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B13126"/>
    <w:pPr>
      <w:numPr>
        <w:ilvl w:val="3"/>
        <w:numId w:val="1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B13126"/>
    <w:pPr>
      <w:numPr>
        <w:ilvl w:val="4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1">
    <w:name w:val="Header1"/>
    <w:basedOn w:val="Normal"/>
    <w:rsid w:val="00B13126"/>
    <w:pPr>
      <w:tabs>
        <w:tab w:val="center" w:pos="4153"/>
        <w:tab w:val="right" w:pos="8306"/>
      </w:tabs>
      <w:autoSpaceDE/>
      <w:autoSpaceDN/>
    </w:pPr>
    <w:rPr>
      <w:szCs w:val="20"/>
      <w:lang w:val="en-GB"/>
    </w:rPr>
  </w:style>
  <w:style w:type="paragraph" w:customStyle="1" w:styleId="Heading91">
    <w:name w:val="Heading 91"/>
    <w:basedOn w:val="Normal"/>
    <w:rsid w:val="00B13126"/>
    <w:pPr>
      <w:numPr>
        <w:ilvl w:val="4"/>
        <w:numId w:val="2"/>
      </w:numPr>
      <w:tabs>
        <w:tab w:val="clear" w:pos="1134"/>
        <w:tab w:val="num" w:pos="360"/>
        <w:tab w:val="left" w:pos="1584"/>
      </w:tabs>
      <w:autoSpaceDE/>
      <w:autoSpaceDN/>
      <w:spacing w:before="240" w:after="60"/>
      <w:ind w:left="360" w:hanging="360"/>
    </w:pPr>
    <w:rPr>
      <w:rFonts w:ascii="Arial" w:hAnsi="Arial"/>
      <w:i/>
      <w:sz w:val="18"/>
      <w:szCs w:val="20"/>
      <w:lang w:val="en-GB"/>
    </w:rPr>
  </w:style>
  <w:style w:type="paragraph" w:customStyle="1" w:styleId="Heading1A">
    <w:name w:val="Heading 1A"/>
    <w:basedOn w:val="Heading1"/>
    <w:next w:val="Normal"/>
    <w:link w:val="Heading1ACharChar"/>
    <w:rsid w:val="00D67551"/>
    <w:pPr>
      <w:numPr>
        <w:numId w:val="48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/>
      <w:bCs w:val="0"/>
      <w:color w:val="000000"/>
      <w:kern w:val="28"/>
      <w:szCs w:val="20"/>
    </w:rPr>
  </w:style>
  <w:style w:type="paragraph" w:customStyle="1" w:styleId="sub-paraxChar">
    <w:name w:val="sub-para (x) Char"/>
    <w:basedOn w:val="Normal"/>
    <w:rsid w:val="00B13126"/>
    <w:pPr>
      <w:numPr>
        <w:numId w:val="3"/>
      </w:numPr>
    </w:pPr>
  </w:style>
  <w:style w:type="paragraph" w:customStyle="1" w:styleId="definition">
    <w:name w:val="definition"/>
    <w:basedOn w:val="Normal"/>
    <w:rsid w:val="00B13126"/>
    <w:pPr>
      <w:autoSpaceDE/>
      <w:autoSpaceDN/>
      <w:spacing w:before="80" w:line="260" w:lineRule="exact"/>
      <w:ind w:left="964"/>
      <w:jc w:val="both"/>
    </w:pPr>
    <w:rPr>
      <w:szCs w:val="20"/>
    </w:rPr>
  </w:style>
  <w:style w:type="paragraph" w:customStyle="1" w:styleId="P1">
    <w:name w:val="P1"/>
    <w:aliases w:val="(a)"/>
    <w:basedOn w:val="Normal"/>
    <w:rsid w:val="00B13126"/>
    <w:pPr>
      <w:tabs>
        <w:tab w:val="right" w:pos="1191"/>
      </w:tabs>
      <w:autoSpaceDE/>
      <w:autoSpaceDN/>
      <w:spacing w:before="60" w:line="260" w:lineRule="exact"/>
      <w:ind w:left="1418" w:hanging="1418"/>
      <w:jc w:val="both"/>
    </w:pPr>
    <w:rPr>
      <w:szCs w:val="20"/>
    </w:rPr>
  </w:style>
  <w:style w:type="paragraph" w:customStyle="1" w:styleId="P2">
    <w:name w:val="P2"/>
    <w:aliases w:val="(i)"/>
    <w:basedOn w:val="Normal"/>
    <w:rsid w:val="00B13126"/>
    <w:pPr>
      <w:tabs>
        <w:tab w:val="right" w:pos="1758"/>
        <w:tab w:val="left" w:pos="2155"/>
      </w:tabs>
      <w:autoSpaceDE/>
      <w:autoSpaceDN/>
      <w:spacing w:before="60" w:line="260" w:lineRule="exact"/>
      <w:ind w:left="1985" w:hanging="1985"/>
      <w:jc w:val="both"/>
    </w:pPr>
    <w:rPr>
      <w:szCs w:val="20"/>
    </w:rPr>
  </w:style>
  <w:style w:type="paragraph" w:styleId="BodyText">
    <w:name w:val="Body Text"/>
    <w:basedOn w:val="Normal"/>
    <w:rsid w:val="00B13126"/>
    <w:rPr>
      <w:b/>
      <w:bCs/>
      <w:i/>
      <w:iCs/>
    </w:rPr>
  </w:style>
  <w:style w:type="character" w:customStyle="1" w:styleId="CharDivNo">
    <w:name w:val="CharDivNo"/>
    <w:basedOn w:val="DefaultParagraphFont"/>
    <w:rsid w:val="00B13126"/>
  </w:style>
  <w:style w:type="character" w:customStyle="1" w:styleId="CharDivText">
    <w:name w:val="CharDivText"/>
    <w:basedOn w:val="DefaultParagraphFont"/>
    <w:rsid w:val="00B13126"/>
  </w:style>
  <w:style w:type="character" w:customStyle="1" w:styleId="CharSectno">
    <w:name w:val="CharSectno"/>
    <w:basedOn w:val="DefaultParagraphFont"/>
    <w:rsid w:val="00B13126"/>
  </w:style>
  <w:style w:type="paragraph" w:customStyle="1" w:styleId="subsectionChar">
    <w:name w:val="subsection Char"/>
    <w:aliases w:val="ss Char,Subsection Char"/>
    <w:basedOn w:val="Normal"/>
    <w:rsid w:val="00B13126"/>
    <w:pPr>
      <w:tabs>
        <w:tab w:val="right" w:pos="1021"/>
      </w:tabs>
      <w:spacing w:before="180" w:line="260" w:lineRule="atLeast"/>
      <w:ind w:left="1134" w:hanging="1134"/>
    </w:pPr>
    <w:rPr>
      <w:sz w:val="22"/>
      <w:szCs w:val="22"/>
      <w:lang w:eastAsia="en-AU"/>
    </w:rPr>
  </w:style>
  <w:style w:type="paragraph" w:styleId="BodyTextIndent">
    <w:name w:val="Body Text Indent"/>
    <w:basedOn w:val="Normal"/>
    <w:rsid w:val="00B13126"/>
    <w:pPr>
      <w:ind w:left="1701"/>
    </w:pPr>
    <w:rPr>
      <w:b/>
      <w:bCs/>
      <w:i/>
      <w:iCs/>
      <w:sz w:val="20"/>
    </w:rPr>
  </w:style>
  <w:style w:type="paragraph" w:customStyle="1" w:styleId="ActNotes1">
    <w:name w:val="ActNotes(1)"/>
    <w:basedOn w:val="Normal"/>
    <w:rsid w:val="00B13126"/>
    <w:pPr>
      <w:tabs>
        <w:tab w:val="right" w:pos="992"/>
      </w:tabs>
      <w:spacing w:before="60"/>
      <w:ind w:left="1134" w:hanging="1134"/>
    </w:pPr>
    <w:rPr>
      <w:rFonts w:ascii="Arial" w:hAnsi="Arial" w:cs="Arial"/>
      <w:sz w:val="16"/>
      <w:szCs w:val="16"/>
    </w:rPr>
  </w:style>
  <w:style w:type="paragraph" w:customStyle="1" w:styleId="paragraph">
    <w:name w:val="paragraph"/>
    <w:aliases w:val="a"/>
    <w:basedOn w:val="Normal"/>
    <w:rsid w:val="00B13126"/>
    <w:pPr>
      <w:tabs>
        <w:tab w:val="right" w:pos="1531"/>
      </w:tabs>
      <w:spacing w:before="40" w:line="260" w:lineRule="atLeast"/>
      <w:ind w:left="1644" w:hanging="1644"/>
    </w:pPr>
    <w:rPr>
      <w:sz w:val="22"/>
      <w:szCs w:val="22"/>
    </w:rPr>
  </w:style>
  <w:style w:type="paragraph" w:customStyle="1" w:styleId="HeadingA">
    <w:name w:val="Heading A"/>
    <w:basedOn w:val="Heading1"/>
    <w:next w:val="Normal"/>
    <w:rsid w:val="00B13126"/>
    <w:pPr>
      <w:numPr>
        <w:numId w:val="0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400" w:after="120" w:line="276" w:lineRule="auto"/>
    </w:pPr>
    <w:rPr>
      <w:bCs w:val="0"/>
      <w:color w:val="000000"/>
      <w:kern w:val="28"/>
      <w:szCs w:val="20"/>
    </w:rPr>
  </w:style>
  <w:style w:type="paragraph" w:customStyle="1" w:styleId="HeaderBoldEven">
    <w:name w:val="HeaderBoldEven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BoldOdd">
    <w:name w:val="HeaderBold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60" w:line="276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eaderLiteOdd">
    <w:name w:val="HeaderLiteOdd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MainBodySectionBreak">
    <w:name w:val="MainBody Section Break"/>
    <w:basedOn w:val="Normal"/>
    <w:next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paragraph" w:customStyle="1" w:styleId="HR">
    <w:name w:val="HR"/>
    <w:aliases w:val="Regulation Heading"/>
    <w:basedOn w:val="Normal"/>
    <w:next w:val="Normal"/>
    <w:rsid w:val="00914BA7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R1">
    <w:name w:val="R1"/>
    <w:aliases w:val="1. or 1.(1)"/>
    <w:basedOn w:val="Normal"/>
    <w:next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R2">
    <w:name w:val="R2"/>
    <w:aliases w:val="(2)"/>
    <w:basedOn w:val="Normal"/>
    <w:rsid w:val="00914BA7"/>
    <w:pPr>
      <w:tabs>
        <w:tab w:val="right" w:pos="794"/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80" w:after="120" w:line="260" w:lineRule="exact"/>
      <w:ind w:left="964" w:hanging="964"/>
      <w:jc w:val="both"/>
    </w:pPr>
    <w:rPr>
      <w:rFonts w:ascii="Arial" w:hAnsi="Arial"/>
      <w:color w:val="000000"/>
      <w:sz w:val="21"/>
      <w:szCs w:val="20"/>
    </w:rPr>
  </w:style>
  <w:style w:type="paragraph" w:customStyle="1" w:styleId="TextSectionBreak">
    <w:name w:val="TextSectionBreak"/>
    <w:basedOn w:val="Normal"/>
    <w:rsid w:val="00914BA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</w:pPr>
    <w:rPr>
      <w:rFonts w:ascii="Arial" w:hAnsi="Arial"/>
      <w:color w:val="000000"/>
      <w:sz w:val="21"/>
      <w:szCs w:val="20"/>
    </w:rPr>
  </w:style>
  <w:style w:type="numbering" w:customStyle="1" w:styleId="Style1">
    <w:name w:val="Style1"/>
    <w:basedOn w:val="NoList"/>
    <w:rsid w:val="006554A3"/>
    <w:pPr>
      <w:numPr>
        <w:numId w:val="4"/>
      </w:numPr>
    </w:pPr>
  </w:style>
  <w:style w:type="paragraph" w:customStyle="1" w:styleId="NotesSectionBreak">
    <w:name w:val="NotesSectionBreak"/>
    <w:basedOn w:val="Normal"/>
    <w:next w:val="Normal"/>
    <w:rsid w:val="00621357"/>
    <w:pPr>
      <w:autoSpaceDE/>
      <w:autoSpaceDN/>
    </w:pPr>
  </w:style>
  <w:style w:type="numbering" w:styleId="ArticleSection">
    <w:name w:val="Outline List 3"/>
    <w:basedOn w:val="NoList"/>
    <w:rsid w:val="00621357"/>
    <w:pPr>
      <w:numPr>
        <w:numId w:val="5"/>
      </w:numPr>
    </w:pPr>
  </w:style>
  <w:style w:type="paragraph" w:customStyle="1" w:styleId="NoteEnd">
    <w:name w:val="Note End"/>
    <w:basedOn w:val="Normal"/>
    <w:rsid w:val="00621357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621357"/>
    <w:pPr>
      <w:autoSpaceDE/>
      <w:autoSpaceDN/>
      <w:spacing w:before="20"/>
      <w:jc w:val="center"/>
    </w:pPr>
    <w:rPr>
      <w:rFonts w:ascii="Arial" w:hAnsi="Arial"/>
      <w:i/>
      <w:sz w:val="18"/>
      <w:lang w:eastAsia="en-AU"/>
    </w:rPr>
  </w:style>
  <w:style w:type="paragraph" w:styleId="BodyTextIndent3">
    <w:name w:val="Body Text Indent 3"/>
    <w:basedOn w:val="Normal"/>
    <w:rsid w:val="00AB197C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rsid w:val="00AB197C"/>
    <w:rPr>
      <w:sz w:val="16"/>
      <w:szCs w:val="16"/>
    </w:rPr>
  </w:style>
  <w:style w:type="paragraph" w:styleId="CommentText">
    <w:name w:val="annotation text"/>
    <w:basedOn w:val="Normal"/>
    <w:semiHidden/>
    <w:rsid w:val="00AB197C"/>
    <w:pPr>
      <w:widowControl w:val="0"/>
      <w:autoSpaceDE/>
      <w:autoSpaceDN/>
      <w:snapToGrid w:val="0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semiHidden/>
    <w:rsid w:val="00AB197C"/>
    <w:rPr>
      <w:b/>
      <w:bCs/>
    </w:rPr>
  </w:style>
  <w:style w:type="paragraph" w:styleId="BalloonText">
    <w:name w:val="Balloon Text"/>
    <w:basedOn w:val="Normal"/>
    <w:semiHidden/>
    <w:rsid w:val="00AB197C"/>
    <w:pPr>
      <w:widowControl w:val="0"/>
      <w:autoSpaceDE/>
      <w:autoSpaceDN/>
      <w:snapToGrid w:val="0"/>
    </w:pPr>
    <w:rPr>
      <w:rFonts w:ascii="Tahoma" w:hAnsi="Tahoma" w:cs="Tahoma"/>
      <w:sz w:val="16"/>
      <w:szCs w:val="16"/>
      <w:lang w:val="en-US"/>
    </w:rPr>
  </w:style>
  <w:style w:type="paragraph" w:styleId="BodyTextIndent2">
    <w:name w:val="Body Text Indent 2"/>
    <w:basedOn w:val="Normal"/>
    <w:rsid w:val="00AB197C"/>
    <w:pPr>
      <w:widowControl w:val="0"/>
      <w:autoSpaceDE/>
      <w:autoSpaceDN/>
      <w:snapToGrid w:val="0"/>
      <w:spacing w:after="120" w:line="480" w:lineRule="auto"/>
      <w:ind w:left="283"/>
    </w:pPr>
    <w:rPr>
      <w:szCs w:val="20"/>
      <w:lang w:val="en-US"/>
    </w:rPr>
  </w:style>
  <w:style w:type="paragraph" w:styleId="BodyText2">
    <w:name w:val="Body Text 2"/>
    <w:basedOn w:val="Normal"/>
    <w:rsid w:val="00AB197C"/>
    <w:pPr>
      <w:widowControl w:val="0"/>
      <w:autoSpaceDE/>
      <w:autoSpaceDN/>
      <w:snapToGrid w:val="0"/>
      <w:spacing w:after="120" w:line="480" w:lineRule="auto"/>
    </w:pPr>
    <w:rPr>
      <w:szCs w:val="20"/>
      <w:lang w:val="en-US"/>
    </w:rPr>
  </w:style>
  <w:style w:type="table" w:styleId="TableGrid">
    <w:name w:val="Table Grid"/>
    <w:basedOn w:val="TableNormal"/>
    <w:rsid w:val="00AB19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lthnumlevel2Char">
    <w:name w:val="Health (num) level 2 Char"/>
    <w:link w:val="Healthnumlevel2"/>
    <w:rsid w:val="00D67551"/>
    <w:rPr>
      <w:color w:val="000000"/>
      <w:sz w:val="24"/>
      <w:szCs w:val="24"/>
      <w:lang w:eastAsia="en-US"/>
    </w:rPr>
  </w:style>
  <w:style w:type="character" w:customStyle="1" w:styleId="Heading1Char">
    <w:name w:val="Heading 1 Char"/>
    <w:aliases w:val="h1 Char,c Char"/>
    <w:link w:val="Heading1"/>
    <w:rsid w:val="007A5D07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Heading1ACharChar">
    <w:name w:val="Heading 1A Char Char"/>
    <w:link w:val="Heading1A"/>
    <w:rsid w:val="00D67551"/>
    <w:rPr>
      <w:rFonts w:ascii="Arial Bold" w:hAnsi="Arial Bold"/>
      <w:b/>
      <w:color w:val="000000"/>
      <w:kern w:val="28"/>
      <w:sz w:val="24"/>
      <w:lang w:eastAsia="en-US"/>
    </w:rPr>
  </w:style>
  <w:style w:type="character" w:customStyle="1" w:styleId="HealthnoteChar">
    <w:name w:val="Health note Char"/>
    <w:link w:val="Healthnote"/>
    <w:rsid w:val="009D2F63"/>
    <w:rPr>
      <w:iCs/>
      <w:color w:val="000000"/>
      <w:lang w:val="en-AU" w:eastAsia="en-US" w:bidi="ar-SA"/>
    </w:rPr>
  </w:style>
  <w:style w:type="paragraph" w:customStyle="1" w:styleId="Tabletext">
    <w:name w:val="Tabletext"/>
    <w:aliases w:val="tt"/>
    <w:rsid w:val="007E6048"/>
    <w:pPr>
      <w:spacing w:before="60" w:line="240" w:lineRule="atLeast"/>
    </w:pPr>
    <w:rPr>
      <w:szCs w:val="24"/>
    </w:rPr>
  </w:style>
  <w:style w:type="character" w:customStyle="1" w:styleId="HealthLevel1Char">
    <w:name w:val="Health Level 1 Char"/>
    <w:link w:val="HealthLevel1"/>
    <w:rsid w:val="007E6048"/>
    <w:rPr>
      <w:color w:val="000000"/>
      <w:sz w:val="24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7E6048"/>
    <w:pPr>
      <w:autoSpaceDE/>
      <w:autoSpaceDN/>
    </w:pPr>
    <w:rPr>
      <w:sz w:val="20"/>
      <w:szCs w:val="20"/>
      <w:lang w:eastAsia="en-AU"/>
    </w:rPr>
  </w:style>
  <w:style w:type="paragraph" w:styleId="PlainText">
    <w:name w:val="Plain Text"/>
    <w:basedOn w:val="Normal"/>
    <w:rsid w:val="007467E7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ealthnumLevel5Char">
    <w:name w:val="Health (num) Level 5 Char"/>
    <w:link w:val="HealthnumLevel5"/>
    <w:rsid w:val="000E1A6F"/>
    <w:rPr>
      <w:sz w:val="24"/>
      <w:szCs w:val="24"/>
      <w:lang w:eastAsia="en-US"/>
    </w:rPr>
  </w:style>
  <w:style w:type="paragraph" w:customStyle="1" w:styleId="TableOfAmendHead">
    <w:name w:val="TableOfAmendHead"/>
    <w:basedOn w:val="Normal"/>
    <w:rsid w:val="00A61E42"/>
    <w:pPr>
      <w:tabs>
        <w:tab w:val="right" w:pos="1021"/>
      </w:tabs>
      <w:autoSpaceDE/>
      <w:autoSpaceDN/>
      <w:spacing w:before="240" w:after="240" w:line="260" w:lineRule="atLeast"/>
      <w:ind w:left="1134" w:hanging="1134"/>
    </w:pPr>
    <w:rPr>
      <w:rFonts w:ascii="Arial" w:hAnsi="Arial"/>
      <w:b/>
      <w:lang w:eastAsia="en-AU"/>
    </w:rPr>
  </w:style>
  <w:style w:type="paragraph" w:customStyle="1" w:styleId="TableOfAmend">
    <w:name w:val="TableOfAmend"/>
    <w:basedOn w:val="Normal"/>
    <w:rsid w:val="00A61E42"/>
    <w:pPr>
      <w:tabs>
        <w:tab w:val="right" w:leader="dot" w:pos="2268"/>
      </w:tabs>
      <w:autoSpaceDE/>
      <w:autoSpaceDN/>
      <w:spacing w:before="60" w:line="180" w:lineRule="exact"/>
      <w:ind w:left="170" w:right="113" w:hanging="170"/>
    </w:pPr>
    <w:rPr>
      <w:rFonts w:ascii="Arial" w:hAnsi="Arial"/>
      <w:sz w:val="16"/>
      <w:lang w:eastAsia="en-AU"/>
    </w:rPr>
  </w:style>
  <w:style w:type="paragraph" w:customStyle="1" w:styleId="Note">
    <w:name w:val="Note"/>
    <w:basedOn w:val="Normal"/>
    <w:rsid w:val="00FE0BE7"/>
    <w:pPr>
      <w:keepLines/>
      <w:autoSpaceDE/>
      <w:autoSpaceDN/>
      <w:spacing w:before="120" w:line="221" w:lineRule="auto"/>
      <w:ind w:left="964"/>
      <w:jc w:val="both"/>
    </w:pPr>
    <w:rPr>
      <w:sz w:val="20"/>
      <w:lang w:eastAsia="en-AU"/>
    </w:rPr>
  </w:style>
  <w:style w:type="paragraph" w:customStyle="1" w:styleId="Zdefinition">
    <w:name w:val="Zdefinition"/>
    <w:basedOn w:val="Normal"/>
    <w:rsid w:val="00FE0BE7"/>
    <w:pPr>
      <w:keepNext/>
      <w:autoSpaceDE/>
      <w:autoSpaceDN/>
      <w:spacing w:before="80" w:line="260" w:lineRule="exact"/>
      <w:ind w:left="964"/>
      <w:jc w:val="both"/>
    </w:pPr>
  </w:style>
  <w:style w:type="paragraph" w:customStyle="1" w:styleId="ZP1">
    <w:name w:val="ZP1"/>
    <w:basedOn w:val="P1"/>
    <w:rsid w:val="00FE0BE7"/>
    <w:pPr>
      <w:keepNext/>
      <w:keepLines/>
    </w:pPr>
    <w:rPr>
      <w:szCs w:val="24"/>
    </w:rPr>
  </w:style>
  <w:style w:type="character" w:customStyle="1" w:styleId="legsubtitle1">
    <w:name w:val="legsubtitle1"/>
    <w:rsid w:val="00DF4B5E"/>
    <w:rPr>
      <w:rFonts w:ascii="Arial" w:hAnsi="Arial" w:cs="Arial" w:hint="default"/>
      <w:b/>
      <w:bCs/>
      <w:sz w:val="28"/>
      <w:szCs w:val="28"/>
    </w:rPr>
  </w:style>
  <w:style w:type="paragraph" w:customStyle="1" w:styleId="FooterDraft">
    <w:name w:val="FooterDraft"/>
    <w:basedOn w:val="Normal"/>
    <w:rsid w:val="00F22250"/>
    <w:pPr>
      <w:autoSpaceDE/>
      <w:autoSpaceDN/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22250"/>
    <w:pPr>
      <w:autoSpaceDE/>
      <w:autoSpaceDN/>
    </w:pPr>
    <w:rPr>
      <w:rFonts w:ascii="Arial" w:hAnsi="Arial"/>
      <w:sz w:val="12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22250"/>
    <w:pPr>
      <w:tabs>
        <w:tab w:val="right" w:pos="794"/>
      </w:tabs>
      <w:autoSpaceDE/>
      <w:autoSpaceDN/>
      <w:spacing w:before="120" w:line="260" w:lineRule="exact"/>
      <w:ind w:left="964" w:hanging="964"/>
      <w:jc w:val="both"/>
    </w:pPr>
    <w:rPr>
      <w:lang w:eastAsia="en-AU"/>
    </w:rPr>
  </w:style>
  <w:style w:type="character" w:styleId="FootnoteReference">
    <w:name w:val="footnote reference"/>
    <w:semiHidden/>
    <w:rsid w:val="00163E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7ECA-A60B-4126-AAC3-01D42A0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6575</Words>
  <Characters>36449</Characters>
  <Application>Microsoft Office Word</Application>
  <DocSecurity>0</DocSecurity>
  <Lines>792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2012-05-30T01:56:00Z</cp:lastPrinted>
  <dcterms:created xsi:type="dcterms:W3CDTF">2012-08-17T02:07:00Z</dcterms:created>
  <dcterms:modified xsi:type="dcterms:W3CDTF">2012-08-17T02:10:00Z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Footer">
    <vt:lpwstr>114157686 \ 0362663 \ KLR01</vt:lpwstr>
  </property>
  <property fmtid="{D5CDD505-2E9C-101B-9397-08002B2CF9AE}" pid="3" name="DMSDOCTYPE">
    <vt:lpwstr/>
  </property>
  <property fmtid="{D5CDD505-2E9C-101B-9397-08002B2CF9AE}" pid="4" name="DraftType">
    <vt:lpwstr/>
  </property>
  <property fmtid="{D5CDD505-2E9C-101B-9397-08002B2CF9AE}" pid="5" name="WPLUSServerName">
    <vt:lpwstr/>
  </property>
  <property fmtid="{D5CDD505-2E9C-101B-9397-08002B2CF9AE}" pid="6" name="WPLUSDataBaseName">
    <vt:lpwstr/>
  </property>
  <property fmtid="{D5CDD505-2E9C-101B-9397-08002B2CF9AE}" pid="7" name="WPLUSDocumentUNID">
    <vt:lpwstr/>
  </property>
  <property fmtid="{D5CDD505-2E9C-101B-9397-08002B2CF9AE}" pid="8" name="NeverSavedToNT">
    <vt:lpwstr/>
  </property>
</Properties>
</file>