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7F" w:rsidRDefault="0002707F" w:rsidP="00714D7C">
      <w:pPr>
        <w:spacing w:after="240" w:line="240" w:lineRule="auto"/>
        <w:jc w:val="center"/>
        <w:rPr>
          <w:rFonts w:ascii="Times New Roman" w:hAnsi="Times New Roman"/>
          <w:b/>
          <w:sz w:val="24"/>
          <w:szCs w:val="24"/>
          <w:u w:val="single"/>
        </w:rPr>
      </w:pPr>
      <w:r w:rsidRPr="00B32350">
        <w:rPr>
          <w:rFonts w:ascii="Times New Roman" w:hAnsi="Times New Roman"/>
          <w:b/>
          <w:sz w:val="24"/>
          <w:szCs w:val="24"/>
          <w:u w:val="single"/>
        </w:rPr>
        <w:t>EXPLANATORY STATEMENT</w:t>
      </w:r>
    </w:p>
    <w:p w:rsidR="0002707F" w:rsidRDefault="0002707F" w:rsidP="0002707F">
      <w:pPr>
        <w:spacing w:before="240" w:after="240" w:line="240" w:lineRule="auto"/>
        <w:rPr>
          <w:rFonts w:ascii="Times New Roman" w:hAnsi="Times New Roman"/>
          <w:b/>
          <w:sz w:val="24"/>
          <w:szCs w:val="24"/>
          <w:u w:val="single"/>
        </w:rPr>
      </w:pPr>
    </w:p>
    <w:p w:rsidR="0002707F" w:rsidRDefault="0002707F" w:rsidP="0002707F">
      <w:pPr>
        <w:spacing w:before="240" w:after="240" w:line="240" w:lineRule="auto"/>
        <w:jc w:val="center"/>
        <w:rPr>
          <w:rFonts w:ascii="Times New Roman" w:hAnsi="Times New Roman"/>
          <w:sz w:val="24"/>
          <w:szCs w:val="24"/>
          <w:u w:val="single"/>
        </w:rPr>
      </w:pPr>
      <w:r w:rsidRPr="00F737D7">
        <w:rPr>
          <w:rFonts w:ascii="Times New Roman" w:hAnsi="Times New Roman"/>
          <w:sz w:val="24"/>
          <w:szCs w:val="24"/>
          <w:u w:val="single"/>
        </w:rPr>
        <w:t>Issued by the Authority of the Parliamentary Secretary for Climate Change and</w:t>
      </w:r>
      <w:r w:rsidR="00B87DAA">
        <w:rPr>
          <w:rFonts w:ascii="Times New Roman" w:hAnsi="Times New Roman"/>
          <w:sz w:val="24"/>
          <w:szCs w:val="24"/>
          <w:u w:val="single"/>
        </w:rPr>
        <w:t> </w:t>
      </w:r>
      <w:r w:rsidRPr="00F737D7">
        <w:rPr>
          <w:rFonts w:ascii="Times New Roman" w:hAnsi="Times New Roman"/>
          <w:sz w:val="24"/>
          <w:szCs w:val="24"/>
          <w:u w:val="single"/>
        </w:rPr>
        <w:t>Energy</w:t>
      </w:r>
      <w:r w:rsidR="00B87DAA">
        <w:rPr>
          <w:rFonts w:ascii="Times New Roman" w:hAnsi="Times New Roman"/>
          <w:sz w:val="24"/>
          <w:szCs w:val="24"/>
          <w:u w:val="single"/>
        </w:rPr>
        <w:t> </w:t>
      </w:r>
      <w:r w:rsidRPr="00F737D7">
        <w:rPr>
          <w:rFonts w:ascii="Times New Roman" w:hAnsi="Times New Roman"/>
          <w:sz w:val="24"/>
          <w:szCs w:val="24"/>
          <w:u w:val="single"/>
        </w:rPr>
        <w:t>Efficiency</w:t>
      </w:r>
    </w:p>
    <w:p w:rsidR="0002707F" w:rsidRDefault="0002707F" w:rsidP="0002707F">
      <w:pPr>
        <w:pStyle w:val="Heading1"/>
        <w:spacing w:before="240" w:after="240"/>
        <w:jc w:val="center"/>
        <w:rPr>
          <w:b w:val="0"/>
          <w:i/>
          <w:color w:val="auto"/>
          <w:sz w:val="24"/>
          <w:szCs w:val="24"/>
        </w:rPr>
      </w:pPr>
      <w:r w:rsidRPr="00F737D7">
        <w:rPr>
          <w:b w:val="0"/>
          <w:i/>
          <w:color w:val="auto"/>
          <w:sz w:val="24"/>
          <w:szCs w:val="24"/>
        </w:rPr>
        <w:t>Carbon Credits (Carbon Farming Initiative) Act 2011</w:t>
      </w:r>
    </w:p>
    <w:p w:rsidR="0002707F" w:rsidRDefault="0002707F" w:rsidP="0002707F">
      <w:pPr>
        <w:spacing w:before="240" w:after="240" w:line="240" w:lineRule="auto"/>
        <w:jc w:val="center"/>
        <w:rPr>
          <w:rFonts w:ascii="Times New Roman" w:hAnsi="Times New Roman"/>
          <w:i/>
          <w:sz w:val="24"/>
          <w:szCs w:val="24"/>
        </w:rPr>
      </w:pPr>
      <w:r w:rsidRPr="00F737D7">
        <w:rPr>
          <w:rFonts w:ascii="Times New Roman" w:hAnsi="Times New Roman"/>
          <w:i/>
          <w:sz w:val="24"/>
          <w:szCs w:val="24"/>
        </w:rPr>
        <w:t xml:space="preserve">Carbon Farming (Capture and Combustion of Methane </w:t>
      </w:r>
      <w:r>
        <w:rPr>
          <w:rFonts w:ascii="Times New Roman" w:hAnsi="Times New Roman"/>
          <w:i/>
          <w:sz w:val="24"/>
          <w:szCs w:val="24"/>
        </w:rPr>
        <w:t>in</w:t>
      </w:r>
      <w:r w:rsidRPr="00F737D7">
        <w:rPr>
          <w:rFonts w:ascii="Times New Roman" w:hAnsi="Times New Roman"/>
          <w:i/>
          <w:sz w:val="24"/>
          <w:szCs w:val="24"/>
        </w:rPr>
        <w:t xml:space="preserve"> Landfill Gas </w:t>
      </w:r>
      <w:r>
        <w:rPr>
          <w:rFonts w:ascii="Times New Roman" w:hAnsi="Times New Roman"/>
          <w:i/>
          <w:sz w:val="24"/>
          <w:szCs w:val="24"/>
        </w:rPr>
        <w:t xml:space="preserve">from </w:t>
      </w:r>
      <w:r w:rsidRPr="00F737D7">
        <w:rPr>
          <w:rFonts w:ascii="Times New Roman" w:hAnsi="Times New Roman"/>
          <w:i/>
          <w:sz w:val="24"/>
          <w:szCs w:val="24"/>
        </w:rPr>
        <w:t>Legacy Waste) Methodology Determination 2012</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Background</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The </w:t>
      </w:r>
      <w:r w:rsidRPr="00F737D7">
        <w:rPr>
          <w:rFonts w:ascii="Times New Roman" w:hAnsi="Times New Roman"/>
          <w:i/>
          <w:sz w:val="24"/>
          <w:szCs w:val="24"/>
        </w:rPr>
        <w:t>Carbon Credits (Carbon Farming Initiative) Act 2011</w:t>
      </w:r>
      <w:r w:rsidRPr="00F737D7">
        <w:rPr>
          <w:rFonts w:ascii="Times New Roman" w:hAnsi="Times New Roman"/>
          <w:sz w:val="24"/>
          <w:szCs w:val="24"/>
        </w:rPr>
        <w:t xml:space="preserve"> (the Act) enables the crediting of greenhouse gas abatement in the land sector</w:t>
      </w:r>
      <w:r w:rsidR="00CB46F7">
        <w:rPr>
          <w:rFonts w:ascii="Times New Roman" w:hAnsi="Times New Roman"/>
          <w:sz w:val="24"/>
          <w:szCs w:val="24"/>
        </w:rPr>
        <w:t xml:space="preserve"> and from legacy landfill waste</w:t>
      </w:r>
      <w:r w:rsidRPr="00F737D7">
        <w:rPr>
          <w:rFonts w:ascii="Times New Roman" w:hAnsi="Times New Roman"/>
          <w:sz w:val="24"/>
          <w:szCs w:val="24"/>
        </w:rPr>
        <w:t>. Greenhouse gas abatement is achieved by either reducing or avoiding emissions or by removing carbon from the atmosphere and storing it in soil or trees.</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Abatement activities are undertaken as offsets projects. The process involved in establishing an offsets project is set out in </w:t>
      </w:r>
      <w:r>
        <w:rPr>
          <w:rFonts w:ascii="Times New Roman" w:hAnsi="Times New Roman"/>
          <w:sz w:val="24"/>
          <w:szCs w:val="24"/>
        </w:rPr>
        <w:t xml:space="preserve">Part 3 of </w:t>
      </w:r>
      <w:r w:rsidRPr="00F737D7">
        <w:rPr>
          <w:rFonts w:ascii="Times New Roman" w:hAnsi="Times New Roman"/>
          <w:sz w:val="24"/>
          <w:szCs w:val="24"/>
        </w:rPr>
        <w:t xml:space="preserve">the Act. An offsets project must be covered by and undertaken in accordance with 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etermination.</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Subsection 106</w:t>
      </w:r>
      <w:r>
        <w:rPr>
          <w:rFonts w:ascii="Times New Roman" w:hAnsi="Times New Roman"/>
          <w:sz w:val="24"/>
          <w:szCs w:val="24"/>
        </w:rPr>
        <w:t xml:space="preserve"> </w:t>
      </w:r>
      <w:r w:rsidRPr="00F737D7">
        <w:rPr>
          <w:rFonts w:ascii="Times New Roman" w:hAnsi="Times New Roman"/>
          <w:sz w:val="24"/>
          <w:szCs w:val="24"/>
        </w:rPr>
        <w:t xml:space="preserve">(1) of the Act empowers the Minister, by legislative instrument, to make a determination known as 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etermination.</w:t>
      </w:r>
      <w:r>
        <w:rPr>
          <w:rFonts w:ascii="Times New Roman" w:hAnsi="Times New Roman"/>
          <w:sz w:val="24"/>
          <w:szCs w:val="24"/>
        </w:rPr>
        <w:t xml:space="preserve"> </w:t>
      </w:r>
      <w:r w:rsidRPr="00F737D7">
        <w:rPr>
          <w:rFonts w:ascii="Times New Roman" w:hAnsi="Times New Roman"/>
          <w:sz w:val="24"/>
          <w:szCs w:val="24"/>
        </w:rPr>
        <w:t xml:space="preserve">The purpose of 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 xml:space="preserve">etermination is to establish procedures for estimating abatement (emissions reductions and sequestration) and project rules for monitoring, record keeping and reporting on abatement.  </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etermination must meet the offsets integrity standards set out in section 133 of the Act and the other eligibility criteria set out in section 106 of the Act.</w:t>
      </w:r>
      <w:r>
        <w:rPr>
          <w:rFonts w:ascii="Times New Roman" w:hAnsi="Times New Roman"/>
          <w:sz w:val="24"/>
          <w:szCs w:val="24"/>
        </w:rPr>
        <w:t xml:space="preserve"> </w:t>
      </w:r>
      <w:r w:rsidRPr="00F737D7">
        <w:rPr>
          <w:rFonts w:ascii="Times New Roman" w:hAnsi="Times New Roman"/>
          <w:sz w:val="24"/>
          <w:szCs w:val="24"/>
        </w:rPr>
        <w:t xml:space="preserve">The Minister cannot make 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 xml:space="preserve">etermination unless the Domestic Offsets Integrity Committee (DOIC) has endorsed </w:t>
      </w:r>
      <w:r w:rsidR="00CB46F7">
        <w:rPr>
          <w:rFonts w:ascii="Times New Roman" w:hAnsi="Times New Roman"/>
          <w:sz w:val="24"/>
          <w:szCs w:val="24"/>
        </w:rPr>
        <w:t>a</w:t>
      </w:r>
      <w:r w:rsidRPr="00F737D7">
        <w:rPr>
          <w:rFonts w:ascii="Times New Roman" w:hAnsi="Times New Roman"/>
          <w:sz w:val="24"/>
          <w:szCs w:val="24"/>
        </w:rPr>
        <w:t xml:space="preserve"> proposal </w:t>
      </w:r>
      <w:r w:rsidR="00CB46F7">
        <w:rPr>
          <w:rFonts w:ascii="Times New Roman" w:hAnsi="Times New Roman"/>
          <w:sz w:val="24"/>
          <w:szCs w:val="24"/>
        </w:rPr>
        <w:t xml:space="preserve">for the </w:t>
      </w:r>
      <w:r w:rsidR="0042310A">
        <w:rPr>
          <w:rFonts w:ascii="Times New Roman" w:hAnsi="Times New Roman"/>
          <w:sz w:val="24"/>
          <w:szCs w:val="24"/>
        </w:rPr>
        <w:t xml:space="preserve">methodology </w:t>
      </w:r>
      <w:r w:rsidR="00CB46F7">
        <w:rPr>
          <w:rFonts w:ascii="Times New Roman" w:hAnsi="Times New Roman"/>
          <w:sz w:val="24"/>
          <w:szCs w:val="24"/>
        </w:rPr>
        <w:t xml:space="preserve">determination </w:t>
      </w:r>
      <w:r w:rsidRPr="00F737D7">
        <w:rPr>
          <w:rFonts w:ascii="Times New Roman" w:hAnsi="Times New Roman"/>
          <w:sz w:val="24"/>
          <w:szCs w:val="24"/>
        </w:rPr>
        <w:t xml:space="preserve">under section 112 of the Act and advised the Minister of the endorsement under section 113 of the Act. The DOIC is an independent expert panel established to evaluate and endorse proposals for </w:t>
      </w:r>
      <w:r w:rsidR="0042310A" w:rsidRPr="00F737D7">
        <w:rPr>
          <w:rFonts w:ascii="Times New Roman" w:hAnsi="Times New Roman"/>
          <w:sz w:val="24"/>
          <w:szCs w:val="24"/>
        </w:rPr>
        <w:t>methodolog</w:t>
      </w:r>
      <w:r w:rsidR="0042310A">
        <w:rPr>
          <w:rFonts w:ascii="Times New Roman" w:hAnsi="Times New Roman"/>
          <w:sz w:val="24"/>
          <w:szCs w:val="24"/>
        </w:rPr>
        <w:t>y determinations</w:t>
      </w:r>
      <w:r w:rsidRPr="00F737D7">
        <w:rPr>
          <w:rFonts w:ascii="Times New Roman" w:hAnsi="Times New Roman"/>
          <w:sz w:val="24"/>
          <w:szCs w:val="24"/>
        </w:rPr>
        <w:t>.</w:t>
      </w:r>
    </w:p>
    <w:p w:rsidR="0002707F" w:rsidRDefault="0002707F" w:rsidP="0002707F">
      <w:pPr>
        <w:pStyle w:val="NormalWeb"/>
        <w:spacing w:before="240" w:beforeAutospacing="0" w:after="240" w:afterAutospacing="0"/>
        <w:rPr>
          <w:rFonts w:eastAsia="Calibri"/>
          <w:b/>
          <w:lang w:eastAsia="en-US"/>
        </w:rPr>
      </w:pPr>
      <w:r w:rsidRPr="00F737D7">
        <w:rPr>
          <w:rFonts w:eastAsia="Calibri"/>
          <w:b/>
          <w:lang w:eastAsia="en-US"/>
        </w:rPr>
        <w:t>Application</w:t>
      </w:r>
      <w:r>
        <w:rPr>
          <w:rFonts w:eastAsia="Calibri"/>
          <w:b/>
          <w:lang w:eastAsia="en-US"/>
        </w:rPr>
        <w:t xml:space="preserve"> of the Methodology Determination</w:t>
      </w:r>
    </w:p>
    <w:p w:rsidR="0002707F" w:rsidRDefault="0002707F" w:rsidP="0002707F">
      <w:pPr>
        <w:pStyle w:val="NormalWeb"/>
        <w:spacing w:before="240" w:beforeAutospacing="0" w:after="240" w:afterAutospacing="0"/>
      </w:pPr>
      <w:r w:rsidRPr="00F737D7">
        <w:lastRenderedPageBreak/>
        <w:t xml:space="preserve">The </w:t>
      </w:r>
      <w:r w:rsidRPr="00F737D7">
        <w:rPr>
          <w:i/>
        </w:rPr>
        <w:t xml:space="preserve">Carbon Farming (Capture and Combustion of Methane </w:t>
      </w:r>
      <w:r>
        <w:rPr>
          <w:i/>
        </w:rPr>
        <w:t>in</w:t>
      </w:r>
      <w:r w:rsidRPr="00F737D7">
        <w:rPr>
          <w:i/>
        </w:rPr>
        <w:t xml:space="preserve"> Landfill Gas from Legacy Waste) Methodology Determination 2012</w:t>
      </w:r>
      <w:r w:rsidRPr="00F737D7">
        <w:t xml:space="preserve"> (</w:t>
      </w:r>
      <w:r>
        <w:t xml:space="preserve">the </w:t>
      </w:r>
      <w:r w:rsidRPr="00F737D7">
        <w:t xml:space="preserve">Methodology Determination) sets out the detailed rules for implementing and monitoring projects under the Carbon Farming Initiative (CFI) to reduce methane emissions from landfill gas generated from legacy waste.  </w:t>
      </w:r>
    </w:p>
    <w:p w:rsidR="0002707F" w:rsidRDefault="0002707F" w:rsidP="0002707F">
      <w:pPr>
        <w:pStyle w:val="NormalWeb"/>
        <w:spacing w:before="240" w:beforeAutospacing="0" w:after="240" w:afterAutospacing="0"/>
      </w:pPr>
      <w:r w:rsidRPr="00F737D7">
        <w:t>The Methodology Determination applies to landfill legacy emissions avoidance projects</w:t>
      </w:r>
      <w:r w:rsidR="0000488D">
        <w:t xml:space="preserve"> that are</w:t>
      </w:r>
      <w:r w:rsidRPr="00F737D7">
        <w:t xml:space="preserve"> </w:t>
      </w:r>
      <w:r w:rsidR="00831D8A">
        <w:t xml:space="preserve">transitioning from the New South Wales </w:t>
      </w:r>
      <w:r w:rsidR="00A23AB9">
        <w:t xml:space="preserve">Government’s </w:t>
      </w:r>
      <w:r w:rsidR="00831D8A">
        <w:t xml:space="preserve">Greenhouse Gas </w:t>
      </w:r>
      <w:r w:rsidR="00A23AB9">
        <w:t xml:space="preserve">Reduction </w:t>
      </w:r>
      <w:r w:rsidR="00831D8A">
        <w:t>Scheme</w:t>
      </w:r>
      <w:r w:rsidR="00E534E5">
        <w:t>,</w:t>
      </w:r>
      <w:r w:rsidR="00A23AB9">
        <w:t xml:space="preserve"> the Australian Capital Territory Government’s Greenhouse Gas Abatement Scheme </w:t>
      </w:r>
      <w:r w:rsidR="00831D8A">
        <w:t xml:space="preserve">or Greenhouse Friendly, or that </w:t>
      </w:r>
      <w:r w:rsidR="00DB6737">
        <w:t>involve the installation</w:t>
      </w:r>
      <w:r w:rsidR="00656B1D">
        <w:t xml:space="preserve">, </w:t>
      </w:r>
      <w:r w:rsidR="00A32894">
        <w:t xml:space="preserve">on or </w:t>
      </w:r>
      <w:r w:rsidR="00656B1D">
        <w:t>after 1 July 2010,</w:t>
      </w:r>
      <w:r w:rsidR="00DB6737">
        <w:t xml:space="preserve"> of a landfill gas extraction system to </w:t>
      </w:r>
      <w:r w:rsidRPr="00F737D7">
        <w:t xml:space="preserve">avoid emissions of greenhouse gases from a landfill facility, to the extent </w:t>
      </w:r>
      <w:r w:rsidR="00DB6737">
        <w:t>that</w:t>
      </w:r>
      <w:r w:rsidRPr="00F737D7">
        <w:t xml:space="preserve"> the emissions are attributable to ‘legacy waste’. Legacy waste is waste accepted by the facility before 1 July 2012,</w:t>
      </w:r>
      <w:r w:rsidRPr="001F308C">
        <w:t xml:space="preserve"> which is</w:t>
      </w:r>
      <w:r w:rsidRPr="00F737D7">
        <w:t xml:space="preserve"> the date specified in the </w:t>
      </w:r>
      <w:r w:rsidRPr="00F737D7">
        <w:rPr>
          <w:i/>
          <w:iCs/>
        </w:rPr>
        <w:t>Carbon</w:t>
      </w:r>
      <w:r>
        <w:rPr>
          <w:i/>
          <w:iCs/>
        </w:rPr>
        <w:t> </w:t>
      </w:r>
      <w:r w:rsidRPr="00F737D7">
        <w:rPr>
          <w:i/>
          <w:iCs/>
        </w:rPr>
        <w:t>Credi</w:t>
      </w:r>
      <w:r>
        <w:rPr>
          <w:i/>
          <w:iCs/>
        </w:rPr>
        <w:t>ts (Carbon Farming Initiative) -</w:t>
      </w:r>
      <w:r w:rsidRPr="00F737D7">
        <w:rPr>
          <w:i/>
          <w:iCs/>
        </w:rPr>
        <w:t xml:space="preserve"> Landfill Legacy Emissions Avoidance Project Specification 2011.</w:t>
      </w:r>
    </w:p>
    <w:p w:rsidR="0002707F" w:rsidRDefault="0002707F" w:rsidP="0002707F">
      <w:pPr>
        <w:spacing w:before="240" w:after="240" w:line="240" w:lineRule="auto"/>
        <w:rPr>
          <w:rFonts w:ascii="Times New Roman" w:eastAsia="Times New Roman" w:hAnsi="Times New Roman"/>
          <w:bCs/>
          <w:iCs/>
          <w:sz w:val="24"/>
          <w:szCs w:val="24"/>
          <w:lang w:eastAsia="en-AU"/>
        </w:rPr>
      </w:pPr>
      <w:r w:rsidRPr="00707CF8">
        <w:rPr>
          <w:rFonts w:ascii="Times New Roman" w:eastAsia="Times New Roman" w:hAnsi="Times New Roman"/>
          <w:bCs/>
          <w:iCs/>
          <w:sz w:val="24"/>
          <w:szCs w:val="24"/>
          <w:lang w:eastAsia="en-AU"/>
        </w:rPr>
        <w:t xml:space="preserve">Landfill facility is defined in section 5 of the Act to mean a </w:t>
      </w:r>
      <w:r w:rsidRPr="00707CF8">
        <w:rPr>
          <w:rFonts w:ascii="Times New Roman" w:eastAsia="Times New Roman" w:hAnsi="Times New Roman"/>
          <w:sz w:val="24"/>
          <w:szCs w:val="24"/>
          <w:lang w:eastAsia="en-AU"/>
        </w:rPr>
        <w:t xml:space="preserve">facility for the disposal of solid waste as landfill, and includes a facility that is closed </w:t>
      </w:r>
      <w:r w:rsidR="00DB6737">
        <w:rPr>
          <w:rFonts w:ascii="Times New Roman" w:eastAsia="Times New Roman" w:hAnsi="Times New Roman"/>
          <w:sz w:val="24"/>
          <w:szCs w:val="24"/>
          <w:lang w:eastAsia="en-AU"/>
        </w:rPr>
        <w:t xml:space="preserve">and no longer </w:t>
      </w:r>
      <w:r w:rsidRPr="00707CF8">
        <w:rPr>
          <w:rFonts w:ascii="Times New Roman" w:eastAsia="Times New Roman" w:hAnsi="Times New Roman"/>
          <w:sz w:val="24"/>
          <w:szCs w:val="24"/>
          <w:lang w:eastAsia="en-AU"/>
        </w:rPr>
        <w:t>accept</w:t>
      </w:r>
      <w:r w:rsidR="00DB6737">
        <w:rPr>
          <w:rFonts w:ascii="Times New Roman" w:eastAsia="Times New Roman" w:hAnsi="Times New Roman"/>
          <w:sz w:val="24"/>
          <w:szCs w:val="24"/>
          <w:lang w:eastAsia="en-AU"/>
        </w:rPr>
        <w:t xml:space="preserve">s </w:t>
      </w:r>
      <w:r w:rsidRPr="00707CF8">
        <w:rPr>
          <w:rFonts w:ascii="Times New Roman" w:eastAsia="Times New Roman" w:hAnsi="Times New Roman"/>
          <w:sz w:val="24"/>
          <w:szCs w:val="24"/>
          <w:lang w:eastAsia="en-AU"/>
        </w:rPr>
        <w:t>waste.</w:t>
      </w:r>
    </w:p>
    <w:p w:rsidR="0002707F" w:rsidRDefault="0002707F" w:rsidP="0002707F">
      <w:pPr>
        <w:pStyle w:val="NormalWeb"/>
        <w:spacing w:before="240" w:beforeAutospacing="0" w:after="240" w:afterAutospacing="0"/>
      </w:pPr>
      <w:r w:rsidRPr="00B32350">
        <w:t xml:space="preserve">The collection and combustion of methane from legacy waste in landfills involves </w:t>
      </w:r>
      <w:r w:rsidR="00DB6737">
        <w:t xml:space="preserve">the installation and </w:t>
      </w:r>
      <w:r>
        <w:t>us</w:t>
      </w:r>
      <w:r w:rsidR="00DB6737">
        <w:t>e of</w:t>
      </w:r>
      <w:r>
        <w:t xml:space="preserve"> </w:t>
      </w:r>
      <w:r w:rsidRPr="00B32350">
        <w:t>a landfill gas extraction system to capture and combust methane</w:t>
      </w:r>
      <w:r>
        <w:t xml:space="preserve"> </w:t>
      </w:r>
      <w:r w:rsidRPr="00B32350">
        <w:t xml:space="preserve">produced by the anaerobic decomposition of organic matter in the waste </w:t>
      </w:r>
      <w:r w:rsidR="00DB6737">
        <w:t>that</w:t>
      </w:r>
      <w:r w:rsidRPr="00B32350">
        <w:t xml:space="preserve"> in the absence of any abatement </w:t>
      </w:r>
      <w:r w:rsidR="00CB46F7">
        <w:t xml:space="preserve">activity </w:t>
      </w:r>
      <w:r w:rsidRPr="00B32350">
        <w:t xml:space="preserve">is emitted to the atmosphere.  </w:t>
      </w:r>
    </w:p>
    <w:p w:rsidR="0002707F" w:rsidRDefault="0002707F" w:rsidP="0002707F">
      <w:pPr>
        <w:pStyle w:val="NormalWeb"/>
        <w:spacing w:before="240" w:beforeAutospacing="0" w:after="240" w:afterAutospacing="0"/>
      </w:pPr>
      <w:r w:rsidRPr="00F737D7">
        <w:t xml:space="preserve">Under the </w:t>
      </w:r>
      <w:r>
        <w:t>M</w:t>
      </w:r>
      <w:r w:rsidRPr="00F737D7">
        <w:t xml:space="preserve">ethodology </w:t>
      </w:r>
      <w:r>
        <w:t>D</w:t>
      </w:r>
      <w:r w:rsidRPr="00F737D7">
        <w:t xml:space="preserve">etermination, </w:t>
      </w:r>
      <w:r w:rsidR="00CB46F7">
        <w:t xml:space="preserve">the </w:t>
      </w:r>
      <w:r w:rsidRPr="00F737D7">
        <w:t xml:space="preserve">abatement </w:t>
      </w:r>
      <w:r w:rsidR="00CB46F7">
        <w:t xml:space="preserve">amount </w:t>
      </w:r>
      <w:r w:rsidRPr="00F737D7">
        <w:t xml:space="preserve">is derived from the amount of methane captured and destroyed that is in addition to any methane </w:t>
      </w:r>
      <w:r w:rsidR="00DB6737">
        <w:t xml:space="preserve">that must be </w:t>
      </w:r>
      <w:r w:rsidRPr="00F737D7">
        <w:t xml:space="preserve">captured and combusted </w:t>
      </w:r>
      <w:r w:rsidR="00DB6737">
        <w:t xml:space="preserve">to meet </w:t>
      </w:r>
      <w:r w:rsidRPr="00F737D7">
        <w:t xml:space="preserve">regulatory requirements. </w:t>
      </w:r>
    </w:p>
    <w:p w:rsidR="0002707F" w:rsidRDefault="0002707F" w:rsidP="0002707F">
      <w:pPr>
        <w:pStyle w:val="NormalWeb"/>
        <w:spacing w:before="240" w:beforeAutospacing="0" w:after="240" w:afterAutospacing="0"/>
      </w:pPr>
      <w:r w:rsidRPr="00F737D7">
        <w:t xml:space="preserve">Project proponents wanting to implement the Methodology Determination must make an application to the </w:t>
      </w:r>
      <w:r>
        <w:t xml:space="preserve">Clean Energy Regulator (the Regulator) </w:t>
      </w:r>
      <w:r w:rsidRPr="00F737D7">
        <w:t>and meet the eligibility requirements for an offsets project set out in subsection 27</w:t>
      </w:r>
      <w:r>
        <w:t xml:space="preserve"> </w:t>
      </w:r>
      <w:r w:rsidRPr="00F737D7">
        <w:t>(4) of the Act. These requirements include compliance with the</w:t>
      </w:r>
      <w:r w:rsidRPr="00B32350">
        <w:t xml:space="preserve"> rules</w:t>
      </w:r>
      <w:r w:rsidRPr="00F737D7">
        <w:t xml:space="preserve"> set out in the Methodology Determination.   </w:t>
      </w:r>
    </w:p>
    <w:p w:rsidR="00E57FD7" w:rsidRDefault="0002707F" w:rsidP="00E57FD7">
      <w:pPr>
        <w:pStyle w:val="NormalWeb"/>
        <w:spacing w:before="240" w:beforeAutospacing="0" w:after="240" w:afterAutospacing="0"/>
      </w:pPr>
      <w:r w:rsidRPr="00F737D7">
        <w:t xml:space="preserve">Offsets projects that are undertaken in accordance with the Methodology Determination and approved by the </w:t>
      </w:r>
      <w:r>
        <w:t>Regulator</w:t>
      </w:r>
      <w:r w:rsidRPr="00F737D7">
        <w:t xml:space="preserve"> can generate Australian </w:t>
      </w:r>
      <w:r w:rsidR="003C70AD">
        <w:t>c</w:t>
      </w:r>
      <w:r w:rsidR="003C70AD" w:rsidRPr="00F737D7">
        <w:t xml:space="preserve">arbon </w:t>
      </w:r>
      <w:r w:rsidR="003C70AD">
        <w:t>c</w:t>
      </w:r>
      <w:r w:rsidR="003C70AD" w:rsidRPr="00F737D7">
        <w:t xml:space="preserve">redit </w:t>
      </w:r>
      <w:r w:rsidR="003C70AD">
        <w:t>u</w:t>
      </w:r>
      <w:r w:rsidR="003C70AD" w:rsidRPr="00F737D7">
        <w:t>nits</w:t>
      </w:r>
      <w:r w:rsidRPr="00F737D7">
        <w:t xml:space="preserve">.  </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lastRenderedPageBreak/>
        <w:t>Public Consultation</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The methodology </w:t>
      </w:r>
      <w:r>
        <w:rPr>
          <w:rFonts w:ascii="Times New Roman" w:hAnsi="Times New Roman"/>
          <w:sz w:val="24"/>
          <w:szCs w:val="24"/>
        </w:rPr>
        <w:t xml:space="preserve">proposal </w:t>
      </w:r>
      <w:r w:rsidRPr="00F737D7">
        <w:rPr>
          <w:rFonts w:ascii="Times New Roman" w:hAnsi="Times New Roman"/>
          <w:sz w:val="24"/>
          <w:szCs w:val="24"/>
        </w:rPr>
        <w:t>was developed in collaboration with a technical working group made up of representatives from the industry and local and state government</w:t>
      </w:r>
      <w:r w:rsidR="00CB46F7">
        <w:rPr>
          <w:rFonts w:ascii="Times New Roman" w:hAnsi="Times New Roman"/>
          <w:sz w:val="24"/>
          <w:szCs w:val="24"/>
        </w:rPr>
        <w:t>s</w:t>
      </w:r>
      <w:r w:rsidRPr="00F737D7">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The methodology</w:t>
      </w:r>
      <w:r>
        <w:rPr>
          <w:rFonts w:ascii="Times New Roman" w:hAnsi="Times New Roman"/>
          <w:sz w:val="24"/>
          <w:szCs w:val="24"/>
        </w:rPr>
        <w:t xml:space="preserve"> proposal</w:t>
      </w:r>
      <w:r w:rsidRPr="00F737D7">
        <w:rPr>
          <w:rFonts w:ascii="Times New Roman" w:hAnsi="Times New Roman"/>
          <w:sz w:val="24"/>
          <w:szCs w:val="24"/>
        </w:rPr>
        <w:t xml:space="preserve"> was published on the Department</w:t>
      </w:r>
      <w:r>
        <w:rPr>
          <w:rFonts w:ascii="Times New Roman" w:hAnsi="Times New Roman"/>
          <w:sz w:val="24"/>
          <w:szCs w:val="24"/>
        </w:rPr>
        <w:t xml:space="preserve">’s </w:t>
      </w:r>
      <w:r w:rsidRPr="00F737D7">
        <w:rPr>
          <w:rFonts w:ascii="Times New Roman" w:hAnsi="Times New Roman"/>
          <w:sz w:val="24"/>
          <w:szCs w:val="24"/>
        </w:rPr>
        <w:t>website for public consultation from 27 May 2011 to 30 June 2011.  Stakeholders and members of the public who asked to be listed on the mailing list maintained by the Department were notified of the public consultation period. Ten submissions were received.</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The Interim</w:t>
      </w:r>
      <w:r>
        <w:rPr>
          <w:rFonts w:ascii="Times New Roman" w:hAnsi="Times New Roman"/>
          <w:sz w:val="24"/>
          <w:szCs w:val="24"/>
        </w:rPr>
        <w:t xml:space="preserve"> DOIC </w:t>
      </w:r>
      <w:r w:rsidRPr="00F737D7">
        <w:rPr>
          <w:rFonts w:ascii="Times New Roman" w:hAnsi="Times New Roman"/>
          <w:sz w:val="24"/>
          <w:szCs w:val="24"/>
        </w:rPr>
        <w:t xml:space="preserve">considered the issues raised in public submissions during its assessment of the methodology as required under </w:t>
      </w:r>
      <w:r>
        <w:rPr>
          <w:rFonts w:ascii="Times New Roman" w:hAnsi="Times New Roman"/>
          <w:sz w:val="24"/>
          <w:szCs w:val="24"/>
        </w:rPr>
        <w:t xml:space="preserve">subsection 112 (5) of </w:t>
      </w:r>
      <w:r w:rsidRPr="00F737D7">
        <w:rPr>
          <w:rFonts w:ascii="Times New Roman" w:hAnsi="Times New Roman"/>
          <w:sz w:val="24"/>
          <w:szCs w:val="24"/>
        </w:rPr>
        <w:t>the Act.</w:t>
      </w:r>
      <w:r>
        <w:rPr>
          <w:rFonts w:ascii="Times New Roman" w:hAnsi="Times New Roman"/>
          <w:sz w:val="24"/>
          <w:szCs w:val="24"/>
        </w:rPr>
        <w:t xml:space="preserve"> </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Sections 131 and 132 of the Act contain transitional provisions for the consideration of methodologies by the Interim DOIC prior to the commencement of the Act. </w:t>
      </w:r>
    </w:p>
    <w:p w:rsidR="0002707F" w:rsidRDefault="0002707F" w:rsidP="0002707F">
      <w:pPr>
        <w:spacing w:before="240" w:after="240" w:line="240" w:lineRule="auto"/>
        <w:rPr>
          <w:rFonts w:ascii="Courier New" w:eastAsia="Times New Roman" w:hAnsi="Courier New" w:cs="Courier New"/>
          <w:b/>
          <w:sz w:val="20"/>
          <w:szCs w:val="20"/>
          <w:lang w:eastAsia="en-AU"/>
        </w:rPr>
      </w:pPr>
      <w:r w:rsidRPr="009C26DF">
        <w:rPr>
          <w:rFonts w:ascii="Times New Roman" w:hAnsi="Times New Roman"/>
          <w:b/>
          <w:sz w:val="24"/>
          <w:szCs w:val="24"/>
        </w:rPr>
        <w:t>Determination Details</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The Methodology Determination</w:t>
      </w:r>
      <w:r w:rsidRPr="00F737D7">
        <w:rPr>
          <w:rFonts w:ascii="Times New Roman" w:hAnsi="Times New Roman"/>
          <w:i/>
          <w:sz w:val="24"/>
          <w:szCs w:val="24"/>
        </w:rPr>
        <w:t xml:space="preserve"> </w:t>
      </w:r>
      <w:r w:rsidRPr="00F737D7">
        <w:rPr>
          <w:rFonts w:ascii="Times New Roman" w:hAnsi="Times New Roman"/>
          <w:sz w:val="24"/>
          <w:szCs w:val="24"/>
        </w:rPr>
        <w:t xml:space="preserve">is a legislative instrument within the meaning of the </w:t>
      </w:r>
      <w:r w:rsidRPr="00F737D7">
        <w:rPr>
          <w:rFonts w:ascii="Times New Roman" w:hAnsi="Times New Roman"/>
          <w:i/>
          <w:sz w:val="24"/>
          <w:szCs w:val="24"/>
        </w:rPr>
        <w:t>Legislative Instruments Act 200</w:t>
      </w:r>
      <w:r w:rsidRPr="00F737D7">
        <w:rPr>
          <w:rFonts w:ascii="Times New Roman" w:hAnsi="Times New Roman"/>
          <w:sz w:val="24"/>
          <w:szCs w:val="24"/>
        </w:rPr>
        <w:t>3.</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The Methodology Determination </w:t>
      </w:r>
      <w:r w:rsidR="00656B1D">
        <w:rPr>
          <w:rFonts w:ascii="Times New Roman" w:hAnsi="Times New Roman"/>
          <w:sz w:val="24"/>
          <w:szCs w:val="24"/>
        </w:rPr>
        <w:t xml:space="preserve">is taken to have commenced on </w:t>
      </w:r>
      <w:r w:rsidRPr="00F737D7">
        <w:rPr>
          <w:rFonts w:ascii="Times New Roman" w:hAnsi="Times New Roman"/>
          <w:sz w:val="24"/>
          <w:szCs w:val="24"/>
        </w:rPr>
        <w:t xml:space="preserve">1 July 2010. </w:t>
      </w:r>
    </w:p>
    <w:p w:rsidR="0002707F" w:rsidRDefault="0002707F" w:rsidP="0002707F">
      <w:pPr>
        <w:widowControl w:val="0"/>
        <w:autoSpaceDE w:val="0"/>
        <w:autoSpaceDN w:val="0"/>
        <w:adjustRightInd w:val="0"/>
        <w:spacing w:before="240" w:after="240" w:line="240" w:lineRule="auto"/>
        <w:rPr>
          <w:rFonts w:ascii="Times New Roman" w:hAnsi="Times New Roman"/>
          <w:sz w:val="24"/>
          <w:szCs w:val="24"/>
        </w:rPr>
      </w:pPr>
      <w:r>
        <w:rPr>
          <w:rFonts w:ascii="Times New Roman" w:hAnsi="Times New Roman"/>
          <w:sz w:val="24"/>
          <w:szCs w:val="24"/>
        </w:rPr>
        <w:t xml:space="preserve">Subsection 12 (2) of the </w:t>
      </w:r>
      <w:r w:rsidRPr="002A06DA">
        <w:rPr>
          <w:rFonts w:ascii="Times New Roman" w:hAnsi="Times New Roman"/>
          <w:i/>
          <w:sz w:val="24"/>
          <w:szCs w:val="24"/>
        </w:rPr>
        <w:t>Legislative Instruments Act</w:t>
      </w:r>
      <w:r>
        <w:rPr>
          <w:rFonts w:ascii="Times New Roman" w:hAnsi="Times New Roman"/>
          <w:sz w:val="24"/>
          <w:szCs w:val="24"/>
        </w:rPr>
        <w:t xml:space="preserve"> </w:t>
      </w:r>
      <w:r w:rsidR="005E125C" w:rsidRPr="005E125C">
        <w:rPr>
          <w:rFonts w:ascii="Times New Roman" w:hAnsi="Times New Roman"/>
          <w:i/>
          <w:sz w:val="24"/>
          <w:szCs w:val="24"/>
        </w:rPr>
        <w:t>2003</w:t>
      </w:r>
      <w:r>
        <w:rPr>
          <w:rFonts w:ascii="Times New Roman" w:hAnsi="Times New Roman"/>
          <w:sz w:val="24"/>
          <w:szCs w:val="24"/>
        </w:rPr>
        <w:t xml:space="preserve"> provides that, for a legislative instrument to have effect before the date it is registered, it must not adversely affect the rights of </w:t>
      </w:r>
      <w:r w:rsidRPr="00F737D7">
        <w:rPr>
          <w:rFonts w:ascii="Times New Roman" w:eastAsiaTheme="minorHAnsi" w:hAnsi="Times New Roman"/>
          <w:sz w:val="24"/>
          <w:szCs w:val="24"/>
          <w:lang w:val="en-US"/>
        </w:rPr>
        <w:t>a</w:t>
      </w:r>
      <w:r>
        <w:rPr>
          <w:rFonts w:ascii="Times New Roman" w:eastAsiaTheme="minorHAnsi" w:hAnsi="Times New Roman"/>
          <w:sz w:val="24"/>
          <w:szCs w:val="24"/>
          <w:lang w:val="en-US"/>
        </w:rPr>
        <w:t>ny</w:t>
      </w:r>
      <w:r w:rsidRPr="00F737D7">
        <w:rPr>
          <w:rFonts w:ascii="Times New Roman" w:eastAsiaTheme="minorHAnsi" w:hAnsi="Times New Roman"/>
          <w:sz w:val="24"/>
          <w:szCs w:val="24"/>
          <w:lang w:val="en-US"/>
        </w:rPr>
        <w:t xml:space="preserve"> person or impose a liability on a</w:t>
      </w:r>
      <w:r>
        <w:rPr>
          <w:rFonts w:ascii="Times New Roman" w:eastAsiaTheme="minorHAnsi" w:hAnsi="Times New Roman"/>
          <w:sz w:val="24"/>
          <w:szCs w:val="24"/>
          <w:lang w:val="en-US"/>
        </w:rPr>
        <w:t>ny</w:t>
      </w:r>
      <w:r w:rsidRPr="00F737D7">
        <w:rPr>
          <w:rFonts w:ascii="Times New Roman" w:eastAsiaTheme="minorHAnsi" w:hAnsi="Times New Roman"/>
          <w:sz w:val="24"/>
          <w:szCs w:val="24"/>
          <w:lang w:val="en-US"/>
        </w:rPr>
        <w:t xml:space="preserve"> per</w:t>
      </w:r>
      <w:r>
        <w:rPr>
          <w:rFonts w:ascii="Times New Roman" w:eastAsiaTheme="minorHAnsi" w:hAnsi="Times New Roman"/>
          <w:sz w:val="24"/>
          <w:szCs w:val="24"/>
          <w:lang w:val="en-US"/>
        </w:rPr>
        <w:t>son in respect of anything done</w:t>
      </w:r>
      <w:r>
        <w:rPr>
          <w:rFonts w:ascii="Times New Roman" w:hAnsi="Times New Roman"/>
          <w:sz w:val="24"/>
          <w:szCs w:val="24"/>
        </w:rPr>
        <w:t xml:space="preserve"> </w:t>
      </w:r>
      <w:r w:rsidRPr="00F737D7">
        <w:rPr>
          <w:rFonts w:ascii="Times New Roman" w:eastAsiaTheme="minorHAnsi" w:hAnsi="Times New Roman"/>
          <w:sz w:val="24"/>
          <w:szCs w:val="24"/>
          <w:lang w:val="en-US"/>
        </w:rPr>
        <w:t>or not</w:t>
      </w:r>
      <w:r>
        <w:rPr>
          <w:rFonts w:ascii="Times New Roman" w:hAnsi="Times New Roman"/>
          <w:sz w:val="24"/>
          <w:szCs w:val="24"/>
        </w:rPr>
        <w:t xml:space="preserve"> </w:t>
      </w:r>
      <w:r w:rsidRPr="00F737D7">
        <w:rPr>
          <w:rFonts w:ascii="Times New Roman" w:eastAsiaTheme="minorHAnsi" w:hAnsi="Times New Roman"/>
          <w:sz w:val="24"/>
          <w:szCs w:val="24"/>
          <w:lang w:val="en-US"/>
        </w:rPr>
        <w:t>done before the date of registration.</w:t>
      </w:r>
      <w:r>
        <w:rPr>
          <w:rFonts w:ascii="Times New Roman" w:eastAsiaTheme="minorHAnsi" w:hAnsi="Times New Roman"/>
          <w:sz w:val="24"/>
          <w:szCs w:val="24"/>
          <w:lang w:val="en-US"/>
        </w:rPr>
        <w:t xml:space="preserve"> The Methodology Determination does not offend against these requirements. Retrospective application confers a benefit in that it allows persons to apply for and generate Australian </w:t>
      </w:r>
      <w:r w:rsidR="00656B1D">
        <w:rPr>
          <w:rFonts w:ascii="Times New Roman" w:eastAsiaTheme="minorHAnsi" w:hAnsi="Times New Roman"/>
          <w:sz w:val="24"/>
          <w:szCs w:val="24"/>
          <w:lang w:val="en-US"/>
        </w:rPr>
        <w:t>c</w:t>
      </w:r>
      <w:r>
        <w:rPr>
          <w:rFonts w:ascii="Times New Roman" w:eastAsiaTheme="minorHAnsi" w:hAnsi="Times New Roman"/>
          <w:sz w:val="24"/>
          <w:szCs w:val="24"/>
          <w:lang w:val="en-US"/>
        </w:rPr>
        <w:t xml:space="preserve">arbon </w:t>
      </w:r>
      <w:r w:rsidR="00656B1D">
        <w:rPr>
          <w:rFonts w:ascii="Times New Roman" w:eastAsiaTheme="minorHAnsi" w:hAnsi="Times New Roman"/>
          <w:sz w:val="24"/>
          <w:szCs w:val="24"/>
          <w:lang w:val="en-US"/>
        </w:rPr>
        <w:t>c</w:t>
      </w:r>
      <w:r>
        <w:rPr>
          <w:rFonts w:ascii="Times New Roman" w:eastAsiaTheme="minorHAnsi" w:hAnsi="Times New Roman"/>
          <w:sz w:val="24"/>
          <w:szCs w:val="24"/>
          <w:lang w:val="en-US"/>
        </w:rPr>
        <w:t xml:space="preserve">redit </w:t>
      </w:r>
      <w:r w:rsidR="00656B1D">
        <w:rPr>
          <w:rFonts w:ascii="Times New Roman" w:eastAsiaTheme="minorHAnsi" w:hAnsi="Times New Roman"/>
          <w:sz w:val="24"/>
          <w:szCs w:val="24"/>
          <w:lang w:val="en-US"/>
        </w:rPr>
        <w:t>u</w:t>
      </w:r>
      <w:r>
        <w:rPr>
          <w:rFonts w:ascii="Times New Roman" w:eastAsiaTheme="minorHAnsi" w:hAnsi="Times New Roman"/>
          <w:sz w:val="24"/>
          <w:szCs w:val="24"/>
          <w:lang w:val="en-US"/>
        </w:rPr>
        <w:t>nits in circumstances where they would not normally be eligible to apply.</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Details of the Methodology Determination are at </w:t>
      </w:r>
      <w:r w:rsidRPr="00F737D7">
        <w:rPr>
          <w:rFonts w:ascii="Times New Roman" w:hAnsi="Times New Roman"/>
          <w:sz w:val="24"/>
          <w:szCs w:val="24"/>
          <w:u w:val="single"/>
        </w:rPr>
        <w:t>Attachment A</w:t>
      </w:r>
      <w:r>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A Statement of Compatibility prepared in accordance with the </w:t>
      </w:r>
      <w:r w:rsidRPr="00E4135E">
        <w:rPr>
          <w:rFonts w:ascii="Times New Roman" w:hAnsi="Times New Roman"/>
          <w:i/>
          <w:sz w:val="24"/>
          <w:szCs w:val="24"/>
        </w:rPr>
        <w:t>Human Rights (Parliamentary Scrutiny) Act 2011</w:t>
      </w:r>
      <w:r w:rsidRPr="00480D26">
        <w:rPr>
          <w:rFonts w:ascii="Times New Roman" w:hAnsi="Times New Roman"/>
          <w:sz w:val="24"/>
          <w:szCs w:val="24"/>
        </w:rPr>
        <w:t xml:space="preserve"> is at </w:t>
      </w:r>
      <w:r w:rsidRPr="00480D26">
        <w:rPr>
          <w:rFonts w:ascii="Times New Roman" w:hAnsi="Times New Roman"/>
          <w:sz w:val="24"/>
          <w:szCs w:val="24"/>
          <w:u w:val="single"/>
        </w:rPr>
        <w:t>Attachment B</w:t>
      </w:r>
      <w:r w:rsidRPr="00480D26">
        <w:rPr>
          <w:rFonts w:ascii="Times New Roman" w:hAnsi="Times New Roman"/>
          <w:sz w:val="24"/>
          <w:szCs w:val="24"/>
        </w:rPr>
        <w:t>.</w:t>
      </w:r>
      <w:r w:rsidRPr="00F737D7">
        <w:rPr>
          <w:rFonts w:ascii="Times New Roman" w:hAnsi="Times New Roman"/>
          <w:sz w:val="24"/>
          <w:szCs w:val="24"/>
        </w:rPr>
        <w:br w:type="page"/>
      </w:r>
    </w:p>
    <w:p w:rsidR="0002707F" w:rsidRDefault="0002707F" w:rsidP="0002707F">
      <w:pPr>
        <w:pStyle w:val="Footer"/>
        <w:spacing w:before="240" w:after="240"/>
        <w:jc w:val="right"/>
        <w:rPr>
          <w:rFonts w:ascii="Times New Roman" w:hAnsi="Times New Roman"/>
          <w:sz w:val="24"/>
          <w:szCs w:val="24"/>
          <w:u w:val="single"/>
        </w:rPr>
      </w:pPr>
      <w:r w:rsidRPr="003D7383">
        <w:rPr>
          <w:rFonts w:ascii="Times New Roman" w:hAnsi="Times New Roman"/>
          <w:sz w:val="24"/>
          <w:szCs w:val="24"/>
          <w:u w:val="single"/>
        </w:rPr>
        <w:t>Attachment A</w:t>
      </w:r>
    </w:p>
    <w:p w:rsidR="0002707F" w:rsidRDefault="0002707F" w:rsidP="0002707F">
      <w:pPr>
        <w:pStyle w:val="Footer"/>
        <w:spacing w:before="240" w:after="240"/>
        <w:jc w:val="center"/>
        <w:rPr>
          <w:rFonts w:ascii="Times New Roman" w:hAnsi="Times New Roman"/>
          <w:b/>
          <w:sz w:val="24"/>
          <w:szCs w:val="24"/>
        </w:rPr>
      </w:pPr>
      <w:r w:rsidRPr="003D7383">
        <w:rPr>
          <w:rFonts w:ascii="Times New Roman" w:hAnsi="Times New Roman"/>
          <w:b/>
          <w:sz w:val="24"/>
          <w:szCs w:val="24"/>
        </w:rPr>
        <w:t>Details of the Methodology Determination</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 xml:space="preserve">Part 1 </w:t>
      </w:r>
      <w:r w:rsidRPr="00F737D7">
        <w:rPr>
          <w:rFonts w:ascii="Times New Roman" w:hAnsi="Times New Roman"/>
          <w:b/>
          <w:sz w:val="24"/>
          <w:szCs w:val="24"/>
        </w:rPr>
        <w:tab/>
      </w:r>
      <w:r w:rsidRPr="00F737D7">
        <w:rPr>
          <w:rFonts w:ascii="Times New Roman" w:hAnsi="Times New Roman"/>
          <w:b/>
          <w:sz w:val="24"/>
          <w:szCs w:val="24"/>
        </w:rPr>
        <w:tab/>
        <w:t>Preliminary</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1.1</w:t>
      </w:r>
      <w:r w:rsidRPr="00F737D7">
        <w:rPr>
          <w:rFonts w:ascii="Times New Roman" w:hAnsi="Times New Roman"/>
          <w:sz w:val="24"/>
          <w:szCs w:val="24"/>
          <w:u w:val="single"/>
        </w:rPr>
        <w:tab/>
        <w:t xml:space="preserve">Name of </w:t>
      </w:r>
      <w:r w:rsidR="00482833">
        <w:rPr>
          <w:rFonts w:ascii="Times New Roman" w:hAnsi="Times New Roman"/>
          <w:sz w:val="24"/>
          <w:szCs w:val="24"/>
          <w:u w:val="single"/>
        </w:rPr>
        <w:t>Methodology Determination</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provides that the name of the Methodology Determination is the </w:t>
      </w:r>
      <w:r w:rsidRPr="00F737D7">
        <w:rPr>
          <w:rFonts w:ascii="Times New Roman" w:hAnsi="Times New Roman"/>
          <w:i/>
          <w:sz w:val="24"/>
          <w:szCs w:val="24"/>
        </w:rPr>
        <w:t>Carbon Farming</w:t>
      </w:r>
      <w:r w:rsidRPr="00F737D7">
        <w:rPr>
          <w:rFonts w:ascii="Times New Roman" w:hAnsi="Times New Roman"/>
          <w:sz w:val="24"/>
          <w:szCs w:val="24"/>
        </w:rPr>
        <w:t xml:space="preserve"> (</w:t>
      </w:r>
      <w:r w:rsidRPr="00F737D7">
        <w:rPr>
          <w:rFonts w:ascii="Times New Roman" w:hAnsi="Times New Roman"/>
          <w:i/>
          <w:sz w:val="24"/>
          <w:szCs w:val="24"/>
        </w:rPr>
        <w:t xml:space="preserve">Capture and Combustion of Methane </w:t>
      </w:r>
      <w:r>
        <w:rPr>
          <w:rFonts w:ascii="Times New Roman" w:hAnsi="Times New Roman"/>
          <w:i/>
          <w:sz w:val="24"/>
          <w:szCs w:val="24"/>
        </w:rPr>
        <w:t>in</w:t>
      </w:r>
      <w:r w:rsidRPr="00F737D7">
        <w:rPr>
          <w:rFonts w:ascii="Times New Roman" w:hAnsi="Times New Roman"/>
          <w:i/>
          <w:sz w:val="24"/>
          <w:szCs w:val="24"/>
        </w:rPr>
        <w:t xml:space="preserve"> Landfill Gas </w:t>
      </w:r>
      <w:r>
        <w:rPr>
          <w:rFonts w:ascii="Times New Roman" w:hAnsi="Times New Roman"/>
          <w:i/>
          <w:sz w:val="24"/>
          <w:szCs w:val="24"/>
        </w:rPr>
        <w:t xml:space="preserve">from </w:t>
      </w:r>
      <w:r w:rsidRPr="00F737D7">
        <w:rPr>
          <w:rFonts w:ascii="Times New Roman" w:hAnsi="Times New Roman"/>
          <w:i/>
          <w:sz w:val="24"/>
          <w:szCs w:val="24"/>
        </w:rPr>
        <w:t>Legacy Waste) Methodology Determination 2012</w:t>
      </w:r>
      <w:r w:rsidRPr="00F737D7">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1.2</w:t>
      </w:r>
      <w:r w:rsidRPr="00F737D7">
        <w:rPr>
          <w:rFonts w:ascii="Times New Roman" w:hAnsi="Times New Roman"/>
          <w:sz w:val="24"/>
          <w:szCs w:val="24"/>
          <w:u w:val="single"/>
        </w:rPr>
        <w:tab/>
        <w:t>Commencement</w:t>
      </w:r>
    </w:p>
    <w:p w:rsidR="0002707F" w:rsidRDefault="0002707F" w:rsidP="0002707F">
      <w:pPr>
        <w:keepNext/>
        <w:keepLines/>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provides that the Methodology Determination </w:t>
      </w:r>
      <w:r w:rsidR="00656B1D">
        <w:rPr>
          <w:rFonts w:ascii="Times New Roman" w:hAnsi="Times New Roman"/>
          <w:sz w:val="24"/>
          <w:szCs w:val="24"/>
        </w:rPr>
        <w:t xml:space="preserve">is taken to have </w:t>
      </w:r>
      <w:r w:rsidRPr="00F737D7">
        <w:rPr>
          <w:rFonts w:ascii="Times New Roman" w:hAnsi="Times New Roman"/>
          <w:sz w:val="24"/>
          <w:szCs w:val="24"/>
        </w:rPr>
        <w:t>commence</w:t>
      </w:r>
      <w:r w:rsidR="00656B1D">
        <w:rPr>
          <w:rFonts w:ascii="Times New Roman" w:hAnsi="Times New Roman"/>
          <w:sz w:val="24"/>
          <w:szCs w:val="24"/>
        </w:rPr>
        <w:t>d</w:t>
      </w:r>
      <w:r w:rsidRPr="00F737D7">
        <w:rPr>
          <w:rFonts w:ascii="Times New Roman" w:hAnsi="Times New Roman"/>
          <w:sz w:val="24"/>
          <w:szCs w:val="24"/>
        </w:rPr>
        <w:t xml:space="preserve"> </w:t>
      </w:r>
      <w:r w:rsidR="00656B1D">
        <w:rPr>
          <w:rFonts w:ascii="Times New Roman" w:hAnsi="Times New Roman"/>
          <w:sz w:val="24"/>
          <w:szCs w:val="24"/>
        </w:rPr>
        <w:t>on</w:t>
      </w:r>
      <w:r w:rsidRPr="00F737D7">
        <w:rPr>
          <w:rFonts w:ascii="Times New Roman" w:hAnsi="Times New Roman"/>
          <w:sz w:val="24"/>
          <w:szCs w:val="24"/>
        </w:rPr>
        <w:t xml:space="preserve"> 1</w:t>
      </w:r>
      <w:r>
        <w:rPr>
          <w:rFonts w:ascii="Times New Roman" w:hAnsi="Times New Roman"/>
          <w:sz w:val="24"/>
          <w:szCs w:val="24"/>
        </w:rPr>
        <w:t> </w:t>
      </w:r>
      <w:r w:rsidRPr="00F737D7">
        <w:rPr>
          <w:rFonts w:ascii="Times New Roman" w:hAnsi="Times New Roman"/>
          <w:sz w:val="24"/>
          <w:szCs w:val="24"/>
        </w:rPr>
        <w:t xml:space="preserve">July 2010. </w:t>
      </w:r>
    </w:p>
    <w:p w:rsidR="0002707F" w:rsidRDefault="0002707F" w:rsidP="0002707F">
      <w:pPr>
        <w:autoSpaceDE w:val="0"/>
        <w:autoSpaceDN w:val="0"/>
        <w:adjustRightInd w:val="0"/>
        <w:spacing w:before="240" w:after="240" w:line="240" w:lineRule="auto"/>
        <w:rPr>
          <w:rFonts w:ascii="Times New Roman" w:eastAsiaTheme="minorHAnsi" w:hAnsi="Times New Roman"/>
          <w:sz w:val="24"/>
          <w:szCs w:val="24"/>
        </w:rPr>
      </w:pPr>
      <w:r w:rsidRPr="00F81F9D">
        <w:rPr>
          <w:rFonts w:ascii="Times New Roman" w:hAnsi="Times New Roman"/>
          <w:sz w:val="24"/>
          <w:szCs w:val="24"/>
        </w:rPr>
        <w:t>Subsection 122</w:t>
      </w:r>
      <w:r>
        <w:rPr>
          <w:rFonts w:ascii="Times New Roman" w:hAnsi="Times New Roman"/>
          <w:sz w:val="24"/>
          <w:szCs w:val="24"/>
        </w:rPr>
        <w:t xml:space="preserve"> </w:t>
      </w:r>
      <w:r w:rsidRPr="00F81F9D">
        <w:rPr>
          <w:rFonts w:ascii="Times New Roman" w:hAnsi="Times New Roman"/>
          <w:sz w:val="24"/>
          <w:szCs w:val="24"/>
        </w:rPr>
        <w:t xml:space="preserve">(3) of the Act provides that </w:t>
      </w:r>
      <w:r w:rsidRPr="00F81F9D">
        <w:rPr>
          <w:rFonts w:ascii="Times New Roman" w:eastAsiaTheme="minorHAnsi" w:hAnsi="Times New Roman"/>
          <w:sz w:val="24"/>
          <w:szCs w:val="24"/>
        </w:rPr>
        <w:t>if a methodology determination is made on or before 30 June 201</w:t>
      </w:r>
      <w:r w:rsidR="00A23AB9">
        <w:rPr>
          <w:rFonts w:ascii="Times New Roman" w:eastAsiaTheme="minorHAnsi" w:hAnsi="Times New Roman"/>
          <w:sz w:val="24"/>
          <w:szCs w:val="24"/>
        </w:rPr>
        <w:t xml:space="preserve">3 and an application for </w:t>
      </w:r>
      <w:r w:rsidR="0042310A">
        <w:rPr>
          <w:rFonts w:ascii="Times New Roman" w:eastAsiaTheme="minorHAnsi" w:hAnsi="Times New Roman"/>
          <w:sz w:val="24"/>
          <w:szCs w:val="24"/>
        </w:rPr>
        <w:t xml:space="preserve">endorsement of a proposal for </w:t>
      </w:r>
      <w:r w:rsidR="00A23AB9">
        <w:rPr>
          <w:rFonts w:ascii="Times New Roman" w:eastAsiaTheme="minorHAnsi" w:hAnsi="Times New Roman"/>
          <w:sz w:val="24"/>
          <w:szCs w:val="24"/>
        </w:rPr>
        <w:t>the determination was submitted to the DOIC by 30 June 2012</w:t>
      </w:r>
      <w:r w:rsidRPr="00F81F9D">
        <w:rPr>
          <w:rFonts w:ascii="Times New Roman" w:eastAsiaTheme="minorHAnsi" w:hAnsi="Times New Roman"/>
          <w:sz w:val="24"/>
          <w:szCs w:val="24"/>
        </w:rPr>
        <w:t xml:space="preserve">, the determination may be expressed to have come into force </w:t>
      </w:r>
      <w:r>
        <w:rPr>
          <w:rFonts w:ascii="Times New Roman" w:eastAsiaTheme="minorHAnsi" w:hAnsi="Times New Roman"/>
          <w:sz w:val="24"/>
          <w:szCs w:val="24"/>
        </w:rPr>
        <w:t>on</w:t>
      </w:r>
      <w:r w:rsidRPr="00F81F9D">
        <w:rPr>
          <w:rFonts w:ascii="Times New Roman" w:eastAsiaTheme="minorHAnsi" w:hAnsi="Times New Roman"/>
          <w:sz w:val="24"/>
          <w:szCs w:val="24"/>
        </w:rPr>
        <w:t xml:space="preserve"> 1</w:t>
      </w:r>
      <w:r>
        <w:rPr>
          <w:rFonts w:ascii="Times New Roman" w:eastAsiaTheme="minorHAnsi" w:hAnsi="Times New Roman"/>
          <w:sz w:val="24"/>
          <w:szCs w:val="24"/>
        </w:rPr>
        <w:t> </w:t>
      </w:r>
      <w:r w:rsidRPr="00F81F9D">
        <w:rPr>
          <w:rFonts w:ascii="Times New Roman" w:eastAsiaTheme="minorHAnsi" w:hAnsi="Times New Roman"/>
          <w:sz w:val="24"/>
          <w:szCs w:val="24"/>
        </w:rPr>
        <w:t>July</w:t>
      </w:r>
      <w:r>
        <w:rPr>
          <w:rFonts w:ascii="Times New Roman" w:eastAsiaTheme="minorHAnsi" w:hAnsi="Times New Roman"/>
          <w:sz w:val="24"/>
          <w:szCs w:val="24"/>
        </w:rPr>
        <w:t> </w:t>
      </w:r>
      <w:r w:rsidRPr="00F81F9D">
        <w:rPr>
          <w:rFonts w:ascii="Times New Roman" w:eastAsiaTheme="minorHAnsi" w:hAnsi="Times New Roman"/>
          <w:sz w:val="24"/>
          <w:szCs w:val="24"/>
        </w:rPr>
        <w:t>2010.</w:t>
      </w:r>
    </w:p>
    <w:p w:rsidR="0002707F" w:rsidRDefault="0002707F" w:rsidP="0002707F">
      <w:pPr>
        <w:spacing w:before="240" w:after="240" w:line="240" w:lineRule="auto"/>
        <w:rPr>
          <w:rFonts w:ascii="Times New Roman" w:hAnsi="Times New Roman"/>
          <w:sz w:val="24"/>
          <w:szCs w:val="24"/>
          <w:u w:val="single"/>
        </w:rPr>
      </w:pPr>
      <w:bookmarkStart w:id="0" w:name="_GoBack"/>
      <w:bookmarkEnd w:id="0"/>
      <w:r w:rsidRPr="00F737D7">
        <w:rPr>
          <w:rFonts w:ascii="Times New Roman" w:hAnsi="Times New Roman"/>
          <w:sz w:val="24"/>
          <w:szCs w:val="24"/>
          <w:u w:val="single"/>
        </w:rPr>
        <w:t>1.3.</w:t>
      </w:r>
      <w:r w:rsidRPr="00F737D7">
        <w:rPr>
          <w:rFonts w:ascii="Times New Roman" w:hAnsi="Times New Roman"/>
          <w:sz w:val="24"/>
          <w:szCs w:val="24"/>
          <w:u w:val="single"/>
        </w:rPr>
        <w:tab/>
        <w:t xml:space="preserve">Application </w:t>
      </w:r>
    </w:p>
    <w:p w:rsidR="008114E3" w:rsidRDefault="008114E3" w:rsidP="0002707F">
      <w:pPr>
        <w:spacing w:before="240" w:after="240" w:line="240" w:lineRule="auto"/>
        <w:rPr>
          <w:rFonts w:ascii="Times New Roman" w:hAnsi="Times New Roman"/>
          <w:sz w:val="24"/>
          <w:szCs w:val="24"/>
        </w:rPr>
      </w:pPr>
      <w:r>
        <w:rPr>
          <w:rFonts w:ascii="Times New Roman" w:hAnsi="Times New Roman"/>
          <w:sz w:val="24"/>
          <w:szCs w:val="24"/>
        </w:rPr>
        <w:t xml:space="preserve">This section sets out the types of landfill legacy emissions avoidance projects to which the Methodology Determination applies.  </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The effect of p</w:t>
      </w:r>
      <w:r w:rsidRPr="00F737D7">
        <w:rPr>
          <w:rFonts w:ascii="Times New Roman" w:hAnsi="Times New Roman"/>
          <w:sz w:val="24"/>
          <w:szCs w:val="24"/>
        </w:rPr>
        <w:t>aragraph 106</w:t>
      </w:r>
      <w:r>
        <w:rPr>
          <w:rFonts w:ascii="Times New Roman" w:hAnsi="Times New Roman"/>
          <w:sz w:val="24"/>
          <w:szCs w:val="24"/>
        </w:rPr>
        <w:t xml:space="preserve"> </w:t>
      </w:r>
      <w:r w:rsidRPr="00F737D7">
        <w:rPr>
          <w:rFonts w:ascii="Times New Roman" w:hAnsi="Times New Roman"/>
          <w:sz w:val="24"/>
          <w:szCs w:val="24"/>
        </w:rPr>
        <w:t>(1)</w:t>
      </w:r>
      <w:r>
        <w:rPr>
          <w:rFonts w:ascii="Times New Roman" w:hAnsi="Times New Roman"/>
          <w:sz w:val="24"/>
          <w:szCs w:val="24"/>
        </w:rPr>
        <w:t xml:space="preserve"> </w:t>
      </w:r>
      <w:r w:rsidRPr="00F737D7">
        <w:rPr>
          <w:rFonts w:ascii="Times New Roman" w:hAnsi="Times New Roman"/>
          <w:sz w:val="24"/>
          <w:szCs w:val="24"/>
        </w:rPr>
        <w:t xml:space="preserve">(a) of the Act </w:t>
      </w:r>
      <w:r>
        <w:rPr>
          <w:rFonts w:ascii="Times New Roman" w:hAnsi="Times New Roman"/>
          <w:sz w:val="24"/>
          <w:szCs w:val="24"/>
        </w:rPr>
        <w:t>i</w:t>
      </w:r>
      <w:r w:rsidRPr="00F737D7">
        <w:rPr>
          <w:rFonts w:ascii="Times New Roman" w:hAnsi="Times New Roman"/>
          <w:sz w:val="24"/>
          <w:szCs w:val="24"/>
        </w:rPr>
        <w:t xml:space="preserve">s that a </w:t>
      </w:r>
      <w:r w:rsidR="00A822BE">
        <w:rPr>
          <w:rFonts w:ascii="Times New Roman" w:hAnsi="Times New Roman"/>
          <w:sz w:val="24"/>
          <w:szCs w:val="24"/>
        </w:rPr>
        <w:t>m</w:t>
      </w:r>
      <w:r w:rsidRPr="00F737D7">
        <w:rPr>
          <w:rFonts w:ascii="Times New Roman" w:hAnsi="Times New Roman"/>
          <w:sz w:val="24"/>
          <w:szCs w:val="24"/>
        </w:rPr>
        <w:t xml:space="preserve">ethodology </w:t>
      </w:r>
      <w:r w:rsidR="00A822BE">
        <w:rPr>
          <w:rFonts w:ascii="Times New Roman" w:hAnsi="Times New Roman"/>
          <w:sz w:val="24"/>
          <w:szCs w:val="24"/>
        </w:rPr>
        <w:t>d</w:t>
      </w:r>
      <w:r w:rsidRPr="00F737D7">
        <w:rPr>
          <w:rFonts w:ascii="Times New Roman" w:hAnsi="Times New Roman"/>
          <w:sz w:val="24"/>
          <w:szCs w:val="24"/>
        </w:rPr>
        <w:t xml:space="preserve">etermination must be expressed to apply to a specific kind of offsets project.  </w:t>
      </w:r>
      <w:r>
        <w:rPr>
          <w:rFonts w:ascii="Times New Roman" w:hAnsi="Times New Roman"/>
          <w:sz w:val="24"/>
          <w:szCs w:val="24"/>
        </w:rPr>
        <w:t xml:space="preserve">This section of the </w:t>
      </w:r>
      <w:r w:rsidRPr="00F737D7">
        <w:rPr>
          <w:rFonts w:ascii="Times New Roman" w:hAnsi="Times New Roman"/>
          <w:sz w:val="24"/>
          <w:szCs w:val="24"/>
        </w:rPr>
        <w:t xml:space="preserve">Methodology Determination explains that the instrument applies to </w:t>
      </w:r>
      <w:r w:rsidR="00656B1D">
        <w:rPr>
          <w:rFonts w:ascii="Times New Roman" w:hAnsi="Times New Roman"/>
          <w:sz w:val="24"/>
          <w:szCs w:val="24"/>
        </w:rPr>
        <w:t xml:space="preserve">certain types of </w:t>
      </w:r>
      <w:r>
        <w:rPr>
          <w:rFonts w:ascii="Times New Roman" w:hAnsi="Times New Roman"/>
          <w:sz w:val="24"/>
          <w:szCs w:val="24"/>
        </w:rPr>
        <w:t>landfill legacy emissions avoidance project</w:t>
      </w:r>
      <w:r w:rsidR="00831D8A">
        <w:rPr>
          <w:rFonts w:ascii="Times New Roman" w:hAnsi="Times New Roman"/>
          <w:sz w:val="24"/>
          <w:szCs w:val="24"/>
        </w:rPr>
        <w:t>s</w:t>
      </w:r>
      <w:r w:rsidR="00656B1D">
        <w:rPr>
          <w:rFonts w:ascii="Times New Roman" w:hAnsi="Times New Roman"/>
          <w:sz w:val="24"/>
          <w:szCs w:val="24"/>
        </w:rPr>
        <w:t>, namely,</w:t>
      </w:r>
      <w:r w:rsidR="00831D8A">
        <w:rPr>
          <w:rFonts w:ascii="Times New Roman" w:hAnsi="Times New Roman"/>
          <w:sz w:val="24"/>
          <w:szCs w:val="24"/>
        </w:rPr>
        <w:t xml:space="preserve"> projects transitioning from the New South Wales </w:t>
      </w:r>
      <w:r w:rsidR="00A23AB9">
        <w:rPr>
          <w:rFonts w:ascii="Times New Roman" w:hAnsi="Times New Roman"/>
          <w:sz w:val="24"/>
          <w:szCs w:val="24"/>
        </w:rPr>
        <w:t xml:space="preserve">Government’s Greenhouse Gas Reduction Scheme and the Australian Capital Territory Government’s </w:t>
      </w:r>
      <w:r w:rsidR="00831D8A">
        <w:rPr>
          <w:rFonts w:ascii="Times New Roman" w:hAnsi="Times New Roman"/>
          <w:sz w:val="24"/>
          <w:szCs w:val="24"/>
        </w:rPr>
        <w:t xml:space="preserve">Greenhouse Gas Abatement Scheme </w:t>
      </w:r>
      <w:r w:rsidR="00A23AB9">
        <w:rPr>
          <w:rFonts w:ascii="Times New Roman" w:hAnsi="Times New Roman"/>
          <w:sz w:val="24"/>
          <w:szCs w:val="24"/>
        </w:rPr>
        <w:t xml:space="preserve">(GGAS), </w:t>
      </w:r>
      <w:r w:rsidR="00280F08">
        <w:rPr>
          <w:rFonts w:ascii="Times New Roman" w:hAnsi="Times New Roman"/>
          <w:sz w:val="24"/>
          <w:szCs w:val="24"/>
        </w:rPr>
        <w:t>projects transitioning from</w:t>
      </w:r>
      <w:r w:rsidR="00831D8A">
        <w:rPr>
          <w:rFonts w:ascii="Times New Roman" w:hAnsi="Times New Roman"/>
          <w:sz w:val="24"/>
          <w:szCs w:val="24"/>
        </w:rPr>
        <w:t xml:space="preserve"> Greenhouse Friendly, </w:t>
      </w:r>
      <w:r w:rsidR="00280F08">
        <w:rPr>
          <w:rFonts w:ascii="Times New Roman" w:hAnsi="Times New Roman"/>
          <w:sz w:val="24"/>
          <w:szCs w:val="24"/>
        </w:rPr>
        <w:t xml:space="preserve">and </w:t>
      </w:r>
      <w:r w:rsidR="00831D8A">
        <w:rPr>
          <w:rFonts w:ascii="Times New Roman" w:hAnsi="Times New Roman"/>
          <w:sz w:val="24"/>
          <w:szCs w:val="24"/>
        </w:rPr>
        <w:t>projects</w:t>
      </w:r>
      <w:r>
        <w:rPr>
          <w:rFonts w:ascii="Times New Roman" w:hAnsi="Times New Roman"/>
          <w:sz w:val="24"/>
          <w:szCs w:val="24"/>
        </w:rPr>
        <w:t xml:space="preserve"> </w:t>
      </w:r>
      <w:r w:rsidR="00DB6737">
        <w:rPr>
          <w:rFonts w:ascii="Times New Roman" w:hAnsi="Times New Roman"/>
          <w:sz w:val="24"/>
          <w:szCs w:val="24"/>
        </w:rPr>
        <w:t xml:space="preserve">that </w:t>
      </w:r>
      <w:r>
        <w:rPr>
          <w:rFonts w:ascii="Times New Roman" w:hAnsi="Times New Roman"/>
          <w:sz w:val="24"/>
          <w:szCs w:val="24"/>
        </w:rPr>
        <w:t>involv</w:t>
      </w:r>
      <w:r w:rsidR="00DB6737">
        <w:rPr>
          <w:rFonts w:ascii="Times New Roman" w:hAnsi="Times New Roman"/>
          <w:sz w:val="24"/>
          <w:szCs w:val="24"/>
        </w:rPr>
        <w:t>e</w:t>
      </w:r>
      <w:r>
        <w:rPr>
          <w:rFonts w:ascii="Times New Roman" w:hAnsi="Times New Roman"/>
          <w:sz w:val="24"/>
          <w:szCs w:val="24"/>
        </w:rPr>
        <w:t xml:space="preserve"> </w:t>
      </w:r>
      <w:r w:rsidRPr="00F737D7">
        <w:rPr>
          <w:rFonts w:ascii="Times New Roman" w:hAnsi="Times New Roman"/>
          <w:sz w:val="24"/>
          <w:szCs w:val="24"/>
        </w:rPr>
        <w:t xml:space="preserve">the </w:t>
      </w:r>
      <w:r w:rsidR="00DB6737">
        <w:rPr>
          <w:rFonts w:ascii="Times New Roman" w:hAnsi="Times New Roman"/>
          <w:sz w:val="24"/>
          <w:szCs w:val="24"/>
        </w:rPr>
        <w:t xml:space="preserve">installation and </w:t>
      </w:r>
      <w:r w:rsidRPr="00F737D7">
        <w:rPr>
          <w:rFonts w:ascii="Times New Roman" w:hAnsi="Times New Roman"/>
          <w:sz w:val="24"/>
          <w:szCs w:val="24"/>
        </w:rPr>
        <w:t>us</w:t>
      </w:r>
      <w:r w:rsidR="00DB6737">
        <w:rPr>
          <w:rFonts w:ascii="Times New Roman" w:hAnsi="Times New Roman"/>
          <w:sz w:val="24"/>
          <w:szCs w:val="24"/>
        </w:rPr>
        <w:t>e</w:t>
      </w:r>
      <w:r w:rsidR="00280F08">
        <w:rPr>
          <w:rFonts w:ascii="Times New Roman" w:hAnsi="Times New Roman"/>
          <w:sz w:val="24"/>
          <w:szCs w:val="24"/>
        </w:rPr>
        <w:t>, on or after 1 July 2010,</w:t>
      </w:r>
      <w:r w:rsidR="00DB6737">
        <w:rPr>
          <w:rFonts w:ascii="Times New Roman" w:hAnsi="Times New Roman"/>
          <w:sz w:val="24"/>
          <w:szCs w:val="24"/>
        </w:rPr>
        <w:t xml:space="preserve"> of</w:t>
      </w:r>
      <w:r w:rsidRPr="00F737D7">
        <w:rPr>
          <w:rFonts w:ascii="Times New Roman" w:hAnsi="Times New Roman"/>
          <w:sz w:val="24"/>
          <w:szCs w:val="24"/>
        </w:rPr>
        <w:t xml:space="preserve"> a landfill gas extraction and combustion system</w:t>
      </w:r>
      <w:r>
        <w:rPr>
          <w:rFonts w:ascii="Times New Roman" w:hAnsi="Times New Roman"/>
          <w:sz w:val="24"/>
          <w:szCs w:val="24"/>
        </w:rPr>
        <w:t>, in the circumstances set out in Part</w:t>
      </w:r>
      <w:r w:rsidR="0080347C">
        <w:rPr>
          <w:rFonts w:ascii="Times New Roman" w:hAnsi="Times New Roman"/>
          <w:sz w:val="24"/>
          <w:szCs w:val="24"/>
        </w:rPr>
        <w:t> </w:t>
      </w:r>
      <w:r>
        <w:rPr>
          <w:rFonts w:ascii="Times New Roman" w:hAnsi="Times New Roman"/>
          <w:sz w:val="24"/>
          <w:szCs w:val="24"/>
        </w:rPr>
        <w:t>2 of the Methodology Determination.</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Under baseline conditions, l</w:t>
      </w:r>
      <w:r w:rsidRPr="00F737D7">
        <w:rPr>
          <w:rFonts w:ascii="Times New Roman" w:hAnsi="Times New Roman"/>
          <w:sz w:val="24"/>
          <w:szCs w:val="24"/>
        </w:rPr>
        <w:t>andfill gas is passively emitted due to the anaerobic decomposition of the organic components of waste within a landfill. T</w:t>
      </w:r>
      <w:r>
        <w:rPr>
          <w:rFonts w:ascii="Times New Roman" w:hAnsi="Times New Roman"/>
          <w:sz w:val="24"/>
          <w:szCs w:val="24"/>
        </w:rPr>
        <w:t>he</w:t>
      </w:r>
      <w:r w:rsidRPr="00F737D7">
        <w:rPr>
          <w:rFonts w:ascii="Times New Roman" w:hAnsi="Times New Roman"/>
          <w:sz w:val="24"/>
          <w:szCs w:val="24"/>
        </w:rPr>
        <w:t xml:space="preserve"> abatement activity</w:t>
      </w:r>
      <w:r>
        <w:rPr>
          <w:rFonts w:ascii="Times New Roman" w:hAnsi="Times New Roman"/>
          <w:sz w:val="24"/>
          <w:szCs w:val="24"/>
        </w:rPr>
        <w:t xml:space="preserve"> described in the Methodology Determination</w:t>
      </w:r>
      <w:r w:rsidRPr="00F737D7">
        <w:rPr>
          <w:rFonts w:ascii="Times New Roman" w:hAnsi="Times New Roman"/>
          <w:sz w:val="24"/>
          <w:szCs w:val="24"/>
        </w:rPr>
        <w:t xml:space="preserve"> </w:t>
      </w:r>
      <w:r>
        <w:rPr>
          <w:rFonts w:ascii="Times New Roman" w:hAnsi="Times New Roman"/>
          <w:sz w:val="24"/>
          <w:szCs w:val="24"/>
        </w:rPr>
        <w:t xml:space="preserve">reduces the </w:t>
      </w:r>
      <w:r w:rsidR="009773D9">
        <w:rPr>
          <w:rFonts w:ascii="Times New Roman" w:hAnsi="Times New Roman"/>
          <w:sz w:val="24"/>
          <w:szCs w:val="24"/>
        </w:rPr>
        <w:t xml:space="preserve">quantity </w:t>
      </w:r>
      <w:r>
        <w:rPr>
          <w:rFonts w:ascii="Times New Roman" w:hAnsi="Times New Roman"/>
          <w:sz w:val="24"/>
          <w:szCs w:val="24"/>
        </w:rPr>
        <w:t xml:space="preserve">of </w:t>
      </w:r>
      <w:r w:rsidRPr="00F737D7">
        <w:rPr>
          <w:rFonts w:ascii="Times New Roman" w:hAnsi="Times New Roman"/>
          <w:sz w:val="24"/>
          <w:szCs w:val="24"/>
        </w:rPr>
        <w:t>greenhouse gas emi</w:t>
      </w:r>
      <w:r w:rsidR="009773D9">
        <w:rPr>
          <w:rFonts w:ascii="Times New Roman" w:hAnsi="Times New Roman"/>
          <w:sz w:val="24"/>
          <w:szCs w:val="24"/>
        </w:rPr>
        <w:t>tted</w:t>
      </w:r>
      <w:r>
        <w:rPr>
          <w:rFonts w:ascii="Times New Roman" w:hAnsi="Times New Roman"/>
          <w:sz w:val="24"/>
          <w:szCs w:val="24"/>
        </w:rPr>
        <w:t xml:space="preserve"> from landfill.</w:t>
      </w:r>
      <w:r w:rsidRPr="00F737D7">
        <w:rPr>
          <w:rFonts w:ascii="Times New Roman" w:hAnsi="Times New Roman"/>
          <w:sz w:val="24"/>
          <w:szCs w:val="24"/>
        </w:rPr>
        <w:t xml:space="preserve"> </w:t>
      </w:r>
      <w:r>
        <w:rPr>
          <w:rFonts w:ascii="Times New Roman" w:hAnsi="Times New Roman"/>
          <w:sz w:val="24"/>
          <w:szCs w:val="24"/>
        </w:rPr>
        <w:t>B</w:t>
      </w:r>
      <w:r w:rsidRPr="00F737D7">
        <w:rPr>
          <w:rFonts w:ascii="Times New Roman" w:hAnsi="Times New Roman"/>
          <w:sz w:val="24"/>
          <w:szCs w:val="24"/>
        </w:rPr>
        <w:t xml:space="preserve">ecause methane is a greenhouse gas </w:t>
      </w:r>
      <w:r>
        <w:rPr>
          <w:rFonts w:ascii="Times New Roman" w:hAnsi="Times New Roman"/>
          <w:sz w:val="24"/>
          <w:szCs w:val="24"/>
        </w:rPr>
        <w:t xml:space="preserve">with a global warming potential </w:t>
      </w:r>
      <w:r w:rsidRPr="00F737D7">
        <w:rPr>
          <w:rFonts w:ascii="Times New Roman" w:hAnsi="Times New Roman"/>
          <w:sz w:val="24"/>
          <w:szCs w:val="24"/>
        </w:rPr>
        <w:t xml:space="preserve">21 times </w:t>
      </w:r>
      <w:r>
        <w:rPr>
          <w:rFonts w:ascii="Times New Roman" w:hAnsi="Times New Roman"/>
          <w:sz w:val="24"/>
          <w:szCs w:val="24"/>
        </w:rPr>
        <w:t>greater</w:t>
      </w:r>
      <w:r w:rsidRPr="00F737D7">
        <w:rPr>
          <w:rFonts w:ascii="Times New Roman" w:hAnsi="Times New Roman"/>
          <w:sz w:val="24"/>
          <w:szCs w:val="24"/>
        </w:rPr>
        <w:t xml:space="preserve"> than carbon dioxide</w:t>
      </w:r>
      <w:r>
        <w:rPr>
          <w:rFonts w:ascii="Times New Roman" w:hAnsi="Times New Roman"/>
          <w:sz w:val="24"/>
          <w:szCs w:val="24"/>
        </w:rPr>
        <w:t>,</w:t>
      </w:r>
      <w:r w:rsidRPr="00F737D7">
        <w:rPr>
          <w:rFonts w:ascii="Times New Roman" w:hAnsi="Times New Roman"/>
          <w:sz w:val="24"/>
          <w:szCs w:val="24"/>
        </w:rPr>
        <w:t xml:space="preserve"> </w:t>
      </w:r>
      <w:r>
        <w:rPr>
          <w:rFonts w:ascii="Times New Roman" w:hAnsi="Times New Roman"/>
          <w:sz w:val="24"/>
          <w:szCs w:val="24"/>
        </w:rPr>
        <w:t>the chemical c</w:t>
      </w:r>
      <w:r w:rsidRPr="00F737D7">
        <w:rPr>
          <w:rFonts w:ascii="Times New Roman" w:hAnsi="Times New Roman"/>
          <w:sz w:val="24"/>
          <w:szCs w:val="24"/>
        </w:rPr>
        <w:t>onver</w:t>
      </w:r>
      <w:r>
        <w:rPr>
          <w:rFonts w:ascii="Times New Roman" w:hAnsi="Times New Roman"/>
          <w:sz w:val="24"/>
          <w:szCs w:val="24"/>
        </w:rPr>
        <w:t xml:space="preserve">sion of </w:t>
      </w:r>
      <w:r w:rsidRPr="00F737D7">
        <w:rPr>
          <w:rFonts w:ascii="Times New Roman" w:hAnsi="Times New Roman"/>
          <w:sz w:val="24"/>
          <w:szCs w:val="24"/>
        </w:rPr>
        <w:t>methane to carbon dioxide</w:t>
      </w:r>
      <w:r>
        <w:rPr>
          <w:rFonts w:ascii="Times New Roman" w:hAnsi="Times New Roman"/>
          <w:sz w:val="24"/>
          <w:szCs w:val="24"/>
        </w:rPr>
        <w:t xml:space="preserve"> through combustion</w:t>
      </w:r>
      <w:r w:rsidRPr="00F737D7">
        <w:rPr>
          <w:rFonts w:ascii="Times New Roman" w:hAnsi="Times New Roman"/>
          <w:sz w:val="24"/>
          <w:szCs w:val="24"/>
        </w:rPr>
        <w:t xml:space="preserve"> reduces </w:t>
      </w:r>
      <w:r>
        <w:rPr>
          <w:rFonts w:ascii="Times New Roman" w:hAnsi="Times New Roman"/>
          <w:sz w:val="24"/>
          <w:szCs w:val="24"/>
        </w:rPr>
        <w:t xml:space="preserve">the </w:t>
      </w:r>
      <w:r w:rsidRPr="00F737D7">
        <w:rPr>
          <w:rFonts w:ascii="Times New Roman" w:hAnsi="Times New Roman"/>
          <w:sz w:val="24"/>
          <w:szCs w:val="24"/>
        </w:rPr>
        <w:t>greenhouse gas emissions measured in terms of carbon dioxide equivalence</w:t>
      </w:r>
      <w:r>
        <w:rPr>
          <w:rFonts w:ascii="Times New Roman" w:hAnsi="Times New Roman"/>
          <w:sz w:val="24"/>
          <w:szCs w:val="24"/>
        </w:rPr>
        <w:t xml:space="preserve"> that are released into the atmosphere</w:t>
      </w:r>
      <w:r w:rsidRPr="00F737D7">
        <w:rPr>
          <w:rFonts w:ascii="Times New Roman" w:hAnsi="Times New Roman"/>
          <w:sz w:val="24"/>
          <w:szCs w:val="24"/>
        </w:rPr>
        <w:t>.</w:t>
      </w:r>
    </w:p>
    <w:p w:rsidR="0037553B" w:rsidRDefault="00A822BE" w:rsidP="00A822BE">
      <w:pPr>
        <w:spacing w:before="240" w:after="240" w:line="240" w:lineRule="auto"/>
        <w:rPr>
          <w:rFonts w:ascii="Times New Roman" w:hAnsi="Times New Roman"/>
          <w:sz w:val="24"/>
          <w:szCs w:val="24"/>
        </w:rPr>
      </w:pPr>
      <w:r w:rsidRPr="00A822BE">
        <w:rPr>
          <w:rFonts w:ascii="Times New Roman" w:hAnsi="Times New Roman"/>
          <w:sz w:val="24"/>
          <w:szCs w:val="24"/>
        </w:rPr>
        <w:t xml:space="preserve">The </w:t>
      </w:r>
      <w:r w:rsidR="008E157C">
        <w:rPr>
          <w:rFonts w:ascii="Times New Roman" w:hAnsi="Times New Roman"/>
          <w:sz w:val="24"/>
          <w:szCs w:val="24"/>
        </w:rPr>
        <w:t xml:space="preserve">Methodology </w:t>
      </w:r>
      <w:r w:rsidRPr="00A822BE">
        <w:rPr>
          <w:rFonts w:ascii="Times New Roman" w:hAnsi="Times New Roman"/>
          <w:sz w:val="24"/>
          <w:szCs w:val="24"/>
        </w:rPr>
        <w:t xml:space="preserve">Determination </w:t>
      </w:r>
      <w:r w:rsidR="009773D9">
        <w:rPr>
          <w:rFonts w:ascii="Times New Roman" w:hAnsi="Times New Roman"/>
          <w:sz w:val="24"/>
          <w:szCs w:val="24"/>
        </w:rPr>
        <w:t xml:space="preserve">does not </w:t>
      </w:r>
      <w:r w:rsidRPr="00A822BE">
        <w:rPr>
          <w:rFonts w:ascii="Times New Roman" w:hAnsi="Times New Roman"/>
          <w:sz w:val="24"/>
          <w:szCs w:val="24"/>
        </w:rPr>
        <w:t xml:space="preserve">apply to projects that involve the upgrading or reinstallation of landfill gas extraction systems where such systems </w:t>
      </w:r>
      <w:r w:rsidR="00F43E37">
        <w:rPr>
          <w:rFonts w:ascii="Times New Roman" w:hAnsi="Times New Roman"/>
          <w:sz w:val="24"/>
          <w:szCs w:val="24"/>
        </w:rPr>
        <w:t xml:space="preserve">were </w:t>
      </w:r>
      <w:r w:rsidRPr="00A822BE">
        <w:rPr>
          <w:rFonts w:ascii="Times New Roman" w:hAnsi="Times New Roman"/>
          <w:sz w:val="24"/>
          <w:szCs w:val="24"/>
        </w:rPr>
        <w:t xml:space="preserve">already </w:t>
      </w:r>
      <w:r w:rsidR="00F43E37">
        <w:rPr>
          <w:rFonts w:ascii="Times New Roman" w:hAnsi="Times New Roman"/>
          <w:sz w:val="24"/>
          <w:szCs w:val="24"/>
        </w:rPr>
        <w:t>installed</w:t>
      </w:r>
      <w:r w:rsidR="00F43E37" w:rsidRPr="00A822BE">
        <w:rPr>
          <w:rFonts w:ascii="Times New Roman" w:hAnsi="Times New Roman"/>
          <w:sz w:val="24"/>
          <w:szCs w:val="24"/>
        </w:rPr>
        <w:t xml:space="preserve"> </w:t>
      </w:r>
      <w:r w:rsidRPr="00A822BE">
        <w:rPr>
          <w:rFonts w:ascii="Times New Roman" w:hAnsi="Times New Roman"/>
          <w:sz w:val="24"/>
          <w:szCs w:val="24"/>
        </w:rPr>
        <w:t>before 1 July 2010. </w:t>
      </w:r>
      <w:r w:rsidR="00E57FD7" w:rsidRPr="00E57FD7">
        <w:rPr>
          <w:rFonts w:ascii="Times New Roman" w:hAnsi="Times New Roman"/>
          <w:sz w:val="24"/>
          <w:szCs w:val="24"/>
        </w:rPr>
        <w:t xml:space="preserve">The </w:t>
      </w:r>
      <w:r w:rsidR="00F43E37">
        <w:rPr>
          <w:rFonts w:ascii="Times New Roman" w:hAnsi="Times New Roman"/>
          <w:sz w:val="24"/>
          <w:szCs w:val="24"/>
        </w:rPr>
        <w:t>Methodology D</w:t>
      </w:r>
      <w:r w:rsidR="00E57FD7" w:rsidRPr="00E57FD7">
        <w:rPr>
          <w:rFonts w:ascii="Times New Roman" w:hAnsi="Times New Roman"/>
          <w:sz w:val="24"/>
          <w:szCs w:val="24"/>
        </w:rPr>
        <w:t xml:space="preserve">etermination </w:t>
      </w:r>
      <w:r w:rsidR="001E3465">
        <w:rPr>
          <w:rFonts w:ascii="Times New Roman" w:hAnsi="Times New Roman"/>
          <w:sz w:val="24"/>
          <w:szCs w:val="24"/>
        </w:rPr>
        <w:t>does</w:t>
      </w:r>
      <w:r w:rsidR="00E57FD7" w:rsidRPr="00E57FD7">
        <w:rPr>
          <w:rFonts w:ascii="Times New Roman" w:hAnsi="Times New Roman"/>
          <w:sz w:val="24"/>
          <w:szCs w:val="24"/>
        </w:rPr>
        <w:t xml:space="preserve"> not apply to projects that merely involve the use of a gas extraction system that has already been installed, prior to 1 July 2010, unless the project is a transitioning project</w:t>
      </w:r>
      <w:r w:rsidR="006244D7">
        <w:rPr>
          <w:rFonts w:ascii="Times New Roman" w:hAnsi="Times New Roman"/>
          <w:sz w:val="24"/>
          <w:szCs w:val="24"/>
        </w:rPr>
        <w:t>.</w:t>
      </w:r>
    </w:p>
    <w:p w:rsidR="00E401E0" w:rsidRDefault="00E401E0" w:rsidP="00A822BE">
      <w:pPr>
        <w:spacing w:before="240" w:after="240" w:line="240" w:lineRule="auto"/>
        <w:rPr>
          <w:rFonts w:ascii="Times New Roman" w:hAnsi="Times New Roman"/>
          <w:sz w:val="24"/>
          <w:szCs w:val="24"/>
        </w:rPr>
      </w:pP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1.4</w:t>
      </w:r>
      <w:r w:rsidRPr="00F737D7">
        <w:rPr>
          <w:rFonts w:ascii="Times New Roman" w:hAnsi="Times New Roman"/>
          <w:sz w:val="24"/>
          <w:szCs w:val="24"/>
          <w:u w:val="single"/>
        </w:rPr>
        <w:tab/>
        <w:t>Definitions</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This section defines a number of terms used in the Methodology Determination.</w:t>
      </w:r>
    </w:p>
    <w:p w:rsidR="0002707F" w:rsidRDefault="0002707F" w:rsidP="0002707F">
      <w:pPr>
        <w:spacing w:before="240" w:after="240" w:line="240" w:lineRule="auto"/>
        <w:rPr>
          <w:rFonts w:ascii="Times New Roman" w:hAnsi="Times New Roman"/>
          <w:b/>
          <w:sz w:val="24"/>
          <w:szCs w:val="24"/>
        </w:rPr>
      </w:pPr>
      <w:r>
        <w:rPr>
          <w:rFonts w:ascii="Times New Roman" w:hAnsi="Times New Roman"/>
          <w:sz w:val="24"/>
          <w:szCs w:val="24"/>
        </w:rPr>
        <w:t xml:space="preserve">Generally, where terms are not defined in the Methodology Determination, they </w:t>
      </w:r>
      <w:r w:rsidRPr="00F737D7">
        <w:rPr>
          <w:rFonts w:ascii="Times New Roman" w:hAnsi="Times New Roman"/>
          <w:sz w:val="24"/>
          <w:szCs w:val="24"/>
        </w:rPr>
        <w:t xml:space="preserve">have the meaning given by </w:t>
      </w:r>
      <w:r>
        <w:rPr>
          <w:rFonts w:ascii="Times New Roman" w:hAnsi="Times New Roman"/>
          <w:sz w:val="24"/>
          <w:szCs w:val="24"/>
        </w:rPr>
        <w:t>s</w:t>
      </w:r>
      <w:r w:rsidRPr="00F737D7">
        <w:rPr>
          <w:rFonts w:ascii="Times New Roman" w:hAnsi="Times New Roman"/>
          <w:sz w:val="24"/>
          <w:szCs w:val="24"/>
        </w:rPr>
        <w:t>ection 5 of the Act.</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Part 2</w:t>
      </w:r>
      <w:r w:rsidRPr="00F737D7">
        <w:rPr>
          <w:rFonts w:ascii="Times New Roman" w:hAnsi="Times New Roman"/>
          <w:b/>
          <w:sz w:val="24"/>
          <w:szCs w:val="24"/>
        </w:rPr>
        <w:tab/>
      </w:r>
      <w:r w:rsidRPr="00F737D7">
        <w:rPr>
          <w:rFonts w:ascii="Times New Roman" w:hAnsi="Times New Roman"/>
          <w:b/>
          <w:sz w:val="24"/>
          <w:szCs w:val="24"/>
        </w:rPr>
        <w:tab/>
        <w:t xml:space="preserve">Requirements </w:t>
      </w:r>
      <w:r w:rsidR="003E70ED">
        <w:rPr>
          <w:rFonts w:ascii="Times New Roman" w:hAnsi="Times New Roman"/>
          <w:b/>
          <w:sz w:val="24"/>
          <w:szCs w:val="24"/>
        </w:rPr>
        <w:t xml:space="preserve">that must be met </w:t>
      </w:r>
      <w:r w:rsidRPr="00F737D7">
        <w:rPr>
          <w:rFonts w:ascii="Times New Roman" w:hAnsi="Times New Roman"/>
          <w:b/>
          <w:sz w:val="24"/>
          <w:szCs w:val="24"/>
        </w:rPr>
        <w:t xml:space="preserve">for an </w:t>
      </w:r>
      <w:r w:rsidR="003E70ED">
        <w:rPr>
          <w:rFonts w:ascii="Times New Roman" w:hAnsi="Times New Roman"/>
          <w:b/>
          <w:sz w:val="24"/>
          <w:szCs w:val="24"/>
        </w:rPr>
        <w:t xml:space="preserve">offsets project to be an </w:t>
      </w:r>
      <w:r w:rsidRPr="00F737D7">
        <w:rPr>
          <w:rFonts w:ascii="Times New Roman" w:hAnsi="Times New Roman"/>
          <w:b/>
          <w:sz w:val="24"/>
          <w:szCs w:val="24"/>
        </w:rPr>
        <w:t>eligible offsets project</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2.1</w:t>
      </w:r>
      <w:r w:rsidRPr="00F737D7">
        <w:rPr>
          <w:rFonts w:ascii="Times New Roman" w:hAnsi="Times New Roman"/>
          <w:sz w:val="24"/>
          <w:szCs w:val="24"/>
          <w:u w:val="single"/>
        </w:rPr>
        <w:tab/>
        <w:t>Requirements that must be met for an offsets project to be an eligible offsets project</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The effect of paragraph 106</w:t>
      </w:r>
      <w:r>
        <w:rPr>
          <w:rFonts w:ascii="Times New Roman" w:hAnsi="Times New Roman"/>
          <w:sz w:val="24"/>
          <w:szCs w:val="24"/>
        </w:rPr>
        <w:t xml:space="preserve"> </w:t>
      </w:r>
      <w:r w:rsidRPr="00F737D7">
        <w:rPr>
          <w:rFonts w:ascii="Times New Roman" w:hAnsi="Times New Roman"/>
          <w:sz w:val="24"/>
          <w:szCs w:val="24"/>
        </w:rPr>
        <w:t>(1)</w:t>
      </w:r>
      <w:r>
        <w:rPr>
          <w:rFonts w:ascii="Times New Roman" w:hAnsi="Times New Roman"/>
          <w:sz w:val="24"/>
          <w:szCs w:val="24"/>
        </w:rPr>
        <w:t xml:space="preserve"> </w:t>
      </w:r>
      <w:r w:rsidRPr="00F737D7">
        <w:rPr>
          <w:rFonts w:ascii="Times New Roman" w:hAnsi="Times New Roman"/>
          <w:sz w:val="24"/>
          <w:szCs w:val="24"/>
        </w:rPr>
        <w:t xml:space="preserve">(b) of the Act is that a </w:t>
      </w:r>
      <w:r w:rsidR="00122950">
        <w:rPr>
          <w:rFonts w:ascii="Times New Roman" w:hAnsi="Times New Roman"/>
          <w:sz w:val="24"/>
          <w:szCs w:val="24"/>
        </w:rPr>
        <w:t>m</w:t>
      </w:r>
      <w:r w:rsidR="00122950" w:rsidRPr="00F737D7">
        <w:rPr>
          <w:rFonts w:ascii="Times New Roman" w:hAnsi="Times New Roman"/>
          <w:sz w:val="24"/>
          <w:szCs w:val="24"/>
        </w:rPr>
        <w:t xml:space="preserve">ethodology </w:t>
      </w:r>
      <w:r w:rsidR="00122950">
        <w:rPr>
          <w:rFonts w:ascii="Times New Roman" w:hAnsi="Times New Roman"/>
          <w:sz w:val="24"/>
          <w:szCs w:val="24"/>
        </w:rPr>
        <w:t>d</w:t>
      </w:r>
      <w:r w:rsidR="00122950" w:rsidRPr="00F737D7">
        <w:rPr>
          <w:rFonts w:ascii="Times New Roman" w:hAnsi="Times New Roman"/>
          <w:sz w:val="24"/>
          <w:szCs w:val="24"/>
        </w:rPr>
        <w:t xml:space="preserve">etermination </w:t>
      </w:r>
      <w:r w:rsidRPr="00F737D7">
        <w:rPr>
          <w:rFonts w:ascii="Times New Roman" w:hAnsi="Times New Roman"/>
          <w:sz w:val="24"/>
          <w:szCs w:val="24"/>
        </w:rPr>
        <w:t>must set out requirements that must be met for the offsets project to be an eligible offsets project.</w:t>
      </w:r>
      <w:r>
        <w:rPr>
          <w:rFonts w:ascii="Times New Roman" w:hAnsi="Times New Roman"/>
          <w:sz w:val="24"/>
          <w:szCs w:val="24"/>
        </w:rPr>
        <w:t xml:space="preserve"> This section of the Methodology Determination explains that the project must </w:t>
      </w:r>
      <w:r w:rsidR="00A77287">
        <w:rPr>
          <w:rFonts w:ascii="Times New Roman" w:hAnsi="Times New Roman"/>
          <w:sz w:val="24"/>
          <w:szCs w:val="24"/>
        </w:rPr>
        <w:t xml:space="preserve">be a project transitioning from </w:t>
      </w:r>
      <w:r w:rsidR="00A23AB9">
        <w:rPr>
          <w:rFonts w:ascii="Times New Roman" w:hAnsi="Times New Roman"/>
          <w:sz w:val="24"/>
          <w:szCs w:val="24"/>
        </w:rPr>
        <w:t>GGAS</w:t>
      </w:r>
      <w:r w:rsidR="00A77287">
        <w:rPr>
          <w:rFonts w:ascii="Times New Roman" w:hAnsi="Times New Roman"/>
          <w:sz w:val="24"/>
          <w:szCs w:val="24"/>
        </w:rPr>
        <w:t xml:space="preserve"> or Greenhouse Friendly, or a project that involves </w:t>
      </w:r>
      <w:r>
        <w:rPr>
          <w:rFonts w:ascii="Times New Roman" w:hAnsi="Times New Roman"/>
          <w:sz w:val="24"/>
          <w:szCs w:val="24"/>
        </w:rPr>
        <w:t xml:space="preserve">the following activities: </w:t>
      </w:r>
    </w:p>
    <w:p w:rsidR="0002707F" w:rsidRDefault="0002707F" w:rsidP="0002707F">
      <w:pPr>
        <w:pStyle w:val="P1"/>
        <w:numPr>
          <w:ilvl w:val="0"/>
          <w:numId w:val="3"/>
        </w:numPr>
        <w:spacing w:before="240" w:after="240" w:line="240" w:lineRule="auto"/>
        <w:jc w:val="left"/>
      </w:pPr>
      <w:r w:rsidRPr="00F737D7">
        <w:tab/>
      </w:r>
      <w:r w:rsidR="00DB6737">
        <w:t xml:space="preserve">installing </w:t>
      </w:r>
      <w:r w:rsidRPr="00F737D7">
        <w:t>a gas collection system (including wells, flares and</w:t>
      </w:r>
      <w:r>
        <w:t>/or</w:t>
      </w:r>
      <w:r w:rsidRPr="00F737D7">
        <w:t xml:space="preserve"> electricity generation systems)</w:t>
      </w:r>
      <w:r w:rsidR="00A23AB9">
        <w:t xml:space="preserve"> </w:t>
      </w:r>
      <w:r w:rsidR="00936695">
        <w:t xml:space="preserve">on or after </w:t>
      </w:r>
      <w:r w:rsidR="00A23AB9">
        <w:t>1 July 2010</w:t>
      </w:r>
      <w:r w:rsidRPr="00F737D7">
        <w:t>;</w:t>
      </w:r>
      <w:r w:rsidR="00E534E5">
        <w:t xml:space="preserve"> and</w:t>
      </w:r>
    </w:p>
    <w:p w:rsidR="0002707F" w:rsidRDefault="0002707F" w:rsidP="0002707F">
      <w:pPr>
        <w:pStyle w:val="P1"/>
        <w:numPr>
          <w:ilvl w:val="0"/>
          <w:numId w:val="3"/>
        </w:numPr>
        <w:spacing w:before="240" w:after="240" w:line="240" w:lineRule="auto"/>
        <w:jc w:val="left"/>
      </w:pPr>
      <w:r w:rsidRPr="00F737D7">
        <w:tab/>
      </w:r>
      <w:r>
        <w:t>c</w:t>
      </w:r>
      <w:r w:rsidRPr="00F737D7">
        <w:t>ollecting</w:t>
      </w:r>
      <w:r>
        <w:t xml:space="preserve"> the</w:t>
      </w:r>
      <w:r w:rsidRPr="00F737D7">
        <w:t xml:space="preserve"> landfill gas</w:t>
      </w:r>
      <w:r>
        <w:t xml:space="preserve"> generated (only the proportion from legacy waste is eligible for crediting)</w:t>
      </w:r>
      <w:r w:rsidRPr="00F737D7">
        <w:t>;</w:t>
      </w:r>
      <w:r>
        <w:t xml:space="preserve"> and</w:t>
      </w:r>
      <w:r w:rsidRPr="00F737D7">
        <w:t xml:space="preserve"> </w:t>
      </w:r>
    </w:p>
    <w:p w:rsidR="0002707F" w:rsidRDefault="0002707F" w:rsidP="0002707F">
      <w:pPr>
        <w:pStyle w:val="P1"/>
        <w:numPr>
          <w:ilvl w:val="0"/>
          <w:numId w:val="3"/>
        </w:numPr>
        <w:spacing w:before="240" w:after="240" w:line="240" w:lineRule="auto"/>
        <w:jc w:val="left"/>
      </w:pPr>
      <w:r w:rsidRPr="00F737D7">
        <w:t xml:space="preserve">combusting the methane component of the landfill gas using flares and/or an electricity generation system to </w:t>
      </w:r>
      <w:r>
        <w:t xml:space="preserve">chemically </w:t>
      </w:r>
      <w:r w:rsidRPr="00F737D7">
        <w:t>convert it to carbon dioxide (CO</w:t>
      </w:r>
      <w:r w:rsidRPr="00F737D7">
        <w:rPr>
          <w:vertAlign w:val="subscript"/>
        </w:rPr>
        <w:t>2</w:t>
      </w:r>
      <w:r w:rsidRPr="00F737D7">
        <w:t>)</w:t>
      </w:r>
      <w:r>
        <w:t>.</w:t>
      </w:r>
      <w:r w:rsidRPr="00F737D7">
        <w:t xml:space="preserve"> </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The Methodology Determination applies only to the capture and combustion of methane generated </w:t>
      </w:r>
      <w:r>
        <w:rPr>
          <w:rFonts w:ascii="Times New Roman" w:hAnsi="Times New Roman"/>
          <w:sz w:val="24"/>
          <w:szCs w:val="24"/>
        </w:rPr>
        <w:t>from</w:t>
      </w:r>
      <w:r w:rsidRPr="00F737D7">
        <w:rPr>
          <w:rFonts w:ascii="Times New Roman" w:hAnsi="Times New Roman"/>
          <w:sz w:val="24"/>
          <w:szCs w:val="24"/>
        </w:rPr>
        <w:t xml:space="preserve"> landfill gas from legacy waste. Legacy waste is waste accepted by the landfill facility before 1 July 2012.  Where a landfill facility accepts waste </w:t>
      </w:r>
      <w:r w:rsidR="00A23AB9">
        <w:rPr>
          <w:rFonts w:ascii="Times New Roman" w:hAnsi="Times New Roman"/>
          <w:sz w:val="24"/>
          <w:szCs w:val="24"/>
        </w:rPr>
        <w:t xml:space="preserve">on or </w:t>
      </w:r>
      <w:r w:rsidRPr="00F737D7">
        <w:rPr>
          <w:rFonts w:ascii="Times New Roman" w:hAnsi="Times New Roman"/>
          <w:sz w:val="24"/>
          <w:szCs w:val="24"/>
        </w:rPr>
        <w:t xml:space="preserve">after </w:t>
      </w:r>
      <w:r>
        <w:rPr>
          <w:rFonts w:ascii="Times New Roman" w:hAnsi="Times New Roman"/>
          <w:sz w:val="24"/>
          <w:szCs w:val="24"/>
        </w:rPr>
        <w:t>1 July 2012,</w:t>
      </w:r>
      <w:r w:rsidRPr="00F737D7">
        <w:rPr>
          <w:rFonts w:ascii="Times New Roman" w:hAnsi="Times New Roman"/>
          <w:sz w:val="24"/>
          <w:szCs w:val="24"/>
        </w:rPr>
        <w:t xml:space="preserve"> only the</w:t>
      </w:r>
      <w:r>
        <w:rPr>
          <w:rFonts w:ascii="Times New Roman" w:hAnsi="Times New Roman"/>
          <w:sz w:val="24"/>
          <w:szCs w:val="24"/>
        </w:rPr>
        <w:t xml:space="preserve"> </w:t>
      </w:r>
      <w:r w:rsidR="00DB6737">
        <w:rPr>
          <w:rFonts w:ascii="Times New Roman" w:hAnsi="Times New Roman"/>
          <w:sz w:val="24"/>
          <w:szCs w:val="24"/>
        </w:rPr>
        <w:t xml:space="preserve">additional </w:t>
      </w:r>
      <w:r>
        <w:rPr>
          <w:rFonts w:ascii="Times New Roman" w:hAnsi="Times New Roman"/>
          <w:sz w:val="24"/>
          <w:szCs w:val="24"/>
        </w:rPr>
        <w:t>abatement generated by reduc</w:t>
      </w:r>
      <w:r w:rsidR="00DB6737">
        <w:rPr>
          <w:rFonts w:ascii="Times New Roman" w:hAnsi="Times New Roman"/>
          <w:sz w:val="24"/>
          <w:szCs w:val="24"/>
        </w:rPr>
        <w:t>ing</w:t>
      </w:r>
      <w:r>
        <w:rPr>
          <w:rFonts w:ascii="Times New Roman" w:hAnsi="Times New Roman"/>
          <w:sz w:val="24"/>
          <w:szCs w:val="24"/>
        </w:rPr>
        <w:t xml:space="preserve"> methane emissions from </w:t>
      </w:r>
      <w:r w:rsidRPr="00F737D7">
        <w:rPr>
          <w:rFonts w:ascii="Times New Roman" w:hAnsi="Times New Roman"/>
          <w:sz w:val="24"/>
          <w:szCs w:val="24"/>
        </w:rPr>
        <w:t>legacy waste will be eligible for crediting.</w:t>
      </w:r>
    </w:p>
    <w:p w:rsidR="0042310A" w:rsidRDefault="0042310A" w:rsidP="0002707F">
      <w:pPr>
        <w:spacing w:before="240" w:after="240" w:line="240" w:lineRule="auto"/>
        <w:rPr>
          <w:rFonts w:ascii="Times New Roman" w:hAnsi="Times New Roman"/>
          <w:sz w:val="24"/>
          <w:szCs w:val="24"/>
        </w:rPr>
      </w:pPr>
      <w:r>
        <w:rPr>
          <w:rFonts w:ascii="Times New Roman" w:hAnsi="Times New Roman"/>
          <w:sz w:val="24"/>
          <w:szCs w:val="24"/>
        </w:rPr>
        <w:t xml:space="preserve">To avoid confusion, ‘installing a landfill gas extraction system’ does not include the </w:t>
      </w:r>
      <w:r w:rsidR="007370B0">
        <w:rPr>
          <w:rFonts w:ascii="Times New Roman" w:hAnsi="Times New Roman"/>
          <w:sz w:val="24"/>
          <w:szCs w:val="24"/>
        </w:rPr>
        <w:t xml:space="preserve">reinstallation, or </w:t>
      </w:r>
      <w:r>
        <w:rPr>
          <w:rFonts w:ascii="Times New Roman" w:hAnsi="Times New Roman"/>
          <w:sz w:val="24"/>
          <w:szCs w:val="24"/>
        </w:rPr>
        <w:t>replacement of, upgrades to or modifications of an existing system, where such systems were installed prior to 1 July 2010. A project under th</w:t>
      </w:r>
      <w:r w:rsidR="00936695">
        <w:rPr>
          <w:rFonts w:ascii="Times New Roman" w:hAnsi="Times New Roman"/>
          <w:sz w:val="24"/>
          <w:szCs w:val="24"/>
        </w:rPr>
        <w:t>e</w:t>
      </w:r>
      <w:r>
        <w:rPr>
          <w:rFonts w:ascii="Times New Roman" w:hAnsi="Times New Roman"/>
          <w:sz w:val="24"/>
          <w:szCs w:val="24"/>
        </w:rPr>
        <w:t xml:space="preserve"> </w:t>
      </w:r>
      <w:r w:rsidR="00936695">
        <w:rPr>
          <w:rFonts w:ascii="Times New Roman" w:hAnsi="Times New Roman"/>
          <w:sz w:val="24"/>
          <w:szCs w:val="24"/>
        </w:rPr>
        <w:t>M</w:t>
      </w:r>
      <w:r>
        <w:rPr>
          <w:rFonts w:ascii="Times New Roman" w:hAnsi="Times New Roman"/>
          <w:sz w:val="24"/>
          <w:szCs w:val="24"/>
        </w:rPr>
        <w:t xml:space="preserve">ethodology </w:t>
      </w:r>
      <w:r w:rsidR="00936695">
        <w:rPr>
          <w:rFonts w:ascii="Times New Roman" w:hAnsi="Times New Roman"/>
          <w:sz w:val="24"/>
          <w:szCs w:val="24"/>
        </w:rPr>
        <w:t xml:space="preserve">Determination </w:t>
      </w:r>
      <w:r>
        <w:rPr>
          <w:rFonts w:ascii="Times New Roman" w:hAnsi="Times New Roman"/>
          <w:sz w:val="24"/>
          <w:szCs w:val="24"/>
        </w:rPr>
        <w:t>that is not a transitioning project must consist of the installation of a new system, in entirety, where no system has previously been installed.</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Part 3</w:t>
      </w:r>
      <w:r w:rsidRPr="00F737D7">
        <w:rPr>
          <w:rFonts w:ascii="Times New Roman" w:hAnsi="Times New Roman"/>
          <w:b/>
          <w:sz w:val="24"/>
          <w:szCs w:val="24"/>
        </w:rPr>
        <w:tab/>
      </w:r>
      <w:r w:rsidRPr="00F737D7">
        <w:rPr>
          <w:rFonts w:ascii="Times New Roman" w:hAnsi="Times New Roman"/>
          <w:b/>
          <w:sz w:val="24"/>
          <w:szCs w:val="24"/>
        </w:rPr>
        <w:tab/>
        <w:t xml:space="preserve">Calculating </w:t>
      </w:r>
      <w:r>
        <w:rPr>
          <w:rFonts w:ascii="Times New Roman" w:hAnsi="Times New Roman"/>
          <w:b/>
          <w:sz w:val="24"/>
          <w:szCs w:val="24"/>
        </w:rPr>
        <w:t xml:space="preserve">the </w:t>
      </w:r>
      <w:r w:rsidR="003E70ED">
        <w:rPr>
          <w:rFonts w:ascii="Times New Roman" w:hAnsi="Times New Roman"/>
          <w:b/>
          <w:sz w:val="24"/>
          <w:szCs w:val="24"/>
        </w:rPr>
        <w:t xml:space="preserve">carbon dioxide equivalent </w:t>
      </w:r>
      <w:r>
        <w:rPr>
          <w:rFonts w:ascii="Times New Roman" w:hAnsi="Times New Roman"/>
          <w:b/>
          <w:sz w:val="24"/>
          <w:szCs w:val="24"/>
        </w:rPr>
        <w:t>net a</w:t>
      </w:r>
      <w:r w:rsidRPr="00F737D7">
        <w:rPr>
          <w:rFonts w:ascii="Times New Roman" w:hAnsi="Times New Roman"/>
          <w:b/>
          <w:sz w:val="24"/>
          <w:szCs w:val="24"/>
        </w:rPr>
        <w:t>batement</w:t>
      </w:r>
      <w:r>
        <w:rPr>
          <w:rFonts w:ascii="Times New Roman" w:hAnsi="Times New Roman"/>
          <w:b/>
          <w:sz w:val="24"/>
          <w:szCs w:val="24"/>
        </w:rPr>
        <w:t xml:space="preserve"> </w:t>
      </w:r>
      <w:r w:rsidR="003E70ED">
        <w:rPr>
          <w:rFonts w:ascii="Times New Roman" w:hAnsi="Times New Roman"/>
          <w:b/>
          <w:sz w:val="24"/>
          <w:szCs w:val="24"/>
        </w:rPr>
        <w:t>amount for a project in relation to a reporting period</w:t>
      </w:r>
      <w:r>
        <w:rPr>
          <w:rFonts w:ascii="Times New Roman" w:hAnsi="Times New Roman"/>
          <w:b/>
          <w:sz w:val="24"/>
          <w:szCs w:val="24"/>
        </w:rPr>
        <w:t xml:space="preserve"> </w:t>
      </w:r>
    </w:p>
    <w:p w:rsidR="0002707F" w:rsidRDefault="0002707F" w:rsidP="0002707F">
      <w:pPr>
        <w:spacing w:before="240" w:after="240" w:line="240" w:lineRule="auto"/>
        <w:rPr>
          <w:rFonts w:ascii="Times New Roman" w:hAnsi="Times New Roman"/>
          <w:b/>
          <w:sz w:val="24"/>
          <w:szCs w:val="24"/>
        </w:rPr>
      </w:pPr>
      <w:r>
        <w:rPr>
          <w:rFonts w:ascii="Times New Roman" w:hAnsi="Times New Roman"/>
          <w:b/>
          <w:sz w:val="24"/>
          <w:szCs w:val="24"/>
        </w:rPr>
        <w:t xml:space="preserve">Division 3.1 </w:t>
      </w:r>
      <w:r>
        <w:rPr>
          <w:rFonts w:ascii="Times New Roman" w:hAnsi="Times New Roman"/>
          <w:b/>
          <w:sz w:val="24"/>
          <w:szCs w:val="24"/>
        </w:rPr>
        <w:tab/>
        <w:t>Preliminary</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3.1</w:t>
      </w:r>
      <w:r w:rsidRPr="00F737D7">
        <w:rPr>
          <w:rFonts w:ascii="Times New Roman" w:hAnsi="Times New Roman"/>
          <w:sz w:val="24"/>
          <w:szCs w:val="24"/>
          <w:u w:val="single"/>
        </w:rPr>
        <w:tab/>
        <w:t>General</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clarifies that all calculations are in respect of activities done or outcomes achieved during the </w:t>
      </w:r>
      <w:r>
        <w:rPr>
          <w:rFonts w:ascii="Times New Roman" w:hAnsi="Times New Roman"/>
          <w:sz w:val="24"/>
          <w:szCs w:val="24"/>
        </w:rPr>
        <w:t>reporting period for a project, and that the data used in calculations must comply with the data collection requirements set out in Division 3.3 of the Methodology Determination.</w:t>
      </w:r>
    </w:p>
    <w:p w:rsidR="00E401E0" w:rsidRDefault="00E401E0" w:rsidP="0002707F">
      <w:pPr>
        <w:spacing w:before="240" w:after="240" w:line="240" w:lineRule="auto"/>
        <w:rPr>
          <w:rFonts w:ascii="Times New Roman" w:hAnsi="Times New Roman"/>
          <w:sz w:val="24"/>
          <w:szCs w:val="24"/>
        </w:rPr>
      </w:pPr>
    </w:p>
    <w:p w:rsidR="00E401E0" w:rsidRDefault="00E401E0" w:rsidP="0002707F">
      <w:pPr>
        <w:spacing w:before="240" w:after="240" w:line="240" w:lineRule="auto"/>
        <w:rPr>
          <w:rFonts w:ascii="Times New Roman" w:hAnsi="Times New Roman"/>
          <w:sz w:val="24"/>
          <w:szCs w:val="24"/>
        </w:rPr>
      </w:pP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3.2</w:t>
      </w:r>
      <w:r w:rsidRPr="00F737D7">
        <w:rPr>
          <w:rFonts w:ascii="Times New Roman" w:hAnsi="Times New Roman"/>
          <w:sz w:val="24"/>
          <w:szCs w:val="24"/>
          <w:u w:val="single"/>
        </w:rPr>
        <w:tab/>
        <w:t>Greenhouse gas assessment boundary</w:t>
      </w:r>
    </w:p>
    <w:p w:rsidR="0002707F" w:rsidRDefault="0002707F" w:rsidP="0002707F">
      <w:pPr>
        <w:spacing w:before="240" w:after="240" w:line="240" w:lineRule="auto"/>
        <w:rPr>
          <w:rFonts w:ascii="Times New Roman" w:hAnsi="Times New Roman"/>
          <w:sz w:val="24"/>
          <w:szCs w:val="24"/>
        </w:rPr>
      </w:pPr>
      <w:r w:rsidRPr="008971D9">
        <w:rPr>
          <w:rFonts w:ascii="Times New Roman" w:hAnsi="Times New Roman"/>
          <w:sz w:val="24"/>
          <w:szCs w:val="24"/>
        </w:rPr>
        <w:t xml:space="preserve">This section describes the greenhouse gas sources and sinks that need to be assessed in order to determine the total net change in </w:t>
      </w:r>
      <w:r>
        <w:rPr>
          <w:rFonts w:ascii="Times New Roman" w:hAnsi="Times New Roman"/>
          <w:sz w:val="24"/>
          <w:szCs w:val="24"/>
        </w:rPr>
        <w:t xml:space="preserve">greenhouse </w:t>
      </w:r>
      <w:r w:rsidRPr="008971D9">
        <w:rPr>
          <w:rFonts w:ascii="Times New Roman" w:hAnsi="Times New Roman"/>
          <w:sz w:val="24"/>
          <w:szCs w:val="24"/>
        </w:rPr>
        <w:t xml:space="preserve">gas emissions resulting from a project abatement activity. </w:t>
      </w:r>
    </w:p>
    <w:p w:rsidR="0002707F" w:rsidRDefault="0002707F" w:rsidP="0002707F">
      <w:pPr>
        <w:pStyle w:val="Default"/>
        <w:spacing w:before="240" w:after="240"/>
        <w:rPr>
          <w:rFonts w:ascii="Times New Roman" w:eastAsia="Calibri" w:hAnsi="Times New Roman" w:cs="Times New Roman"/>
          <w:color w:val="auto"/>
        </w:rPr>
      </w:pPr>
      <w:r>
        <w:rPr>
          <w:rFonts w:ascii="Times New Roman" w:hAnsi="Times New Roman"/>
        </w:rPr>
        <w:t>Sources and sinks of greenhouse gases that must be accounted for in the abatement calculations include those from:</w:t>
      </w:r>
    </w:p>
    <w:p w:rsidR="0002707F" w:rsidRDefault="0002707F" w:rsidP="0002707F">
      <w:pPr>
        <w:pStyle w:val="Default"/>
        <w:numPr>
          <w:ilvl w:val="0"/>
          <w:numId w:val="9"/>
        </w:numPr>
        <w:spacing w:before="240" w:after="240"/>
        <w:rPr>
          <w:rFonts w:ascii="Times New Roman" w:hAnsi="Times New Roman" w:cs="Times New Roman"/>
        </w:rPr>
      </w:pPr>
      <w:r>
        <w:rPr>
          <w:rFonts w:ascii="Times New Roman" w:hAnsi="Times New Roman" w:cs="Times New Roman"/>
        </w:rPr>
        <w:t>g</w:t>
      </w:r>
      <w:r w:rsidRPr="00F737D7">
        <w:rPr>
          <w:rFonts w:ascii="Times New Roman" w:hAnsi="Times New Roman" w:cs="Times New Roman"/>
        </w:rPr>
        <w:t xml:space="preserve">rid-derived electricity </w:t>
      </w:r>
      <w:r>
        <w:rPr>
          <w:rFonts w:ascii="Times New Roman" w:hAnsi="Times New Roman" w:cs="Times New Roman"/>
        </w:rPr>
        <w:t xml:space="preserve">and/or fuel used in the process of gas capture and combustion, </w:t>
      </w:r>
      <w:r w:rsidRPr="00F737D7">
        <w:rPr>
          <w:rFonts w:ascii="Times New Roman" w:hAnsi="Times New Roman" w:cs="Times New Roman"/>
        </w:rPr>
        <w:t>for example</w:t>
      </w:r>
      <w:r>
        <w:rPr>
          <w:rFonts w:ascii="Times New Roman" w:hAnsi="Times New Roman" w:cs="Times New Roman"/>
        </w:rPr>
        <w:t xml:space="preserve"> the electricity and fuel used to power pumps and engines </w:t>
      </w:r>
      <w:r w:rsidRPr="00F737D7">
        <w:rPr>
          <w:rFonts w:ascii="Times New Roman" w:hAnsi="Times New Roman" w:cs="Times New Roman"/>
        </w:rPr>
        <w:t>used in the operation of flares, as well as in the operation of control and monitorin</w:t>
      </w:r>
      <w:r>
        <w:rPr>
          <w:rFonts w:ascii="Times New Roman" w:hAnsi="Times New Roman" w:cs="Times New Roman"/>
        </w:rPr>
        <w:t>g systems</w:t>
      </w:r>
      <w:r w:rsidRPr="00F737D7">
        <w:rPr>
          <w:rFonts w:ascii="Times New Roman" w:hAnsi="Times New Roman" w:cs="Times New Roman"/>
        </w:rPr>
        <w:t xml:space="preserve">; </w:t>
      </w:r>
    </w:p>
    <w:p w:rsidR="0002707F" w:rsidRDefault="0002707F" w:rsidP="0002707F">
      <w:pPr>
        <w:pStyle w:val="Default"/>
        <w:numPr>
          <w:ilvl w:val="0"/>
          <w:numId w:val="9"/>
        </w:numPr>
        <w:spacing w:before="240" w:after="240"/>
        <w:rPr>
          <w:rFonts w:ascii="Times New Roman" w:hAnsi="Times New Roman" w:cs="Times New Roman"/>
        </w:rPr>
      </w:pPr>
      <w:r>
        <w:rPr>
          <w:rFonts w:ascii="Times New Roman" w:hAnsi="Times New Roman"/>
        </w:rPr>
        <w:t xml:space="preserve">supplemental fuel, for example natural gas, if used to sustain combustion; </w:t>
      </w:r>
    </w:p>
    <w:p w:rsidR="0002707F" w:rsidRDefault="009773D9" w:rsidP="0002707F">
      <w:pPr>
        <w:pStyle w:val="Default"/>
        <w:numPr>
          <w:ilvl w:val="0"/>
          <w:numId w:val="9"/>
        </w:numPr>
        <w:spacing w:before="240" w:after="240"/>
        <w:rPr>
          <w:rFonts w:ascii="Times New Roman" w:hAnsi="Times New Roman" w:cs="Times New Roman"/>
        </w:rPr>
      </w:pPr>
      <w:r>
        <w:rPr>
          <w:rFonts w:ascii="Times New Roman" w:hAnsi="Times New Roman"/>
        </w:rPr>
        <w:t>landfill gas</w:t>
      </w:r>
      <w:r w:rsidR="0002707F">
        <w:rPr>
          <w:rFonts w:ascii="Times New Roman" w:hAnsi="Times New Roman"/>
        </w:rPr>
        <w:t xml:space="preserve"> that is captured and destroyed by an internal combustion engine to generate electricity; </w:t>
      </w:r>
    </w:p>
    <w:p w:rsidR="0002707F" w:rsidRDefault="009773D9" w:rsidP="0002707F">
      <w:pPr>
        <w:pStyle w:val="Default"/>
        <w:numPr>
          <w:ilvl w:val="0"/>
          <w:numId w:val="9"/>
        </w:numPr>
        <w:spacing w:before="240" w:after="240"/>
        <w:rPr>
          <w:rFonts w:ascii="Times New Roman" w:hAnsi="Times New Roman" w:cs="Times New Roman"/>
        </w:rPr>
      </w:pPr>
      <w:r>
        <w:rPr>
          <w:rFonts w:ascii="Times New Roman" w:hAnsi="Times New Roman" w:cs="Times New Roman"/>
        </w:rPr>
        <w:t>landfill gas</w:t>
      </w:r>
      <w:r w:rsidR="0002707F">
        <w:rPr>
          <w:rFonts w:ascii="Times New Roman" w:hAnsi="Times New Roman" w:cs="Times New Roman"/>
        </w:rPr>
        <w:t xml:space="preserve"> that is captured and destroyed via an open or enclosed flare;</w:t>
      </w:r>
    </w:p>
    <w:p w:rsidR="0002707F" w:rsidRDefault="0002707F" w:rsidP="0002707F">
      <w:pPr>
        <w:pStyle w:val="Default"/>
        <w:numPr>
          <w:ilvl w:val="0"/>
          <w:numId w:val="9"/>
        </w:numPr>
        <w:spacing w:before="240" w:after="240"/>
        <w:rPr>
          <w:rFonts w:ascii="Times New Roman" w:hAnsi="Times New Roman" w:cs="Times New Roman"/>
        </w:rPr>
      </w:pPr>
      <w:r>
        <w:rPr>
          <w:rFonts w:ascii="Times New Roman" w:hAnsi="Times New Roman" w:cs="Times New Roman"/>
        </w:rPr>
        <w:t>c</w:t>
      </w:r>
      <w:r w:rsidRPr="00F737D7">
        <w:rPr>
          <w:rFonts w:ascii="Times New Roman" w:hAnsi="Times New Roman" w:cs="Times New Roman"/>
        </w:rPr>
        <w:t>ombustion</w:t>
      </w:r>
      <w:r>
        <w:rPr>
          <w:rFonts w:ascii="Times New Roman" w:hAnsi="Times New Roman" w:cs="Times New Roman"/>
        </w:rPr>
        <w:t xml:space="preserve"> of landfill gas</w:t>
      </w:r>
      <w:r w:rsidRPr="00F737D7">
        <w:rPr>
          <w:rFonts w:ascii="Times New Roman" w:hAnsi="Times New Roman" w:cs="Times New Roman"/>
        </w:rPr>
        <w:t xml:space="preserve"> in a flare or combustion engine, </w:t>
      </w:r>
      <w:r>
        <w:rPr>
          <w:rFonts w:ascii="Times New Roman" w:hAnsi="Times New Roman" w:cs="Times New Roman"/>
        </w:rPr>
        <w:t xml:space="preserve">where emissions are </w:t>
      </w:r>
      <w:r w:rsidRPr="00F737D7">
        <w:rPr>
          <w:rFonts w:ascii="Times New Roman" w:hAnsi="Times New Roman" w:cs="Times New Roman"/>
        </w:rPr>
        <w:t>generated by the combustion process, and fugitive emissions</w:t>
      </w:r>
      <w:r>
        <w:rPr>
          <w:rFonts w:ascii="Times New Roman" w:hAnsi="Times New Roman" w:cs="Times New Roman"/>
        </w:rPr>
        <w:t xml:space="preserve"> from the incomplete combustion of the methane and the generation of nitrous oxide during the combustion process.</w:t>
      </w:r>
    </w:p>
    <w:p w:rsidR="0002707F" w:rsidRDefault="0002707F" w:rsidP="0002707F">
      <w:pPr>
        <w:pStyle w:val="Default"/>
        <w:spacing w:before="240" w:after="240"/>
        <w:rPr>
          <w:rFonts w:ascii="Times New Roman" w:hAnsi="Times New Roman" w:cs="Times New Roman"/>
        </w:rPr>
      </w:pPr>
      <w:r>
        <w:rPr>
          <w:rFonts w:ascii="Times New Roman" w:hAnsi="Times New Roman" w:cs="Times New Roman"/>
        </w:rPr>
        <w:t>Figure 1 illustrates the greenhouse gas sources included in the greenhouse gas assessment boundary.</w:t>
      </w:r>
    </w:p>
    <w:p w:rsidR="0002707F" w:rsidRDefault="0002707F" w:rsidP="0002707F">
      <w:pPr>
        <w:pStyle w:val="Default"/>
        <w:spacing w:before="240" w:after="240"/>
        <w:jc w:val="center"/>
        <w:rPr>
          <w:rFonts w:ascii="Times New Roman" w:hAnsi="Times New Roman" w:cs="Times New Roman"/>
        </w:rPr>
      </w:pPr>
      <w:r w:rsidRPr="00F9576C">
        <w:rPr>
          <w:rFonts w:ascii="Times New Roman" w:hAnsi="Times New Roman" w:cs="Times New Roman"/>
          <w:noProof/>
          <w:lang w:eastAsia="en-AU"/>
        </w:rPr>
        <w:drawing>
          <wp:inline distT="0" distB="0" distL="0" distR="0">
            <wp:extent cx="4703076" cy="2893326"/>
            <wp:effectExtent l="19050" t="0" r="2274"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0880" cy="5389567"/>
                      <a:chOff x="683568" y="692696"/>
                      <a:chExt cx="7920880" cy="5389567"/>
                    </a:xfrm>
                  </a:grpSpPr>
                  <a:grpSp>
                    <a:nvGrpSpPr>
                      <a:cNvPr id="127" name="Group 126"/>
                      <a:cNvGrpSpPr/>
                    </a:nvGrpSpPr>
                    <a:grpSpPr>
                      <a:xfrm>
                        <a:off x="683568" y="692696"/>
                        <a:ext cx="7920880" cy="4536504"/>
                        <a:chOff x="755576" y="764704"/>
                        <a:chExt cx="7920880" cy="4536504"/>
                      </a:xfrm>
                    </a:grpSpPr>
                    <a:grpSp>
                      <a:nvGrpSpPr>
                        <a:cNvPr id="3" name="Group 123"/>
                        <a:cNvGrpSpPr/>
                      </a:nvGrpSpPr>
                      <a:grpSpPr>
                        <a:xfrm>
                          <a:off x="755576" y="764704"/>
                          <a:ext cx="7920880" cy="4536504"/>
                          <a:chOff x="755576" y="764704"/>
                          <a:chExt cx="7920880" cy="4536504"/>
                        </a:xfrm>
                      </a:grpSpPr>
                      <a:grpSp>
                        <a:nvGrpSpPr>
                          <a:cNvPr id="5" name="Group 104"/>
                          <a:cNvGrpSpPr/>
                        </a:nvGrpSpPr>
                        <a:grpSpPr>
                          <a:xfrm>
                            <a:off x="755576" y="764704"/>
                            <a:ext cx="7920880" cy="4536504"/>
                            <a:chOff x="755576" y="404664"/>
                            <a:chExt cx="7920880" cy="4536504"/>
                          </a:xfrm>
                        </a:grpSpPr>
                        <a:sp>
                          <a:nvSpPr>
                            <a:cNvPr id="4" name="TextBox 3"/>
                            <a:cNvSpPr txBox="1"/>
                          </a:nvSpPr>
                          <a:spPr>
                            <a:xfrm>
                              <a:off x="755576" y="1988840"/>
                              <a:ext cx="1224136" cy="2031325"/>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AU" dirty="0" smtClean="0"/>
                              </a:p>
                              <a:p>
                                <a:pPr algn="ctr"/>
                                <a:r>
                                  <a:rPr lang="en-AU" dirty="0" smtClean="0"/>
                                  <a:t>Landfill emissions</a:t>
                                </a:r>
                              </a:p>
                              <a:p>
                                <a:pPr algn="ctr"/>
                                <a:r>
                                  <a:rPr lang="en-AU" dirty="0" smtClean="0"/>
                                  <a:t>from legacy waste</a:t>
                                </a:r>
                              </a:p>
                              <a:p>
                                <a:pPr algn="ctr"/>
                                <a:endParaRPr lang="en-AU" dirty="0"/>
                              </a:p>
                            </a:txBody>
                            <a:useSpRect/>
                          </a:txSp>
                        </a:sp>
                        <a:cxnSp>
                          <a:nvCxnSpPr>
                            <a:cNvPr id="6" name="Straight Arrow Connector 5"/>
                            <a:cNvCxnSpPr/>
                          </a:nvCxnSpPr>
                          <a:spPr>
                            <a:xfrm>
                              <a:off x="1979712" y="2996952"/>
                              <a:ext cx="108012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 name="Rectangle 6"/>
                            <a:cNvSpPr/>
                          </a:nvSpPr>
                          <a:spPr>
                            <a:xfrm>
                              <a:off x="2339752" y="404664"/>
                              <a:ext cx="4464496" cy="4536504"/>
                            </a:xfrm>
                            <a:prstGeom prst="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TextBox 8"/>
                            <a:cNvSpPr txBox="1"/>
                          </a:nvSpPr>
                          <a:spPr>
                            <a:xfrm>
                              <a:off x="2483768" y="908720"/>
                              <a:ext cx="1368152" cy="1107996"/>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AU" sz="1600" dirty="0" smtClean="0"/>
                              </a:p>
                              <a:p>
                                <a:pPr algn="ctr"/>
                                <a:r>
                                  <a:rPr lang="en-AU" sz="1600" dirty="0" smtClean="0"/>
                                  <a:t>Supplemental fuel</a:t>
                                </a:r>
                              </a:p>
                              <a:p>
                                <a:pPr algn="ctr"/>
                                <a:endParaRPr lang="en-AU" dirty="0"/>
                              </a:p>
                            </a:txBody>
                            <a:useSpRect/>
                          </a:txSp>
                        </a:sp>
                        <a:sp>
                          <a:nvSpPr>
                            <a:cNvPr id="12" name="TextBox 11"/>
                            <a:cNvSpPr txBox="1"/>
                          </a:nvSpPr>
                          <a:spPr>
                            <a:xfrm>
                              <a:off x="3059832" y="2852936"/>
                              <a:ext cx="1440160" cy="830997"/>
                            </a:xfrm>
                            <a:prstGeom prst="rect">
                              <a:avLst/>
                            </a:prstGeom>
                            <a:solidFill>
                              <a:schemeClr val="bg1">
                                <a:lumMod val="7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600" dirty="0" smtClean="0"/>
                                  <a:t>Methane destruction through flare</a:t>
                                </a:r>
                                <a:endParaRPr lang="en-AU" dirty="0"/>
                              </a:p>
                            </a:txBody>
                            <a:useSpRect/>
                          </a:txSp>
                        </a:sp>
                        <a:sp>
                          <a:nvSpPr>
                            <a:cNvPr id="29" name="TextBox 28"/>
                            <a:cNvSpPr txBox="1"/>
                          </a:nvSpPr>
                          <a:spPr>
                            <a:xfrm>
                              <a:off x="3131840" y="4077072"/>
                              <a:ext cx="2880320" cy="584775"/>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600" dirty="0" smtClean="0"/>
                                  <a:t>Emissions from combustion processes </a:t>
                                </a:r>
                                <a:endParaRPr lang="en-AU" dirty="0"/>
                              </a:p>
                            </a:txBody>
                            <a:useSpRect/>
                          </a:txSp>
                        </a:sp>
                        <a:sp>
                          <a:nvSpPr>
                            <a:cNvPr id="62" name="TextBox 61"/>
                            <a:cNvSpPr txBox="1"/>
                          </a:nvSpPr>
                          <a:spPr>
                            <a:xfrm>
                              <a:off x="4716016" y="1700808"/>
                              <a:ext cx="1440160" cy="1569660"/>
                            </a:xfrm>
                            <a:prstGeom prst="rect">
                              <a:avLst/>
                            </a:prstGeom>
                            <a:solidFill>
                              <a:schemeClr val="bg1">
                                <a:lumMod val="7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600" dirty="0" smtClean="0"/>
                                  <a:t>Methane destruction during combustion for energy generation</a:t>
                                </a:r>
                                <a:endParaRPr lang="en-AU" dirty="0"/>
                              </a:p>
                            </a:txBody>
                            <a:useSpRect/>
                          </a:txSp>
                        </a:sp>
                        <a:cxnSp>
                          <a:nvCxnSpPr>
                            <a:cNvPr id="70" name="Straight Arrow Connector 69"/>
                            <a:cNvCxnSpPr/>
                          </a:nvCxnSpPr>
                          <a:spPr>
                            <a:xfrm rot="21540000">
                              <a:off x="1979923" y="2156730"/>
                              <a:ext cx="2736304" cy="47907"/>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8" name="Straight Arrow Connector 77"/>
                            <a:cNvCxnSpPr/>
                          </a:nvCxnSpPr>
                          <a:spPr>
                            <a:xfrm rot="5400000">
                              <a:off x="3599892" y="3897052"/>
                              <a:ext cx="36004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stCxn id="62" idx="2"/>
                            </a:cNvCxnSpPr>
                          </a:nvCxnSpPr>
                          <a:spPr>
                            <a:xfrm rot="5400000">
                              <a:off x="5030956" y="3672722"/>
                              <a:ext cx="807395" cy="2887"/>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3" name="Straight Arrow Connector 82"/>
                            <a:cNvCxnSpPr/>
                          </a:nvCxnSpPr>
                          <a:spPr>
                            <a:xfrm rot="5400000">
                              <a:off x="2879018" y="2456892"/>
                              <a:ext cx="792882" cy="794"/>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5" name="Straight Arrow Connector 84"/>
                            <a:cNvCxnSpPr/>
                          </a:nvCxnSpPr>
                          <a:spPr>
                            <a:xfrm>
                              <a:off x="3851920" y="1916832"/>
                              <a:ext cx="828092" cy="2322"/>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90" name="TextBox 89"/>
                            <a:cNvSpPr txBox="1"/>
                          </a:nvSpPr>
                          <a:spPr>
                            <a:xfrm>
                              <a:off x="7020272" y="2636912"/>
                              <a:ext cx="1656184" cy="2062103"/>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600" dirty="0" smtClean="0"/>
                                  <a:t>Energy which is generated from methane destruction used for gas collection and destruction and other uses on site</a:t>
                                </a:r>
                                <a:endParaRPr lang="en-AU" dirty="0"/>
                              </a:p>
                            </a:txBody>
                            <a:useSpRect/>
                          </a:txSp>
                        </a:sp>
                        <a:sp>
                          <a:nvSpPr>
                            <a:cNvPr id="91" name="TextBox 90"/>
                            <a:cNvSpPr txBox="1"/>
                          </a:nvSpPr>
                          <a:spPr>
                            <a:xfrm>
                              <a:off x="7020272" y="1556792"/>
                              <a:ext cx="1656184" cy="830997"/>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600" dirty="0" smtClean="0"/>
                                  <a:t>Energy exported to the electricity grid </a:t>
                                </a:r>
                                <a:endParaRPr lang="en-AU" dirty="0"/>
                              </a:p>
                            </a:txBody>
                            <a:useSpRect/>
                          </a:txSp>
                        </a:sp>
                        <a:cxnSp>
                          <a:nvCxnSpPr>
                            <a:cNvPr id="101" name="Straight Arrow Connector 100"/>
                            <a:cNvCxnSpPr/>
                          </a:nvCxnSpPr>
                          <a:spPr>
                            <a:xfrm>
                              <a:off x="6156176" y="2708920"/>
                              <a:ext cx="864097"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2" name="Straight Arrow Connector 101"/>
                            <a:cNvCxnSpPr/>
                          </a:nvCxnSpPr>
                          <a:spPr>
                            <a:xfrm flipV="1">
                              <a:off x="6156176" y="1980462"/>
                              <a:ext cx="864169" cy="837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sp>
                        <a:nvSpPr>
                          <a:cNvPr id="109" name="TextBox 108"/>
                          <a:cNvSpPr txBox="1"/>
                        </a:nvSpPr>
                        <a:spPr>
                          <a:xfrm>
                            <a:off x="4139952" y="869811"/>
                            <a:ext cx="2376264" cy="830997"/>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600" dirty="0" smtClean="0"/>
                                <a:t>Grid-derived electricity and/or fuel used for gas capture and combustion</a:t>
                              </a:r>
                              <a:endParaRPr lang="en-AU" dirty="0"/>
                            </a:p>
                          </a:txBody>
                          <a:useSpRect/>
                        </a:txSp>
                      </a:sp>
                      <a:cxnSp>
                        <a:nvCxnSpPr>
                          <a:cNvPr id="112" name="Straight Arrow Connector 111"/>
                          <a:cNvCxnSpPr/>
                        </a:nvCxnSpPr>
                        <a:spPr>
                          <a:xfrm rot="17580000" flipH="1">
                            <a:off x="5274648" y="1848162"/>
                            <a:ext cx="227106" cy="9579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16" name="Straight Arrow Connector 115"/>
                          <a:cNvCxnSpPr/>
                        </a:nvCxnSpPr>
                        <a:spPr>
                          <a:xfrm rot="10680000">
                            <a:off x="6156516" y="3228043"/>
                            <a:ext cx="864096" cy="34554"/>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17" name="Straight Arrow Connector 116"/>
                          <a:cNvCxnSpPr/>
                        </a:nvCxnSpPr>
                        <a:spPr>
                          <a:xfrm rot="10800000">
                            <a:off x="4499994" y="3916344"/>
                            <a:ext cx="2520279" cy="16712"/>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cxnSp>
                      <a:nvCxnSpPr>
                        <a:cNvPr id="125" name="Straight Arrow Connector 124"/>
                        <a:cNvCxnSpPr/>
                      </a:nvCxnSpPr>
                      <a:spPr>
                        <a:xfrm rot="5400000">
                          <a:off x="3671503" y="2529297"/>
                          <a:ext cx="1368946"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cxnSp>
                    <a:nvCxnSpPr>
                      <a:cNvPr id="30" name="Straight Connector 29"/>
                      <a:cNvCxnSpPr/>
                    </a:nvCxnSpPr>
                    <a:spPr>
                      <a:xfrm>
                        <a:off x="2411760" y="5589240"/>
                        <a:ext cx="432048" cy="0"/>
                      </a:xfrm>
                      <a:prstGeom prst="line">
                        <a:avLst/>
                      </a:prstGeom>
                      <a:ln w="22225">
                        <a:solidFill>
                          <a:schemeClr val="tx1"/>
                        </a:solidFill>
                        <a:prstDash val="dash"/>
                      </a:ln>
                    </a:spPr>
                    <a:style>
                      <a:lnRef idx="1">
                        <a:schemeClr val="accent1"/>
                      </a:lnRef>
                      <a:fillRef idx="0">
                        <a:schemeClr val="accent1"/>
                      </a:fillRef>
                      <a:effectRef idx="0">
                        <a:schemeClr val="accent1"/>
                      </a:effectRef>
                      <a:fontRef idx="minor">
                        <a:schemeClr val="tx1"/>
                      </a:fontRef>
                    </a:style>
                  </a:cxnSp>
                  <a:sp>
                    <a:nvSpPr>
                      <a:cNvPr id="31" name="TextBox 30"/>
                      <a:cNvSpPr txBox="1"/>
                    </a:nvSpPr>
                    <a:spPr>
                      <a:xfrm>
                        <a:off x="2915816" y="5445224"/>
                        <a:ext cx="3888432"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1200" dirty="0" smtClean="0"/>
                            <a:t>Greenhouse gas assessment boundary</a:t>
                          </a:r>
                          <a:endParaRPr lang="en-AU" sz="1200" dirty="0"/>
                        </a:p>
                      </a:txBody>
                      <a:useSpRect/>
                    </a:txSp>
                  </a:sp>
                  <a:sp>
                    <a:nvSpPr>
                      <a:cNvPr id="32" name="TextBox 31"/>
                      <a:cNvSpPr txBox="1"/>
                    </a:nvSpPr>
                    <a:spPr>
                      <a:xfrm>
                        <a:off x="2339752" y="5805264"/>
                        <a:ext cx="504056" cy="261610"/>
                      </a:xfrm>
                      <a:prstGeom prst="rect">
                        <a:avLst/>
                      </a:prstGeom>
                      <a:solidFill>
                        <a:schemeClr val="bg1">
                          <a:lumMod val="7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AU" sz="1100" dirty="0"/>
                        </a:p>
                      </a:txBody>
                      <a:useSpRect/>
                    </a:txSp>
                  </a:sp>
                  <a:sp>
                    <a:nvSpPr>
                      <a:cNvPr id="36" name="TextBox 35"/>
                      <a:cNvSpPr txBox="1"/>
                    </a:nvSpPr>
                    <a:spPr>
                      <a:xfrm>
                        <a:off x="2915816" y="5805264"/>
                        <a:ext cx="4248472"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1200" dirty="0" smtClean="0"/>
                            <a:t>Activities that contribute to greenhouse gas abatement</a:t>
                          </a:r>
                          <a:endParaRPr lang="en-AU" sz="1200" dirty="0"/>
                        </a:p>
                      </a:txBody>
                      <a:useSpRect/>
                    </a:txSp>
                  </a:sp>
                </lc:lockedCanvas>
              </a:graphicData>
            </a:graphic>
          </wp:inline>
        </w:drawing>
      </w:r>
    </w:p>
    <w:p w:rsidR="0002707F" w:rsidRDefault="0002707F" w:rsidP="0002707F">
      <w:pPr>
        <w:pStyle w:val="Default"/>
        <w:spacing w:before="240" w:after="240"/>
        <w:rPr>
          <w:rFonts w:ascii="Times New Roman" w:hAnsi="Times New Roman" w:cs="Times New Roman"/>
        </w:rPr>
      </w:pPr>
    </w:p>
    <w:p w:rsidR="0002707F" w:rsidRDefault="0002707F" w:rsidP="0002707F">
      <w:pPr>
        <w:pStyle w:val="Default"/>
        <w:spacing w:before="240" w:after="240"/>
        <w:rPr>
          <w:rFonts w:ascii="Times New Roman" w:hAnsi="Times New Roman" w:cs="Times New Roman"/>
        </w:rPr>
      </w:pPr>
      <w:r>
        <w:rPr>
          <w:rFonts w:ascii="Times New Roman" w:hAnsi="Times New Roman" w:cs="Times New Roman"/>
        </w:rPr>
        <w:t>The greenhouse gas assessment boundary does not include the greenhouse gas emissions from landfill waste, as it is not required for the purpose of calculating the abatement from the methane captured and destroyed. However, an estimate of the emissions from the landfill waste is required for the purpose of calculating the proportion of methane generated from legacy waste.</w:t>
      </w:r>
    </w:p>
    <w:p w:rsidR="0002707F" w:rsidRDefault="0002707F" w:rsidP="0002707F">
      <w:pPr>
        <w:pStyle w:val="Default"/>
        <w:spacing w:before="240" w:after="240"/>
        <w:rPr>
          <w:rFonts w:ascii="Times New Roman" w:hAnsi="Times New Roman" w:cs="Times New Roman"/>
        </w:rPr>
      </w:pPr>
      <w:r>
        <w:rPr>
          <w:rFonts w:ascii="Times New Roman" w:hAnsi="Times New Roman" w:cs="Times New Roman"/>
        </w:rPr>
        <w:t>The greenhouse gas assessment boundary does not include carbon dioxide emissions reductions associated with displacing fossil fuel derived electricity because this is not an eligible source of abatement for crediting under the CFI.</w:t>
      </w:r>
      <w:r w:rsidRPr="00F737D7">
        <w:rPr>
          <w:rFonts w:ascii="Times New Roman" w:hAnsi="Times New Roman" w:cs="Times New Roman"/>
        </w:rPr>
        <w:t xml:space="preserve"> </w:t>
      </w:r>
      <w:r>
        <w:rPr>
          <w:rFonts w:ascii="Times New Roman" w:hAnsi="Times New Roman" w:cs="Times New Roman"/>
        </w:rPr>
        <w:t>Scope 2 emissions from energy used for gas capture and combustion are not included in the greenhouse gas assessment boundary in circumstances where the energy used is generated from methane combustion on-site, as the scope 1 fugitive emissions from the combustion process are already included in the greenhouse gas assessment boundary.</w:t>
      </w:r>
    </w:p>
    <w:p w:rsidR="0002707F" w:rsidRPr="00E401E0" w:rsidRDefault="0002707F" w:rsidP="00E401E0">
      <w:pPr>
        <w:pStyle w:val="Default"/>
        <w:spacing w:before="240" w:after="240"/>
        <w:rPr>
          <w:rFonts w:ascii="Times New Roman" w:hAnsi="Times New Roman" w:cs="Times New Roman"/>
        </w:rPr>
      </w:pPr>
      <w:r>
        <w:rPr>
          <w:rFonts w:ascii="Times New Roman" w:hAnsi="Times New Roman" w:cs="Times New Roman"/>
        </w:rPr>
        <w:t xml:space="preserve">The carbon dioxide emissions associated with the generation and combustion of landfill gas are considered biogenic, that is, biological capture balances over a sufficiently short time period, such that release of the carbon dioxide can be considered to have no net impact on atmospheric greenhouse gas levels. Consequently these emissions are not included in the greenhouse gas assessment boundary. </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3.3</w:t>
      </w:r>
      <w:r w:rsidRPr="00F737D7">
        <w:rPr>
          <w:rFonts w:ascii="Times New Roman" w:hAnsi="Times New Roman"/>
          <w:sz w:val="24"/>
          <w:szCs w:val="24"/>
          <w:u w:val="single"/>
        </w:rPr>
        <w:tab/>
        <w:t xml:space="preserve">Calculating the baseline for </w:t>
      </w:r>
      <w:r w:rsidR="00936695">
        <w:rPr>
          <w:rFonts w:ascii="Times New Roman" w:hAnsi="Times New Roman"/>
          <w:sz w:val="24"/>
          <w:szCs w:val="24"/>
          <w:u w:val="single"/>
        </w:rPr>
        <w:t>the offsets</w:t>
      </w:r>
      <w:r w:rsidRPr="00F737D7">
        <w:rPr>
          <w:rFonts w:ascii="Times New Roman" w:hAnsi="Times New Roman"/>
          <w:sz w:val="24"/>
          <w:szCs w:val="24"/>
          <w:u w:val="single"/>
        </w:rPr>
        <w:t xml:space="preserve"> project</w:t>
      </w:r>
    </w:p>
    <w:p w:rsidR="0051135E" w:rsidRDefault="0051135E" w:rsidP="0051135E">
      <w:pPr>
        <w:spacing w:before="240" w:after="240" w:line="240" w:lineRule="auto"/>
        <w:rPr>
          <w:rFonts w:ascii="Times New Roman" w:hAnsi="Times New Roman"/>
          <w:b/>
          <w:bCs/>
          <w:sz w:val="24"/>
          <w:szCs w:val="24"/>
        </w:rPr>
      </w:pPr>
      <w:r>
        <w:rPr>
          <w:rFonts w:ascii="Times New Roman" w:hAnsi="Times New Roman"/>
          <w:sz w:val="24"/>
          <w:szCs w:val="24"/>
        </w:rPr>
        <w:t xml:space="preserve">This section specifies the process for identifying a project baseline as required under paragraph 106 (4) (f) of the Act. </w:t>
      </w:r>
      <w:r w:rsidRPr="000A7903">
        <w:rPr>
          <w:rFonts w:ascii="Times New Roman" w:hAnsi="Times New Roman"/>
          <w:bCs/>
          <w:sz w:val="24"/>
          <w:szCs w:val="24"/>
        </w:rPr>
        <w:t>The project baseline is the amount of methane that would have been emitted from the landfill in the absence of the project.</w:t>
      </w:r>
      <w:r>
        <w:rPr>
          <w:rFonts w:ascii="Times New Roman" w:hAnsi="Times New Roman"/>
          <w:b/>
          <w:bCs/>
          <w:sz w:val="24"/>
          <w:szCs w:val="24"/>
        </w:rPr>
        <w:t xml:space="preserve"> </w:t>
      </w:r>
    </w:p>
    <w:p w:rsidR="00E401E0" w:rsidRPr="00512215" w:rsidRDefault="007370B0" w:rsidP="00512215">
      <w:pPr>
        <w:pStyle w:val="Default"/>
        <w:tabs>
          <w:tab w:val="left" w:pos="0"/>
        </w:tabs>
        <w:spacing w:before="240" w:after="240"/>
        <w:rPr>
          <w:rFonts w:ascii="Times New Roman" w:hAnsi="Times New Roman" w:cs="Times New Roman"/>
        </w:rPr>
      </w:pPr>
      <w:r w:rsidRPr="001C074D">
        <w:rPr>
          <w:rFonts w:ascii="Times New Roman" w:hAnsi="Times New Roman" w:cs="Times New Roman"/>
        </w:rPr>
        <w:t xml:space="preserve">The proportion of methane that is required to be captured or destroyed to meet regulatory requirements must be calculated in accordance with the </w:t>
      </w:r>
      <w:r w:rsidRPr="007370B0">
        <w:rPr>
          <w:rFonts w:ascii="Times New Roman" w:hAnsi="Times New Roman" w:cs="Times New Roman"/>
          <w:i/>
        </w:rPr>
        <w:t xml:space="preserve">Guidelines for Calculating Regulatory Baselines for Legacy Waste </w:t>
      </w:r>
      <w:r w:rsidR="00314AD7">
        <w:rPr>
          <w:rFonts w:ascii="Times New Roman" w:hAnsi="Times New Roman" w:cs="Times New Roman"/>
          <w:i/>
        </w:rPr>
        <w:t xml:space="preserve">Landfill Methane </w:t>
      </w:r>
      <w:r w:rsidRPr="007370B0">
        <w:rPr>
          <w:rFonts w:ascii="Times New Roman" w:hAnsi="Times New Roman" w:cs="Times New Roman"/>
          <w:i/>
        </w:rPr>
        <w:t>Projects</w:t>
      </w:r>
      <w:r w:rsidRPr="001C074D">
        <w:rPr>
          <w:rFonts w:ascii="Times New Roman" w:hAnsi="Times New Roman" w:cs="Times New Roman"/>
        </w:rPr>
        <w:t xml:space="preserve"> </w:t>
      </w:r>
      <w:r>
        <w:rPr>
          <w:rFonts w:ascii="Times New Roman" w:hAnsi="Times New Roman" w:cs="Times New Roman"/>
        </w:rPr>
        <w:t>(the Guidelines).</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 xml:space="preserve">Division 3.2 </w:t>
      </w:r>
      <w:r w:rsidRPr="00F737D7">
        <w:rPr>
          <w:rFonts w:ascii="Times New Roman" w:hAnsi="Times New Roman"/>
          <w:b/>
          <w:sz w:val="24"/>
          <w:szCs w:val="24"/>
        </w:rPr>
        <w:tab/>
        <w:t>Calculations</w:t>
      </w:r>
    </w:p>
    <w:p w:rsidR="0002707F" w:rsidRDefault="0002707F" w:rsidP="0002707F">
      <w:pPr>
        <w:spacing w:before="240" w:after="240" w:line="240" w:lineRule="auto"/>
        <w:rPr>
          <w:rFonts w:ascii="Times New Roman" w:hAnsi="Times New Roman"/>
          <w:sz w:val="24"/>
          <w:szCs w:val="24"/>
        </w:rPr>
      </w:pPr>
      <w:r w:rsidRPr="00BC473F">
        <w:rPr>
          <w:rFonts w:ascii="Times New Roman" w:hAnsi="Times New Roman"/>
          <w:sz w:val="24"/>
          <w:szCs w:val="24"/>
        </w:rPr>
        <w:t>This Division includes a detailed description of the formulas used for calculating net greenhouse gas abatement and explanations of the parameters included in each formula, along with a description of how each parameter is derived</w:t>
      </w:r>
      <w:r>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The calculations allow for calculation of the combustion of legacy waste using two types of combustion devices, being flares (open or enclosed) and internal combustion engines.</w:t>
      </w:r>
    </w:p>
    <w:p w:rsidR="0002707F" w:rsidRDefault="0002707F" w:rsidP="0002707F">
      <w:pPr>
        <w:spacing w:before="240" w:after="240" w:line="240" w:lineRule="auto"/>
        <w:rPr>
          <w:rFonts w:ascii="Times New Roman" w:hAnsi="Times New Roman"/>
          <w:sz w:val="24"/>
          <w:szCs w:val="24"/>
          <w:u w:val="single"/>
        </w:rPr>
      </w:pPr>
      <w:r w:rsidRPr="00172829">
        <w:rPr>
          <w:rFonts w:ascii="Times New Roman" w:hAnsi="Times New Roman"/>
          <w:sz w:val="24"/>
          <w:szCs w:val="24"/>
          <w:u w:val="single"/>
        </w:rPr>
        <w:t>General</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A number of the calculations require the use of a factor or parameter prescribed in the </w:t>
      </w:r>
      <w:r>
        <w:rPr>
          <w:rFonts w:ascii="Times New Roman" w:hAnsi="Times New Roman"/>
          <w:i/>
          <w:iCs/>
          <w:sz w:val="24"/>
          <w:szCs w:val="24"/>
        </w:rPr>
        <w:t>National Greenhouse and Energy Reporting (Measurement) Determination 2008</w:t>
      </w:r>
      <w:r>
        <w:rPr>
          <w:rFonts w:ascii="Times New Roman" w:hAnsi="Times New Roman"/>
          <w:sz w:val="24"/>
          <w:szCs w:val="24"/>
        </w:rPr>
        <w:t xml:space="preserve"> (NGER Measurement Determination) and the </w:t>
      </w:r>
      <w:r>
        <w:rPr>
          <w:rFonts w:ascii="Times New Roman" w:hAnsi="Times New Roman"/>
          <w:i/>
          <w:iCs/>
          <w:sz w:val="24"/>
          <w:szCs w:val="24"/>
        </w:rPr>
        <w:t>National Greenhouse and Energy Reporting Regulations 2008</w:t>
      </w:r>
      <w:r>
        <w:rPr>
          <w:rFonts w:ascii="Times New Roman" w:hAnsi="Times New Roman"/>
          <w:sz w:val="24"/>
          <w:szCs w:val="24"/>
        </w:rPr>
        <w:t xml:space="preserve"> (NGER Regulations), both of which are amended from time to time.  </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Subsection 3.1 (2) of the Methodology Determination establishes that calculations under this Division must use the factor or parameter which is prescribed in the relevant NGER Measurement Determination or the NGER Regulations in force at the time the report is submitted or is required, whichever is earlier.  This is the case even if a different value was in effect for the factor or parameter earlier in the reporting period.  </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This approach is varied in the case of an offset project which is related to a facility with reporting obligations under the </w:t>
      </w:r>
      <w:r>
        <w:rPr>
          <w:rFonts w:ascii="Times New Roman" w:hAnsi="Times New Roman"/>
          <w:i/>
          <w:iCs/>
          <w:sz w:val="24"/>
          <w:szCs w:val="24"/>
        </w:rPr>
        <w:t xml:space="preserve">National Greenhouse and Energy Reporting Act 2007 </w:t>
      </w:r>
      <w:r>
        <w:rPr>
          <w:rFonts w:ascii="Times New Roman" w:hAnsi="Times New Roman"/>
          <w:iCs/>
          <w:sz w:val="24"/>
          <w:szCs w:val="24"/>
        </w:rPr>
        <w:t>(NGER</w:t>
      </w:r>
      <w:r w:rsidR="00EA51C3">
        <w:rPr>
          <w:rFonts w:ascii="Times New Roman" w:hAnsi="Times New Roman"/>
          <w:iCs/>
          <w:sz w:val="24"/>
          <w:szCs w:val="24"/>
        </w:rPr>
        <w:t> </w:t>
      </w:r>
      <w:r>
        <w:rPr>
          <w:rFonts w:ascii="Times New Roman" w:hAnsi="Times New Roman"/>
          <w:iCs/>
          <w:sz w:val="24"/>
          <w:szCs w:val="24"/>
        </w:rPr>
        <w:t>Act)</w:t>
      </w:r>
      <w:r>
        <w:rPr>
          <w:rFonts w:ascii="Times New Roman" w:hAnsi="Times New Roman"/>
          <w:i/>
          <w:iCs/>
          <w:sz w:val="24"/>
          <w:szCs w:val="24"/>
        </w:rPr>
        <w:t xml:space="preserve">. </w:t>
      </w:r>
      <w:r w:rsidRPr="00CF5B1F">
        <w:rPr>
          <w:rFonts w:ascii="Times New Roman" w:hAnsi="Times New Roman"/>
          <w:iCs/>
          <w:sz w:val="24"/>
          <w:szCs w:val="24"/>
        </w:rPr>
        <w:t>In this case,</w:t>
      </w:r>
      <w:r>
        <w:rPr>
          <w:rFonts w:ascii="Times New Roman" w:hAnsi="Times New Roman"/>
          <w:i/>
          <w:iCs/>
          <w:sz w:val="24"/>
          <w:szCs w:val="24"/>
        </w:rPr>
        <w:t xml:space="preserve"> </w:t>
      </w:r>
      <w:r w:rsidRPr="00CF5B1F">
        <w:rPr>
          <w:rFonts w:ascii="Times New Roman" w:hAnsi="Times New Roman"/>
          <w:iCs/>
          <w:sz w:val="24"/>
          <w:szCs w:val="24"/>
        </w:rPr>
        <w:t xml:space="preserve">the </w:t>
      </w:r>
      <w:r>
        <w:rPr>
          <w:rFonts w:ascii="Times New Roman" w:hAnsi="Times New Roman"/>
          <w:sz w:val="24"/>
          <w:szCs w:val="24"/>
        </w:rPr>
        <w:t xml:space="preserve">factor or parameter used in the report under the NGER Act must also be used in the calculations done under this Division. This is to ensure that a person with reporting obligations under the NGER Act uses consistent values in their reports under the Act.  </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The current factors and values (applicable at the time of making the Methodology Determination) are listed in the following table:</w:t>
      </w:r>
    </w:p>
    <w:tbl>
      <w:tblPr>
        <w:tblStyle w:val="TableGrid"/>
        <w:tblW w:w="0" w:type="auto"/>
        <w:tblInd w:w="108" w:type="dxa"/>
        <w:tblLook w:val="04A0"/>
      </w:tblPr>
      <w:tblGrid>
        <w:gridCol w:w="1358"/>
        <w:gridCol w:w="4356"/>
        <w:gridCol w:w="3054"/>
      </w:tblGrid>
      <w:tr w:rsidR="0002707F" w:rsidTr="00FA6B5F">
        <w:trPr>
          <w:trHeight w:val="1312"/>
        </w:trPr>
        <w:tc>
          <w:tcPr>
            <w:tcW w:w="1358" w:type="dxa"/>
            <w:shd w:val="clear" w:color="auto" w:fill="auto"/>
          </w:tcPr>
          <w:p w:rsidR="0002707F" w:rsidRDefault="0002707F" w:rsidP="001D2002">
            <w:pPr>
              <w:spacing w:before="240" w:after="240"/>
              <w:rPr>
                <w:rFonts w:ascii="Times New Roman" w:hAnsi="Times New Roman"/>
                <w:b/>
                <w:sz w:val="24"/>
                <w:szCs w:val="24"/>
              </w:rPr>
            </w:pPr>
            <w:r w:rsidRPr="006F1F1B">
              <w:rPr>
                <w:rFonts w:ascii="Times New Roman" w:hAnsi="Times New Roman"/>
                <w:b/>
                <w:sz w:val="24"/>
                <w:szCs w:val="24"/>
              </w:rPr>
              <w:t>Factor or Parameter</w:t>
            </w:r>
          </w:p>
        </w:tc>
        <w:tc>
          <w:tcPr>
            <w:tcW w:w="4356" w:type="dxa"/>
            <w:shd w:val="clear" w:color="auto" w:fill="auto"/>
          </w:tcPr>
          <w:p w:rsidR="0002707F" w:rsidRDefault="0002707F" w:rsidP="00160ED0">
            <w:pPr>
              <w:spacing w:before="240" w:after="240"/>
              <w:jc w:val="center"/>
              <w:rPr>
                <w:rFonts w:ascii="Times New Roman" w:hAnsi="Times New Roman"/>
                <w:b/>
                <w:sz w:val="24"/>
                <w:szCs w:val="24"/>
              </w:rPr>
            </w:pPr>
            <w:r w:rsidRPr="006F1F1B">
              <w:rPr>
                <w:rFonts w:ascii="Times New Roman" w:hAnsi="Times New Roman"/>
                <w:b/>
                <w:sz w:val="24"/>
                <w:szCs w:val="24"/>
              </w:rPr>
              <w:t>Reference</w:t>
            </w:r>
          </w:p>
        </w:tc>
        <w:tc>
          <w:tcPr>
            <w:tcW w:w="3054" w:type="dxa"/>
            <w:shd w:val="clear" w:color="auto" w:fill="auto"/>
          </w:tcPr>
          <w:p w:rsidR="0002707F" w:rsidRDefault="0002707F" w:rsidP="00160ED0">
            <w:pPr>
              <w:spacing w:before="240" w:after="240"/>
              <w:jc w:val="center"/>
              <w:rPr>
                <w:rFonts w:ascii="Times New Roman" w:hAnsi="Times New Roman"/>
                <w:b/>
                <w:sz w:val="24"/>
                <w:szCs w:val="24"/>
              </w:rPr>
            </w:pPr>
            <w:r w:rsidRPr="006F1F1B">
              <w:rPr>
                <w:rFonts w:ascii="Times New Roman" w:hAnsi="Times New Roman"/>
                <w:b/>
                <w:sz w:val="24"/>
                <w:szCs w:val="24"/>
              </w:rPr>
              <w:t>Value of Factor or Parameter at 1 January 2012</w:t>
            </w:r>
          </w:p>
        </w:tc>
      </w:tr>
      <w:tr w:rsidR="0002707F" w:rsidTr="00FA6B5F">
        <w:trPr>
          <w:trHeight w:val="1581"/>
        </w:trPr>
        <w:tc>
          <w:tcPr>
            <w:tcW w:w="1358" w:type="dxa"/>
            <w:shd w:val="clear" w:color="auto" w:fill="auto"/>
          </w:tcPr>
          <w:p w:rsidR="0002707F" w:rsidRDefault="0002707F" w:rsidP="001D2002">
            <w:pPr>
              <w:spacing w:before="240" w:after="240"/>
              <w:rPr>
                <w:rFonts w:ascii="Times New Roman" w:hAnsi="Times New Roman"/>
                <w:sz w:val="24"/>
                <w:szCs w:val="24"/>
              </w:rPr>
            </w:pPr>
            <m:oMathPara>
              <m:oMath>
                <m:r>
                  <m:rPr>
                    <m:sty m:val="b"/>
                  </m:rPr>
                  <w:rPr>
                    <w:rFonts w:ascii="Cambria Math" w:hAnsi="Cambria Math"/>
                    <w:sz w:val="24"/>
                    <w:szCs w:val="24"/>
                  </w:rPr>
                  <m:t>γ</m:t>
                </m:r>
              </m:oMath>
            </m:oMathPara>
          </w:p>
        </w:tc>
        <w:tc>
          <w:tcPr>
            <w:tcW w:w="4356" w:type="dxa"/>
            <w:shd w:val="clear" w:color="auto" w:fill="auto"/>
          </w:tcPr>
          <w:p w:rsidR="002E7E74" w:rsidRDefault="0002707F">
            <w:pPr>
              <w:spacing w:before="240" w:after="240"/>
              <w:rPr>
                <w:rFonts w:ascii="Times New Roman" w:hAnsi="Times New Roman"/>
                <w:sz w:val="24"/>
                <w:szCs w:val="24"/>
                <w:lang w:eastAsia="en-US"/>
              </w:rPr>
            </w:pPr>
            <w:r w:rsidRPr="006B15F4">
              <w:rPr>
                <w:rFonts w:ascii="Times New Roman" w:hAnsi="Times New Roman"/>
                <w:sz w:val="24"/>
                <w:szCs w:val="24"/>
              </w:rPr>
              <w:t>The factor converting cubic metres of methane at standard conditions to tonnes of CO</w:t>
            </w:r>
            <w:r w:rsidRPr="006B15F4">
              <w:rPr>
                <w:rFonts w:ascii="Times New Roman" w:hAnsi="Times New Roman"/>
                <w:sz w:val="24"/>
                <w:szCs w:val="24"/>
                <w:vertAlign w:val="subscript"/>
              </w:rPr>
              <w:t>2</w:t>
            </w:r>
            <w:r w:rsidR="004259F7" w:rsidRPr="008C2EAB">
              <w:t>-</w:t>
            </w:r>
            <w:r w:rsidRPr="006B15F4">
              <w:rPr>
                <w:rFonts w:ascii="Times New Roman" w:hAnsi="Times New Roman"/>
                <w:sz w:val="24"/>
                <w:szCs w:val="24"/>
              </w:rPr>
              <w:t xml:space="preserve">e as stated in the </w:t>
            </w:r>
            <w:r w:rsidRPr="006F791B">
              <w:rPr>
                <w:rFonts w:ascii="Times New Roman" w:hAnsi="Times New Roman"/>
                <w:sz w:val="24"/>
                <w:szCs w:val="24"/>
              </w:rPr>
              <w:t xml:space="preserve">NGER Measurement Determination </w:t>
            </w:r>
            <w:r w:rsidRPr="006B15F4">
              <w:rPr>
                <w:rFonts w:ascii="Times New Roman" w:hAnsi="Times New Roman"/>
                <w:sz w:val="24"/>
                <w:szCs w:val="24"/>
              </w:rPr>
              <w:t>Part 5.2</w:t>
            </w:r>
          </w:p>
        </w:tc>
        <w:tc>
          <w:tcPr>
            <w:tcW w:w="3054" w:type="dxa"/>
            <w:shd w:val="clear" w:color="auto" w:fill="auto"/>
          </w:tcPr>
          <w:p w:rsidR="0002707F" w:rsidRDefault="0002707F" w:rsidP="00160ED0">
            <w:pPr>
              <w:spacing w:before="240" w:after="240"/>
              <w:jc w:val="center"/>
              <w:rPr>
                <w:rFonts w:ascii="Times New Roman" w:hAnsi="Times New Roman"/>
                <w:sz w:val="24"/>
                <w:szCs w:val="24"/>
              </w:rPr>
            </w:pPr>
            <w:r w:rsidRPr="00031E92">
              <w:rPr>
                <w:rFonts w:ascii="Times New Roman" w:hAnsi="Times New Roman"/>
                <w:sz w:val="24"/>
                <w:szCs w:val="24"/>
              </w:rPr>
              <w:t>6.784 x 10</w:t>
            </w:r>
            <w:r w:rsidRPr="00031E92">
              <w:rPr>
                <w:rFonts w:ascii="Times New Roman" w:hAnsi="Times New Roman"/>
                <w:sz w:val="24"/>
                <w:szCs w:val="24"/>
                <w:vertAlign w:val="superscript"/>
              </w:rPr>
              <w:t>-4</w:t>
            </w:r>
            <w:r w:rsidRPr="00031E92">
              <w:rPr>
                <w:rFonts w:ascii="Times New Roman" w:hAnsi="Times New Roman"/>
                <w:sz w:val="24"/>
                <w:szCs w:val="24"/>
              </w:rPr>
              <w:t xml:space="preserve"> </w:t>
            </w:r>
            <m:oMath>
              <m:r>
                <m:rPr>
                  <m:sty m:val="b"/>
                </m:rPr>
                <w:rPr>
                  <w:rFonts w:ascii="Cambria Math" w:hAnsi="Times New Roman"/>
                  <w:sz w:val="24"/>
                  <w:szCs w:val="24"/>
                </w:rPr>
                <m:t>×</m:t>
              </m:r>
            </m:oMath>
            <w:r w:rsidRPr="00031E92">
              <w:rPr>
                <w:rFonts w:ascii="Times New Roman" w:hAnsi="Times New Roman"/>
                <w:sz w:val="24"/>
                <w:szCs w:val="24"/>
              </w:rPr>
              <w:t xml:space="preserve"> 21</w:t>
            </w:r>
          </w:p>
        </w:tc>
      </w:tr>
      <w:tr w:rsidR="0002707F" w:rsidTr="00FA6B5F">
        <w:trPr>
          <w:trHeight w:val="1312"/>
        </w:trPr>
        <w:tc>
          <w:tcPr>
            <w:tcW w:w="1358" w:type="dxa"/>
            <w:shd w:val="clear" w:color="auto" w:fill="auto"/>
          </w:tcPr>
          <w:p w:rsidR="0002707F" w:rsidRDefault="0002707F" w:rsidP="001D2002">
            <w:pPr>
              <w:spacing w:before="240" w:after="240"/>
              <w:rPr>
                <w:rFonts w:ascii="Times New Roman" w:hAnsi="Times New Roman"/>
                <w:sz w:val="24"/>
                <w:szCs w:val="24"/>
              </w:rPr>
            </w:pPr>
            <m:oMathPara>
              <m:oMath>
                <m:r>
                  <m:rPr>
                    <m:sty m:val="b"/>
                  </m:rPr>
                  <w:rPr>
                    <w:rFonts w:ascii="Cambria Math" w:hAnsi="Cambria Math"/>
                    <w:sz w:val="24"/>
                    <w:szCs w:val="24"/>
                  </w:rPr>
                  <m:t>OF</m:t>
                </m:r>
              </m:oMath>
            </m:oMathPara>
          </w:p>
        </w:tc>
        <w:tc>
          <w:tcPr>
            <w:tcW w:w="4356" w:type="dxa"/>
            <w:shd w:val="clear" w:color="auto" w:fill="auto"/>
          </w:tcPr>
          <w:p w:rsidR="002E7E74" w:rsidRDefault="0002707F">
            <w:pPr>
              <w:spacing w:before="240" w:after="240"/>
              <w:rPr>
                <w:rFonts w:ascii="Times New Roman" w:hAnsi="Times New Roman"/>
                <w:sz w:val="24"/>
                <w:szCs w:val="24"/>
                <w:lang w:eastAsia="en-US"/>
              </w:rPr>
            </w:pPr>
            <w:r w:rsidRPr="006B15F4">
              <w:rPr>
                <w:rFonts w:ascii="Times New Roman" w:hAnsi="Times New Roman"/>
                <w:sz w:val="24"/>
                <w:szCs w:val="24"/>
              </w:rPr>
              <w:t xml:space="preserve">The oxidation factor for near surface methane in a landfill as stated in the </w:t>
            </w:r>
            <w:r w:rsidRPr="006F791B">
              <w:rPr>
                <w:rFonts w:ascii="Times New Roman" w:hAnsi="Times New Roman"/>
                <w:sz w:val="24"/>
                <w:szCs w:val="24"/>
              </w:rPr>
              <w:t>NGER Measurement Determination</w:t>
            </w:r>
            <w:r w:rsidRPr="006B15F4">
              <w:rPr>
                <w:rFonts w:ascii="Times New Roman" w:hAnsi="Times New Roman"/>
                <w:sz w:val="24"/>
                <w:szCs w:val="24"/>
              </w:rPr>
              <w:t xml:space="preserve"> Part 5.2</w:t>
            </w:r>
          </w:p>
        </w:tc>
        <w:tc>
          <w:tcPr>
            <w:tcW w:w="3054" w:type="dxa"/>
            <w:shd w:val="clear" w:color="auto" w:fill="auto"/>
          </w:tcPr>
          <w:p w:rsidR="0002707F" w:rsidRDefault="0002707F" w:rsidP="00160ED0">
            <w:pPr>
              <w:spacing w:before="240" w:after="240"/>
              <w:jc w:val="center"/>
              <w:rPr>
                <w:rFonts w:ascii="Times New Roman" w:hAnsi="Times New Roman"/>
                <w:sz w:val="24"/>
                <w:szCs w:val="24"/>
              </w:rPr>
            </w:pPr>
            <w:r w:rsidRPr="00031E92">
              <w:rPr>
                <w:rFonts w:ascii="Times New Roman" w:hAnsi="Times New Roman"/>
                <w:sz w:val="24"/>
                <w:szCs w:val="24"/>
              </w:rPr>
              <w:t>0.1</w:t>
            </w:r>
          </w:p>
        </w:tc>
      </w:tr>
      <w:tr w:rsidR="0002707F" w:rsidTr="00FA6B5F">
        <w:trPr>
          <w:trHeight w:val="1581"/>
        </w:trPr>
        <w:tc>
          <w:tcPr>
            <w:tcW w:w="1358" w:type="dxa"/>
            <w:shd w:val="clear" w:color="auto" w:fill="auto"/>
          </w:tcPr>
          <w:p w:rsidR="0002707F" w:rsidRDefault="0002707F" w:rsidP="00160ED0">
            <w:pPr>
              <w:spacing w:before="240" w:after="240"/>
              <w:jc w:val="center"/>
              <w:rPr>
                <w:rFonts w:ascii="Times New Roman" w:hAnsi="Times New Roman"/>
                <w:sz w:val="24"/>
                <w:szCs w:val="24"/>
              </w:rPr>
            </w:pPr>
            <w:r w:rsidRPr="006B15F4">
              <w:rPr>
                <w:rFonts w:ascii="Times New Roman" w:hAnsi="Times New Roman"/>
                <w:b/>
                <w:sz w:val="24"/>
                <w:szCs w:val="24"/>
              </w:rPr>
              <w:t>EC</w:t>
            </w:r>
            <w:r w:rsidRPr="006B15F4">
              <w:rPr>
                <w:rFonts w:ascii="Times New Roman" w:hAnsi="Times New Roman"/>
                <w:b/>
                <w:sz w:val="24"/>
                <w:szCs w:val="24"/>
                <w:vertAlign w:val="subscript"/>
              </w:rPr>
              <w:t>biogas</w:t>
            </w:r>
          </w:p>
        </w:tc>
        <w:tc>
          <w:tcPr>
            <w:tcW w:w="4356" w:type="dxa"/>
            <w:shd w:val="clear" w:color="auto" w:fill="auto"/>
          </w:tcPr>
          <w:p w:rsidR="002E7E74" w:rsidRDefault="0002707F">
            <w:pPr>
              <w:spacing w:before="240" w:after="240"/>
              <w:rPr>
                <w:rFonts w:ascii="Times New Roman" w:hAnsi="Times New Roman"/>
                <w:sz w:val="24"/>
                <w:szCs w:val="24"/>
                <w:lang w:eastAsia="en-US"/>
              </w:rPr>
            </w:pPr>
            <w:r w:rsidRPr="006B15F4">
              <w:rPr>
                <w:rFonts w:ascii="Times New Roman" w:hAnsi="Times New Roman"/>
                <w:sz w:val="24"/>
                <w:szCs w:val="24"/>
              </w:rPr>
              <w:t xml:space="preserve">The energy content factor for landfill biogas that is captured for combustion as stated in the </w:t>
            </w:r>
            <w:r w:rsidRPr="006F791B">
              <w:rPr>
                <w:rFonts w:ascii="Times New Roman" w:hAnsi="Times New Roman"/>
                <w:sz w:val="24"/>
                <w:szCs w:val="24"/>
              </w:rPr>
              <w:t>NGER Measurement Determination</w:t>
            </w:r>
            <w:r w:rsidRPr="006B15F4">
              <w:rPr>
                <w:rFonts w:ascii="Times New Roman" w:hAnsi="Times New Roman"/>
                <w:sz w:val="24"/>
                <w:szCs w:val="24"/>
              </w:rPr>
              <w:t xml:space="preserve"> Schedule 1 Part 2</w:t>
            </w:r>
          </w:p>
        </w:tc>
        <w:tc>
          <w:tcPr>
            <w:tcW w:w="3054" w:type="dxa"/>
            <w:shd w:val="clear" w:color="auto" w:fill="auto"/>
          </w:tcPr>
          <w:p w:rsidR="0002707F" w:rsidRDefault="0002707F" w:rsidP="00160ED0">
            <w:pPr>
              <w:spacing w:before="240" w:after="240"/>
              <w:jc w:val="center"/>
              <w:rPr>
                <w:rFonts w:ascii="Times New Roman" w:hAnsi="Times New Roman"/>
                <w:sz w:val="24"/>
                <w:szCs w:val="24"/>
              </w:rPr>
            </w:pPr>
            <w:r w:rsidRPr="00031E92">
              <w:rPr>
                <w:rFonts w:ascii="Times New Roman" w:hAnsi="Times New Roman"/>
                <w:sz w:val="24"/>
                <w:szCs w:val="24"/>
              </w:rPr>
              <w:t>37.7 x 10</w:t>
            </w:r>
            <w:r w:rsidRPr="00031E92">
              <w:rPr>
                <w:rFonts w:ascii="Times New Roman" w:hAnsi="Times New Roman"/>
                <w:sz w:val="24"/>
                <w:szCs w:val="24"/>
                <w:vertAlign w:val="superscript"/>
              </w:rPr>
              <w:t>-3</w:t>
            </w:r>
            <w:r w:rsidRPr="00031E92">
              <w:rPr>
                <w:rFonts w:ascii="Times New Roman" w:hAnsi="Times New Roman"/>
                <w:sz w:val="24"/>
                <w:szCs w:val="24"/>
              </w:rPr>
              <w:t xml:space="preserve"> GJ/m</w:t>
            </w:r>
            <w:r w:rsidRPr="00031E92">
              <w:rPr>
                <w:rFonts w:ascii="Times New Roman" w:hAnsi="Times New Roman"/>
                <w:sz w:val="24"/>
                <w:szCs w:val="24"/>
                <w:vertAlign w:val="superscript"/>
              </w:rPr>
              <w:t>3</w:t>
            </w:r>
          </w:p>
        </w:tc>
      </w:tr>
      <w:tr w:rsidR="0002707F" w:rsidTr="00FA6B5F">
        <w:trPr>
          <w:trHeight w:val="775"/>
        </w:trPr>
        <w:tc>
          <w:tcPr>
            <w:tcW w:w="1358" w:type="dxa"/>
            <w:shd w:val="clear" w:color="auto" w:fill="auto"/>
          </w:tcPr>
          <w:p w:rsidR="0002707F" w:rsidRDefault="005B6CC2" w:rsidP="00160ED0">
            <w:pPr>
              <w:spacing w:before="240" w:after="240"/>
              <w:rPr>
                <w:rFonts w:ascii="Times New Roman" w:hAnsi="Times New Roman"/>
                <w:sz w:val="24"/>
                <w:szCs w:val="24"/>
              </w:rPr>
            </w:pPr>
            <m:oMathPara>
              <m:oMathParaPr>
                <m:jc m:val="center"/>
              </m:oMathParaPr>
              <m:oMath>
                <m:sSub>
                  <m:sSubPr>
                    <m:ctrlPr>
                      <w:rPr>
                        <w:rFonts w:ascii="Cambria Math" w:hAnsi="Cambria Math"/>
                        <w:b/>
                      </w:rPr>
                    </m:ctrlPr>
                  </m:sSubPr>
                  <m:e>
                    <m:r>
                      <m:rPr>
                        <m:sty m:val="b"/>
                      </m:rPr>
                      <w:rPr>
                        <w:rFonts w:ascii="Cambria Math"/>
                      </w:rPr>
                      <m:t>GWP</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r>
                  <m:rPr>
                    <m:sty m:val="b"/>
                  </m:rPr>
                  <w:rPr>
                    <w:rStyle w:val="FootnoteReference"/>
                    <w:rFonts w:ascii="Cambria Math" w:hAnsi="Cambria Math"/>
                    <w:b/>
                  </w:rPr>
                  <w:footnoteReference w:id="1"/>
                </m:r>
              </m:oMath>
            </m:oMathPara>
          </w:p>
        </w:tc>
        <w:tc>
          <w:tcPr>
            <w:tcW w:w="4356" w:type="dxa"/>
            <w:shd w:val="clear" w:color="auto" w:fill="auto"/>
          </w:tcPr>
          <w:p w:rsidR="002E7E74" w:rsidRDefault="0002707F">
            <w:pPr>
              <w:spacing w:before="240" w:after="240"/>
              <w:rPr>
                <w:rFonts w:ascii="Times New Roman" w:hAnsi="Times New Roman"/>
                <w:b/>
                <w:bCs/>
                <w:color w:val="4F81BD" w:themeColor="accent1"/>
                <w:sz w:val="24"/>
                <w:szCs w:val="24"/>
                <w:lang w:eastAsia="en-US"/>
              </w:rPr>
            </w:pPr>
            <w:r w:rsidRPr="00031E92">
              <w:rPr>
                <w:rFonts w:ascii="Times New Roman" w:hAnsi="Times New Roman"/>
                <w:sz w:val="24"/>
                <w:szCs w:val="24"/>
              </w:rPr>
              <w:t xml:space="preserve">The global warming potential of methane as specified in the </w:t>
            </w:r>
            <w:r w:rsidRPr="006F791B">
              <w:rPr>
                <w:rFonts w:ascii="Times New Roman" w:hAnsi="Times New Roman"/>
                <w:sz w:val="24"/>
                <w:szCs w:val="24"/>
              </w:rPr>
              <w:t>NGER Regulations</w:t>
            </w:r>
          </w:p>
        </w:tc>
        <w:tc>
          <w:tcPr>
            <w:tcW w:w="3054" w:type="dxa"/>
            <w:shd w:val="clear" w:color="auto" w:fill="auto"/>
          </w:tcPr>
          <w:p w:rsidR="0002707F" w:rsidRDefault="0002707F" w:rsidP="00160ED0">
            <w:pPr>
              <w:spacing w:before="240" w:after="240"/>
              <w:jc w:val="center"/>
              <w:rPr>
                <w:rFonts w:ascii="Times New Roman" w:hAnsi="Times New Roman"/>
                <w:b/>
                <w:bCs/>
                <w:color w:val="4F81BD" w:themeColor="accent1"/>
                <w:sz w:val="24"/>
                <w:szCs w:val="24"/>
              </w:rPr>
            </w:pPr>
            <w:r w:rsidRPr="00562C24">
              <w:rPr>
                <w:rFonts w:ascii="Times New Roman" w:hAnsi="Times New Roman"/>
                <w:sz w:val="24"/>
                <w:szCs w:val="24"/>
              </w:rPr>
              <w:t>21</w:t>
            </w:r>
          </w:p>
        </w:tc>
      </w:tr>
      <w:tr w:rsidR="0002707F" w:rsidTr="00FA6B5F">
        <w:trPr>
          <w:trHeight w:val="1872"/>
        </w:trPr>
        <w:tc>
          <w:tcPr>
            <w:tcW w:w="1358" w:type="dxa"/>
            <w:shd w:val="clear" w:color="auto" w:fill="auto"/>
          </w:tcPr>
          <w:p w:rsidR="0002707F" w:rsidRDefault="005B6CC2" w:rsidP="001D2002">
            <w:pPr>
              <w:spacing w:before="240" w:after="240"/>
              <w:rPr>
                <w:b/>
              </w:rPr>
            </w:pPr>
            <m:oMathPara>
              <m:oMath>
                <m:sSub>
                  <m:sSubPr>
                    <m:ctrlPr>
                      <w:rPr>
                        <w:rFonts w:ascii="Cambria Math" w:hAnsi="Cambria Math"/>
                        <w:b/>
                      </w:rPr>
                    </m:ctrlPr>
                  </m:sSubPr>
                  <m:e>
                    <m:r>
                      <m:rPr>
                        <m:sty m:val="b"/>
                      </m:rPr>
                      <w:rPr>
                        <w:rFonts w:ascii="Cambria Math"/>
                      </w:rPr>
                      <m:t>EF</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0</m:t>
                    </m:r>
                  </m:sub>
                </m:sSub>
              </m:oMath>
            </m:oMathPara>
          </w:p>
        </w:tc>
        <w:tc>
          <w:tcPr>
            <w:tcW w:w="4356" w:type="dxa"/>
            <w:shd w:val="clear" w:color="auto" w:fill="auto"/>
          </w:tcPr>
          <w:p w:rsidR="002E7E74" w:rsidRDefault="0002707F">
            <w:pPr>
              <w:spacing w:before="240" w:after="240"/>
              <w:rPr>
                <w:rFonts w:ascii="Times New Roman" w:hAnsi="Times New Roman"/>
                <w:sz w:val="24"/>
                <w:szCs w:val="24"/>
                <w:lang w:eastAsia="en-US"/>
              </w:rPr>
            </w:pPr>
            <w:r w:rsidRPr="00EE5A8C">
              <w:rPr>
                <w:rFonts w:ascii="Times New Roman" w:hAnsi="Times New Roman"/>
                <w:sz w:val="24"/>
                <w:szCs w:val="24"/>
              </w:rPr>
              <w:t>The emission factor for nitrous oxide (N</w:t>
            </w:r>
            <w:r w:rsidRPr="00EE5A8C">
              <w:rPr>
                <w:rFonts w:ascii="Times New Roman" w:hAnsi="Times New Roman"/>
                <w:sz w:val="24"/>
                <w:szCs w:val="24"/>
                <w:vertAlign w:val="subscript"/>
              </w:rPr>
              <w:t>2</w:t>
            </w:r>
            <w:r w:rsidRPr="00EE5A8C">
              <w:rPr>
                <w:rFonts w:ascii="Times New Roman" w:hAnsi="Times New Roman"/>
                <w:sz w:val="24"/>
                <w:szCs w:val="24"/>
              </w:rPr>
              <w:t xml:space="preserve">O) from landfill biogas that is captured for combustion as stated in the </w:t>
            </w:r>
            <w:r w:rsidRPr="006F791B">
              <w:rPr>
                <w:rFonts w:ascii="Times New Roman" w:hAnsi="Times New Roman"/>
                <w:sz w:val="24"/>
                <w:szCs w:val="24"/>
              </w:rPr>
              <w:t xml:space="preserve">NGER Measurement Determination </w:t>
            </w:r>
            <w:r w:rsidRPr="00EE5A8C">
              <w:rPr>
                <w:rFonts w:ascii="Times New Roman" w:hAnsi="Times New Roman"/>
                <w:sz w:val="24"/>
                <w:szCs w:val="24"/>
              </w:rPr>
              <w:t>Schedule 1 Part 2</w:t>
            </w:r>
          </w:p>
        </w:tc>
        <w:tc>
          <w:tcPr>
            <w:tcW w:w="3054" w:type="dxa"/>
            <w:shd w:val="clear" w:color="auto" w:fill="auto"/>
          </w:tcPr>
          <w:p w:rsidR="0002707F" w:rsidRDefault="0002707F" w:rsidP="00160ED0">
            <w:pPr>
              <w:spacing w:before="240" w:after="240"/>
              <w:jc w:val="center"/>
              <w:rPr>
                <w:rFonts w:ascii="Times New Roman" w:hAnsi="Times New Roman"/>
                <w:sz w:val="24"/>
                <w:szCs w:val="24"/>
              </w:rPr>
            </w:pPr>
            <w:r w:rsidRPr="00EE5A8C">
              <w:rPr>
                <w:rFonts w:ascii="Times New Roman" w:hAnsi="Times New Roman"/>
                <w:sz w:val="24"/>
                <w:szCs w:val="24"/>
              </w:rPr>
              <w:t>0.03 kg CO</w:t>
            </w:r>
            <w:r w:rsidRPr="00EE5A8C">
              <w:rPr>
                <w:rFonts w:ascii="Times New Roman" w:hAnsi="Times New Roman"/>
                <w:sz w:val="24"/>
                <w:szCs w:val="24"/>
                <w:vertAlign w:val="subscript"/>
              </w:rPr>
              <w:t>2</w:t>
            </w:r>
            <w:r w:rsidRPr="00EE5A8C">
              <w:rPr>
                <w:rFonts w:ascii="Times New Roman" w:hAnsi="Times New Roman"/>
                <w:sz w:val="24"/>
                <w:szCs w:val="24"/>
              </w:rPr>
              <w:t>-e/GJ</w:t>
            </w:r>
          </w:p>
        </w:tc>
      </w:tr>
    </w:tbl>
    <w:p w:rsidR="00E401E0"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 </w:t>
      </w:r>
    </w:p>
    <w:p w:rsidR="00932A51" w:rsidRDefault="00932A51" w:rsidP="0002707F">
      <w:pPr>
        <w:spacing w:before="240" w:after="240" w:line="240" w:lineRule="auto"/>
        <w:rPr>
          <w:rFonts w:ascii="Times New Roman" w:hAnsi="Times New Roman"/>
          <w:b/>
          <w:sz w:val="24"/>
          <w:szCs w:val="24"/>
        </w:rPr>
      </w:pPr>
    </w:p>
    <w:p w:rsidR="0002707F" w:rsidRDefault="0002707F" w:rsidP="0002707F">
      <w:pPr>
        <w:spacing w:before="240" w:after="240" w:line="240" w:lineRule="auto"/>
        <w:rPr>
          <w:rFonts w:ascii="Times New Roman" w:hAnsi="Times New Roman"/>
          <w:b/>
          <w:sz w:val="24"/>
          <w:szCs w:val="24"/>
        </w:rPr>
      </w:pPr>
      <w:r w:rsidRPr="00F226E5">
        <w:rPr>
          <w:rFonts w:ascii="Times New Roman" w:hAnsi="Times New Roman"/>
          <w:b/>
          <w:sz w:val="24"/>
          <w:szCs w:val="24"/>
        </w:rPr>
        <w:t>Subdivision 3.2.1</w:t>
      </w:r>
      <w:r>
        <w:rPr>
          <w:rFonts w:ascii="Times New Roman" w:hAnsi="Times New Roman"/>
          <w:b/>
          <w:sz w:val="24"/>
          <w:szCs w:val="24"/>
        </w:rPr>
        <w:t xml:space="preserve"> </w:t>
      </w:r>
      <w:r>
        <w:rPr>
          <w:rFonts w:ascii="Times New Roman" w:hAnsi="Times New Roman"/>
          <w:b/>
          <w:sz w:val="24"/>
          <w:szCs w:val="24"/>
        </w:rPr>
        <w:tab/>
      </w:r>
      <w:r w:rsidRPr="00F226E5">
        <w:rPr>
          <w:rFonts w:ascii="Times New Roman" w:hAnsi="Times New Roman"/>
          <w:b/>
          <w:sz w:val="24"/>
          <w:szCs w:val="24"/>
        </w:rPr>
        <w:t xml:space="preserve">Calculating the carbon dioxide equivalent net abatement </w:t>
      </w:r>
      <w:r w:rsidR="00512215">
        <w:rPr>
          <w:rFonts w:ascii="Times New Roman" w:hAnsi="Times New Roman"/>
          <w:b/>
          <w:sz w:val="24"/>
          <w:szCs w:val="24"/>
        </w:rPr>
        <w:br/>
      </w:r>
      <w:r w:rsidRPr="00F226E5">
        <w:rPr>
          <w:rFonts w:ascii="Times New Roman" w:hAnsi="Times New Roman"/>
          <w:b/>
          <w:sz w:val="24"/>
          <w:szCs w:val="24"/>
        </w:rPr>
        <w:t>amount</w:t>
      </w:r>
      <w:r w:rsidR="00DE45CD">
        <w:rPr>
          <w:rFonts w:ascii="Times New Roman" w:hAnsi="Times New Roman"/>
          <w:b/>
          <w:sz w:val="24"/>
          <w:szCs w:val="24"/>
        </w:rPr>
        <w:t xml:space="preserve"> (A)</w:t>
      </w:r>
    </w:p>
    <w:p w:rsidR="0002707F" w:rsidRDefault="0002707F" w:rsidP="0002707F">
      <w:pPr>
        <w:spacing w:before="240" w:after="240" w:line="240" w:lineRule="auto"/>
        <w:rPr>
          <w:rFonts w:ascii="Times New Roman" w:hAnsi="Times New Roman"/>
          <w:sz w:val="24"/>
          <w:szCs w:val="24"/>
        </w:rPr>
      </w:pPr>
      <w:r w:rsidRPr="00F226E5">
        <w:rPr>
          <w:rFonts w:ascii="Times New Roman" w:hAnsi="Times New Roman"/>
          <w:sz w:val="24"/>
          <w:szCs w:val="24"/>
        </w:rPr>
        <w:t>This subdivision outlines equations required to calculate the quantity of methane emissions avoided as a consequence of the project.</w:t>
      </w:r>
    </w:p>
    <w:p w:rsidR="0002707F" w:rsidRDefault="0002707F" w:rsidP="0002707F">
      <w:pPr>
        <w:spacing w:before="240" w:after="240" w:line="240" w:lineRule="auto"/>
        <w:ind w:left="709" w:hanging="709"/>
        <w:rPr>
          <w:rFonts w:ascii="Times New Roman" w:hAnsi="Times New Roman"/>
          <w:bCs/>
          <w:sz w:val="24"/>
          <w:szCs w:val="24"/>
          <w:u w:val="single"/>
        </w:rPr>
      </w:pPr>
      <w:r w:rsidRPr="00C55C1C">
        <w:rPr>
          <w:rFonts w:ascii="Times New Roman" w:hAnsi="Times New Roman"/>
          <w:bCs/>
          <w:sz w:val="24"/>
          <w:szCs w:val="24"/>
          <w:u w:val="single"/>
        </w:rPr>
        <w:t>3.4</w:t>
      </w:r>
      <w:r w:rsidRPr="00C55C1C">
        <w:rPr>
          <w:rFonts w:ascii="Times New Roman" w:hAnsi="Times New Roman"/>
          <w:bCs/>
          <w:sz w:val="24"/>
          <w:szCs w:val="24"/>
          <w:u w:val="single"/>
        </w:rPr>
        <w:tab/>
      </w:r>
      <w:r w:rsidR="00DE45CD">
        <w:rPr>
          <w:rFonts w:ascii="Times New Roman" w:hAnsi="Times New Roman"/>
          <w:bCs/>
          <w:sz w:val="24"/>
          <w:szCs w:val="24"/>
          <w:u w:val="single"/>
        </w:rPr>
        <w:t>C</w:t>
      </w:r>
      <w:r w:rsidRPr="00C55C1C">
        <w:rPr>
          <w:rFonts w:ascii="Times New Roman" w:hAnsi="Times New Roman"/>
          <w:bCs/>
          <w:sz w:val="24"/>
          <w:szCs w:val="24"/>
          <w:u w:val="single"/>
        </w:rPr>
        <w:t xml:space="preserve">arbon dioxide equivalent net abatement amount </w:t>
      </w:r>
      <w:r w:rsidR="00DE45CD">
        <w:rPr>
          <w:rFonts w:ascii="Times New Roman" w:hAnsi="Times New Roman"/>
          <w:bCs/>
          <w:sz w:val="24"/>
          <w:szCs w:val="24"/>
          <w:u w:val="single"/>
        </w:rPr>
        <w:t>(A)</w:t>
      </w:r>
      <w:r w:rsidRPr="00C55C1C">
        <w:rPr>
          <w:rFonts w:ascii="Times New Roman" w:hAnsi="Times New Roman"/>
          <w:bCs/>
          <w:sz w:val="24"/>
          <w:szCs w:val="24"/>
          <w:u w:val="single"/>
        </w:rPr>
        <w:t xml:space="preserve">   </w:t>
      </w:r>
    </w:p>
    <w:p w:rsidR="0002707F" w:rsidRDefault="00BF2D7C" w:rsidP="0002707F">
      <w:pPr>
        <w:spacing w:before="240" w:after="240" w:line="240" w:lineRule="auto"/>
        <w:rPr>
          <w:rFonts w:ascii="Times New Roman" w:hAnsi="Times New Roman"/>
          <w:sz w:val="24"/>
          <w:szCs w:val="24"/>
        </w:rPr>
      </w:pPr>
      <w:r>
        <w:rPr>
          <w:rFonts w:ascii="Times New Roman" w:hAnsi="Times New Roman"/>
          <w:sz w:val="24"/>
          <w:szCs w:val="24"/>
        </w:rPr>
        <w:t xml:space="preserve">This section sets out the requirements for Equation 1. </w:t>
      </w:r>
      <w:r w:rsidR="0002707F" w:rsidRPr="005618D0">
        <w:rPr>
          <w:rFonts w:ascii="Times New Roman" w:hAnsi="Times New Roman"/>
          <w:sz w:val="24"/>
          <w:szCs w:val="24"/>
        </w:rPr>
        <w:t>Paragraph 106</w:t>
      </w:r>
      <w:r w:rsidR="0002707F">
        <w:rPr>
          <w:rFonts w:ascii="Times New Roman" w:hAnsi="Times New Roman"/>
          <w:sz w:val="24"/>
          <w:szCs w:val="24"/>
        </w:rPr>
        <w:t xml:space="preserve"> </w:t>
      </w:r>
      <w:r w:rsidR="0002707F" w:rsidRPr="005618D0">
        <w:rPr>
          <w:rFonts w:ascii="Times New Roman" w:hAnsi="Times New Roman"/>
          <w:sz w:val="24"/>
          <w:szCs w:val="24"/>
        </w:rPr>
        <w:t>(1)</w:t>
      </w:r>
      <w:r w:rsidR="0002707F">
        <w:rPr>
          <w:rFonts w:ascii="Times New Roman" w:hAnsi="Times New Roman"/>
          <w:sz w:val="24"/>
          <w:szCs w:val="24"/>
        </w:rPr>
        <w:t xml:space="preserve"> </w:t>
      </w:r>
      <w:r w:rsidR="0002707F" w:rsidRPr="005618D0">
        <w:rPr>
          <w:rFonts w:ascii="Times New Roman" w:hAnsi="Times New Roman"/>
          <w:sz w:val="24"/>
          <w:szCs w:val="24"/>
        </w:rPr>
        <w:t>(c) of the Act provides that a methodology determination must specify a method for calculating the carbon dioxide equivalent net abatement amount for the project in relation to a reporting period.</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Equation 1 requires the</w:t>
      </w:r>
      <w:r w:rsidRPr="005618D0">
        <w:rPr>
          <w:rFonts w:ascii="Times New Roman" w:hAnsi="Times New Roman"/>
          <w:sz w:val="24"/>
          <w:szCs w:val="24"/>
        </w:rPr>
        <w:t xml:space="preserve"> calculation of:</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sidRPr="005618D0">
        <w:rPr>
          <w:rFonts w:ascii="Times New Roman" w:hAnsi="Times New Roman"/>
          <w:sz w:val="24"/>
          <w:szCs w:val="24"/>
        </w:rPr>
        <w:t xml:space="preserve">the quantity of methane emissions from legacy waste avoided as a consequence of the project using Equation 2; and </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sidRPr="005618D0">
        <w:rPr>
          <w:rFonts w:ascii="Times New Roman" w:hAnsi="Times New Roman"/>
          <w:sz w:val="24"/>
          <w:szCs w:val="24"/>
        </w:rPr>
        <w:t>emissions from electricity and fuel used to operate the gas capture and combustion equipment using Equation 13.</w:t>
      </w:r>
    </w:p>
    <w:p w:rsidR="00E401E0" w:rsidRDefault="00E401E0" w:rsidP="0002707F">
      <w:pPr>
        <w:spacing w:before="240" w:after="240" w:line="240" w:lineRule="auto"/>
        <w:contextualSpacing/>
        <w:rPr>
          <w:rFonts w:ascii="Times New Roman" w:hAnsi="Times New Roman"/>
          <w:b/>
          <w:bCs/>
          <w:sz w:val="24"/>
          <w:szCs w:val="24"/>
        </w:rPr>
      </w:pPr>
    </w:p>
    <w:p w:rsidR="0002707F" w:rsidRPr="00DE45CD" w:rsidRDefault="0002707F" w:rsidP="0002707F">
      <w:pPr>
        <w:spacing w:before="240" w:after="240" w:line="240" w:lineRule="auto"/>
        <w:contextualSpacing/>
        <w:rPr>
          <w:rFonts w:ascii="Times New Roman" w:hAnsi="Times New Roman"/>
          <w:b/>
          <w:bCs/>
          <w:sz w:val="24"/>
          <w:szCs w:val="24"/>
        </w:rPr>
      </w:pPr>
      <w:r>
        <w:rPr>
          <w:rFonts w:ascii="Times New Roman" w:hAnsi="Times New Roman"/>
          <w:b/>
          <w:bCs/>
          <w:sz w:val="24"/>
          <w:szCs w:val="24"/>
        </w:rPr>
        <w:t>Subdivision 3.2.2</w:t>
      </w:r>
      <w:r w:rsidRPr="005618D0">
        <w:rPr>
          <w:rFonts w:ascii="Times New Roman" w:hAnsi="Times New Roman"/>
          <w:b/>
          <w:bCs/>
          <w:sz w:val="24"/>
          <w:szCs w:val="24"/>
        </w:rPr>
        <w:tab/>
        <w:t>Calculating</w:t>
      </w:r>
      <w:r>
        <w:rPr>
          <w:rFonts w:ascii="Times New Roman" w:hAnsi="Times New Roman"/>
          <w:b/>
          <w:bCs/>
          <w:sz w:val="24"/>
          <w:szCs w:val="24"/>
        </w:rPr>
        <w:t xml:space="preserve"> avoided emissions</w:t>
      </w:r>
      <w:r w:rsidRPr="005618D0">
        <w:rPr>
          <w:rFonts w:ascii="Times New Roman" w:hAnsi="Times New Roman"/>
          <w:b/>
          <w:bCs/>
          <w:sz w:val="24"/>
          <w:szCs w:val="24"/>
        </w:rPr>
        <w:t xml:space="preserve"> </w:t>
      </w:r>
      <w:r w:rsidR="00DE45CD">
        <w:rPr>
          <w:rFonts w:ascii="Times New Roman" w:hAnsi="Times New Roman"/>
          <w:b/>
          <w:bCs/>
          <w:sz w:val="24"/>
          <w:szCs w:val="24"/>
        </w:rPr>
        <w:t>(</w:t>
      </w:r>
      <w:r>
        <w:rPr>
          <w:rFonts w:ascii="Times New Roman" w:hAnsi="Times New Roman"/>
          <w:b/>
          <w:bCs/>
          <w:sz w:val="24"/>
          <w:szCs w:val="24"/>
        </w:rPr>
        <w:t>A</w:t>
      </w:r>
      <w:r w:rsidRPr="005618D0">
        <w:rPr>
          <w:rFonts w:ascii="Times New Roman" w:hAnsi="Times New Roman"/>
          <w:b/>
          <w:bCs/>
          <w:sz w:val="24"/>
          <w:szCs w:val="24"/>
          <w:vertAlign w:val="subscript"/>
        </w:rPr>
        <w:t>p</w:t>
      </w:r>
      <w:r w:rsidR="00DE45CD">
        <w:rPr>
          <w:rFonts w:ascii="Times New Roman" w:hAnsi="Times New Roman"/>
          <w:b/>
          <w:bCs/>
          <w:sz w:val="24"/>
          <w:szCs w:val="24"/>
        </w:rPr>
        <w:t>)</w:t>
      </w:r>
    </w:p>
    <w:p w:rsidR="0002707F" w:rsidRDefault="0002707F" w:rsidP="0002707F">
      <w:pPr>
        <w:spacing w:before="240" w:after="240" w:line="240" w:lineRule="auto"/>
        <w:contextualSpacing/>
        <w:rPr>
          <w:rFonts w:ascii="Times New Roman" w:hAnsi="Times New Roman"/>
          <w:sz w:val="24"/>
          <w:szCs w:val="24"/>
        </w:rPr>
      </w:pPr>
    </w:p>
    <w:p w:rsidR="0002707F" w:rsidRDefault="0002707F" w:rsidP="0002707F">
      <w:pPr>
        <w:spacing w:before="240" w:after="240" w:line="240" w:lineRule="auto"/>
        <w:ind w:left="709" w:hanging="709"/>
        <w:rPr>
          <w:rFonts w:ascii="Times New Roman" w:hAnsi="Times New Roman"/>
          <w:bCs/>
          <w:sz w:val="24"/>
          <w:szCs w:val="24"/>
          <w:u w:val="single"/>
        </w:rPr>
      </w:pPr>
      <w:r w:rsidRPr="00C55C1C">
        <w:rPr>
          <w:rFonts w:ascii="Times New Roman" w:hAnsi="Times New Roman"/>
          <w:bCs/>
          <w:sz w:val="24"/>
          <w:szCs w:val="24"/>
          <w:u w:val="single"/>
        </w:rPr>
        <w:t>3.5</w:t>
      </w:r>
      <w:r w:rsidRPr="00C55C1C">
        <w:rPr>
          <w:rFonts w:ascii="Times New Roman" w:hAnsi="Times New Roman"/>
          <w:bCs/>
          <w:sz w:val="24"/>
          <w:szCs w:val="24"/>
          <w:u w:val="single"/>
        </w:rPr>
        <w:tab/>
      </w:r>
      <w:r w:rsidR="00DE45CD">
        <w:rPr>
          <w:rFonts w:ascii="Times New Roman" w:hAnsi="Times New Roman"/>
          <w:bCs/>
          <w:sz w:val="24"/>
          <w:szCs w:val="24"/>
          <w:u w:val="single"/>
        </w:rPr>
        <w:t>A</w:t>
      </w:r>
      <w:r w:rsidRPr="00C55C1C">
        <w:rPr>
          <w:rFonts w:ascii="Times New Roman" w:hAnsi="Times New Roman"/>
          <w:bCs/>
          <w:sz w:val="24"/>
          <w:szCs w:val="24"/>
          <w:u w:val="single"/>
        </w:rPr>
        <w:t xml:space="preserve">voided </w:t>
      </w:r>
      <w:r w:rsidRPr="0033460F">
        <w:rPr>
          <w:rFonts w:ascii="Times New Roman" w:hAnsi="Times New Roman"/>
          <w:bCs/>
          <w:sz w:val="24"/>
          <w:szCs w:val="24"/>
          <w:u w:val="single"/>
        </w:rPr>
        <w:t xml:space="preserve">emissions </w:t>
      </w:r>
      <w:r w:rsidR="005E125C" w:rsidRPr="005E125C">
        <w:rPr>
          <w:rFonts w:ascii="Times New Roman" w:hAnsi="Times New Roman"/>
          <w:bCs/>
          <w:sz w:val="24"/>
          <w:szCs w:val="24"/>
          <w:u w:val="single"/>
        </w:rPr>
        <w:t>(A</w:t>
      </w:r>
      <w:r w:rsidR="005E125C" w:rsidRPr="005E125C">
        <w:rPr>
          <w:rFonts w:ascii="Times New Roman" w:hAnsi="Times New Roman"/>
          <w:bCs/>
          <w:sz w:val="24"/>
          <w:szCs w:val="24"/>
          <w:u w:val="single"/>
          <w:vertAlign w:val="subscript"/>
        </w:rPr>
        <w:t>p</w:t>
      </w:r>
      <w:r w:rsidR="005E125C" w:rsidRPr="005E125C">
        <w:rPr>
          <w:rFonts w:ascii="Times New Roman" w:hAnsi="Times New Roman"/>
          <w:bCs/>
          <w:sz w:val="24"/>
          <w:szCs w:val="24"/>
          <w:u w:val="single"/>
        </w:rPr>
        <w:t>)</w:t>
      </w:r>
      <w:r w:rsidRPr="00C55C1C">
        <w:rPr>
          <w:rFonts w:ascii="Times New Roman" w:hAnsi="Times New Roman"/>
          <w:bCs/>
          <w:sz w:val="24"/>
          <w:szCs w:val="24"/>
          <w:u w:val="single"/>
        </w:rPr>
        <w:t xml:space="preserve">  </w:t>
      </w:r>
    </w:p>
    <w:p w:rsidR="0002707F" w:rsidRDefault="00BF2D7C" w:rsidP="0002707F">
      <w:pPr>
        <w:spacing w:before="240" w:after="240" w:line="240" w:lineRule="auto"/>
        <w:ind w:left="709" w:hanging="709"/>
        <w:rPr>
          <w:rFonts w:ascii="Times New Roman" w:hAnsi="Times New Roman"/>
          <w:sz w:val="24"/>
          <w:szCs w:val="24"/>
        </w:rPr>
      </w:pPr>
      <w:r>
        <w:rPr>
          <w:rFonts w:ascii="Times New Roman" w:hAnsi="Times New Roman"/>
          <w:sz w:val="24"/>
          <w:szCs w:val="24"/>
        </w:rPr>
        <w:t>This section sets out the requirements for Equation 2 which</w:t>
      </w:r>
      <w:r w:rsidR="0002707F" w:rsidRPr="005618D0">
        <w:rPr>
          <w:rFonts w:ascii="Times New Roman" w:hAnsi="Times New Roman"/>
          <w:sz w:val="24"/>
          <w:szCs w:val="24"/>
        </w:rPr>
        <w:t xml:space="preserve"> r</w:t>
      </w:r>
      <w:r w:rsidR="0002707F">
        <w:rPr>
          <w:rFonts w:ascii="Times New Roman" w:hAnsi="Times New Roman"/>
          <w:sz w:val="24"/>
          <w:szCs w:val="24"/>
        </w:rPr>
        <w:t>equires calculation of</w:t>
      </w:r>
      <w:r w:rsidR="0002707F" w:rsidRPr="005618D0">
        <w:rPr>
          <w:rFonts w:ascii="Times New Roman" w:hAnsi="Times New Roman"/>
          <w:sz w:val="24"/>
          <w:szCs w:val="24"/>
        </w:rPr>
        <w:t>:</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Pr>
          <w:rFonts w:ascii="Times New Roman" w:hAnsi="Times New Roman"/>
          <w:sz w:val="24"/>
          <w:szCs w:val="24"/>
        </w:rPr>
        <w:t xml:space="preserve">the </w:t>
      </w:r>
      <w:r w:rsidRPr="005618D0">
        <w:rPr>
          <w:rFonts w:ascii="Times New Roman" w:hAnsi="Times New Roman"/>
          <w:sz w:val="24"/>
          <w:szCs w:val="24"/>
        </w:rPr>
        <w:t>volume of methane generated from legacy waste destroyed by the combustion device using Equation 3;</w:t>
      </w:r>
    </w:p>
    <w:p w:rsidR="0002707F" w:rsidRDefault="0002707F" w:rsidP="0002707F">
      <w:pPr>
        <w:pStyle w:val="ListParagraph"/>
        <w:numPr>
          <w:ilvl w:val="1"/>
          <w:numId w:val="12"/>
        </w:numPr>
        <w:spacing w:before="240" w:after="240" w:line="240" w:lineRule="auto"/>
        <w:contextualSpacing/>
        <w:rPr>
          <w:rFonts w:ascii="Times New Roman" w:hAnsi="Times New Roman"/>
          <w:sz w:val="24"/>
          <w:szCs w:val="24"/>
        </w:rPr>
      </w:pPr>
      <w:r w:rsidRPr="005618D0">
        <w:rPr>
          <w:rFonts w:ascii="Times New Roman" w:hAnsi="Times New Roman"/>
          <w:sz w:val="24"/>
          <w:szCs w:val="24"/>
        </w:rPr>
        <w:t xml:space="preserve">if an internal combustion engine is used and the project proponent chooses to calculate the </w:t>
      </w:r>
      <w:r>
        <w:rPr>
          <w:rFonts w:ascii="Times New Roman" w:hAnsi="Times New Roman"/>
          <w:sz w:val="24"/>
          <w:szCs w:val="24"/>
        </w:rPr>
        <w:t>quantity</w:t>
      </w:r>
      <w:r w:rsidRPr="005618D0">
        <w:rPr>
          <w:rFonts w:ascii="Times New Roman" w:hAnsi="Times New Roman"/>
          <w:sz w:val="24"/>
          <w:szCs w:val="24"/>
        </w:rPr>
        <w:t xml:space="preserve"> of methane destroyed by </w:t>
      </w:r>
      <w:r>
        <w:rPr>
          <w:rFonts w:ascii="Times New Roman" w:hAnsi="Times New Roman"/>
          <w:sz w:val="24"/>
          <w:szCs w:val="24"/>
        </w:rPr>
        <w:t>the</w:t>
      </w:r>
      <w:r w:rsidRPr="005618D0">
        <w:rPr>
          <w:rFonts w:ascii="Times New Roman" w:hAnsi="Times New Roman"/>
          <w:sz w:val="24"/>
          <w:szCs w:val="24"/>
        </w:rPr>
        <w:t xml:space="preserve"> internal combustion engine based on the generation of electricity </w:t>
      </w:r>
      <w:r>
        <w:rPr>
          <w:rFonts w:ascii="Times New Roman" w:hAnsi="Times New Roman"/>
          <w:sz w:val="24"/>
          <w:szCs w:val="24"/>
        </w:rPr>
        <w:t>in</w:t>
      </w:r>
      <w:r w:rsidRPr="005618D0">
        <w:rPr>
          <w:rFonts w:ascii="Times New Roman" w:hAnsi="Times New Roman"/>
          <w:sz w:val="24"/>
          <w:szCs w:val="24"/>
        </w:rPr>
        <w:t xml:space="preserve"> megawatt hours </w:t>
      </w:r>
      <w:r>
        <w:rPr>
          <w:rFonts w:ascii="Times New Roman" w:hAnsi="Times New Roman"/>
          <w:sz w:val="24"/>
          <w:szCs w:val="24"/>
        </w:rPr>
        <w:t>this</w:t>
      </w:r>
      <w:r w:rsidRPr="005618D0">
        <w:rPr>
          <w:rFonts w:ascii="Times New Roman" w:hAnsi="Times New Roman"/>
          <w:sz w:val="24"/>
          <w:szCs w:val="24"/>
        </w:rPr>
        <w:t xml:space="preserve"> quantity </w:t>
      </w:r>
      <w:r>
        <w:rPr>
          <w:rFonts w:ascii="Times New Roman" w:hAnsi="Times New Roman"/>
          <w:sz w:val="24"/>
          <w:szCs w:val="24"/>
        </w:rPr>
        <w:t>must</w:t>
      </w:r>
      <w:r w:rsidRPr="005618D0">
        <w:rPr>
          <w:rFonts w:ascii="Times New Roman" w:hAnsi="Times New Roman"/>
          <w:sz w:val="24"/>
          <w:szCs w:val="24"/>
        </w:rPr>
        <w:t xml:space="preserve"> be calculated using Equation 9;</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Pr>
          <w:rFonts w:ascii="Times New Roman" w:hAnsi="Times New Roman"/>
          <w:sz w:val="24"/>
          <w:szCs w:val="24"/>
        </w:rPr>
        <w:t xml:space="preserve">the </w:t>
      </w:r>
      <w:r w:rsidRPr="005618D0">
        <w:rPr>
          <w:rFonts w:ascii="Times New Roman" w:hAnsi="Times New Roman"/>
          <w:sz w:val="24"/>
          <w:szCs w:val="24"/>
        </w:rPr>
        <w:t>quantity of methane generated by legacy waste destroyed under baseline conditions due to regulatory requirements</w:t>
      </w:r>
      <w:r>
        <w:rPr>
          <w:rFonts w:ascii="Times New Roman" w:hAnsi="Times New Roman"/>
          <w:sz w:val="24"/>
          <w:szCs w:val="24"/>
        </w:rPr>
        <w:t xml:space="preserve"> using Equation 12</w:t>
      </w:r>
      <w:r w:rsidRPr="005618D0">
        <w:rPr>
          <w:rFonts w:ascii="Times New Roman" w:hAnsi="Times New Roman"/>
          <w:sz w:val="24"/>
          <w:szCs w:val="24"/>
        </w:rPr>
        <w:t>;</w:t>
      </w:r>
      <w:r>
        <w:rPr>
          <w:rFonts w:ascii="Times New Roman" w:hAnsi="Times New Roman"/>
          <w:sz w:val="24"/>
          <w:szCs w:val="24"/>
        </w:rPr>
        <w:t xml:space="preserve"> and</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Pr>
          <w:rFonts w:ascii="Times New Roman" w:hAnsi="Times New Roman"/>
          <w:sz w:val="24"/>
          <w:szCs w:val="24"/>
        </w:rPr>
        <w:t xml:space="preserve">the </w:t>
      </w:r>
      <w:r w:rsidRPr="005618D0">
        <w:rPr>
          <w:rFonts w:ascii="Times New Roman" w:hAnsi="Times New Roman"/>
          <w:sz w:val="24"/>
          <w:szCs w:val="24"/>
        </w:rPr>
        <w:t>quantity of methane and nitrous oxide emissions released from combustion devices in the landfill facility using Equation 5.</w:t>
      </w:r>
    </w:p>
    <w:p w:rsidR="0002707F" w:rsidRDefault="0002707F" w:rsidP="0002707F">
      <w:pPr>
        <w:spacing w:before="240" w:after="240" w:line="240" w:lineRule="auto"/>
        <w:rPr>
          <w:rFonts w:ascii="Times New Roman" w:hAnsi="Times New Roman"/>
          <w:sz w:val="24"/>
          <w:szCs w:val="24"/>
        </w:rPr>
      </w:pPr>
      <w:r w:rsidRPr="005618D0">
        <w:rPr>
          <w:rFonts w:ascii="Times New Roman" w:hAnsi="Times New Roman"/>
          <w:sz w:val="24"/>
          <w:szCs w:val="24"/>
        </w:rPr>
        <w:t xml:space="preserve">The oxidation factor used in Equation 2 discounts the emissions avoided by the amount of methane that would have been oxidised in the soil of the landfill under baseline conditions.  </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I</w:t>
      </w:r>
      <w:r w:rsidRPr="005618D0">
        <w:rPr>
          <w:rFonts w:ascii="Times New Roman" w:hAnsi="Times New Roman"/>
          <w:sz w:val="24"/>
          <w:szCs w:val="24"/>
        </w:rPr>
        <w:t xml:space="preserve">f an internal combustion engine is used and the project proponent chooses to calculate the </w:t>
      </w:r>
      <w:r>
        <w:rPr>
          <w:rFonts w:ascii="Times New Roman" w:hAnsi="Times New Roman"/>
          <w:sz w:val="24"/>
          <w:szCs w:val="24"/>
        </w:rPr>
        <w:t>quantity</w:t>
      </w:r>
      <w:r w:rsidRPr="005618D0">
        <w:rPr>
          <w:rFonts w:ascii="Times New Roman" w:hAnsi="Times New Roman"/>
          <w:sz w:val="24"/>
          <w:szCs w:val="24"/>
        </w:rPr>
        <w:t xml:space="preserve"> of methane destroyed by </w:t>
      </w:r>
      <w:r>
        <w:rPr>
          <w:rFonts w:ascii="Times New Roman" w:hAnsi="Times New Roman"/>
          <w:sz w:val="24"/>
          <w:szCs w:val="24"/>
        </w:rPr>
        <w:t>the</w:t>
      </w:r>
      <w:r w:rsidRPr="005618D0">
        <w:rPr>
          <w:rFonts w:ascii="Times New Roman" w:hAnsi="Times New Roman"/>
          <w:sz w:val="24"/>
          <w:szCs w:val="24"/>
        </w:rPr>
        <w:t xml:space="preserve"> internal combustion engine based on the generation of electricity </w:t>
      </w:r>
      <w:r>
        <w:rPr>
          <w:rFonts w:ascii="Times New Roman" w:hAnsi="Times New Roman"/>
          <w:sz w:val="24"/>
          <w:szCs w:val="24"/>
        </w:rPr>
        <w:t>in</w:t>
      </w:r>
      <w:r w:rsidRPr="005618D0">
        <w:rPr>
          <w:rFonts w:ascii="Times New Roman" w:hAnsi="Times New Roman"/>
          <w:sz w:val="24"/>
          <w:szCs w:val="24"/>
        </w:rPr>
        <w:t xml:space="preserve"> megawatt hours</w:t>
      </w:r>
      <w:r>
        <w:rPr>
          <w:rFonts w:ascii="Times New Roman" w:hAnsi="Times New Roman"/>
          <w:sz w:val="24"/>
          <w:szCs w:val="24"/>
        </w:rPr>
        <w:t>,</w:t>
      </w:r>
      <w:r w:rsidRPr="005618D0">
        <w:rPr>
          <w:rFonts w:ascii="Times New Roman" w:hAnsi="Times New Roman"/>
          <w:sz w:val="24"/>
          <w:szCs w:val="24"/>
        </w:rPr>
        <w:t xml:space="preserve"> Equation 9</w:t>
      </w:r>
      <w:r>
        <w:rPr>
          <w:rFonts w:ascii="Times New Roman" w:hAnsi="Times New Roman"/>
          <w:sz w:val="24"/>
          <w:szCs w:val="24"/>
        </w:rPr>
        <w:t xml:space="preserve"> must be used and</w:t>
      </w:r>
      <w:r w:rsidRPr="005618D0">
        <w:rPr>
          <w:rFonts w:ascii="Times New Roman" w:hAnsi="Times New Roman"/>
          <w:sz w:val="24"/>
          <w:szCs w:val="24"/>
        </w:rPr>
        <w:t xml:space="preserve"> avoided emissions (A</w:t>
      </w:r>
      <w:r w:rsidRPr="005618D0">
        <w:rPr>
          <w:rFonts w:ascii="Times New Roman" w:hAnsi="Times New Roman"/>
          <w:sz w:val="24"/>
          <w:szCs w:val="24"/>
          <w:vertAlign w:val="subscript"/>
        </w:rPr>
        <w:t>p</w:t>
      </w:r>
      <w:r w:rsidRPr="005618D0">
        <w:rPr>
          <w:rFonts w:ascii="Times New Roman" w:hAnsi="Times New Roman"/>
          <w:sz w:val="24"/>
          <w:szCs w:val="24"/>
        </w:rPr>
        <w:t>) must be calculated using Equation 2(a)</w:t>
      </w:r>
      <w:r w:rsidR="0042310A">
        <w:rPr>
          <w:rFonts w:ascii="Times New Roman" w:hAnsi="Times New Roman"/>
          <w:sz w:val="24"/>
          <w:szCs w:val="24"/>
        </w:rPr>
        <w:t xml:space="preserve"> at subsection 3.8 (4)</w:t>
      </w:r>
      <w:r w:rsidRPr="005618D0">
        <w:rPr>
          <w:rFonts w:ascii="Times New Roman" w:hAnsi="Times New Roman"/>
          <w:sz w:val="24"/>
          <w:szCs w:val="24"/>
        </w:rPr>
        <w:t xml:space="preserve">.  </w:t>
      </w:r>
    </w:p>
    <w:p w:rsidR="0002707F" w:rsidRDefault="0002707F" w:rsidP="0002707F">
      <w:pPr>
        <w:spacing w:before="240" w:after="240" w:line="240" w:lineRule="auto"/>
        <w:rPr>
          <w:rFonts w:ascii="Times New Roman" w:hAnsi="Times New Roman"/>
          <w:bCs/>
          <w:sz w:val="24"/>
          <w:szCs w:val="24"/>
          <w:u w:val="single"/>
        </w:rPr>
      </w:pPr>
      <w:r>
        <w:rPr>
          <w:rFonts w:ascii="Times New Roman" w:hAnsi="Times New Roman"/>
          <w:bCs/>
          <w:sz w:val="24"/>
          <w:szCs w:val="24"/>
          <w:u w:val="single"/>
        </w:rPr>
        <w:t>3.6</w:t>
      </w:r>
      <w:r>
        <w:rPr>
          <w:rFonts w:ascii="Times New Roman" w:hAnsi="Times New Roman"/>
          <w:bCs/>
          <w:sz w:val="24"/>
          <w:szCs w:val="24"/>
          <w:u w:val="single"/>
        </w:rPr>
        <w:tab/>
      </w:r>
      <w:r w:rsidR="00BF2D7C">
        <w:rPr>
          <w:rFonts w:ascii="Times New Roman" w:hAnsi="Times New Roman"/>
          <w:bCs/>
          <w:sz w:val="24"/>
          <w:szCs w:val="24"/>
          <w:u w:val="single"/>
        </w:rPr>
        <w:t>V</w:t>
      </w:r>
      <w:r w:rsidRPr="00C55C1C">
        <w:rPr>
          <w:rFonts w:ascii="Times New Roman" w:hAnsi="Times New Roman"/>
          <w:bCs/>
          <w:sz w:val="24"/>
          <w:szCs w:val="24"/>
          <w:u w:val="single"/>
        </w:rPr>
        <w:t xml:space="preserve">olume of methane generated from legacy waste destroyed by a combustion </w:t>
      </w:r>
      <w:r w:rsidR="00932A51">
        <w:rPr>
          <w:rFonts w:ascii="Times New Roman" w:hAnsi="Times New Roman"/>
          <w:bCs/>
          <w:sz w:val="24"/>
          <w:szCs w:val="24"/>
          <w:u w:val="single"/>
        </w:rPr>
        <w:br/>
      </w:r>
      <w:r w:rsidRPr="00C55C1C">
        <w:rPr>
          <w:rFonts w:ascii="Times New Roman" w:hAnsi="Times New Roman"/>
          <w:bCs/>
          <w:sz w:val="24"/>
          <w:szCs w:val="24"/>
          <w:u w:val="single"/>
        </w:rPr>
        <w:t xml:space="preserve">device </w:t>
      </w:r>
      <w:r w:rsidR="005E125C" w:rsidRPr="005E125C">
        <w:rPr>
          <w:rFonts w:ascii="Times New Roman" w:hAnsi="Times New Roman"/>
          <w:u w:val="single"/>
        </w:rPr>
        <w:t>(Q</w:t>
      </w:r>
      <w:r w:rsidR="005E125C" w:rsidRPr="005E125C">
        <w:rPr>
          <w:rFonts w:ascii="Times New Roman" w:hAnsi="Times New Roman"/>
          <w:u w:val="single"/>
          <w:vertAlign w:val="subscript"/>
        </w:rPr>
        <w:t>com,h</w:t>
      </w:r>
      <w:r w:rsidR="005E125C" w:rsidRPr="005E125C">
        <w:rPr>
          <w:rFonts w:ascii="Times New Roman" w:hAnsi="Times New Roman"/>
          <w:u w:val="single"/>
        </w:rPr>
        <w:t>)</w:t>
      </w:r>
      <w:r w:rsidR="00BF2D7C" w:rsidRPr="00884C77">
        <w:t xml:space="preserve"> </w:t>
      </w:r>
    </w:p>
    <w:p w:rsidR="002D2FC6" w:rsidRDefault="00BF2D7C" w:rsidP="0002707F">
      <w:pPr>
        <w:spacing w:before="240" w:after="240" w:line="240" w:lineRule="auto"/>
        <w:rPr>
          <w:rFonts w:ascii="Times New Roman" w:hAnsi="Times New Roman"/>
          <w:sz w:val="24"/>
          <w:szCs w:val="24"/>
        </w:rPr>
      </w:pPr>
      <w:r>
        <w:rPr>
          <w:rFonts w:ascii="Times New Roman" w:hAnsi="Times New Roman"/>
          <w:sz w:val="24"/>
          <w:szCs w:val="24"/>
        </w:rPr>
        <w:t xml:space="preserve">This section sets out the requirements for </w:t>
      </w:r>
      <w:r w:rsidR="0002707F" w:rsidRPr="005618D0">
        <w:rPr>
          <w:rFonts w:ascii="Times New Roman" w:hAnsi="Times New Roman"/>
          <w:sz w:val="24"/>
          <w:szCs w:val="24"/>
        </w:rPr>
        <w:t>Equation</w:t>
      </w:r>
      <w:r w:rsidR="002D2FC6">
        <w:rPr>
          <w:rFonts w:ascii="Times New Roman" w:hAnsi="Times New Roman"/>
          <w:sz w:val="24"/>
          <w:szCs w:val="24"/>
        </w:rPr>
        <w:t>s</w:t>
      </w:r>
      <w:r w:rsidR="0002707F" w:rsidRPr="005618D0">
        <w:rPr>
          <w:rFonts w:ascii="Times New Roman" w:hAnsi="Times New Roman"/>
          <w:sz w:val="24"/>
          <w:szCs w:val="24"/>
        </w:rPr>
        <w:t xml:space="preserve"> 3</w:t>
      </w:r>
      <w:r w:rsidR="00932A51">
        <w:rPr>
          <w:rFonts w:ascii="Times New Roman" w:hAnsi="Times New Roman"/>
          <w:sz w:val="24"/>
          <w:szCs w:val="24"/>
        </w:rPr>
        <w:t>, 4a, and 4b</w:t>
      </w:r>
      <w:r w:rsidR="002D2FC6">
        <w:rPr>
          <w:rFonts w:ascii="Times New Roman" w:hAnsi="Times New Roman"/>
          <w:sz w:val="24"/>
          <w:szCs w:val="24"/>
        </w:rPr>
        <w:t>.</w:t>
      </w:r>
    </w:p>
    <w:p w:rsidR="0002707F" w:rsidRDefault="002D2FC6" w:rsidP="0002707F">
      <w:pPr>
        <w:spacing w:before="240" w:after="240" w:line="240" w:lineRule="auto"/>
        <w:rPr>
          <w:rFonts w:ascii="Times New Roman" w:hAnsi="Times New Roman"/>
          <w:sz w:val="24"/>
          <w:szCs w:val="24"/>
        </w:rPr>
      </w:pPr>
      <w:r>
        <w:rPr>
          <w:rFonts w:ascii="Times New Roman" w:hAnsi="Times New Roman"/>
          <w:sz w:val="24"/>
          <w:szCs w:val="24"/>
        </w:rPr>
        <w:t>Equation 3</w:t>
      </w:r>
      <w:r w:rsidR="0002707F" w:rsidRPr="005618D0">
        <w:rPr>
          <w:rFonts w:ascii="Times New Roman" w:hAnsi="Times New Roman"/>
          <w:sz w:val="24"/>
          <w:szCs w:val="24"/>
        </w:rPr>
        <w:t xml:space="preserve"> r</w:t>
      </w:r>
      <w:r w:rsidR="0002707F">
        <w:rPr>
          <w:rFonts w:ascii="Times New Roman" w:hAnsi="Times New Roman"/>
          <w:sz w:val="24"/>
          <w:szCs w:val="24"/>
        </w:rPr>
        <w:t>equires the calculation of</w:t>
      </w:r>
      <w:r w:rsidR="0002707F" w:rsidRPr="005618D0">
        <w:rPr>
          <w:rFonts w:ascii="Times New Roman" w:hAnsi="Times New Roman"/>
          <w:sz w:val="24"/>
          <w:szCs w:val="24"/>
        </w:rPr>
        <w:t>:</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Pr>
          <w:rFonts w:ascii="Times New Roman" w:hAnsi="Times New Roman"/>
          <w:sz w:val="24"/>
          <w:szCs w:val="24"/>
        </w:rPr>
        <w:t xml:space="preserve">the </w:t>
      </w:r>
      <w:r w:rsidRPr="005618D0">
        <w:rPr>
          <w:rFonts w:ascii="Times New Roman" w:hAnsi="Times New Roman"/>
          <w:sz w:val="24"/>
          <w:szCs w:val="24"/>
        </w:rPr>
        <w:t>volume of methane sent to a combustion device using Equation 4a or Equation</w:t>
      </w:r>
      <w:r>
        <w:rPr>
          <w:rFonts w:ascii="Times New Roman" w:hAnsi="Times New Roman"/>
          <w:sz w:val="24"/>
          <w:szCs w:val="24"/>
        </w:rPr>
        <w:t> </w:t>
      </w:r>
      <w:r w:rsidRPr="005618D0">
        <w:rPr>
          <w:rFonts w:ascii="Times New Roman" w:hAnsi="Times New Roman"/>
          <w:sz w:val="24"/>
          <w:szCs w:val="24"/>
        </w:rPr>
        <w:t>4b;</w:t>
      </w:r>
      <w:r>
        <w:rPr>
          <w:rFonts w:ascii="Times New Roman" w:hAnsi="Times New Roman"/>
          <w:sz w:val="24"/>
          <w:szCs w:val="24"/>
        </w:rPr>
        <w:t xml:space="preserve"> and</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Pr>
          <w:rFonts w:ascii="Times New Roman" w:hAnsi="Times New Roman"/>
          <w:sz w:val="24"/>
          <w:szCs w:val="24"/>
        </w:rPr>
        <w:t xml:space="preserve">the </w:t>
      </w:r>
      <w:r w:rsidRPr="005618D0">
        <w:rPr>
          <w:rFonts w:ascii="Times New Roman" w:hAnsi="Times New Roman"/>
          <w:sz w:val="24"/>
          <w:szCs w:val="24"/>
        </w:rPr>
        <w:t xml:space="preserve">proportion of legacy waste using </w:t>
      </w:r>
      <w:r>
        <w:rPr>
          <w:rFonts w:ascii="Times New Roman" w:hAnsi="Times New Roman"/>
          <w:sz w:val="24"/>
          <w:szCs w:val="24"/>
        </w:rPr>
        <w:t>Equation 11</w:t>
      </w:r>
      <w:r w:rsidRPr="005618D0">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rPr>
      </w:pPr>
      <w:r w:rsidRPr="005618D0">
        <w:rPr>
          <w:rFonts w:ascii="Times New Roman" w:hAnsi="Times New Roman"/>
          <w:sz w:val="24"/>
          <w:szCs w:val="24"/>
        </w:rPr>
        <w:t xml:space="preserve">If the energy content of landfill gas is calculated in gigajoules from the measured flow rate and methane fraction of the landfill gas by a flow computer and measured parameters are corrected to standard conditions, the project </w:t>
      </w:r>
      <w:r>
        <w:rPr>
          <w:rFonts w:ascii="Times New Roman" w:hAnsi="Times New Roman"/>
          <w:sz w:val="24"/>
          <w:szCs w:val="24"/>
        </w:rPr>
        <w:t xml:space="preserve">proponent </w:t>
      </w:r>
      <w:r w:rsidRPr="005618D0">
        <w:rPr>
          <w:rFonts w:ascii="Times New Roman" w:hAnsi="Times New Roman"/>
          <w:sz w:val="24"/>
          <w:szCs w:val="24"/>
        </w:rPr>
        <w:t xml:space="preserve">may choose to use Equation 4b to calculate the volume of methane sent to a combustion device.  Otherwise Equation 4a must be used.  </w:t>
      </w:r>
    </w:p>
    <w:p w:rsidR="0002707F" w:rsidRDefault="0002707F" w:rsidP="0002707F">
      <w:pPr>
        <w:spacing w:before="240" w:after="240" w:line="240" w:lineRule="auto"/>
        <w:rPr>
          <w:rFonts w:ascii="Times New Roman" w:hAnsi="Times New Roman"/>
          <w:bCs/>
          <w:sz w:val="24"/>
          <w:szCs w:val="24"/>
          <w:u w:val="single"/>
        </w:rPr>
      </w:pPr>
      <w:r>
        <w:rPr>
          <w:rFonts w:ascii="Times New Roman" w:hAnsi="Times New Roman"/>
          <w:bCs/>
          <w:sz w:val="24"/>
          <w:szCs w:val="24"/>
          <w:u w:val="single"/>
        </w:rPr>
        <w:t>3.7</w:t>
      </w:r>
      <w:r>
        <w:rPr>
          <w:rFonts w:ascii="Times New Roman" w:hAnsi="Times New Roman"/>
          <w:bCs/>
          <w:sz w:val="24"/>
          <w:szCs w:val="24"/>
          <w:u w:val="single"/>
        </w:rPr>
        <w:tab/>
      </w:r>
      <w:r w:rsidR="00BF2D7C">
        <w:rPr>
          <w:rFonts w:ascii="Times New Roman" w:hAnsi="Times New Roman"/>
          <w:bCs/>
          <w:sz w:val="24"/>
          <w:szCs w:val="24"/>
          <w:u w:val="single"/>
        </w:rPr>
        <w:t>E</w:t>
      </w:r>
      <w:r w:rsidRPr="00C55C1C">
        <w:rPr>
          <w:rFonts w:ascii="Times New Roman" w:hAnsi="Times New Roman"/>
          <w:bCs/>
          <w:sz w:val="24"/>
          <w:szCs w:val="24"/>
          <w:u w:val="single"/>
        </w:rPr>
        <w:t xml:space="preserve">missions from combustion devices </w:t>
      </w:r>
      <w:r w:rsidR="00BF2D7C" w:rsidRPr="00BF2D7C">
        <w:rPr>
          <w:rFonts w:ascii="Times New Roman" w:hAnsi="Times New Roman"/>
          <w:bCs/>
          <w:sz w:val="24"/>
          <w:szCs w:val="24"/>
          <w:u w:val="single"/>
        </w:rPr>
        <w:t>(E</w:t>
      </w:r>
      <w:r w:rsidR="00BF2D7C" w:rsidRPr="00BF2D7C">
        <w:rPr>
          <w:rFonts w:ascii="Times New Roman" w:hAnsi="Times New Roman"/>
          <w:bCs/>
          <w:sz w:val="24"/>
          <w:szCs w:val="24"/>
          <w:u w:val="single"/>
          <w:vertAlign w:val="subscript"/>
        </w:rPr>
        <w:t>com</w:t>
      </w:r>
      <w:r w:rsidR="00BF2D7C" w:rsidRPr="00BF2D7C">
        <w:rPr>
          <w:rFonts w:ascii="Times New Roman" w:hAnsi="Times New Roman"/>
          <w:bCs/>
          <w:sz w:val="24"/>
          <w:szCs w:val="24"/>
          <w:u w:val="single"/>
        </w:rPr>
        <w:t>)</w:t>
      </w:r>
    </w:p>
    <w:p w:rsidR="002E7E74" w:rsidRDefault="00BF2D7C">
      <w:pPr>
        <w:spacing w:before="240" w:after="240" w:line="240" w:lineRule="auto"/>
        <w:rPr>
          <w:rFonts w:ascii="Times New Roman" w:hAnsi="Times New Roman"/>
          <w:sz w:val="24"/>
          <w:szCs w:val="24"/>
        </w:rPr>
      </w:pPr>
      <w:r>
        <w:rPr>
          <w:rFonts w:ascii="Times New Roman" w:hAnsi="Times New Roman"/>
          <w:sz w:val="24"/>
          <w:szCs w:val="24"/>
        </w:rPr>
        <w:t xml:space="preserve">This section sets out the requirements for </w:t>
      </w:r>
      <w:r w:rsidR="0002707F" w:rsidRPr="005618D0">
        <w:rPr>
          <w:rFonts w:ascii="Times New Roman" w:hAnsi="Times New Roman"/>
          <w:sz w:val="24"/>
          <w:szCs w:val="24"/>
        </w:rPr>
        <w:t>Equation</w:t>
      </w:r>
      <w:r w:rsidR="002D2FC6">
        <w:rPr>
          <w:rFonts w:ascii="Times New Roman" w:hAnsi="Times New Roman"/>
          <w:sz w:val="24"/>
          <w:szCs w:val="24"/>
        </w:rPr>
        <w:t>s</w:t>
      </w:r>
      <w:r w:rsidR="0002707F" w:rsidRPr="005618D0">
        <w:rPr>
          <w:rFonts w:ascii="Times New Roman" w:hAnsi="Times New Roman"/>
          <w:sz w:val="24"/>
          <w:szCs w:val="24"/>
        </w:rPr>
        <w:t xml:space="preserve"> 5</w:t>
      </w:r>
      <w:r w:rsidR="002D2FC6">
        <w:rPr>
          <w:rFonts w:ascii="Times New Roman" w:hAnsi="Times New Roman"/>
          <w:sz w:val="24"/>
          <w:szCs w:val="24"/>
        </w:rPr>
        <w:t>, 6, 6(a), 7, 8</w:t>
      </w:r>
      <w:r w:rsidR="003C08D5">
        <w:rPr>
          <w:rFonts w:ascii="Times New Roman" w:hAnsi="Times New Roman"/>
          <w:sz w:val="24"/>
          <w:szCs w:val="24"/>
        </w:rPr>
        <w:t>,</w:t>
      </w:r>
      <w:r w:rsidR="002D2FC6">
        <w:rPr>
          <w:rFonts w:ascii="Times New Roman" w:hAnsi="Times New Roman"/>
          <w:sz w:val="24"/>
          <w:szCs w:val="24"/>
        </w:rPr>
        <w:t xml:space="preserve"> and 8(a).</w:t>
      </w:r>
      <w:r w:rsidR="0002707F" w:rsidRPr="005618D0">
        <w:rPr>
          <w:rFonts w:ascii="Times New Roman" w:hAnsi="Times New Roman"/>
          <w:sz w:val="24"/>
          <w:szCs w:val="24"/>
        </w:rPr>
        <w:t xml:space="preserve"> </w:t>
      </w:r>
    </w:p>
    <w:p w:rsidR="002E7E74" w:rsidRDefault="002D2FC6">
      <w:pPr>
        <w:spacing w:before="240" w:after="240" w:line="240" w:lineRule="auto"/>
        <w:rPr>
          <w:rFonts w:ascii="Times New Roman" w:hAnsi="Times New Roman"/>
          <w:sz w:val="24"/>
          <w:szCs w:val="24"/>
        </w:rPr>
      </w:pPr>
      <w:r w:rsidRPr="005618D0">
        <w:rPr>
          <w:rFonts w:ascii="Times New Roman" w:hAnsi="Times New Roman"/>
          <w:sz w:val="24"/>
          <w:szCs w:val="24"/>
        </w:rPr>
        <w:t xml:space="preserve">Equation 5 </w:t>
      </w:r>
      <w:r w:rsidR="0002707F" w:rsidRPr="005618D0">
        <w:rPr>
          <w:rFonts w:ascii="Times New Roman" w:hAnsi="Times New Roman"/>
          <w:sz w:val="24"/>
          <w:szCs w:val="24"/>
        </w:rPr>
        <w:t>r</w:t>
      </w:r>
      <w:r w:rsidR="0002707F">
        <w:rPr>
          <w:rFonts w:ascii="Times New Roman" w:hAnsi="Times New Roman"/>
          <w:sz w:val="24"/>
          <w:szCs w:val="24"/>
        </w:rPr>
        <w:t xml:space="preserve">equires </w:t>
      </w:r>
      <w:r w:rsidR="00362C75">
        <w:rPr>
          <w:rFonts w:ascii="Times New Roman" w:hAnsi="Times New Roman"/>
          <w:sz w:val="24"/>
          <w:szCs w:val="24"/>
        </w:rPr>
        <w:t xml:space="preserve">the </w:t>
      </w:r>
      <w:r w:rsidR="0002707F">
        <w:rPr>
          <w:rFonts w:ascii="Times New Roman" w:hAnsi="Times New Roman"/>
          <w:sz w:val="24"/>
          <w:szCs w:val="24"/>
        </w:rPr>
        <w:t>calculation of</w:t>
      </w:r>
      <w:r w:rsidR="00362C75">
        <w:rPr>
          <w:rFonts w:ascii="Times New Roman" w:hAnsi="Times New Roman"/>
          <w:sz w:val="24"/>
          <w:szCs w:val="24"/>
        </w:rPr>
        <w:t xml:space="preserve"> </w:t>
      </w:r>
      <w:r w:rsidR="0002707F">
        <w:rPr>
          <w:rFonts w:ascii="Times New Roman" w:hAnsi="Times New Roman"/>
          <w:sz w:val="24"/>
          <w:szCs w:val="24"/>
        </w:rPr>
        <w:t xml:space="preserve">the </w:t>
      </w:r>
      <w:r w:rsidR="0002707F" w:rsidRPr="005618D0">
        <w:rPr>
          <w:rFonts w:ascii="Times New Roman" w:hAnsi="Times New Roman"/>
          <w:sz w:val="24"/>
          <w:szCs w:val="24"/>
        </w:rPr>
        <w:t xml:space="preserve">quantity of methane </w:t>
      </w:r>
      <w:r w:rsidR="0002707F">
        <w:rPr>
          <w:rFonts w:ascii="Times New Roman" w:hAnsi="Times New Roman"/>
          <w:sz w:val="24"/>
          <w:szCs w:val="24"/>
        </w:rPr>
        <w:t xml:space="preserve">and nitrous oxide </w:t>
      </w:r>
      <w:r w:rsidR="0002707F" w:rsidRPr="005618D0">
        <w:rPr>
          <w:rFonts w:ascii="Times New Roman" w:hAnsi="Times New Roman"/>
          <w:sz w:val="24"/>
          <w:szCs w:val="24"/>
        </w:rPr>
        <w:t xml:space="preserve">emissions released from all combustion devices using Equation 6 or </w:t>
      </w:r>
      <w:r w:rsidR="003C08D5">
        <w:rPr>
          <w:rFonts w:ascii="Times New Roman" w:hAnsi="Times New Roman"/>
          <w:sz w:val="24"/>
          <w:szCs w:val="24"/>
        </w:rPr>
        <w:t>Equation 6</w:t>
      </w:r>
      <w:r w:rsidR="0002707F">
        <w:rPr>
          <w:rFonts w:ascii="Times New Roman" w:hAnsi="Times New Roman"/>
          <w:sz w:val="24"/>
          <w:szCs w:val="24"/>
        </w:rPr>
        <w:t>(a).</w:t>
      </w:r>
      <w:r w:rsidR="0002707F" w:rsidRPr="005618D0">
        <w:rPr>
          <w:rFonts w:ascii="Times New Roman" w:hAnsi="Times New Roman"/>
          <w:sz w:val="24"/>
          <w:szCs w:val="24"/>
        </w:rPr>
        <w:t xml:space="preserve">  </w:t>
      </w:r>
    </w:p>
    <w:p w:rsidR="002E7E74" w:rsidRDefault="00362C75">
      <w:pPr>
        <w:spacing w:before="240" w:after="240" w:line="240" w:lineRule="auto"/>
        <w:rPr>
          <w:rFonts w:ascii="Times New Roman" w:hAnsi="Times New Roman"/>
          <w:sz w:val="24"/>
          <w:szCs w:val="24"/>
        </w:rPr>
      </w:pPr>
      <w:r>
        <w:rPr>
          <w:rFonts w:ascii="Times New Roman" w:hAnsi="Times New Roman"/>
          <w:sz w:val="24"/>
          <w:szCs w:val="24"/>
        </w:rPr>
        <w:t>T</w:t>
      </w:r>
      <w:r w:rsidR="0002707F" w:rsidRPr="005618D0">
        <w:rPr>
          <w:rFonts w:ascii="Times New Roman" w:hAnsi="Times New Roman"/>
          <w:sz w:val="24"/>
          <w:szCs w:val="24"/>
        </w:rPr>
        <w:t xml:space="preserve">he project may adopt the latter approach </w:t>
      </w:r>
      <w:r w:rsidR="0002707F">
        <w:rPr>
          <w:rFonts w:ascii="Times New Roman" w:hAnsi="Times New Roman"/>
          <w:sz w:val="24"/>
          <w:szCs w:val="24"/>
        </w:rPr>
        <w:t xml:space="preserve">only </w:t>
      </w:r>
      <w:r w:rsidR="0002707F" w:rsidRPr="005618D0">
        <w:rPr>
          <w:rFonts w:ascii="Times New Roman" w:hAnsi="Times New Roman"/>
          <w:sz w:val="24"/>
          <w:szCs w:val="24"/>
        </w:rPr>
        <w:t xml:space="preserve">if an internal combustion engine is used and the project proponent chooses to calculate the </w:t>
      </w:r>
      <w:r w:rsidR="0002707F">
        <w:rPr>
          <w:rFonts w:ascii="Times New Roman" w:hAnsi="Times New Roman"/>
          <w:sz w:val="24"/>
          <w:szCs w:val="24"/>
        </w:rPr>
        <w:t>quantity</w:t>
      </w:r>
      <w:r w:rsidR="0002707F" w:rsidRPr="005618D0">
        <w:rPr>
          <w:rFonts w:ascii="Times New Roman" w:hAnsi="Times New Roman"/>
          <w:sz w:val="24"/>
          <w:szCs w:val="24"/>
        </w:rPr>
        <w:t xml:space="preserve"> of methane destroyed by an internal combustion engine</w:t>
      </w:r>
      <w:r w:rsidR="0002707F">
        <w:rPr>
          <w:rFonts w:ascii="Times New Roman" w:hAnsi="Times New Roman"/>
          <w:sz w:val="24"/>
          <w:szCs w:val="24"/>
        </w:rPr>
        <w:t xml:space="preserve"> based on the amount of electricity produced by an internal combustion engine generator measured in megawatt hours. </w:t>
      </w:r>
    </w:p>
    <w:p w:rsidR="002E7E74" w:rsidRDefault="00362C75">
      <w:pPr>
        <w:spacing w:before="240" w:after="240" w:line="240" w:lineRule="auto"/>
        <w:rPr>
          <w:rFonts w:ascii="Times New Roman" w:hAnsi="Times New Roman"/>
          <w:sz w:val="24"/>
          <w:szCs w:val="24"/>
        </w:rPr>
      </w:pPr>
      <w:r>
        <w:rPr>
          <w:rFonts w:ascii="Times New Roman" w:hAnsi="Times New Roman"/>
          <w:sz w:val="24"/>
          <w:szCs w:val="24"/>
        </w:rPr>
        <w:t>U</w:t>
      </w:r>
      <w:r w:rsidR="0002707F" w:rsidRPr="00CF4023">
        <w:rPr>
          <w:rFonts w:ascii="Times New Roman" w:hAnsi="Times New Roman"/>
          <w:sz w:val="24"/>
          <w:szCs w:val="24"/>
        </w:rPr>
        <w:t xml:space="preserve">se of Equation 6 requires the calculation of the volume of </w:t>
      </w:r>
      <w:r w:rsidR="0002707F">
        <w:rPr>
          <w:rFonts w:ascii="Times New Roman" w:hAnsi="Times New Roman"/>
          <w:sz w:val="24"/>
          <w:szCs w:val="24"/>
        </w:rPr>
        <w:t xml:space="preserve">methane generated by </w:t>
      </w:r>
      <w:r w:rsidR="0002707F" w:rsidRPr="00CF4023">
        <w:rPr>
          <w:rFonts w:ascii="Times New Roman" w:hAnsi="Times New Roman"/>
          <w:sz w:val="24"/>
          <w:szCs w:val="24"/>
        </w:rPr>
        <w:t>legacy waste not destroyed by the combustion device using Equation 7</w:t>
      </w:r>
      <w:r>
        <w:rPr>
          <w:rFonts w:ascii="Times New Roman" w:hAnsi="Times New Roman"/>
          <w:sz w:val="24"/>
          <w:szCs w:val="24"/>
        </w:rPr>
        <w:t>.</w:t>
      </w:r>
    </w:p>
    <w:p w:rsidR="002E7E74" w:rsidRDefault="00362C75">
      <w:pPr>
        <w:spacing w:before="240" w:after="240" w:line="240" w:lineRule="auto"/>
        <w:rPr>
          <w:rFonts w:ascii="Times New Roman" w:hAnsi="Times New Roman"/>
          <w:sz w:val="24"/>
          <w:szCs w:val="24"/>
        </w:rPr>
      </w:pPr>
      <w:r>
        <w:rPr>
          <w:rFonts w:ascii="Times New Roman" w:hAnsi="Times New Roman"/>
          <w:sz w:val="24"/>
          <w:szCs w:val="24"/>
        </w:rPr>
        <w:t>U</w:t>
      </w:r>
      <w:r w:rsidR="0002707F" w:rsidRPr="00CF4023">
        <w:rPr>
          <w:rFonts w:ascii="Times New Roman" w:hAnsi="Times New Roman"/>
          <w:sz w:val="24"/>
          <w:szCs w:val="24"/>
        </w:rPr>
        <w:t xml:space="preserve">se of </w:t>
      </w:r>
      <w:r w:rsidR="0002707F">
        <w:rPr>
          <w:rFonts w:ascii="Times New Roman" w:hAnsi="Times New Roman"/>
          <w:sz w:val="24"/>
          <w:szCs w:val="24"/>
        </w:rPr>
        <w:t>E</w:t>
      </w:r>
      <w:r w:rsidR="0002707F" w:rsidRPr="00CF4023">
        <w:rPr>
          <w:rFonts w:ascii="Times New Roman" w:hAnsi="Times New Roman"/>
          <w:sz w:val="24"/>
          <w:szCs w:val="24"/>
        </w:rPr>
        <w:t xml:space="preserve">quation </w:t>
      </w:r>
      <w:r w:rsidR="003C08D5">
        <w:rPr>
          <w:rFonts w:ascii="Times New Roman" w:hAnsi="Times New Roman"/>
          <w:sz w:val="24"/>
          <w:szCs w:val="24"/>
        </w:rPr>
        <w:t>6</w:t>
      </w:r>
      <w:r w:rsidR="0002707F">
        <w:rPr>
          <w:rFonts w:ascii="Times New Roman" w:hAnsi="Times New Roman"/>
          <w:sz w:val="24"/>
          <w:szCs w:val="24"/>
        </w:rPr>
        <w:t>(a)</w:t>
      </w:r>
      <w:r w:rsidR="0002707F" w:rsidRPr="00CF4023">
        <w:rPr>
          <w:rFonts w:ascii="Times New Roman" w:hAnsi="Times New Roman"/>
          <w:sz w:val="24"/>
          <w:szCs w:val="24"/>
        </w:rPr>
        <w:t xml:space="preserve"> requires</w:t>
      </w:r>
      <w:r w:rsidR="0002707F">
        <w:rPr>
          <w:rFonts w:ascii="Times New Roman" w:hAnsi="Times New Roman"/>
          <w:sz w:val="24"/>
          <w:szCs w:val="24"/>
        </w:rPr>
        <w:t>:</w:t>
      </w:r>
    </w:p>
    <w:p w:rsidR="002E7E74" w:rsidRDefault="0002707F">
      <w:pPr>
        <w:pStyle w:val="ListParagraph"/>
        <w:numPr>
          <w:ilvl w:val="0"/>
          <w:numId w:val="12"/>
        </w:numPr>
        <w:spacing w:before="240" w:after="240" w:line="240" w:lineRule="auto"/>
        <w:contextualSpacing/>
        <w:rPr>
          <w:rFonts w:ascii="Times New Roman" w:hAnsi="Times New Roman"/>
          <w:sz w:val="24"/>
          <w:szCs w:val="24"/>
        </w:rPr>
      </w:pPr>
      <w:r w:rsidRPr="00D746D3">
        <w:rPr>
          <w:rFonts w:ascii="Times New Roman" w:hAnsi="Times New Roman"/>
          <w:sz w:val="24"/>
          <w:szCs w:val="24"/>
        </w:rPr>
        <w:t>calculation of the volume of methane generated by legacy waste not destroyed by the combustion device using Equation 7;</w:t>
      </w:r>
      <w:r w:rsidR="00362C75">
        <w:rPr>
          <w:rFonts w:ascii="Times New Roman" w:hAnsi="Times New Roman"/>
          <w:sz w:val="24"/>
          <w:szCs w:val="24"/>
        </w:rPr>
        <w:t xml:space="preserve"> and</w:t>
      </w:r>
    </w:p>
    <w:p w:rsidR="002E7E74" w:rsidRDefault="0002707F">
      <w:pPr>
        <w:pStyle w:val="ListParagraph"/>
        <w:numPr>
          <w:ilvl w:val="0"/>
          <w:numId w:val="12"/>
        </w:numPr>
        <w:spacing w:before="240" w:after="240" w:line="240" w:lineRule="auto"/>
        <w:contextualSpacing/>
        <w:rPr>
          <w:rFonts w:ascii="Times New Roman" w:hAnsi="Times New Roman"/>
          <w:sz w:val="24"/>
          <w:szCs w:val="24"/>
        </w:rPr>
      </w:pPr>
      <w:r w:rsidRPr="00CF4023">
        <w:rPr>
          <w:rFonts w:ascii="Times New Roman" w:hAnsi="Times New Roman"/>
          <w:sz w:val="24"/>
          <w:szCs w:val="24"/>
        </w:rPr>
        <w:t xml:space="preserve">calculation of the </w:t>
      </w:r>
      <w:r>
        <w:rPr>
          <w:rFonts w:ascii="Times New Roman" w:hAnsi="Times New Roman"/>
          <w:sz w:val="24"/>
          <w:szCs w:val="24"/>
        </w:rPr>
        <w:t>energy content of the methane sent to the internal combustion engine in gigajoules using Equation 10.</w:t>
      </w:r>
    </w:p>
    <w:p w:rsidR="002E7E74" w:rsidRDefault="0002707F">
      <w:pPr>
        <w:spacing w:before="240" w:after="240" w:line="240" w:lineRule="auto"/>
        <w:rPr>
          <w:rFonts w:ascii="Times New Roman" w:hAnsi="Times New Roman"/>
          <w:sz w:val="24"/>
          <w:szCs w:val="24"/>
        </w:rPr>
      </w:pPr>
      <w:r w:rsidRPr="005618D0">
        <w:rPr>
          <w:rFonts w:ascii="Times New Roman" w:hAnsi="Times New Roman"/>
          <w:sz w:val="24"/>
          <w:szCs w:val="24"/>
        </w:rPr>
        <w:t>Equation 5 also r</w:t>
      </w:r>
      <w:r>
        <w:rPr>
          <w:rFonts w:ascii="Times New Roman" w:hAnsi="Times New Roman"/>
          <w:sz w:val="24"/>
          <w:szCs w:val="24"/>
        </w:rPr>
        <w:t>equires the calculation of</w:t>
      </w:r>
      <w:r w:rsidR="00362C75">
        <w:rPr>
          <w:rFonts w:ascii="Times New Roman" w:hAnsi="Times New Roman"/>
          <w:sz w:val="24"/>
          <w:szCs w:val="24"/>
        </w:rPr>
        <w:t xml:space="preserve"> </w:t>
      </w:r>
      <w:r>
        <w:rPr>
          <w:rFonts w:ascii="Times New Roman" w:hAnsi="Times New Roman"/>
          <w:sz w:val="24"/>
          <w:szCs w:val="24"/>
        </w:rPr>
        <w:t xml:space="preserve">the </w:t>
      </w:r>
      <w:r w:rsidRPr="005618D0">
        <w:rPr>
          <w:rFonts w:ascii="Times New Roman" w:hAnsi="Times New Roman"/>
          <w:sz w:val="24"/>
          <w:szCs w:val="24"/>
        </w:rPr>
        <w:t>quantity of nitrous oxide emissions released as a result of all combustion devices using Equation 8</w:t>
      </w:r>
      <w:r w:rsidR="00362C75">
        <w:rPr>
          <w:rFonts w:ascii="Times New Roman" w:hAnsi="Times New Roman"/>
          <w:sz w:val="24"/>
          <w:szCs w:val="24"/>
        </w:rPr>
        <w:t>. I</w:t>
      </w:r>
      <w:r w:rsidRPr="005618D0">
        <w:rPr>
          <w:rFonts w:ascii="Times New Roman" w:hAnsi="Times New Roman"/>
          <w:sz w:val="24"/>
          <w:szCs w:val="24"/>
        </w:rPr>
        <w:t xml:space="preserve">f an internal combustion engine is used and the project proponent chooses to calculate the </w:t>
      </w:r>
      <w:r>
        <w:rPr>
          <w:rFonts w:ascii="Times New Roman" w:hAnsi="Times New Roman"/>
          <w:sz w:val="24"/>
          <w:szCs w:val="24"/>
        </w:rPr>
        <w:t>quantity</w:t>
      </w:r>
      <w:r w:rsidRPr="005618D0">
        <w:rPr>
          <w:rFonts w:ascii="Times New Roman" w:hAnsi="Times New Roman"/>
          <w:sz w:val="24"/>
          <w:szCs w:val="24"/>
        </w:rPr>
        <w:t xml:space="preserve"> of methane destroyed by an internal combustion engine based on the </w:t>
      </w:r>
      <w:r w:rsidRPr="00EC240C">
        <w:rPr>
          <w:rFonts w:ascii="Times New Roman" w:hAnsi="Times New Roman"/>
          <w:sz w:val="24"/>
          <w:szCs w:val="24"/>
        </w:rPr>
        <w:t xml:space="preserve">amount of electricity produced by an internal combustion engine generator </w:t>
      </w:r>
      <w:r>
        <w:rPr>
          <w:rFonts w:ascii="Times New Roman" w:hAnsi="Times New Roman"/>
          <w:sz w:val="24"/>
          <w:szCs w:val="24"/>
        </w:rPr>
        <w:t>measured</w:t>
      </w:r>
      <w:r w:rsidRPr="005618D0">
        <w:rPr>
          <w:rFonts w:ascii="Times New Roman" w:hAnsi="Times New Roman"/>
          <w:sz w:val="24"/>
          <w:szCs w:val="24"/>
        </w:rPr>
        <w:t xml:space="preserve"> </w:t>
      </w:r>
      <w:r>
        <w:rPr>
          <w:rFonts w:ascii="Times New Roman" w:hAnsi="Times New Roman"/>
          <w:sz w:val="24"/>
          <w:szCs w:val="24"/>
        </w:rPr>
        <w:t>in</w:t>
      </w:r>
      <w:r w:rsidRPr="005618D0">
        <w:rPr>
          <w:rFonts w:ascii="Times New Roman" w:hAnsi="Times New Roman"/>
          <w:sz w:val="24"/>
          <w:szCs w:val="24"/>
        </w:rPr>
        <w:t xml:space="preserve"> megawatt hours</w:t>
      </w:r>
      <w:r>
        <w:rPr>
          <w:rFonts w:ascii="Times New Roman" w:hAnsi="Times New Roman"/>
          <w:sz w:val="24"/>
          <w:szCs w:val="24"/>
        </w:rPr>
        <w:t>,</w:t>
      </w:r>
      <w:r w:rsidRPr="005618D0">
        <w:rPr>
          <w:rFonts w:ascii="Times New Roman" w:hAnsi="Times New Roman"/>
          <w:sz w:val="24"/>
          <w:szCs w:val="24"/>
        </w:rPr>
        <w:t xml:space="preserve"> the quantity of nitrous oxide emissions released as a result of all combustion devices must be calculated using </w:t>
      </w:r>
      <w:r>
        <w:rPr>
          <w:rFonts w:ascii="Times New Roman" w:hAnsi="Times New Roman"/>
          <w:sz w:val="24"/>
          <w:szCs w:val="24"/>
        </w:rPr>
        <w:t>Equation</w:t>
      </w:r>
      <w:r w:rsidR="00362C75">
        <w:rPr>
          <w:rFonts w:ascii="Times New Roman" w:hAnsi="Times New Roman"/>
          <w:sz w:val="24"/>
          <w:szCs w:val="24"/>
        </w:rPr>
        <w:t> </w:t>
      </w:r>
      <w:r>
        <w:rPr>
          <w:rFonts w:ascii="Times New Roman" w:hAnsi="Times New Roman"/>
          <w:sz w:val="24"/>
          <w:szCs w:val="24"/>
        </w:rPr>
        <w:t>8(a).</w:t>
      </w:r>
    </w:p>
    <w:p w:rsidR="002E7E74" w:rsidRDefault="0002707F">
      <w:pPr>
        <w:keepNext/>
        <w:spacing w:before="240" w:after="240" w:line="240" w:lineRule="auto"/>
        <w:rPr>
          <w:rFonts w:ascii="Times New Roman" w:hAnsi="Times New Roman"/>
          <w:bCs/>
          <w:sz w:val="24"/>
          <w:szCs w:val="24"/>
          <w:u w:val="single"/>
        </w:rPr>
      </w:pPr>
      <w:r w:rsidRPr="00C55C1C">
        <w:rPr>
          <w:rFonts w:ascii="Times New Roman" w:hAnsi="Times New Roman"/>
          <w:bCs/>
          <w:sz w:val="24"/>
          <w:szCs w:val="24"/>
          <w:u w:val="single"/>
        </w:rPr>
        <w:t>3.8</w:t>
      </w:r>
      <w:r w:rsidRPr="00C55C1C">
        <w:rPr>
          <w:rFonts w:ascii="Times New Roman" w:hAnsi="Times New Roman"/>
          <w:bCs/>
          <w:sz w:val="24"/>
          <w:szCs w:val="24"/>
          <w:u w:val="single"/>
        </w:rPr>
        <w:tab/>
      </w:r>
      <w:r w:rsidR="0033460F">
        <w:rPr>
          <w:rFonts w:ascii="Times New Roman" w:hAnsi="Times New Roman"/>
          <w:bCs/>
          <w:sz w:val="24"/>
          <w:szCs w:val="24"/>
          <w:u w:val="single"/>
        </w:rPr>
        <w:t>Quantity of</w:t>
      </w:r>
      <w:r w:rsidRPr="00C55C1C">
        <w:rPr>
          <w:rFonts w:ascii="Times New Roman" w:hAnsi="Times New Roman"/>
          <w:bCs/>
          <w:sz w:val="24"/>
          <w:szCs w:val="24"/>
          <w:u w:val="single"/>
        </w:rPr>
        <w:t xml:space="preserve"> methane combusted in an internal combustion engine</w:t>
      </w:r>
      <w:r w:rsidR="0033460F">
        <w:rPr>
          <w:rFonts w:ascii="Times New Roman" w:hAnsi="Times New Roman"/>
          <w:bCs/>
          <w:sz w:val="24"/>
          <w:szCs w:val="24"/>
          <w:u w:val="single"/>
        </w:rPr>
        <w:t xml:space="preserve"> </w:t>
      </w:r>
      <w:r w:rsidR="003C08D5">
        <w:rPr>
          <w:rFonts w:ascii="Times New Roman" w:hAnsi="Times New Roman"/>
          <w:bCs/>
          <w:sz w:val="24"/>
          <w:szCs w:val="24"/>
          <w:u w:val="single"/>
        </w:rPr>
        <w:t>–</w:t>
      </w:r>
      <w:r w:rsidR="0033460F">
        <w:rPr>
          <w:rFonts w:ascii="Times New Roman" w:hAnsi="Times New Roman"/>
          <w:bCs/>
          <w:sz w:val="24"/>
          <w:szCs w:val="24"/>
          <w:u w:val="single"/>
        </w:rPr>
        <w:t xml:space="preserve"> o</w:t>
      </w:r>
      <w:r w:rsidR="0033460F" w:rsidRPr="00C55C1C">
        <w:rPr>
          <w:rFonts w:ascii="Times New Roman" w:hAnsi="Times New Roman"/>
          <w:bCs/>
          <w:sz w:val="24"/>
          <w:szCs w:val="24"/>
          <w:u w:val="single"/>
        </w:rPr>
        <w:t>ptional calculations</w:t>
      </w:r>
    </w:p>
    <w:p w:rsidR="0002707F" w:rsidRDefault="0002707F" w:rsidP="0002707F">
      <w:pPr>
        <w:spacing w:before="240" w:after="240" w:line="240" w:lineRule="auto"/>
        <w:rPr>
          <w:rFonts w:ascii="Times New Roman" w:hAnsi="Times New Roman"/>
          <w:sz w:val="24"/>
          <w:szCs w:val="24"/>
        </w:rPr>
      </w:pPr>
      <w:r w:rsidRPr="005618D0">
        <w:rPr>
          <w:rFonts w:ascii="Times New Roman" w:hAnsi="Times New Roman"/>
          <w:sz w:val="24"/>
          <w:szCs w:val="24"/>
        </w:rPr>
        <w:t xml:space="preserve">This section outlines the approaches to be taken if an internal combustion engine is used and the project proponent chooses to calculate the </w:t>
      </w:r>
      <w:r>
        <w:rPr>
          <w:rFonts w:ascii="Times New Roman" w:hAnsi="Times New Roman"/>
          <w:sz w:val="24"/>
          <w:szCs w:val="24"/>
        </w:rPr>
        <w:t>quantity</w:t>
      </w:r>
      <w:r w:rsidRPr="005618D0">
        <w:rPr>
          <w:rFonts w:ascii="Times New Roman" w:hAnsi="Times New Roman"/>
          <w:sz w:val="24"/>
          <w:szCs w:val="24"/>
        </w:rPr>
        <w:t xml:space="preserve"> of methane destroyed by an internal combustion engine based on the</w:t>
      </w:r>
      <w:r>
        <w:rPr>
          <w:rFonts w:ascii="Times New Roman" w:hAnsi="Times New Roman"/>
          <w:sz w:val="24"/>
          <w:szCs w:val="24"/>
        </w:rPr>
        <w:t xml:space="preserve"> </w:t>
      </w:r>
      <w:r w:rsidRPr="00EC240C">
        <w:rPr>
          <w:rFonts w:ascii="Times New Roman" w:hAnsi="Times New Roman"/>
          <w:sz w:val="24"/>
          <w:szCs w:val="24"/>
        </w:rPr>
        <w:t xml:space="preserve">amount of electricity produced by an internal combustion engine generator </w:t>
      </w:r>
      <w:r>
        <w:rPr>
          <w:rFonts w:ascii="Times New Roman" w:hAnsi="Times New Roman"/>
          <w:sz w:val="24"/>
          <w:szCs w:val="24"/>
        </w:rPr>
        <w:t xml:space="preserve">measured in </w:t>
      </w:r>
      <w:r w:rsidRPr="005618D0">
        <w:rPr>
          <w:rFonts w:ascii="Times New Roman" w:hAnsi="Times New Roman"/>
          <w:sz w:val="24"/>
          <w:szCs w:val="24"/>
        </w:rPr>
        <w:t>megawatt hours</w:t>
      </w:r>
      <w:r w:rsidR="0039794C">
        <w:rPr>
          <w:rFonts w:ascii="Times New Roman" w:hAnsi="Times New Roman"/>
          <w:sz w:val="24"/>
          <w:szCs w:val="24"/>
        </w:rPr>
        <w:t xml:space="preserve"> using Equations 2(a), 9</w:t>
      </w:r>
      <w:r w:rsidR="003C08D5">
        <w:rPr>
          <w:rFonts w:ascii="Times New Roman" w:hAnsi="Times New Roman"/>
          <w:sz w:val="24"/>
          <w:szCs w:val="24"/>
        </w:rPr>
        <w:t>,</w:t>
      </w:r>
      <w:r w:rsidR="0039794C">
        <w:rPr>
          <w:rFonts w:ascii="Times New Roman" w:hAnsi="Times New Roman"/>
          <w:sz w:val="24"/>
          <w:szCs w:val="24"/>
        </w:rPr>
        <w:t xml:space="preserve"> and 10</w:t>
      </w:r>
      <w:r w:rsidRPr="005618D0">
        <w:rPr>
          <w:rFonts w:ascii="Times New Roman" w:hAnsi="Times New Roman"/>
          <w:sz w:val="24"/>
          <w:szCs w:val="24"/>
        </w:rPr>
        <w:t>.</w:t>
      </w:r>
    </w:p>
    <w:p w:rsidR="0002707F" w:rsidRDefault="0002707F" w:rsidP="0002707F">
      <w:pPr>
        <w:spacing w:before="240" w:after="240" w:line="240" w:lineRule="auto"/>
        <w:rPr>
          <w:rFonts w:ascii="Times New Roman" w:hAnsi="Times New Roman"/>
          <w:bCs/>
          <w:sz w:val="24"/>
          <w:szCs w:val="24"/>
          <w:u w:val="single"/>
        </w:rPr>
      </w:pPr>
      <w:r w:rsidRPr="006024A0">
        <w:rPr>
          <w:rFonts w:ascii="Times New Roman" w:hAnsi="Times New Roman"/>
          <w:bCs/>
          <w:sz w:val="24"/>
          <w:szCs w:val="24"/>
          <w:u w:val="single"/>
        </w:rPr>
        <w:t>3.9</w:t>
      </w:r>
      <w:r w:rsidRPr="006024A0">
        <w:rPr>
          <w:rFonts w:ascii="Times New Roman" w:hAnsi="Times New Roman"/>
          <w:bCs/>
          <w:sz w:val="24"/>
          <w:szCs w:val="24"/>
          <w:u w:val="single"/>
        </w:rPr>
        <w:tab/>
      </w:r>
      <w:r w:rsidR="0033460F">
        <w:rPr>
          <w:rFonts w:ascii="Times New Roman" w:hAnsi="Times New Roman"/>
          <w:bCs/>
          <w:sz w:val="24"/>
          <w:szCs w:val="24"/>
          <w:u w:val="single"/>
        </w:rPr>
        <w:t>P</w:t>
      </w:r>
      <w:r w:rsidRPr="006024A0">
        <w:rPr>
          <w:rFonts w:ascii="Times New Roman" w:hAnsi="Times New Roman"/>
          <w:bCs/>
          <w:sz w:val="24"/>
          <w:szCs w:val="24"/>
          <w:u w:val="single"/>
        </w:rPr>
        <w:t xml:space="preserve">roportion of methane generated from legacy </w:t>
      </w:r>
      <w:r w:rsidRPr="0033460F">
        <w:rPr>
          <w:rFonts w:ascii="Times New Roman" w:hAnsi="Times New Roman"/>
          <w:bCs/>
          <w:sz w:val="24"/>
          <w:szCs w:val="24"/>
          <w:u w:val="single"/>
        </w:rPr>
        <w:t>waste</w:t>
      </w:r>
      <w:r w:rsidR="00C24B75">
        <w:rPr>
          <w:rFonts w:ascii="Times New Roman" w:hAnsi="Times New Roman"/>
          <w:bCs/>
          <w:sz w:val="24"/>
          <w:szCs w:val="24"/>
          <w:u w:val="single"/>
        </w:rPr>
        <w:t xml:space="preserve"> </w:t>
      </w:r>
      <w:r w:rsidR="005E125C" w:rsidRPr="005E125C">
        <w:rPr>
          <w:rFonts w:ascii="Times New Roman" w:hAnsi="Times New Roman"/>
          <w:u w:val="single"/>
        </w:rPr>
        <w:t>(</w:t>
      </w:r>
      <m:oMath>
        <m:sSub>
          <m:sSubPr>
            <m:ctrlPr>
              <w:rPr>
                <w:rFonts w:ascii="Cambria Math" w:hAnsi="Times New Roman"/>
                <w:iCs/>
                <w:u w:val="single"/>
              </w:rPr>
            </m:ctrlPr>
          </m:sSubPr>
          <m:e>
            <m:r>
              <m:rPr>
                <m:sty m:val="p"/>
              </m:rPr>
              <w:rPr>
                <w:rFonts w:ascii="Cambria Math" w:hAnsi="Cambria Math"/>
                <w:u w:val="single"/>
              </w:rPr>
              <m:t>L</m:t>
            </m:r>
          </m:e>
          <m:sub>
            <m:r>
              <m:rPr>
                <m:sty m:val="p"/>
              </m:rPr>
              <w:rPr>
                <w:rFonts w:ascii="Cambria Math" w:hAnsi="Cambria Math"/>
                <w:u w:val="single"/>
              </w:rPr>
              <m:t>p</m:t>
            </m:r>
          </m:sub>
        </m:sSub>
      </m:oMath>
      <w:r w:rsidR="005E125C" w:rsidRPr="005E125C">
        <w:rPr>
          <w:rFonts w:ascii="Times New Roman" w:hAnsi="Times New Roman"/>
          <w:u w:val="single"/>
        </w:rPr>
        <w:t>)</w:t>
      </w:r>
      <w:r w:rsidRPr="006024A0">
        <w:rPr>
          <w:rFonts w:ascii="Times New Roman" w:hAnsi="Times New Roman"/>
          <w:bCs/>
          <w:sz w:val="24"/>
          <w:szCs w:val="24"/>
          <w:u w:val="single"/>
        </w:rPr>
        <w:t xml:space="preserve"> </w:t>
      </w:r>
    </w:p>
    <w:p w:rsidR="00E401E0" w:rsidRDefault="0002707F" w:rsidP="0002707F">
      <w:pPr>
        <w:spacing w:before="240" w:after="240" w:line="240" w:lineRule="auto"/>
        <w:rPr>
          <w:rFonts w:ascii="Times New Roman" w:hAnsi="Times New Roman"/>
          <w:bCs/>
          <w:sz w:val="24"/>
          <w:szCs w:val="24"/>
          <w:u w:val="single"/>
        </w:rPr>
      </w:pPr>
      <w:r w:rsidRPr="006024A0">
        <w:rPr>
          <w:rFonts w:ascii="Times New Roman" w:hAnsi="Times New Roman"/>
          <w:sz w:val="24"/>
          <w:szCs w:val="24"/>
        </w:rPr>
        <w:t>This section outlines the procedure for determining the proportion of methane generated from legacy waste</w:t>
      </w:r>
      <w:r w:rsidR="0039794C">
        <w:rPr>
          <w:rFonts w:ascii="Times New Roman" w:hAnsi="Times New Roman"/>
          <w:sz w:val="24"/>
          <w:szCs w:val="24"/>
        </w:rPr>
        <w:t xml:space="preserve"> using Equation 11</w:t>
      </w:r>
      <w:r w:rsidRPr="006024A0">
        <w:rPr>
          <w:rFonts w:ascii="Times New Roman" w:hAnsi="Times New Roman"/>
          <w:sz w:val="24"/>
          <w:szCs w:val="24"/>
        </w:rPr>
        <w:t>.</w:t>
      </w:r>
      <w:r w:rsidRPr="005618D0">
        <w:rPr>
          <w:rFonts w:ascii="Times New Roman" w:hAnsi="Times New Roman"/>
          <w:sz w:val="24"/>
          <w:szCs w:val="24"/>
        </w:rPr>
        <w:t xml:space="preserve">  </w:t>
      </w:r>
    </w:p>
    <w:p w:rsidR="0002707F" w:rsidRDefault="0002707F" w:rsidP="0002707F">
      <w:pPr>
        <w:spacing w:before="240" w:after="240" w:line="240" w:lineRule="auto"/>
        <w:rPr>
          <w:rFonts w:ascii="Times New Roman" w:hAnsi="Times New Roman"/>
          <w:bCs/>
          <w:sz w:val="24"/>
          <w:szCs w:val="24"/>
          <w:u w:val="single"/>
        </w:rPr>
      </w:pPr>
      <w:r w:rsidRPr="00C55C1C">
        <w:rPr>
          <w:rFonts w:ascii="Times New Roman" w:hAnsi="Times New Roman"/>
          <w:bCs/>
          <w:sz w:val="24"/>
          <w:szCs w:val="24"/>
          <w:u w:val="single"/>
        </w:rPr>
        <w:t>3.10</w:t>
      </w:r>
      <w:r w:rsidRPr="00C55C1C">
        <w:rPr>
          <w:rFonts w:ascii="Times New Roman" w:hAnsi="Times New Roman"/>
          <w:bCs/>
          <w:sz w:val="24"/>
          <w:szCs w:val="24"/>
          <w:u w:val="single"/>
        </w:rPr>
        <w:tab/>
        <w:t>Quantity of methane destroyed under baseline conditions</w:t>
      </w:r>
      <w:r w:rsidR="0039794C">
        <w:rPr>
          <w:rFonts w:ascii="Times New Roman" w:hAnsi="Times New Roman"/>
          <w:bCs/>
          <w:sz w:val="24"/>
          <w:szCs w:val="24"/>
          <w:u w:val="single"/>
        </w:rPr>
        <w:t>,</w:t>
      </w:r>
      <w:r w:rsidRPr="00C55C1C">
        <w:rPr>
          <w:rFonts w:ascii="Times New Roman" w:hAnsi="Times New Roman"/>
          <w:bCs/>
          <w:sz w:val="24"/>
          <w:szCs w:val="24"/>
          <w:u w:val="single"/>
        </w:rPr>
        <w:t xml:space="preserve"> due to regulatory requirements (A</w:t>
      </w:r>
      <w:r w:rsidRPr="00172829">
        <w:rPr>
          <w:rFonts w:ascii="Times New Roman" w:hAnsi="Times New Roman"/>
          <w:bCs/>
          <w:sz w:val="24"/>
          <w:szCs w:val="24"/>
          <w:vertAlign w:val="subscript"/>
        </w:rPr>
        <w:t>reg</w:t>
      </w:r>
      <w:r w:rsidRPr="00C55C1C">
        <w:rPr>
          <w:rFonts w:ascii="Times New Roman" w:hAnsi="Times New Roman"/>
          <w:bCs/>
          <w:sz w:val="24"/>
          <w:szCs w:val="24"/>
          <w:u w:val="single"/>
        </w:rPr>
        <w:t xml:space="preserve">) </w:t>
      </w:r>
    </w:p>
    <w:p w:rsidR="0002707F" w:rsidRDefault="0039794C" w:rsidP="0002707F">
      <w:pPr>
        <w:spacing w:before="240" w:after="240" w:line="240" w:lineRule="auto"/>
        <w:rPr>
          <w:rFonts w:ascii="Times New Roman" w:hAnsi="Times New Roman"/>
          <w:sz w:val="24"/>
          <w:szCs w:val="24"/>
        </w:rPr>
      </w:pPr>
      <w:r>
        <w:rPr>
          <w:rFonts w:ascii="Times New Roman" w:hAnsi="Times New Roman"/>
          <w:sz w:val="24"/>
          <w:szCs w:val="24"/>
        </w:rPr>
        <w:t xml:space="preserve">This section sets out the requirements for Equations 12 and 12(a). </w:t>
      </w:r>
      <w:r w:rsidR="0002707F">
        <w:rPr>
          <w:rFonts w:ascii="Times New Roman" w:hAnsi="Times New Roman"/>
          <w:sz w:val="24"/>
          <w:szCs w:val="24"/>
        </w:rPr>
        <w:t>Equation 12 requires</w:t>
      </w:r>
      <w:r w:rsidR="0002707F" w:rsidRPr="005618D0">
        <w:rPr>
          <w:rFonts w:ascii="Times New Roman" w:hAnsi="Times New Roman"/>
          <w:sz w:val="24"/>
          <w:szCs w:val="24"/>
        </w:rPr>
        <w:t xml:space="preserve"> </w:t>
      </w:r>
      <w:r w:rsidR="0002707F">
        <w:rPr>
          <w:rFonts w:ascii="Times New Roman" w:hAnsi="Times New Roman"/>
          <w:sz w:val="24"/>
          <w:szCs w:val="24"/>
        </w:rPr>
        <w:t xml:space="preserve">the </w:t>
      </w:r>
      <w:r w:rsidR="0002707F" w:rsidRPr="005618D0">
        <w:rPr>
          <w:rFonts w:ascii="Times New Roman" w:hAnsi="Times New Roman"/>
          <w:sz w:val="24"/>
          <w:szCs w:val="24"/>
        </w:rPr>
        <w:t>calculation of:</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sidRPr="005618D0">
        <w:rPr>
          <w:rFonts w:ascii="Times New Roman" w:hAnsi="Times New Roman"/>
          <w:sz w:val="24"/>
          <w:szCs w:val="24"/>
        </w:rPr>
        <w:t>the volume of methane generated by legacy waste destroyed by the combustion device using Equation 3 at section 3.6;</w:t>
      </w:r>
      <w:r>
        <w:rPr>
          <w:rFonts w:ascii="Times New Roman" w:hAnsi="Times New Roman"/>
          <w:sz w:val="24"/>
          <w:szCs w:val="24"/>
        </w:rPr>
        <w:t xml:space="preserve"> and</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Pr>
          <w:rFonts w:ascii="Times New Roman" w:hAnsi="Times New Roman"/>
          <w:sz w:val="24"/>
          <w:szCs w:val="24"/>
        </w:rPr>
        <w:t xml:space="preserve">the </w:t>
      </w:r>
      <w:r w:rsidR="00936695">
        <w:rPr>
          <w:rFonts w:ascii="Times New Roman" w:hAnsi="Times New Roman"/>
          <w:sz w:val="24"/>
          <w:szCs w:val="24"/>
        </w:rPr>
        <w:t xml:space="preserve">quantity </w:t>
      </w:r>
      <w:r>
        <w:rPr>
          <w:rFonts w:ascii="Times New Roman" w:hAnsi="Times New Roman"/>
          <w:sz w:val="24"/>
          <w:szCs w:val="24"/>
        </w:rPr>
        <w:t>of methane that is required to be captured and destroyed to meet regulatory requirements according to the criteria given at subsection 3.10 (1).</w:t>
      </w:r>
    </w:p>
    <w:p w:rsidR="00160ED0" w:rsidRDefault="00BA43A9" w:rsidP="00BA43A9">
      <w:pPr>
        <w:pStyle w:val="R2"/>
        <w:spacing w:before="120" w:after="120" w:line="240" w:lineRule="auto"/>
        <w:ind w:left="0" w:firstLine="0"/>
        <w:jc w:val="left"/>
      </w:pPr>
      <w:r w:rsidRPr="0094380B">
        <w:t xml:space="preserve">The </w:t>
      </w:r>
      <w:r w:rsidR="00936695">
        <w:t>quantity</w:t>
      </w:r>
      <w:r w:rsidR="00936695" w:rsidRPr="0094380B">
        <w:t xml:space="preserve"> </w:t>
      </w:r>
      <w:r w:rsidRPr="0094380B">
        <w:t xml:space="preserve">of methane that is required to be captured or destroyed to meet regulatory requirements must be calculated in accordance with the Guidelines. The Guidelines provide a baseline of zero for </w:t>
      </w:r>
      <w:r w:rsidR="001E3465">
        <w:t xml:space="preserve">projects </w:t>
      </w:r>
      <w:r w:rsidRPr="0094380B">
        <w:t>transitioning from Greenhouse Friendly, and a baseline of 0.24 for projects transitioning from GGAS.</w:t>
      </w:r>
      <w:r w:rsidRPr="0094380B">
        <w:rPr>
          <w:rFonts w:eastAsia="Calibri"/>
          <w:lang w:eastAsia="en-US"/>
        </w:rPr>
        <w:t xml:space="preserve"> The Guidelines are </w:t>
      </w:r>
      <w:r w:rsidR="00FA6B5F" w:rsidRPr="0094380B">
        <w:t xml:space="preserve">available on the Department’s website at: </w:t>
      </w:r>
      <w:hyperlink r:id="rId8" w:history="1">
        <w:r w:rsidR="00FA6B5F" w:rsidRPr="0094380B">
          <w:rPr>
            <w:rStyle w:val="Hyperlink"/>
          </w:rPr>
          <w:t>www.climatechange.gov.au/cfi</w:t>
        </w:r>
      </w:hyperlink>
      <w:r w:rsidR="00A23AB9">
        <w:t>.</w:t>
      </w:r>
    </w:p>
    <w:p w:rsidR="0002707F" w:rsidRDefault="0002707F" w:rsidP="0002707F">
      <w:pPr>
        <w:spacing w:before="240" w:after="240" w:line="240" w:lineRule="auto"/>
        <w:contextualSpacing/>
        <w:rPr>
          <w:rFonts w:ascii="Times New Roman" w:hAnsi="Times New Roman"/>
          <w:sz w:val="24"/>
          <w:szCs w:val="24"/>
        </w:rPr>
      </w:pPr>
      <w:r>
        <w:rPr>
          <w:rFonts w:ascii="Times New Roman" w:hAnsi="Times New Roman"/>
          <w:sz w:val="24"/>
          <w:szCs w:val="24"/>
        </w:rPr>
        <w:t>I</w:t>
      </w:r>
      <w:r w:rsidRPr="00DF48C9">
        <w:rPr>
          <w:rFonts w:ascii="Times New Roman" w:hAnsi="Times New Roman"/>
          <w:sz w:val="24"/>
          <w:szCs w:val="24"/>
        </w:rPr>
        <w:t xml:space="preserve">f an internal combustion engine is used and the project proponent chooses to calculate the </w:t>
      </w:r>
      <w:r>
        <w:rPr>
          <w:rFonts w:ascii="Times New Roman" w:hAnsi="Times New Roman"/>
          <w:sz w:val="24"/>
          <w:szCs w:val="24"/>
        </w:rPr>
        <w:t>quantity</w:t>
      </w:r>
      <w:r w:rsidRPr="00DF48C9">
        <w:rPr>
          <w:rFonts w:ascii="Times New Roman" w:hAnsi="Times New Roman"/>
          <w:sz w:val="24"/>
          <w:szCs w:val="24"/>
        </w:rPr>
        <w:t xml:space="preserve"> of methane destroyed by an internal combustion engine based on the</w:t>
      </w:r>
      <w:r>
        <w:rPr>
          <w:rFonts w:ascii="Times New Roman" w:hAnsi="Times New Roman"/>
          <w:sz w:val="24"/>
          <w:szCs w:val="24"/>
        </w:rPr>
        <w:t xml:space="preserve"> energy used in the</w:t>
      </w:r>
      <w:r w:rsidRPr="00DF48C9">
        <w:rPr>
          <w:rFonts w:ascii="Times New Roman" w:hAnsi="Times New Roman"/>
          <w:sz w:val="24"/>
          <w:szCs w:val="24"/>
        </w:rPr>
        <w:t xml:space="preserve"> generation of electricity </w:t>
      </w:r>
      <w:r>
        <w:rPr>
          <w:rFonts w:ascii="Times New Roman" w:hAnsi="Times New Roman"/>
          <w:sz w:val="24"/>
          <w:szCs w:val="24"/>
        </w:rPr>
        <w:t>in</w:t>
      </w:r>
      <w:r w:rsidRPr="00DF48C9">
        <w:rPr>
          <w:rFonts w:ascii="Times New Roman" w:hAnsi="Times New Roman"/>
          <w:sz w:val="24"/>
          <w:szCs w:val="24"/>
        </w:rPr>
        <w:t xml:space="preserve"> megawatt hours</w:t>
      </w:r>
      <w:r>
        <w:rPr>
          <w:rFonts w:ascii="Times New Roman" w:hAnsi="Times New Roman"/>
          <w:sz w:val="24"/>
          <w:szCs w:val="24"/>
        </w:rPr>
        <w:t>,</w:t>
      </w:r>
      <w:r w:rsidRPr="00DF48C9">
        <w:rPr>
          <w:rFonts w:ascii="Times New Roman" w:hAnsi="Times New Roman"/>
          <w:sz w:val="24"/>
          <w:szCs w:val="24"/>
        </w:rPr>
        <w:t xml:space="preserve"> the quantity of methane destroyed under baseline conditions due to regulatory requirements must be calculated using the </w:t>
      </w:r>
      <w:r>
        <w:rPr>
          <w:rFonts w:ascii="Times New Roman" w:hAnsi="Times New Roman"/>
          <w:sz w:val="24"/>
          <w:szCs w:val="24"/>
        </w:rPr>
        <w:t>Equation 12 </w:t>
      </w:r>
      <w:r w:rsidRPr="00DF48C9">
        <w:rPr>
          <w:rFonts w:ascii="Times New Roman" w:hAnsi="Times New Roman"/>
          <w:sz w:val="24"/>
          <w:szCs w:val="24"/>
        </w:rPr>
        <w:t>(</w:t>
      </w:r>
      <w:r>
        <w:rPr>
          <w:rFonts w:ascii="Times New Roman" w:hAnsi="Times New Roman"/>
          <w:sz w:val="24"/>
          <w:szCs w:val="24"/>
        </w:rPr>
        <w:t>a</w:t>
      </w:r>
      <w:r w:rsidRPr="00DF48C9">
        <w:rPr>
          <w:rFonts w:ascii="Times New Roman" w:hAnsi="Times New Roman"/>
          <w:sz w:val="24"/>
          <w:szCs w:val="24"/>
        </w:rPr>
        <w:t xml:space="preserve">).  </w:t>
      </w:r>
    </w:p>
    <w:p w:rsidR="0002707F" w:rsidRDefault="0002707F" w:rsidP="0002707F">
      <w:pPr>
        <w:spacing w:before="240" w:after="240" w:line="240" w:lineRule="auto"/>
        <w:contextualSpacing/>
        <w:rPr>
          <w:rFonts w:ascii="Times New Roman" w:hAnsi="Times New Roman"/>
          <w:sz w:val="24"/>
          <w:szCs w:val="24"/>
        </w:rPr>
      </w:pPr>
    </w:p>
    <w:p w:rsidR="0002707F" w:rsidRDefault="0002707F" w:rsidP="0002707F">
      <w:pPr>
        <w:spacing w:before="240" w:after="240" w:line="240" w:lineRule="auto"/>
        <w:ind w:left="2160" w:hanging="2160"/>
        <w:rPr>
          <w:rFonts w:ascii="Times New Roman" w:hAnsi="Times New Roman"/>
          <w:b/>
          <w:bCs/>
          <w:sz w:val="24"/>
          <w:szCs w:val="24"/>
        </w:rPr>
      </w:pPr>
      <w:r w:rsidRPr="005618D0">
        <w:rPr>
          <w:rFonts w:ascii="Times New Roman" w:hAnsi="Times New Roman"/>
          <w:b/>
          <w:bCs/>
          <w:sz w:val="24"/>
          <w:szCs w:val="24"/>
        </w:rPr>
        <w:t>Subdivision 3.2.3</w:t>
      </w:r>
      <w:r w:rsidRPr="005618D0">
        <w:rPr>
          <w:rFonts w:ascii="Times New Roman" w:hAnsi="Times New Roman"/>
          <w:b/>
          <w:bCs/>
          <w:sz w:val="24"/>
          <w:szCs w:val="24"/>
        </w:rPr>
        <w:tab/>
        <w:t>Calculating</w:t>
      </w:r>
      <w:r w:rsidRPr="00003672">
        <w:rPr>
          <w:rFonts w:ascii="Times New Roman" w:hAnsi="Times New Roman"/>
          <w:b/>
          <w:bCs/>
          <w:sz w:val="24"/>
          <w:szCs w:val="24"/>
        </w:rPr>
        <w:t xml:space="preserve"> emissions from fuel and grid-delivered electricity used to operate the landfill gas extraction system used in the project </w:t>
      </w:r>
      <m:oMath>
        <m:r>
          <m:rPr>
            <m:sty m:val="bi"/>
          </m:rPr>
          <w:rPr>
            <w:rFonts w:ascii="Cambria Math" w:hAnsi="Cambria Math"/>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p</m:t>
            </m:r>
          </m:sub>
        </m:sSub>
        <m:r>
          <m:rPr>
            <m:sty m:val="b"/>
          </m:rPr>
          <w:rPr>
            <w:rFonts w:ascii="Cambria Math"/>
          </w:rPr>
          <m:t>)</m:t>
        </m:r>
      </m:oMath>
    </w:p>
    <w:p w:rsidR="0002707F" w:rsidRDefault="0002707F" w:rsidP="0002707F">
      <w:pPr>
        <w:spacing w:before="240" w:after="240" w:line="240" w:lineRule="auto"/>
        <w:rPr>
          <w:rFonts w:ascii="Times New Roman" w:hAnsi="Times New Roman"/>
          <w:sz w:val="24"/>
          <w:szCs w:val="24"/>
        </w:rPr>
      </w:pPr>
      <w:r w:rsidRPr="005618D0">
        <w:rPr>
          <w:rFonts w:ascii="Times New Roman" w:hAnsi="Times New Roman"/>
          <w:sz w:val="24"/>
          <w:szCs w:val="24"/>
        </w:rPr>
        <w:t xml:space="preserve">This subdivision outlines equations required to calculate the quantity of </w:t>
      </w:r>
      <w:r>
        <w:rPr>
          <w:rFonts w:ascii="Times New Roman" w:hAnsi="Times New Roman"/>
          <w:bCs/>
          <w:sz w:val="24"/>
          <w:szCs w:val="24"/>
        </w:rPr>
        <w:t>e</w:t>
      </w:r>
      <w:r w:rsidRPr="005618D0">
        <w:rPr>
          <w:rFonts w:ascii="Times New Roman" w:hAnsi="Times New Roman"/>
          <w:bCs/>
          <w:sz w:val="24"/>
          <w:szCs w:val="24"/>
        </w:rPr>
        <w:t xml:space="preserve">missions from fuel and grid-delivered electricity used to operate the landfill gas extraction system to capture </w:t>
      </w:r>
      <w:r>
        <w:rPr>
          <w:rFonts w:ascii="Times New Roman" w:hAnsi="Times New Roman"/>
          <w:bCs/>
          <w:sz w:val="24"/>
          <w:szCs w:val="24"/>
        </w:rPr>
        <w:t>and destroy methane generated f</w:t>
      </w:r>
      <w:r w:rsidRPr="005618D0">
        <w:rPr>
          <w:rFonts w:ascii="Times New Roman" w:hAnsi="Times New Roman"/>
          <w:bCs/>
          <w:sz w:val="24"/>
          <w:szCs w:val="24"/>
        </w:rPr>
        <w:t>r</w:t>
      </w:r>
      <w:r>
        <w:rPr>
          <w:rFonts w:ascii="Times New Roman" w:hAnsi="Times New Roman"/>
          <w:bCs/>
          <w:sz w:val="24"/>
          <w:szCs w:val="24"/>
        </w:rPr>
        <w:t>o</w:t>
      </w:r>
      <w:r w:rsidRPr="005618D0">
        <w:rPr>
          <w:rFonts w:ascii="Times New Roman" w:hAnsi="Times New Roman"/>
          <w:bCs/>
          <w:sz w:val="24"/>
          <w:szCs w:val="24"/>
        </w:rPr>
        <w:t xml:space="preserve">m legacy waste as a result of the project.  </w:t>
      </w:r>
      <w:r w:rsidRPr="005618D0">
        <w:rPr>
          <w:rFonts w:ascii="Times New Roman" w:hAnsi="Times New Roman"/>
          <w:sz w:val="24"/>
          <w:szCs w:val="24"/>
        </w:rPr>
        <w:t xml:space="preserve"> </w:t>
      </w:r>
    </w:p>
    <w:p w:rsidR="0002707F" w:rsidRDefault="0002707F" w:rsidP="0002707F">
      <w:pPr>
        <w:spacing w:before="240" w:after="240" w:line="240" w:lineRule="auto"/>
        <w:rPr>
          <w:rFonts w:ascii="Times New Roman" w:hAnsi="Times New Roman"/>
          <w:bCs/>
          <w:sz w:val="24"/>
          <w:szCs w:val="24"/>
          <w:u w:val="single"/>
        </w:rPr>
      </w:pPr>
      <w:r>
        <w:rPr>
          <w:rFonts w:ascii="Times New Roman" w:hAnsi="Times New Roman"/>
          <w:bCs/>
          <w:sz w:val="24"/>
          <w:szCs w:val="24"/>
          <w:u w:val="single"/>
        </w:rPr>
        <w:t>3.11</w:t>
      </w:r>
      <w:r>
        <w:rPr>
          <w:rFonts w:ascii="Times New Roman" w:hAnsi="Times New Roman"/>
          <w:bCs/>
          <w:sz w:val="24"/>
          <w:szCs w:val="24"/>
          <w:u w:val="single"/>
        </w:rPr>
        <w:tab/>
      </w:r>
      <w:r w:rsidR="00FA00C9">
        <w:rPr>
          <w:rFonts w:ascii="Times New Roman" w:hAnsi="Times New Roman"/>
          <w:bCs/>
          <w:sz w:val="24"/>
          <w:szCs w:val="24"/>
          <w:u w:val="single"/>
        </w:rPr>
        <w:t>E</w:t>
      </w:r>
      <w:r w:rsidRPr="00C55C1C">
        <w:rPr>
          <w:rFonts w:ascii="Times New Roman" w:hAnsi="Times New Roman"/>
          <w:bCs/>
          <w:sz w:val="24"/>
          <w:szCs w:val="24"/>
          <w:u w:val="single"/>
        </w:rPr>
        <w:t>missions from fuel and grid-delivered electricity used to operate the landfill gas extraction system used in the project (Y</w:t>
      </w:r>
      <w:r w:rsidRPr="00C55C1C">
        <w:rPr>
          <w:rFonts w:ascii="Times New Roman" w:hAnsi="Times New Roman"/>
          <w:bCs/>
          <w:sz w:val="24"/>
          <w:szCs w:val="24"/>
          <w:u w:val="single"/>
          <w:vertAlign w:val="subscript"/>
        </w:rPr>
        <w:t>p</w:t>
      </w:r>
      <w:r w:rsidRPr="00C55C1C">
        <w:rPr>
          <w:rFonts w:ascii="Times New Roman" w:hAnsi="Times New Roman"/>
          <w:bCs/>
          <w:sz w:val="24"/>
          <w:szCs w:val="24"/>
          <w:u w:val="single"/>
        </w:rPr>
        <w:t xml:space="preserve">) </w:t>
      </w:r>
    </w:p>
    <w:p w:rsidR="0002707F" w:rsidRDefault="00FA00C9" w:rsidP="0002707F">
      <w:pPr>
        <w:spacing w:before="240" w:after="240" w:line="240" w:lineRule="auto"/>
        <w:rPr>
          <w:rFonts w:ascii="Times New Roman" w:hAnsi="Times New Roman"/>
          <w:bCs/>
          <w:sz w:val="24"/>
          <w:szCs w:val="24"/>
        </w:rPr>
      </w:pPr>
      <w:r>
        <w:rPr>
          <w:rFonts w:ascii="Times New Roman" w:hAnsi="Times New Roman"/>
          <w:bCs/>
          <w:sz w:val="24"/>
          <w:szCs w:val="24"/>
        </w:rPr>
        <w:t>This section sets out the requirements for Equations 13, 14</w:t>
      </w:r>
      <w:r w:rsidR="004821D4">
        <w:rPr>
          <w:rFonts w:ascii="Times New Roman" w:hAnsi="Times New Roman"/>
          <w:bCs/>
          <w:sz w:val="24"/>
          <w:szCs w:val="24"/>
        </w:rPr>
        <w:t>,</w:t>
      </w:r>
      <w:r>
        <w:rPr>
          <w:rFonts w:ascii="Times New Roman" w:hAnsi="Times New Roman"/>
          <w:bCs/>
          <w:sz w:val="24"/>
          <w:szCs w:val="24"/>
        </w:rPr>
        <w:t xml:space="preserve"> and 15. </w:t>
      </w:r>
      <w:r w:rsidR="0002707F" w:rsidRPr="005618D0">
        <w:rPr>
          <w:rFonts w:ascii="Times New Roman" w:hAnsi="Times New Roman"/>
          <w:bCs/>
          <w:sz w:val="24"/>
          <w:szCs w:val="24"/>
        </w:rPr>
        <w:t>Equation 13 r</w:t>
      </w:r>
      <w:r w:rsidR="0002707F">
        <w:rPr>
          <w:rFonts w:ascii="Times New Roman" w:hAnsi="Times New Roman"/>
          <w:bCs/>
          <w:sz w:val="24"/>
          <w:szCs w:val="24"/>
        </w:rPr>
        <w:t>equires the calculation of</w:t>
      </w:r>
      <w:r w:rsidR="0002707F" w:rsidRPr="005618D0">
        <w:rPr>
          <w:rFonts w:ascii="Times New Roman" w:hAnsi="Times New Roman"/>
          <w:bCs/>
          <w:sz w:val="24"/>
          <w:szCs w:val="24"/>
        </w:rPr>
        <w:t>:</w:t>
      </w:r>
    </w:p>
    <w:p w:rsidR="0002707F" w:rsidRDefault="0002707F" w:rsidP="0002707F">
      <w:pPr>
        <w:pStyle w:val="ListParagraph"/>
        <w:numPr>
          <w:ilvl w:val="0"/>
          <w:numId w:val="12"/>
        </w:numPr>
        <w:spacing w:before="240" w:after="240" w:line="240" w:lineRule="auto"/>
        <w:contextualSpacing/>
        <w:rPr>
          <w:rFonts w:ascii="Times New Roman" w:hAnsi="Times New Roman"/>
          <w:bCs/>
          <w:sz w:val="24"/>
          <w:szCs w:val="24"/>
        </w:rPr>
      </w:pPr>
      <w:r>
        <w:rPr>
          <w:rFonts w:ascii="Times New Roman" w:hAnsi="Times New Roman"/>
          <w:bCs/>
          <w:sz w:val="24"/>
          <w:szCs w:val="24"/>
        </w:rPr>
        <w:t xml:space="preserve">the </w:t>
      </w:r>
      <w:r w:rsidRPr="005618D0">
        <w:rPr>
          <w:rFonts w:ascii="Times New Roman" w:hAnsi="Times New Roman"/>
          <w:bCs/>
          <w:sz w:val="24"/>
          <w:szCs w:val="24"/>
        </w:rPr>
        <w:t>total emissions from fuel and grid-delivered electricity used to operate the landfill gas extraction system using Equation 14;</w:t>
      </w:r>
    </w:p>
    <w:p w:rsidR="0002707F" w:rsidRDefault="0002707F" w:rsidP="0002707F">
      <w:pPr>
        <w:pStyle w:val="ListParagraph"/>
        <w:numPr>
          <w:ilvl w:val="0"/>
          <w:numId w:val="12"/>
        </w:numPr>
        <w:spacing w:before="240" w:after="240" w:line="240" w:lineRule="auto"/>
        <w:contextualSpacing/>
        <w:rPr>
          <w:rFonts w:ascii="Times New Roman" w:hAnsi="Times New Roman"/>
          <w:bCs/>
          <w:sz w:val="24"/>
          <w:szCs w:val="24"/>
        </w:rPr>
      </w:pPr>
      <w:r>
        <w:rPr>
          <w:rFonts w:ascii="Times New Roman" w:hAnsi="Times New Roman"/>
          <w:bCs/>
          <w:sz w:val="24"/>
          <w:szCs w:val="24"/>
        </w:rPr>
        <w:t xml:space="preserve">the </w:t>
      </w:r>
      <w:r w:rsidRPr="005618D0">
        <w:rPr>
          <w:rFonts w:ascii="Times New Roman" w:hAnsi="Times New Roman"/>
          <w:bCs/>
          <w:sz w:val="24"/>
          <w:szCs w:val="24"/>
        </w:rPr>
        <w:t>emissions from fuel and grid-delivered electricity used to operate the landfill gas extraction system to meet</w:t>
      </w:r>
      <w:r>
        <w:rPr>
          <w:rFonts w:ascii="Times New Roman" w:hAnsi="Times New Roman"/>
          <w:bCs/>
          <w:sz w:val="24"/>
          <w:szCs w:val="24"/>
        </w:rPr>
        <w:t xml:space="preserve"> regulatory requirements using E</w:t>
      </w:r>
      <w:r w:rsidRPr="005618D0">
        <w:rPr>
          <w:rFonts w:ascii="Times New Roman" w:hAnsi="Times New Roman"/>
          <w:bCs/>
          <w:sz w:val="24"/>
          <w:szCs w:val="24"/>
        </w:rPr>
        <w:t>quation 15.</w:t>
      </w:r>
    </w:p>
    <w:p w:rsidR="0002707F" w:rsidRDefault="0002707F" w:rsidP="0002707F">
      <w:pPr>
        <w:spacing w:before="240" w:after="240" w:line="240" w:lineRule="auto"/>
        <w:rPr>
          <w:rFonts w:ascii="Times New Roman" w:hAnsi="Times New Roman"/>
          <w:bCs/>
          <w:sz w:val="24"/>
          <w:szCs w:val="24"/>
        </w:rPr>
      </w:pPr>
      <w:r w:rsidRPr="008C0BF0">
        <w:rPr>
          <w:rFonts w:ascii="Times New Roman" w:hAnsi="Times New Roman"/>
          <w:bCs/>
          <w:sz w:val="24"/>
          <w:szCs w:val="24"/>
        </w:rPr>
        <w:t xml:space="preserve">Equation 14 requires </w:t>
      </w:r>
      <w:r>
        <w:rPr>
          <w:rFonts w:ascii="Times New Roman" w:hAnsi="Times New Roman"/>
          <w:bCs/>
          <w:sz w:val="24"/>
          <w:szCs w:val="24"/>
        </w:rPr>
        <w:t xml:space="preserve">the </w:t>
      </w:r>
      <w:r w:rsidRPr="008C0BF0">
        <w:rPr>
          <w:rFonts w:ascii="Times New Roman" w:hAnsi="Times New Roman"/>
          <w:bCs/>
          <w:sz w:val="24"/>
          <w:szCs w:val="24"/>
        </w:rPr>
        <w:t xml:space="preserve">calculation of the total emissions from fuel used (including supplemental natural gas) to operate the landfill gas extraction system using Equation 16 and </w:t>
      </w:r>
      <w:r>
        <w:rPr>
          <w:rFonts w:ascii="Times New Roman" w:hAnsi="Times New Roman"/>
          <w:bCs/>
          <w:sz w:val="24"/>
          <w:szCs w:val="24"/>
        </w:rPr>
        <w:t xml:space="preserve">the </w:t>
      </w:r>
      <w:r w:rsidR="0096616F" w:rsidRPr="0096616F">
        <w:rPr>
          <w:rFonts w:ascii="Times New Roman" w:hAnsi="Times New Roman"/>
          <w:sz w:val="24"/>
          <w:szCs w:val="24"/>
        </w:rPr>
        <w:t>calculation</w:t>
      </w:r>
      <w:r w:rsidRPr="008C0BF0">
        <w:rPr>
          <w:rFonts w:ascii="Times New Roman" w:hAnsi="Times New Roman"/>
          <w:bCs/>
          <w:sz w:val="24"/>
          <w:szCs w:val="24"/>
        </w:rPr>
        <w:t xml:space="preserve"> of the total emission from consumption of purchased electricity used to operate the landfill gas extraction system us</w:t>
      </w:r>
      <w:r>
        <w:rPr>
          <w:rFonts w:ascii="Times New Roman" w:hAnsi="Times New Roman"/>
          <w:bCs/>
          <w:sz w:val="24"/>
          <w:szCs w:val="24"/>
        </w:rPr>
        <w:t>ing Equation 18.</w:t>
      </w:r>
    </w:p>
    <w:p w:rsidR="0002707F" w:rsidRDefault="0002707F" w:rsidP="0002707F">
      <w:pPr>
        <w:spacing w:before="240" w:after="240" w:line="240" w:lineRule="auto"/>
        <w:rPr>
          <w:rFonts w:ascii="Times New Roman" w:hAnsi="Times New Roman"/>
          <w:sz w:val="24"/>
          <w:szCs w:val="24"/>
          <w:u w:val="single"/>
        </w:rPr>
      </w:pPr>
      <w:r>
        <w:rPr>
          <w:rFonts w:ascii="Times New Roman" w:hAnsi="Times New Roman"/>
          <w:sz w:val="24"/>
          <w:szCs w:val="24"/>
          <w:u w:val="single"/>
        </w:rPr>
        <w:t>3.12</w:t>
      </w:r>
      <w:r>
        <w:rPr>
          <w:rFonts w:ascii="Times New Roman" w:hAnsi="Times New Roman"/>
          <w:sz w:val="24"/>
          <w:szCs w:val="24"/>
          <w:u w:val="single"/>
        </w:rPr>
        <w:tab/>
      </w:r>
      <w:r w:rsidR="00FA00C9">
        <w:rPr>
          <w:rFonts w:ascii="Times New Roman" w:hAnsi="Times New Roman"/>
          <w:sz w:val="24"/>
          <w:szCs w:val="24"/>
          <w:u w:val="single"/>
        </w:rPr>
        <w:t>T</w:t>
      </w:r>
      <w:r w:rsidRPr="00C55C1C">
        <w:rPr>
          <w:rFonts w:ascii="Times New Roman" w:hAnsi="Times New Roman"/>
          <w:sz w:val="24"/>
          <w:szCs w:val="24"/>
          <w:u w:val="single"/>
        </w:rPr>
        <w:t>otal emissions from fuel used to operate the landfill gas extraction system</w:t>
      </w:r>
      <w:r w:rsidR="00FA00C9">
        <w:rPr>
          <w:rFonts w:ascii="Times New Roman" w:hAnsi="Times New Roman"/>
          <w:sz w:val="24"/>
          <w:szCs w:val="24"/>
          <w:u w:val="single"/>
        </w:rPr>
        <w:t xml:space="preserve"> </w:t>
      </w:r>
      <w:r w:rsidR="00FA00C9" w:rsidRPr="00FA00C9">
        <w:rPr>
          <w:rFonts w:ascii="Times New Roman" w:hAnsi="Times New Roman"/>
          <w:sz w:val="24"/>
          <w:szCs w:val="24"/>
          <w:u w:val="single"/>
        </w:rPr>
        <w:t>(</w:t>
      </w:r>
      <m:oMath>
        <m:r>
          <m:rPr>
            <m:sty m:val="p"/>
          </m:rPr>
          <w:rPr>
            <w:rFonts w:ascii="Cambria Math" w:hAnsi="Cambria Math"/>
            <w:sz w:val="24"/>
            <w:szCs w:val="24"/>
            <w:u w:val="single"/>
          </w:rPr>
          <m:t>Ef</m:t>
        </m:r>
      </m:oMath>
      <w:r w:rsidR="00FA00C9" w:rsidRPr="00FA00C9">
        <w:rPr>
          <w:rFonts w:ascii="Times New Roman" w:hAnsi="Times New Roman"/>
          <w:sz w:val="24"/>
          <w:szCs w:val="24"/>
          <w:u w:val="single"/>
        </w:rPr>
        <w:t>)</w:t>
      </w:r>
    </w:p>
    <w:p w:rsidR="002E7E74" w:rsidRDefault="00FA00C9">
      <w:pPr>
        <w:spacing w:before="240" w:after="240" w:line="240" w:lineRule="auto"/>
        <w:rPr>
          <w:rFonts w:ascii="Times New Roman" w:hAnsi="Times New Roman"/>
          <w:bCs/>
          <w:sz w:val="24"/>
          <w:szCs w:val="24"/>
        </w:rPr>
      </w:pPr>
      <w:r>
        <w:rPr>
          <w:rFonts w:ascii="Times New Roman" w:hAnsi="Times New Roman"/>
          <w:bCs/>
          <w:sz w:val="24"/>
          <w:szCs w:val="24"/>
        </w:rPr>
        <w:t xml:space="preserve">This section sets out the requirements for Equations 16 and 17. </w:t>
      </w:r>
      <w:r w:rsidR="0002707F" w:rsidRPr="00FA00C9">
        <w:rPr>
          <w:rFonts w:ascii="Times New Roman" w:hAnsi="Times New Roman"/>
          <w:bCs/>
          <w:sz w:val="24"/>
          <w:szCs w:val="24"/>
        </w:rPr>
        <w:t xml:space="preserve">Equation 16 requires the </w:t>
      </w:r>
      <w:r w:rsidR="00C24B75" w:rsidRPr="00C24B75">
        <w:rPr>
          <w:rFonts w:ascii="Times New Roman" w:hAnsi="Times New Roman"/>
          <w:bCs/>
          <w:sz w:val="24"/>
          <w:szCs w:val="24"/>
        </w:rPr>
        <w:t>calculation of the emissions of each greenhouse gas from each fuel type using Equation 17.</w:t>
      </w:r>
    </w:p>
    <w:p w:rsidR="0002707F" w:rsidRDefault="0002707F" w:rsidP="0002707F">
      <w:pPr>
        <w:spacing w:before="240" w:after="240" w:line="240" w:lineRule="auto"/>
        <w:rPr>
          <w:rFonts w:ascii="Times New Roman" w:hAnsi="Times New Roman"/>
          <w:sz w:val="24"/>
          <w:szCs w:val="24"/>
          <w:u w:val="single"/>
        </w:rPr>
      </w:pPr>
      <w:r>
        <w:rPr>
          <w:rFonts w:ascii="Times New Roman" w:hAnsi="Times New Roman"/>
          <w:sz w:val="24"/>
          <w:szCs w:val="24"/>
          <w:u w:val="single"/>
        </w:rPr>
        <w:t>3.13</w:t>
      </w:r>
      <w:r>
        <w:rPr>
          <w:rFonts w:ascii="Times New Roman" w:hAnsi="Times New Roman"/>
          <w:sz w:val="24"/>
          <w:szCs w:val="24"/>
          <w:u w:val="single"/>
        </w:rPr>
        <w:tab/>
      </w:r>
      <w:r w:rsidR="00C908A4">
        <w:rPr>
          <w:rFonts w:ascii="Times New Roman" w:hAnsi="Times New Roman"/>
          <w:sz w:val="24"/>
          <w:szCs w:val="24"/>
          <w:u w:val="single"/>
        </w:rPr>
        <w:t>T</w:t>
      </w:r>
      <w:r w:rsidRPr="00C55C1C">
        <w:rPr>
          <w:rFonts w:ascii="Times New Roman" w:hAnsi="Times New Roman"/>
          <w:sz w:val="24"/>
          <w:szCs w:val="24"/>
          <w:u w:val="single"/>
        </w:rPr>
        <w:t xml:space="preserve">otal emissions </w:t>
      </w:r>
      <w:r w:rsidR="004821D4">
        <w:rPr>
          <w:rFonts w:ascii="Times New Roman" w:hAnsi="Times New Roman"/>
          <w:sz w:val="24"/>
          <w:szCs w:val="24"/>
          <w:u w:val="single"/>
        </w:rPr>
        <w:t>from</w:t>
      </w:r>
      <w:r w:rsidRPr="00C55C1C">
        <w:rPr>
          <w:rFonts w:ascii="Times New Roman" w:hAnsi="Times New Roman"/>
          <w:sz w:val="24"/>
          <w:szCs w:val="24"/>
          <w:u w:val="single"/>
        </w:rPr>
        <w:t xml:space="preserve"> the consumption of purchased electricity</w:t>
      </w:r>
      <w:r w:rsidR="00C908A4">
        <w:rPr>
          <w:rFonts w:ascii="Times New Roman" w:hAnsi="Times New Roman"/>
          <w:sz w:val="24"/>
          <w:szCs w:val="24"/>
          <w:u w:val="single"/>
        </w:rPr>
        <w:t xml:space="preserve"> </w:t>
      </w:r>
      <w:r w:rsidR="00C908A4" w:rsidRPr="00C908A4">
        <w:rPr>
          <w:rFonts w:ascii="Times New Roman" w:hAnsi="Times New Roman"/>
          <w:sz w:val="24"/>
          <w:szCs w:val="24"/>
          <w:u w:val="single"/>
        </w:rPr>
        <w:t>(</w:t>
      </w:r>
      <m:oMath>
        <m:sSub>
          <m:sSubPr>
            <m:ctrlPr>
              <w:rPr>
                <w:rFonts w:ascii="Cambria Math" w:hAnsi="Cambria Math"/>
                <w:sz w:val="24"/>
                <w:szCs w:val="24"/>
                <w:u w:val="single"/>
              </w:rPr>
            </m:ctrlPr>
          </m:sSubPr>
          <m:e>
            <m:r>
              <m:rPr>
                <m:sty m:val="p"/>
              </m:rPr>
              <w:rPr>
                <w:rFonts w:ascii="Cambria Math" w:hAnsi="Cambria Math"/>
                <w:sz w:val="24"/>
                <w:szCs w:val="24"/>
                <w:u w:val="single"/>
              </w:rPr>
              <m:t>E</m:t>
            </m:r>
          </m:e>
          <m:sub>
            <m:r>
              <m:rPr>
                <m:sty m:val="p"/>
              </m:rPr>
              <w:rPr>
                <w:rFonts w:ascii="Cambria Math" w:hAnsi="Cambria Math"/>
                <w:sz w:val="24"/>
                <w:szCs w:val="24"/>
                <w:u w:val="single"/>
              </w:rPr>
              <m:t>elec</m:t>
            </m:r>
          </m:sub>
        </m:sSub>
      </m:oMath>
      <w:r w:rsidR="00C908A4" w:rsidRPr="00C908A4">
        <w:rPr>
          <w:rFonts w:ascii="Times New Roman" w:hAnsi="Times New Roman"/>
          <w:sz w:val="24"/>
          <w:szCs w:val="24"/>
          <w:u w:val="single"/>
        </w:rPr>
        <w:t>)</w:t>
      </w:r>
      <w:r w:rsidRPr="00C55C1C">
        <w:rPr>
          <w:rFonts w:ascii="Times New Roman" w:hAnsi="Times New Roman"/>
          <w:sz w:val="24"/>
          <w:szCs w:val="24"/>
          <w:u w:val="single"/>
        </w:rPr>
        <w:t xml:space="preserve"> </w:t>
      </w:r>
    </w:p>
    <w:p w:rsidR="0002707F" w:rsidRDefault="0002707F" w:rsidP="0002707F">
      <w:pPr>
        <w:spacing w:before="240" w:after="240" w:line="240" w:lineRule="auto"/>
        <w:rPr>
          <w:rFonts w:ascii="Times New Roman" w:hAnsi="Times New Roman"/>
          <w:sz w:val="24"/>
          <w:szCs w:val="24"/>
        </w:rPr>
      </w:pPr>
      <w:r w:rsidRPr="005618D0">
        <w:rPr>
          <w:rFonts w:ascii="Times New Roman" w:hAnsi="Times New Roman"/>
          <w:sz w:val="24"/>
          <w:szCs w:val="24"/>
        </w:rPr>
        <w:t xml:space="preserve">This section </w:t>
      </w:r>
      <w:r w:rsidR="00C908A4">
        <w:rPr>
          <w:rFonts w:ascii="Times New Roman" w:hAnsi="Times New Roman"/>
          <w:sz w:val="24"/>
          <w:szCs w:val="24"/>
        </w:rPr>
        <w:t xml:space="preserve">sets out the requirements for Equation 18 which provides for the </w:t>
      </w:r>
      <w:r w:rsidRPr="005618D0">
        <w:rPr>
          <w:rFonts w:ascii="Times New Roman" w:hAnsi="Times New Roman"/>
          <w:sz w:val="24"/>
          <w:szCs w:val="24"/>
        </w:rPr>
        <w:t>calculati</w:t>
      </w:r>
      <w:r w:rsidR="00C908A4">
        <w:rPr>
          <w:rFonts w:ascii="Times New Roman" w:hAnsi="Times New Roman"/>
          <w:sz w:val="24"/>
          <w:szCs w:val="24"/>
        </w:rPr>
        <w:t>on of the</w:t>
      </w:r>
      <w:r w:rsidRPr="005618D0">
        <w:rPr>
          <w:rFonts w:ascii="Times New Roman" w:hAnsi="Times New Roman"/>
          <w:sz w:val="24"/>
          <w:szCs w:val="24"/>
        </w:rPr>
        <w:t xml:space="preserve"> total emissions for the consumption of purchased electricity.  </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Division 3.3</w:t>
      </w:r>
      <w:r w:rsidRPr="00F737D7">
        <w:rPr>
          <w:rFonts w:ascii="Times New Roman" w:hAnsi="Times New Roman"/>
          <w:b/>
          <w:sz w:val="24"/>
          <w:szCs w:val="24"/>
        </w:rPr>
        <w:tab/>
        <w:t>Data Collection</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3.14</w:t>
      </w:r>
      <w:r w:rsidRPr="00F737D7">
        <w:rPr>
          <w:rFonts w:ascii="Times New Roman" w:hAnsi="Times New Roman"/>
          <w:sz w:val="24"/>
          <w:szCs w:val="24"/>
          <w:u w:val="single"/>
        </w:rPr>
        <w:tab/>
        <w:t xml:space="preserve">Measurement procedures and </w:t>
      </w:r>
      <w:r w:rsidR="00C908A4">
        <w:rPr>
          <w:rFonts w:ascii="Times New Roman" w:hAnsi="Times New Roman"/>
          <w:sz w:val="24"/>
          <w:szCs w:val="24"/>
          <w:u w:val="single"/>
        </w:rPr>
        <w:t xml:space="preserve">measurement </w:t>
      </w:r>
      <w:r w:rsidRPr="00F737D7">
        <w:rPr>
          <w:rFonts w:ascii="Times New Roman" w:hAnsi="Times New Roman"/>
          <w:sz w:val="24"/>
          <w:szCs w:val="24"/>
          <w:u w:val="single"/>
        </w:rPr>
        <w:t>frequency</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The effect of paragraph 106 (3)</w:t>
      </w:r>
      <w:r>
        <w:rPr>
          <w:rFonts w:ascii="Times New Roman" w:hAnsi="Times New Roman"/>
          <w:sz w:val="24"/>
          <w:szCs w:val="24"/>
        </w:rPr>
        <w:t xml:space="preserve"> </w:t>
      </w:r>
      <w:r w:rsidRPr="00F737D7">
        <w:rPr>
          <w:rFonts w:ascii="Times New Roman" w:hAnsi="Times New Roman"/>
          <w:sz w:val="24"/>
          <w:szCs w:val="24"/>
        </w:rPr>
        <w:t xml:space="preserve">(c) of the Act is that 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etermination may require the project proponent of an eligible offsets project to comply with specified record</w:t>
      </w:r>
      <w:r w:rsidR="00936695">
        <w:rPr>
          <w:rFonts w:ascii="Times New Roman" w:hAnsi="Times New Roman"/>
          <w:sz w:val="24"/>
          <w:szCs w:val="24"/>
        </w:rPr>
        <w:noBreakHyphen/>
      </w:r>
      <w:r w:rsidRPr="00F737D7">
        <w:rPr>
          <w:rFonts w:ascii="Times New Roman" w:hAnsi="Times New Roman"/>
          <w:sz w:val="24"/>
          <w:szCs w:val="24"/>
        </w:rPr>
        <w:t>keeping requirements relating to the project. A project proponent who fails to comply with a record-keeping requirement relating to the project will have contravened a civil penalty provision (</w:t>
      </w:r>
      <w:r>
        <w:rPr>
          <w:rFonts w:ascii="Times New Roman" w:hAnsi="Times New Roman"/>
          <w:sz w:val="24"/>
          <w:szCs w:val="24"/>
        </w:rPr>
        <w:t>s</w:t>
      </w:r>
      <w:r w:rsidRPr="00F737D7">
        <w:rPr>
          <w:rFonts w:ascii="Times New Roman" w:hAnsi="Times New Roman"/>
          <w:sz w:val="24"/>
          <w:szCs w:val="24"/>
        </w:rPr>
        <w:t>ection 193</w:t>
      </w:r>
      <w:r>
        <w:rPr>
          <w:rFonts w:ascii="Times New Roman" w:hAnsi="Times New Roman"/>
          <w:sz w:val="24"/>
          <w:szCs w:val="24"/>
        </w:rPr>
        <w:t xml:space="preserve"> of the Act</w:t>
      </w:r>
      <w:r w:rsidRPr="00F737D7">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provides the data collection methods for deriving the parameters used to calculate </w:t>
      </w:r>
      <w:r w:rsidR="009773D9">
        <w:rPr>
          <w:rFonts w:ascii="Times New Roman" w:hAnsi="Times New Roman"/>
          <w:sz w:val="24"/>
          <w:szCs w:val="24"/>
        </w:rPr>
        <w:t xml:space="preserve">baseline </w:t>
      </w:r>
      <w:r w:rsidRPr="00F737D7">
        <w:rPr>
          <w:rFonts w:ascii="Times New Roman" w:hAnsi="Times New Roman"/>
          <w:sz w:val="24"/>
          <w:szCs w:val="24"/>
        </w:rPr>
        <w:t>greenhouse gas emissions and removals and project emissions and removals. The description, unit of measurement, measurement procedure and measurement frequency for each parameter used to calculate project emissions are set out</w:t>
      </w:r>
      <w:r w:rsidR="0042310A">
        <w:rPr>
          <w:rFonts w:ascii="Times New Roman" w:hAnsi="Times New Roman"/>
          <w:sz w:val="24"/>
          <w:szCs w:val="24"/>
        </w:rPr>
        <w:t xml:space="preserve"> in the table in this section</w:t>
      </w:r>
      <w:r w:rsidRPr="00F737D7">
        <w:rPr>
          <w:rFonts w:ascii="Times New Roman" w:hAnsi="Times New Roman"/>
          <w:sz w:val="24"/>
          <w:szCs w:val="24"/>
        </w:rPr>
        <w:t xml:space="preserve">.  </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It covers:   </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q</w:t>
      </w:r>
      <w:r w:rsidRPr="00F737D7">
        <w:rPr>
          <w:rFonts w:ascii="Times New Roman" w:hAnsi="Times New Roman"/>
          <w:sz w:val="24"/>
          <w:szCs w:val="24"/>
        </w:rPr>
        <w:t>uantity of landfill gas sent to a combustion device;</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m</w:t>
      </w:r>
      <w:r w:rsidRPr="00F737D7">
        <w:rPr>
          <w:rFonts w:ascii="Times New Roman" w:hAnsi="Times New Roman"/>
          <w:sz w:val="24"/>
          <w:szCs w:val="24"/>
        </w:rPr>
        <w:t>ethane destruction efficiency for a combustion device;</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t</w:t>
      </w:r>
      <w:r w:rsidRPr="00F737D7">
        <w:rPr>
          <w:rFonts w:ascii="Times New Roman" w:hAnsi="Times New Roman"/>
          <w:sz w:val="24"/>
          <w:szCs w:val="24"/>
        </w:rPr>
        <w:t>he methane fraction in the landfill gas;</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t</w:t>
      </w:r>
      <w:r w:rsidRPr="00F737D7">
        <w:rPr>
          <w:rFonts w:ascii="Times New Roman" w:hAnsi="Times New Roman"/>
          <w:sz w:val="24"/>
          <w:szCs w:val="24"/>
        </w:rPr>
        <w:t>he quantity of electricity used for abatement activities;</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t</w:t>
      </w:r>
      <w:r w:rsidRPr="00F737D7">
        <w:rPr>
          <w:rFonts w:ascii="Times New Roman" w:hAnsi="Times New Roman"/>
          <w:sz w:val="24"/>
          <w:szCs w:val="24"/>
        </w:rPr>
        <w:t>he quantity of fuel used for abatement activities;</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t</w:t>
      </w:r>
      <w:r w:rsidRPr="00F737D7">
        <w:rPr>
          <w:rFonts w:ascii="Times New Roman" w:hAnsi="Times New Roman"/>
          <w:sz w:val="24"/>
          <w:szCs w:val="24"/>
        </w:rPr>
        <w:t>he quantity of electricity produced by methane combustion in internal combustion engine generator; and</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t</w:t>
      </w:r>
      <w:r w:rsidRPr="00F737D7">
        <w:rPr>
          <w:rFonts w:ascii="Times New Roman" w:hAnsi="Times New Roman"/>
          <w:sz w:val="24"/>
          <w:szCs w:val="24"/>
        </w:rPr>
        <w:t>he electrical efficiency factor of the internal combustion engine generator.</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3.15</w:t>
      </w:r>
      <w:r w:rsidRPr="00F737D7">
        <w:rPr>
          <w:rFonts w:ascii="Times New Roman" w:hAnsi="Times New Roman"/>
          <w:sz w:val="24"/>
          <w:szCs w:val="24"/>
          <w:u w:val="single"/>
        </w:rPr>
        <w:tab/>
        <w:t>Volumetric measurement</w:t>
      </w:r>
      <w:r w:rsidR="00C908A4">
        <w:rPr>
          <w:rFonts w:ascii="Times New Roman" w:hAnsi="Times New Roman"/>
          <w:sz w:val="24"/>
          <w:szCs w:val="24"/>
          <w:u w:val="single"/>
        </w:rPr>
        <w:t xml:space="preserve"> </w:t>
      </w:r>
      <w:r w:rsidR="00C908A4" w:rsidRPr="00C908A4">
        <w:rPr>
          <w:rFonts w:ascii="Times New Roman" w:hAnsi="Times New Roman"/>
          <w:sz w:val="24"/>
          <w:szCs w:val="24"/>
          <w:u w:val="single"/>
        </w:rPr>
        <w:t>— Quantity of landfill gas (Q</w:t>
      </w:r>
      <w:r w:rsidR="00C908A4" w:rsidRPr="00C908A4">
        <w:rPr>
          <w:rFonts w:ascii="Times New Roman" w:hAnsi="Times New Roman"/>
          <w:sz w:val="24"/>
          <w:szCs w:val="24"/>
          <w:u w:val="single"/>
          <w:vertAlign w:val="subscript"/>
        </w:rPr>
        <w:t>lfg,h</w:t>
      </w:r>
      <w:r w:rsidR="00C908A4" w:rsidRPr="00C908A4">
        <w:rPr>
          <w:rFonts w:ascii="Times New Roman" w:hAnsi="Times New Roman"/>
          <w:sz w:val="24"/>
          <w:szCs w:val="24"/>
          <w:u w:val="single"/>
        </w:rPr>
        <w:t xml:space="preserve">) and methane </w:t>
      </w:r>
      <w:r w:rsidR="00FA0BE6">
        <w:rPr>
          <w:rFonts w:ascii="Times New Roman" w:hAnsi="Times New Roman"/>
          <w:sz w:val="24"/>
          <w:szCs w:val="24"/>
          <w:u w:val="single"/>
        </w:rPr>
        <w:br/>
      </w:r>
      <w:r w:rsidR="00C908A4" w:rsidRPr="00C908A4">
        <w:rPr>
          <w:rFonts w:ascii="Times New Roman" w:hAnsi="Times New Roman"/>
          <w:sz w:val="24"/>
          <w:szCs w:val="24"/>
          <w:u w:val="single"/>
        </w:rPr>
        <w:t>fraction (</w:t>
      </w:r>
      <m:oMath>
        <m:sSub>
          <m:sSubPr>
            <m:ctrlPr>
              <w:rPr>
                <w:rFonts w:ascii="Cambria Math" w:hAnsi="Cambria Math"/>
                <w:sz w:val="24"/>
                <w:szCs w:val="24"/>
                <w:u w:val="single"/>
              </w:rPr>
            </m:ctrlPr>
          </m:sSubPr>
          <m:e>
            <m:r>
              <m:rPr>
                <m:sty m:val="p"/>
              </m:rPr>
              <w:rPr>
                <w:rFonts w:ascii="Cambria Math" w:hAnsi="Cambria Math"/>
                <w:sz w:val="24"/>
                <w:szCs w:val="24"/>
                <w:u w:val="single"/>
              </w:rPr>
              <m:t>W</m:t>
            </m:r>
          </m:e>
          <m:sub>
            <m:sSub>
              <m:sSubPr>
                <m:ctrlPr>
                  <w:rPr>
                    <w:rFonts w:ascii="Cambria Math" w:hAnsi="Cambria Math"/>
                    <w:sz w:val="24"/>
                    <w:szCs w:val="24"/>
                    <w:u w:val="single"/>
                  </w:rPr>
                </m:ctrlPr>
              </m:sSubPr>
              <m:e>
                <m:r>
                  <m:rPr>
                    <m:sty m:val="p"/>
                  </m:rPr>
                  <w:rPr>
                    <w:rFonts w:ascii="Cambria Math" w:hAnsi="Cambria Math"/>
                    <w:sz w:val="24"/>
                    <w:szCs w:val="24"/>
                    <w:u w:val="single"/>
                  </w:rPr>
                  <m:t>CH</m:t>
                </m:r>
              </m:e>
              <m:sub>
                <m:r>
                  <m:rPr>
                    <m:sty m:val="p"/>
                  </m:rPr>
                  <w:rPr>
                    <w:rFonts w:ascii="Cambria Math" w:hAnsi="Cambria Math"/>
                    <w:sz w:val="24"/>
                    <w:szCs w:val="24"/>
                    <w:u w:val="single"/>
                  </w:rPr>
                  <m:t>4</m:t>
                </m:r>
              </m:sub>
            </m:sSub>
          </m:sub>
        </m:sSub>
      </m:oMath>
      <w:r w:rsidR="00C908A4" w:rsidRPr="00C908A4">
        <w:rPr>
          <w:rFonts w:ascii="Times New Roman" w:hAnsi="Times New Roman"/>
          <w:sz w:val="24"/>
          <w:szCs w:val="24"/>
          <w:u w:val="single"/>
        </w:rPr>
        <w:t>)</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of the Methodology Determination provides the </w:t>
      </w:r>
      <w:r>
        <w:rPr>
          <w:rFonts w:ascii="Times New Roman" w:hAnsi="Times New Roman"/>
          <w:sz w:val="24"/>
          <w:szCs w:val="24"/>
        </w:rPr>
        <w:t>details required</w:t>
      </w:r>
      <w:r w:rsidRPr="00F737D7">
        <w:rPr>
          <w:rFonts w:ascii="Times New Roman" w:hAnsi="Times New Roman"/>
          <w:sz w:val="24"/>
          <w:szCs w:val="24"/>
        </w:rPr>
        <w:t xml:space="preserve"> for measuring the volumetric flow rate.</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3.16</w:t>
      </w:r>
      <w:r w:rsidRPr="00F737D7">
        <w:rPr>
          <w:rFonts w:ascii="Times New Roman" w:hAnsi="Times New Roman"/>
          <w:sz w:val="24"/>
          <w:szCs w:val="24"/>
          <w:u w:val="single"/>
        </w:rPr>
        <w:tab/>
        <w:t>Flow computer requirements</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w:t>
      </w:r>
      <w:r>
        <w:rPr>
          <w:rFonts w:ascii="Times New Roman" w:hAnsi="Times New Roman"/>
          <w:sz w:val="24"/>
          <w:szCs w:val="24"/>
        </w:rPr>
        <w:t>includes requirements for the recording of data where a flow computer is used.</w:t>
      </w:r>
    </w:p>
    <w:p w:rsidR="0002707F" w:rsidRDefault="0002707F" w:rsidP="0002707F">
      <w:pPr>
        <w:pStyle w:val="NormalWeb"/>
        <w:spacing w:before="240" w:beforeAutospacing="0" w:after="240" w:afterAutospacing="0"/>
      </w:pPr>
      <w:r w:rsidRPr="00690C2D">
        <w:t>A flow computer is an electronic computational device which implements the required algorithms to turn the raw data received from flow meters into volumes at base conditions.</w:t>
      </w:r>
      <w:r w:rsidRPr="00F737D7">
        <w:t xml:space="preserve"> </w:t>
      </w:r>
    </w:p>
    <w:p w:rsidR="00E401E0" w:rsidRDefault="00E401E0" w:rsidP="0002707F">
      <w:pPr>
        <w:pStyle w:val="NormalWeb"/>
        <w:spacing w:before="240" w:beforeAutospacing="0" w:after="240" w:afterAutospacing="0"/>
      </w:pP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3.17</w:t>
      </w:r>
      <w:r w:rsidRPr="00F737D7">
        <w:rPr>
          <w:rFonts w:ascii="Times New Roman" w:hAnsi="Times New Roman"/>
          <w:sz w:val="24"/>
          <w:szCs w:val="24"/>
          <w:u w:val="single"/>
        </w:rPr>
        <w:tab/>
        <w:t xml:space="preserve">Gas </w:t>
      </w:r>
      <w:r w:rsidR="009773D9">
        <w:rPr>
          <w:rFonts w:ascii="Times New Roman" w:hAnsi="Times New Roman"/>
          <w:sz w:val="24"/>
          <w:szCs w:val="24"/>
          <w:u w:val="single"/>
        </w:rPr>
        <w:t>c</w:t>
      </w:r>
      <w:r w:rsidR="009773D9" w:rsidRPr="00F737D7">
        <w:rPr>
          <w:rFonts w:ascii="Times New Roman" w:hAnsi="Times New Roman"/>
          <w:sz w:val="24"/>
          <w:szCs w:val="24"/>
          <w:u w:val="single"/>
        </w:rPr>
        <w:t>omposition</w:t>
      </w:r>
    </w:p>
    <w:p w:rsidR="00E57FD7" w:rsidRDefault="0002707F" w:rsidP="00E57FD7">
      <w:pPr>
        <w:spacing w:before="240" w:after="240" w:line="240" w:lineRule="auto"/>
        <w:rPr>
          <w:rFonts w:ascii="Times New Roman" w:hAnsi="Times New Roman"/>
          <w:sz w:val="24"/>
          <w:szCs w:val="24"/>
        </w:rPr>
      </w:pPr>
      <w:r w:rsidRPr="00F737D7">
        <w:rPr>
          <w:rFonts w:ascii="Times New Roman" w:hAnsi="Times New Roman"/>
          <w:sz w:val="24"/>
          <w:szCs w:val="24"/>
        </w:rPr>
        <w:t>This section provides details about the analysis of landfill gas composition and lists the standards that must be used for analysing gas.</w:t>
      </w:r>
    </w:p>
    <w:p w:rsidR="00E57FD7" w:rsidRDefault="0002707F" w:rsidP="00E57FD7">
      <w:pPr>
        <w:keepNext/>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3.18</w:t>
      </w:r>
      <w:r w:rsidRPr="00F737D7">
        <w:rPr>
          <w:rFonts w:ascii="Times New Roman" w:hAnsi="Times New Roman"/>
          <w:sz w:val="24"/>
          <w:szCs w:val="24"/>
          <w:u w:val="single"/>
        </w:rPr>
        <w:tab/>
        <w:t>Operation of flares</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w:t>
      </w:r>
      <w:r>
        <w:rPr>
          <w:rFonts w:ascii="Times New Roman" w:hAnsi="Times New Roman"/>
          <w:sz w:val="24"/>
          <w:szCs w:val="24"/>
        </w:rPr>
        <w:t xml:space="preserve">sets out procedures and rules for measuring the destruction efficiency of a flare. The destruction efficiency of a flare is contingent on it being operational. The section sets out the circumstances in which a flare will be taken not to be operational. </w:t>
      </w:r>
    </w:p>
    <w:p w:rsidR="00A23AB9" w:rsidRDefault="00A23AB9">
      <w:pPr>
        <w:rPr>
          <w:rFonts w:ascii="Times New Roman" w:hAnsi="Times New Roman"/>
          <w:b/>
          <w:sz w:val="24"/>
          <w:szCs w:val="24"/>
        </w:rPr>
      </w:pPr>
      <w:r>
        <w:rPr>
          <w:rFonts w:ascii="Times New Roman" w:hAnsi="Times New Roman"/>
          <w:b/>
          <w:sz w:val="24"/>
          <w:szCs w:val="24"/>
        </w:rPr>
        <w:br w:type="page"/>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 xml:space="preserve">Part 4 </w:t>
      </w:r>
      <w:r w:rsidRPr="00F737D7">
        <w:rPr>
          <w:rFonts w:ascii="Times New Roman" w:hAnsi="Times New Roman"/>
          <w:b/>
          <w:sz w:val="24"/>
          <w:szCs w:val="24"/>
        </w:rPr>
        <w:tab/>
      </w:r>
      <w:r>
        <w:rPr>
          <w:rFonts w:ascii="Times New Roman" w:hAnsi="Times New Roman"/>
          <w:b/>
          <w:sz w:val="24"/>
          <w:szCs w:val="24"/>
        </w:rPr>
        <w:tab/>
      </w:r>
      <w:r w:rsidRPr="00F737D7">
        <w:rPr>
          <w:rFonts w:ascii="Times New Roman" w:hAnsi="Times New Roman"/>
          <w:b/>
          <w:sz w:val="24"/>
          <w:szCs w:val="24"/>
        </w:rPr>
        <w:t>Monitoring</w:t>
      </w:r>
      <w:r>
        <w:rPr>
          <w:rFonts w:ascii="Times New Roman" w:hAnsi="Times New Roman"/>
          <w:b/>
          <w:sz w:val="24"/>
          <w:szCs w:val="24"/>
        </w:rPr>
        <w:t xml:space="preserve">, </w:t>
      </w:r>
      <w:r w:rsidR="00D31460">
        <w:rPr>
          <w:rFonts w:ascii="Times New Roman" w:hAnsi="Times New Roman"/>
          <w:b/>
          <w:sz w:val="24"/>
          <w:szCs w:val="24"/>
        </w:rPr>
        <w:t>r</w:t>
      </w:r>
      <w:r>
        <w:rPr>
          <w:rFonts w:ascii="Times New Roman" w:hAnsi="Times New Roman"/>
          <w:b/>
          <w:sz w:val="24"/>
          <w:szCs w:val="24"/>
        </w:rPr>
        <w:t>ecord-keeping</w:t>
      </w:r>
      <w:r w:rsidRPr="00F737D7">
        <w:rPr>
          <w:rFonts w:ascii="Times New Roman" w:hAnsi="Times New Roman"/>
          <w:b/>
          <w:sz w:val="24"/>
          <w:szCs w:val="24"/>
        </w:rPr>
        <w:t xml:space="preserve"> and </w:t>
      </w:r>
      <w:r w:rsidR="00D31460">
        <w:rPr>
          <w:rFonts w:ascii="Times New Roman" w:hAnsi="Times New Roman"/>
          <w:b/>
          <w:sz w:val="24"/>
          <w:szCs w:val="24"/>
        </w:rPr>
        <w:t>r</w:t>
      </w:r>
      <w:r w:rsidRPr="00F737D7">
        <w:rPr>
          <w:rFonts w:ascii="Times New Roman" w:hAnsi="Times New Roman"/>
          <w:b/>
          <w:sz w:val="24"/>
          <w:szCs w:val="24"/>
        </w:rPr>
        <w:t>eporting</w:t>
      </w:r>
      <w:r>
        <w:rPr>
          <w:rFonts w:ascii="Times New Roman" w:hAnsi="Times New Roman"/>
          <w:b/>
          <w:sz w:val="24"/>
          <w:szCs w:val="24"/>
        </w:rPr>
        <w:t xml:space="preserve"> </w:t>
      </w:r>
      <w:r w:rsidR="00D31460">
        <w:rPr>
          <w:rFonts w:ascii="Times New Roman" w:hAnsi="Times New Roman"/>
          <w:b/>
          <w:sz w:val="24"/>
          <w:szCs w:val="24"/>
        </w:rPr>
        <w:t>r</w:t>
      </w:r>
      <w:r>
        <w:rPr>
          <w:rFonts w:ascii="Times New Roman" w:hAnsi="Times New Roman"/>
          <w:b/>
          <w:sz w:val="24"/>
          <w:szCs w:val="24"/>
        </w:rPr>
        <w:t>equirements</w:t>
      </w:r>
    </w:p>
    <w:p w:rsidR="00C908A4" w:rsidRPr="00C908A4" w:rsidRDefault="005E125C" w:rsidP="00C908A4">
      <w:pPr>
        <w:spacing w:before="240" w:after="240" w:line="240" w:lineRule="auto"/>
        <w:rPr>
          <w:rFonts w:ascii="Times New Roman" w:hAnsi="Times New Roman"/>
          <w:b/>
          <w:sz w:val="24"/>
          <w:szCs w:val="24"/>
        </w:rPr>
      </w:pPr>
      <w:r w:rsidRPr="005E125C">
        <w:rPr>
          <w:rFonts w:ascii="Times New Roman" w:hAnsi="Times New Roman"/>
          <w:b/>
          <w:sz w:val="24"/>
          <w:szCs w:val="24"/>
        </w:rPr>
        <w:t>Division 4.1</w:t>
      </w:r>
      <w:r w:rsidRPr="005E125C">
        <w:rPr>
          <w:rFonts w:ascii="Times New Roman" w:hAnsi="Times New Roman"/>
          <w:b/>
          <w:sz w:val="24"/>
          <w:szCs w:val="24"/>
        </w:rPr>
        <w:tab/>
        <w:t>General</w:t>
      </w:r>
    </w:p>
    <w:p w:rsidR="0002707F" w:rsidRDefault="0002707F" w:rsidP="0002707F">
      <w:pPr>
        <w:spacing w:before="240" w:after="240" w:line="240" w:lineRule="auto"/>
        <w:rPr>
          <w:rFonts w:ascii="Times New Roman" w:hAnsi="Times New Roman"/>
          <w:sz w:val="24"/>
          <w:szCs w:val="24"/>
          <w:u w:val="single"/>
        </w:rPr>
      </w:pPr>
      <w:r w:rsidRPr="00021E58">
        <w:rPr>
          <w:rFonts w:ascii="Times New Roman" w:hAnsi="Times New Roman"/>
          <w:sz w:val="24"/>
          <w:szCs w:val="24"/>
          <w:u w:val="single"/>
        </w:rPr>
        <w:t>4.1</w:t>
      </w:r>
      <w:r w:rsidRPr="00021E58">
        <w:rPr>
          <w:rFonts w:ascii="Times New Roman" w:hAnsi="Times New Roman"/>
          <w:sz w:val="24"/>
          <w:szCs w:val="24"/>
          <w:u w:val="single"/>
        </w:rPr>
        <w:tab/>
        <w:t>Application</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The effect of paragraph 106</w:t>
      </w:r>
      <w:r>
        <w:rPr>
          <w:rFonts w:ascii="Times New Roman" w:hAnsi="Times New Roman"/>
          <w:sz w:val="24"/>
          <w:szCs w:val="24"/>
        </w:rPr>
        <w:t xml:space="preserve"> </w:t>
      </w:r>
      <w:r w:rsidRPr="00F737D7">
        <w:rPr>
          <w:rFonts w:ascii="Times New Roman" w:hAnsi="Times New Roman"/>
          <w:sz w:val="24"/>
          <w:szCs w:val="24"/>
        </w:rPr>
        <w:t>(3)</w:t>
      </w:r>
      <w:r>
        <w:rPr>
          <w:rFonts w:ascii="Times New Roman" w:hAnsi="Times New Roman"/>
          <w:sz w:val="24"/>
          <w:szCs w:val="24"/>
        </w:rPr>
        <w:t xml:space="preserve"> </w:t>
      </w:r>
      <w:r w:rsidRPr="00F737D7">
        <w:rPr>
          <w:rFonts w:ascii="Times New Roman" w:hAnsi="Times New Roman"/>
          <w:sz w:val="24"/>
          <w:szCs w:val="24"/>
        </w:rPr>
        <w:t xml:space="preserve">(d) of the Act is that 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 xml:space="preserve">etermination may require the project proponent of an eligible offsets project to comply with specified requirements to monitor a project.  </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A project proponent for an eligible offsets project who fails to monitor a project in accordance with any monitoring requirements in the applicable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etermination will have contravened a civil penalty provision (section 194</w:t>
      </w:r>
      <w:r>
        <w:rPr>
          <w:rFonts w:ascii="Times New Roman" w:hAnsi="Times New Roman"/>
          <w:sz w:val="24"/>
          <w:szCs w:val="24"/>
        </w:rPr>
        <w:t xml:space="preserve"> of the Act</w:t>
      </w:r>
      <w:r w:rsidRPr="00F737D7">
        <w:rPr>
          <w:rFonts w:ascii="Times New Roman" w:hAnsi="Times New Roman"/>
          <w:sz w:val="24"/>
          <w:szCs w:val="24"/>
        </w:rPr>
        <w:t>).</w:t>
      </w:r>
    </w:p>
    <w:p w:rsidR="00C908A4" w:rsidRPr="00C908A4" w:rsidRDefault="005E125C" w:rsidP="00C908A4">
      <w:pPr>
        <w:spacing w:before="240" w:after="240" w:line="240" w:lineRule="auto"/>
        <w:rPr>
          <w:rFonts w:ascii="Times New Roman" w:hAnsi="Times New Roman"/>
          <w:b/>
          <w:sz w:val="24"/>
          <w:szCs w:val="24"/>
        </w:rPr>
      </w:pPr>
      <w:bookmarkStart w:id="1" w:name="_Toc318467902"/>
      <w:bookmarkStart w:id="2" w:name="_Toc328130911"/>
      <w:r w:rsidRPr="005E125C">
        <w:rPr>
          <w:rFonts w:ascii="Times New Roman" w:hAnsi="Times New Roman"/>
          <w:b/>
          <w:sz w:val="24"/>
          <w:szCs w:val="24"/>
        </w:rPr>
        <w:t>Division 4.2</w:t>
      </w:r>
      <w:r w:rsidRPr="005E125C">
        <w:rPr>
          <w:rFonts w:ascii="Times New Roman" w:hAnsi="Times New Roman"/>
          <w:b/>
          <w:sz w:val="24"/>
          <w:szCs w:val="24"/>
        </w:rPr>
        <w:tab/>
        <w:t>Monitoring requirements</w:t>
      </w:r>
      <w:bookmarkEnd w:id="1"/>
      <w:bookmarkEnd w:id="2"/>
    </w:p>
    <w:p w:rsidR="0002707F" w:rsidRDefault="0002707F" w:rsidP="0002707F">
      <w:pPr>
        <w:spacing w:before="240" w:after="240" w:line="240" w:lineRule="auto"/>
        <w:rPr>
          <w:rFonts w:ascii="Times New Roman" w:hAnsi="Times New Roman"/>
          <w:sz w:val="24"/>
          <w:szCs w:val="24"/>
          <w:u w:val="single"/>
        </w:rPr>
      </w:pPr>
      <w:r w:rsidRPr="003A5A00">
        <w:rPr>
          <w:rFonts w:ascii="Times New Roman" w:hAnsi="Times New Roman"/>
          <w:sz w:val="24"/>
          <w:szCs w:val="24"/>
          <w:u w:val="single"/>
        </w:rPr>
        <w:t>4.2</w:t>
      </w:r>
      <w:r w:rsidRPr="003A5A00">
        <w:rPr>
          <w:rFonts w:ascii="Times New Roman" w:hAnsi="Times New Roman"/>
          <w:sz w:val="24"/>
          <w:szCs w:val="24"/>
          <w:u w:val="single"/>
        </w:rPr>
        <w:tab/>
      </w:r>
      <w:r>
        <w:rPr>
          <w:rFonts w:ascii="Times New Roman" w:hAnsi="Times New Roman"/>
          <w:sz w:val="24"/>
          <w:szCs w:val="24"/>
          <w:u w:val="single"/>
        </w:rPr>
        <w:t>Project monitoring</w:t>
      </w:r>
    </w:p>
    <w:p w:rsidR="0002707F" w:rsidRDefault="0002707F" w:rsidP="0002707F">
      <w:pPr>
        <w:spacing w:before="240" w:after="240" w:line="240" w:lineRule="auto"/>
        <w:rPr>
          <w:rFonts w:ascii="Times New Roman" w:hAnsi="Times New Roman"/>
          <w:sz w:val="24"/>
          <w:szCs w:val="24"/>
        </w:rPr>
      </w:pPr>
      <w:r w:rsidRPr="00837FFB">
        <w:rPr>
          <w:rFonts w:ascii="Times New Roman" w:hAnsi="Times New Roman"/>
          <w:sz w:val="24"/>
          <w:szCs w:val="24"/>
        </w:rPr>
        <w:t xml:space="preserve">This section </w:t>
      </w:r>
      <w:r w:rsidR="00094442" w:rsidRPr="00F737D7">
        <w:rPr>
          <w:rFonts w:ascii="Times New Roman" w:hAnsi="Times New Roman"/>
          <w:sz w:val="24"/>
          <w:szCs w:val="24"/>
        </w:rPr>
        <w:t xml:space="preserve">of the Methodology Determination </w:t>
      </w:r>
      <w:r w:rsidRPr="00837FFB">
        <w:rPr>
          <w:rFonts w:ascii="Times New Roman" w:hAnsi="Times New Roman"/>
          <w:sz w:val="24"/>
          <w:szCs w:val="24"/>
        </w:rPr>
        <w:t>sets out specifications for measurement equipment used for a</w:t>
      </w:r>
      <w:r w:rsidR="00936695">
        <w:rPr>
          <w:rFonts w:ascii="Times New Roman" w:hAnsi="Times New Roman"/>
          <w:sz w:val="24"/>
          <w:szCs w:val="24"/>
        </w:rPr>
        <w:t>n offsets</w:t>
      </w:r>
      <w:r w:rsidRPr="00837FFB">
        <w:rPr>
          <w:rFonts w:ascii="Times New Roman" w:hAnsi="Times New Roman"/>
          <w:sz w:val="24"/>
          <w:szCs w:val="24"/>
        </w:rPr>
        <w:t xml:space="preserve"> project.</w:t>
      </w:r>
    </w:p>
    <w:p w:rsidR="0002707F" w:rsidRDefault="0002707F" w:rsidP="0002707F">
      <w:pPr>
        <w:spacing w:before="240" w:after="240" w:line="240" w:lineRule="auto"/>
        <w:rPr>
          <w:rFonts w:ascii="Times New Roman" w:hAnsi="Times New Roman"/>
          <w:sz w:val="24"/>
          <w:szCs w:val="24"/>
          <w:u w:val="single"/>
        </w:rPr>
      </w:pPr>
      <w:r>
        <w:rPr>
          <w:rFonts w:ascii="Times New Roman" w:hAnsi="Times New Roman"/>
          <w:sz w:val="24"/>
          <w:szCs w:val="24"/>
          <w:u w:val="single"/>
        </w:rPr>
        <w:t>4.3</w:t>
      </w:r>
      <w:r>
        <w:rPr>
          <w:rFonts w:ascii="Times New Roman" w:hAnsi="Times New Roman"/>
          <w:sz w:val="24"/>
          <w:szCs w:val="24"/>
          <w:u w:val="single"/>
        </w:rPr>
        <w:tab/>
        <w:t>Quality assurance and quality control</w:t>
      </w:r>
    </w:p>
    <w:p w:rsidR="0002707F" w:rsidRDefault="0002707F" w:rsidP="0002707F">
      <w:pPr>
        <w:spacing w:before="240" w:after="240" w:line="240" w:lineRule="auto"/>
        <w:rPr>
          <w:rFonts w:ascii="Times New Roman" w:hAnsi="Times New Roman"/>
          <w:sz w:val="24"/>
          <w:szCs w:val="24"/>
        </w:rPr>
      </w:pPr>
      <w:r w:rsidRPr="00837FFB">
        <w:rPr>
          <w:rFonts w:ascii="Times New Roman" w:hAnsi="Times New Roman"/>
          <w:sz w:val="24"/>
          <w:szCs w:val="24"/>
        </w:rPr>
        <w:t xml:space="preserve">This section </w:t>
      </w:r>
      <w:r w:rsidR="00094442" w:rsidRPr="00F737D7">
        <w:rPr>
          <w:rFonts w:ascii="Times New Roman" w:hAnsi="Times New Roman"/>
          <w:sz w:val="24"/>
          <w:szCs w:val="24"/>
        </w:rPr>
        <w:t xml:space="preserve">of the Methodology Determination </w:t>
      </w:r>
      <w:r w:rsidRPr="00837FFB">
        <w:rPr>
          <w:rFonts w:ascii="Times New Roman" w:hAnsi="Times New Roman"/>
          <w:sz w:val="24"/>
          <w:szCs w:val="24"/>
        </w:rPr>
        <w:t xml:space="preserve">sets out requirements relating to inspection and maintenance of monitoring </w:t>
      </w:r>
      <w:r>
        <w:rPr>
          <w:rFonts w:ascii="Times New Roman" w:hAnsi="Times New Roman"/>
          <w:sz w:val="24"/>
          <w:szCs w:val="24"/>
        </w:rPr>
        <w:t xml:space="preserve">instruments </w:t>
      </w:r>
      <w:r w:rsidRPr="00837FFB">
        <w:rPr>
          <w:rFonts w:ascii="Times New Roman" w:hAnsi="Times New Roman"/>
          <w:sz w:val="24"/>
          <w:szCs w:val="24"/>
        </w:rPr>
        <w:t>and other equipment used in a project.</w:t>
      </w:r>
    </w:p>
    <w:p w:rsidR="006C6120" w:rsidRPr="006C6120" w:rsidRDefault="005E125C" w:rsidP="006C6120">
      <w:pPr>
        <w:spacing w:before="240" w:after="240" w:line="240" w:lineRule="auto"/>
        <w:rPr>
          <w:rFonts w:ascii="Times New Roman" w:hAnsi="Times New Roman"/>
          <w:b/>
          <w:sz w:val="24"/>
          <w:szCs w:val="24"/>
        </w:rPr>
      </w:pPr>
      <w:bookmarkStart w:id="3" w:name="_Toc318467905"/>
      <w:bookmarkStart w:id="4" w:name="_Toc328130914"/>
      <w:r w:rsidRPr="005E125C">
        <w:rPr>
          <w:rFonts w:ascii="Times New Roman" w:hAnsi="Times New Roman"/>
          <w:b/>
          <w:sz w:val="24"/>
          <w:szCs w:val="24"/>
        </w:rPr>
        <w:t>Division 4.3</w:t>
      </w:r>
      <w:r w:rsidRPr="005E125C">
        <w:rPr>
          <w:rFonts w:ascii="Times New Roman" w:hAnsi="Times New Roman"/>
          <w:b/>
          <w:sz w:val="24"/>
          <w:szCs w:val="24"/>
        </w:rPr>
        <w:tab/>
        <w:t>Record-keeping requirements</w:t>
      </w:r>
      <w:bookmarkEnd w:id="3"/>
      <w:bookmarkEnd w:id="4"/>
    </w:p>
    <w:p w:rsidR="0002707F" w:rsidRDefault="0002707F" w:rsidP="0002707F">
      <w:pPr>
        <w:spacing w:before="240" w:after="240" w:line="240" w:lineRule="auto"/>
        <w:rPr>
          <w:rFonts w:ascii="Times New Roman" w:hAnsi="Times New Roman"/>
          <w:sz w:val="24"/>
          <w:szCs w:val="24"/>
          <w:u w:val="single"/>
        </w:rPr>
      </w:pPr>
      <w:r w:rsidRPr="00AC7509">
        <w:rPr>
          <w:rFonts w:ascii="Times New Roman" w:hAnsi="Times New Roman"/>
          <w:sz w:val="24"/>
          <w:szCs w:val="24"/>
          <w:u w:val="single"/>
        </w:rPr>
        <w:t>4.4</w:t>
      </w:r>
      <w:r w:rsidRPr="00AC7509">
        <w:rPr>
          <w:rFonts w:ascii="Times New Roman" w:hAnsi="Times New Roman"/>
          <w:sz w:val="24"/>
          <w:szCs w:val="24"/>
          <w:u w:val="single"/>
        </w:rPr>
        <w:tab/>
      </w:r>
      <w:r w:rsidR="006C6120">
        <w:rPr>
          <w:rFonts w:ascii="Times New Roman" w:hAnsi="Times New Roman"/>
          <w:sz w:val="24"/>
          <w:szCs w:val="24"/>
          <w:u w:val="single"/>
        </w:rPr>
        <w:t>R</w:t>
      </w:r>
      <w:r w:rsidRPr="00AC7509">
        <w:rPr>
          <w:rFonts w:ascii="Times New Roman" w:hAnsi="Times New Roman"/>
          <w:sz w:val="24"/>
          <w:szCs w:val="24"/>
          <w:u w:val="single"/>
        </w:rPr>
        <w:t>ecords</w:t>
      </w:r>
      <w:r w:rsidR="006C6120">
        <w:rPr>
          <w:rFonts w:ascii="Times New Roman" w:hAnsi="Times New Roman"/>
          <w:sz w:val="24"/>
          <w:szCs w:val="24"/>
          <w:u w:val="single"/>
        </w:rPr>
        <w:t xml:space="preserve"> that must be kept</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This section</w:t>
      </w:r>
      <w:r w:rsidRPr="00F737D7">
        <w:rPr>
          <w:rFonts w:ascii="Times New Roman" w:hAnsi="Times New Roman"/>
          <w:sz w:val="24"/>
          <w:szCs w:val="24"/>
        </w:rPr>
        <w:t xml:space="preserve"> of the Methodology Determination specifies the records that must be kept in relation to the project.</w:t>
      </w:r>
    </w:p>
    <w:p w:rsidR="006C6120" w:rsidRDefault="005E125C" w:rsidP="0002707F">
      <w:pPr>
        <w:spacing w:before="240" w:after="240" w:line="240" w:lineRule="auto"/>
        <w:rPr>
          <w:rFonts w:ascii="Times New Roman" w:hAnsi="Times New Roman"/>
          <w:sz w:val="24"/>
          <w:szCs w:val="24"/>
          <w:u w:val="single"/>
        </w:rPr>
      </w:pPr>
      <w:r w:rsidRPr="005E125C">
        <w:rPr>
          <w:rFonts w:ascii="Times New Roman" w:hAnsi="Times New Roman"/>
          <w:b/>
          <w:sz w:val="24"/>
          <w:szCs w:val="24"/>
        </w:rPr>
        <w:t>Division 4.4</w:t>
      </w:r>
      <w:r w:rsidRPr="005E125C">
        <w:rPr>
          <w:rFonts w:ascii="Times New Roman" w:hAnsi="Times New Roman"/>
          <w:b/>
          <w:sz w:val="24"/>
          <w:szCs w:val="24"/>
        </w:rPr>
        <w:tab/>
        <w:t>Offsets report requirements</w:t>
      </w:r>
    </w:p>
    <w:p w:rsidR="0002707F" w:rsidRDefault="0002707F" w:rsidP="0002707F">
      <w:pPr>
        <w:spacing w:before="240" w:after="240" w:line="240" w:lineRule="auto"/>
        <w:rPr>
          <w:rFonts w:ascii="Times New Roman" w:hAnsi="Times New Roman"/>
          <w:sz w:val="24"/>
          <w:szCs w:val="24"/>
          <w:u w:val="single"/>
        </w:rPr>
      </w:pPr>
      <w:r w:rsidRPr="00AC7509">
        <w:rPr>
          <w:rFonts w:ascii="Times New Roman" w:hAnsi="Times New Roman"/>
          <w:sz w:val="24"/>
          <w:szCs w:val="24"/>
          <w:u w:val="single"/>
        </w:rPr>
        <w:t>4.5</w:t>
      </w:r>
      <w:r w:rsidRPr="00AC7509">
        <w:rPr>
          <w:rFonts w:ascii="Times New Roman" w:hAnsi="Times New Roman"/>
          <w:sz w:val="24"/>
          <w:szCs w:val="24"/>
          <w:u w:val="single"/>
        </w:rPr>
        <w:tab/>
      </w:r>
      <w:r w:rsidR="006C6120">
        <w:rPr>
          <w:rFonts w:ascii="Times New Roman" w:hAnsi="Times New Roman"/>
          <w:sz w:val="24"/>
          <w:szCs w:val="24"/>
          <w:u w:val="single"/>
        </w:rPr>
        <w:t xml:space="preserve">Information that must be included in an offsets </w:t>
      </w:r>
      <w:r>
        <w:rPr>
          <w:rFonts w:ascii="Times New Roman" w:hAnsi="Times New Roman"/>
          <w:sz w:val="24"/>
          <w:szCs w:val="24"/>
          <w:u w:val="single"/>
        </w:rPr>
        <w:t>r</w:t>
      </w:r>
      <w:r w:rsidRPr="00AC7509">
        <w:rPr>
          <w:rFonts w:ascii="Times New Roman" w:hAnsi="Times New Roman"/>
          <w:sz w:val="24"/>
          <w:szCs w:val="24"/>
          <w:u w:val="single"/>
        </w:rPr>
        <w:t>eport</w:t>
      </w:r>
    </w:p>
    <w:p w:rsidR="0042310A" w:rsidRDefault="0042310A" w:rsidP="0042310A">
      <w:pPr>
        <w:spacing w:before="240" w:after="240" w:line="240" w:lineRule="auto"/>
        <w:rPr>
          <w:rFonts w:ascii="Times New Roman" w:hAnsi="Times New Roman"/>
          <w:sz w:val="24"/>
          <w:szCs w:val="24"/>
        </w:rPr>
      </w:pPr>
      <w:r w:rsidRPr="00F737D7">
        <w:rPr>
          <w:rFonts w:ascii="Times New Roman" w:hAnsi="Times New Roman"/>
          <w:sz w:val="24"/>
          <w:szCs w:val="24"/>
        </w:rPr>
        <w:t>Project proponents will be required to submit:</w:t>
      </w:r>
    </w:p>
    <w:p w:rsidR="0042310A" w:rsidRDefault="0042310A" w:rsidP="0042310A">
      <w:pPr>
        <w:pStyle w:val="OutlineNumbered1"/>
        <w:numPr>
          <w:ilvl w:val="0"/>
          <w:numId w:val="8"/>
        </w:numPr>
        <w:spacing w:before="240" w:after="240" w:line="240" w:lineRule="auto"/>
        <w:rPr>
          <w:rFonts w:ascii="Times New Roman" w:hAnsi="Times New Roman"/>
          <w:sz w:val="24"/>
          <w:szCs w:val="24"/>
        </w:rPr>
      </w:pPr>
      <w:r>
        <w:rPr>
          <w:rFonts w:ascii="Times New Roman" w:hAnsi="Times New Roman"/>
          <w:sz w:val="24"/>
          <w:szCs w:val="24"/>
        </w:rPr>
        <w:t>a</w:t>
      </w:r>
      <w:r w:rsidRPr="00F737D7">
        <w:rPr>
          <w:rFonts w:ascii="Times New Roman" w:hAnsi="Times New Roman"/>
          <w:sz w:val="24"/>
          <w:szCs w:val="24"/>
        </w:rPr>
        <w:t xml:space="preserve"> report for the first reporting period; and</w:t>
      </w:r>
    </w:p>
    <w:p w:rsidR="0042310A" w:rsidRDefault="0042310A" w:rsidP="0042310A">
      <w:pPr>
        <w:pStyle w:val="OutlineNumbered1"/>
        <w:numPr>
          <w:ilvl w:val="0"/>
          <w:numId w:val="8"/>
        </w:numPr>
        <w:spacing w:before="240" w:after="240" w:line="240" w:lineRule="auto"/>
        <w:rPr>
          <w:rFonts w:ascii="Times New Roman" w:hAnsi="Times New Roman"/>
          <w:sz w:val="24"/>
          <w:szCs w:val="24"/>
        </w:rPr>
      </w:pPr>
      <w:r>
        <w:rPr>
          <w:rFonts w:ascii="Times New Roman" w:hAnsi="Times New Roman"/>
          <w:sz w:val="24"/>
          <w:szCs w:val="24"/>
        </w:rPr>
        <w:t>o</w:t>
      </w:r>
      <w:r w:rsidRPr="00F737D7">
        <w:rPr>
          <w:rFonts w:ascii="Times New Roman" w:hAnsi="Times New Roman"/>
          <w:sz w:val="24"/>
          <w:szCs w:val="24"/>
        </w:rPr>
        <w:t>ngoing reports for subsequent reporting periods.</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This section </w:t>
      </w:r>
      <w:r w:rsidRPr="00F737D7">
        <w:rPr>
          <w:rFonts w:ascii="Times New Roman" w:hAnsi="Times New Roman"/>
          <w:sz w:val="24"/>
          <w:szCs w:val="24"/>
        </w:rPr>
        <w:t>of the Methodology Determination set</w:t>
      </w:r>
      <w:r>
        <w:rPr>
          <w:rFonts w:ascii="Times New Roman" w:hAnsi="Times New Roman"/>
          <w:sz w:val="24"/>
          <w:szCs w:val="24"/>
        </w:rPr>
        <w:t>s</w:t>
      </w:r>
      <w:r w:rsidRPr="00F737D7">
        <w:rPr>
          <w:rFonts w:ascii="Times New Roman" w:hAnsi="Times New Roman"/>
          <w:sz w:val="24"/>
          <w:szCs w:val="24"/>
        </w:rPr>
        <w:t xml:space="preserve"> out the </w:t>
      </w:r>
      <w:r>
        <w:rPr>
          <w:rFonts w:ascii="Times New Roman" w:hAnsi="Times New Roman"/>
          <w:sz w:val="24"/>
          <w:szCs w:val="24"/>
        </w:rPr>
        <w:t>information that must be included in</w:t>
      </w:r>
      <w:r w:rsidR="0042310A">
        <w:rPr>
          <w:rFonts w:ascii="Times New Roman" w:hAnsi="Times New Roman"/>
          <w:sz w:val="24"/>
          <w:szCs w:val="24"/>
        </w:rPr>
        <w:t xml:space="preserve"> the first offsets</w:t>
      </w:r>
      <w:r>
        <w:rPr>
          <w:rFonts w:ascii="Times New Roman" w:hAnsi="Times New Roman"/>
          <w:sz w:val="24"/>
          <w:szCs w:val="24"/>
        </w:rPr>
        <w:t xml:space="preserve"> reports</w:t>
      </w:r>
      <w:r w:rsidR="0042310A">
        <w:rPr>
          <w:rFonts w:ascii="Times New Roman" w:hAnsi="Times New Roman"/>
          <w:sz w:val="24"/>
          <w:szCs w:val="24"/>
        </w:rPr>
        <w:t xml:space="preserve"> for a</w:t>
      </w:r>
      <w:r w:rsidR="000014D0">
        <w:rPr>
          <w:rFonts w:ascii="Times New Roman" w:hAnsi="Times New Roman"/>
          <w:sz w:val="24"/>
          <w:szCs w:val="24"/>
        </w:rPr>
        <w:t>n offsets</w:t>
      </w:r>
      <w:r w:rsidR="0042310A">
        <w:rPr>
          <w:rFonts w:ascii="Times New Roman" w:hAnsi="Times New Roman"/>
          <w:sz w:val="24"/>
          <w:szCs w:val="24"/>
        </w:rPr>
        <w:t xml:space="preserve"> project</w:t>
      </w:r>
      <w:r>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u w:val="single"/>
        </w:rPr>
      </w:pPr>
      <w:r>
        <w:rPr>
          <w:rFonts w:ascii="Times New Roman" w:hAnsi="Times New Roman"/>
          <w:sz w:val="24"/>
          <w:szCs w:val="24"/>
          <w:u w:val="single"/>
        </w:rPr>
        <w:t>4.6</w:t>
      </w:r>
      <w:r>
        <w:rPr>
          <w:rFonts w:ascii="Times New Roman" w:hAnsi="Times New Roman"/>
          <w:sz w:val="24"/>
          <w:szCs w:val="24"/>
          <w:u w:val="single"/>
        </w:rPr>
        <w:tab/>
        <w:t>Subsequent reporting periods</w:t>
      </w:r>
    </w:p>
    <w:p w:rsidR="0002707F" w:rsidRDefault="0002707F" w:rsidP="0002707F">
      <w:pPr>
        <w:spacing w:before="240" w:after="240" w:line="240" w:lineRule="auto"/>
        <w:rPr>
          <w:rFonts w:ascii="Times New Roman" w:hAnsi="Times New Roman"/>
          <w:sz w:val="24"/>
          <w:szCs w:val="24"/>
          <w:u w:val="single"/>
        </w:rPr>
      </w:pPr>
      <w:r w:rsidRPr="00F10B9B">
        <w:rPr>
          <w:rFonts w:ascii="Times New Roman" w:hAnsi="Times New Roman"/>
          <w:sz w:val="24"/>
          <w:szCs w:val="24"/>
        </w:rPr>
        <w:t xml:space="preserve">This section sets out information that must be included in the subsequent </w:t>
      </w:r>
      <w:r>
        <w:rPr>
          <w:rFonts w:ascii="Times New Roman" w:hAnsi="Times New Roman"/>
          <w:sz w:val="24"/>
          <w:szCs w:val="24"/>
        </w:rPr>
        <w:t>project reports.</w:t>
      </w:r>
      <w:r>
        <w:rPr>
          <w:rFonts w:ascii="Times New Roman" w:hAnsi="Times New Roman"/>
          <w:sz w:val="24"/>
          <w:szCs w:val="24"/>
          <w:u w:val="single"/>
        </w:rPr>
        <w:br w:type="page"/>
      </w:r>
    </w:p>
    <w:p w:rsidR="0002707F" w:rsidRDefault="0002707F" w:rsidP="0002707F">
      <w:pPr>
        <w:spacing w:before="240" w:after="240" w:line="240" w:lineRule="auto"/>
        <w:jc w:val="right"/>
        <w:rPr>
          <w:rFonts w:ascii="Times New Roman" w:hAnsi="Times New Roman"/>
          <w:sz w:val="24"/>
          <w:szCs w:val="24"/>
          <w:u w:val="single"/>
        </w:rPr>
      </w:pPr>
      <w:r w:rsidRPr="00837FFB">
        <w:rPr>
          <w:rFonts w:ascii="Times New Roman" w:hAnsi="Times New Roman"/>
          <w:sz w:val="24"/>
          <w:szCs w:val="24"/>
          <w:u w:val="single"/>
        </w:rPr>
        <w:t>Attachment B</w:t>
      </w:r>
    </w:p>
    <w:p w:rsidR="0002707F" w:rsidRDefault="0002707F" w:rsidP="0002707F">
      <w:pPr>
        <w:spacing w:before="240" w:after="240" w:line="240" w:lineRule="auto"/>
        <w:jc w:val="center"/>
        <w:rPr>
          <w:rFonts w:ascii="Times New Roman" w:hAnsi="Times New Roman"/>
          <w:b/>
          <w:sz w:val="24"/>
          <w:szCs w:val="24"/>
        </w:rPr>
      </w:pPr>
      <w:r w:rsidRPr="00837FFB">
        <w:rPr>
          <w:rFonts w:ascii="Times New Roman" w:hAnsi="Times New Roman"/>
          <w:b/>
          <w:sz w:val="24"/>
          <w:szCs w:val="24"/>
        </w:rPr>
        <w:t>Statement of Compatibility with Human Rights</w:t>
      </w:r>
    </w:p>
    <w:p w:rsidR="0002707F" w:rsidRDefault="0002707F" w:rsidP="0002707F">
      <w:pPr>
        <w:spacing w:before="240" w:after="240" w:line="240" w:lineRule="auto"/>
        <w:jc w:val="center"/>
        <w:rPr>
          <w:rFonts w:ascii="Times New Roman" w:hAnsi="Times New Roman"/>
          <w:sz w:val="24"/>
          <w:szCs w:val="24"/>
        </w:rPr>
      </w:pPr>
      <w:r w:rsidRPr="00837FFB">
        <w:rPr>
          <w:rFonts w:ascii="Times New Roman" w:hAnsi="Times New Roman"/>
          <w:i/>
          <w:sz w:val="24"/>
          <w:szCs w:val="24"/>
        </w:rPr>
        <w:t>Prepared in accordance with Part 3 of the Human Rights (Parliamentary Scrutiny) Act 2011</w:t>
      </w:r>
    </w:p>
    <w:p w:rsidR="0002707F" w:rsidRDefault="0002707F" w:rsidP="0002707F">
      <w:pPr>
        <w:spacing w:before="240" w:after="240" w:line="240" w:lineRule="auto"/>
        <w:jc w:val="center"/>
        <w:rPr>
          <w:rFonts w:ascii="Times New Roman" w:hAnsi="Times New Roman"/>
          <w:sz w:val="24"/>
          <w:szCs w:val="24"/>
        </w:rPr>
      </w:pPr>
    </w:p>
    <w:p w:rsidR="0002707F" w:rsidRDefault="0002707F" w:rsidP="0002707F">
      <w:pPr>
        <w:spacing w:before="240" w:after="240" w:line="240" w:lineRule="auto"/>
        <w:jc w:val="center"/>
        <w:rPr>
          <w:rFonts w:ascii="Times New Roman" w:hAnsi="Times New Roman"/>
          <w:b/>
          <w:i/>
          <w:sz w:val="24"/>
          <w:szCs w:val="24"/>
        </w:rPr>
      </w:pPr>
      <w:r w:rsidRPr="00A32EC8">
        <w:rPr>
          <w:rFonts w:ascii="Times New Roman" w:hAnsi="Times New Roman"/>
          <w:b/>
          <w:i/>
          <w:sz w:val="24"/>
          <w:szCs w:val="24"/>
        </w:rPr>
        <w:t xml:space="preserve">Carbon Farming (Capture and Combustion of Methane </w:t>
      </w:r>
      <w:r w:rsidR="00CE2FA7">
        <w:rPr>
          <w:rFonts w:ascii="Times New Roman" w:hAnsi="Times New Roman"/>
          <w:b/>
          <w:i/>
          <w:sz w:val="24"/>
          <w:szCs w:val="24"/>
        </w:rPr>
        <w:t>in</w:t>
      </w:r>
      <w:r w:rsidR="00CE2FA7" w:rsidRPr="00A32EC8">
        <w:rPr>
          <w:rFonts w:ascii="Times New Roman" w:hAnsi="Times New Roman"/>
          <w:b/>
          <w:i/>
          <w:sz w:val="24"/>
          <w:szCs w:val="24"/>
        </w:rPr>
        <w:t xml:space="preserve"> </w:t>
      </w:r>
      <w:r w:rsidRPr="00A32EC8">
        <w:rPr>
          <w:rFonts w:ascii="Times New Roman" w:hAnsi="Times New Roman"/>
          <w:b/>
          <w:i/>
          <w:sz w:val="24"/>
          <w:szCs w:val="24"/>
        </w:rPr>
        <w:t xml:space="preserve">Landfill Gas </w:t>
      </w:r>
      <w:r w:rsidR="00CE2FA7">
        <w:rPr>
          <w:rFonts w:ascii="Times New Roman" w:hAnsi="Times New Roman"/>
          <w:b/>
          <w:i/>
          <w:sz w:val="24"/>
          <w:szCs w:val="24"/>
        </w:rPr>
        <w:t xml:space="preserve">from </w:t>
      </w:r>
      <w:r w:rsidRPr="00A32EC8">
        <w:rPr>
          <w:rFonts w:ascii="Times New Roman" w:hAnsi="Times New Roman"/>
          <w:b/>
          <w:i/>
          <w:sz w:val="24"/>
          <w:szCs w:val="24"/>
        </w:rPr>
        <w:t>Legacy Waste)</w:t>
      </w:r>
      <w:r>
        <w:rPr>
          <w:rFonts w:ascii="Times New Roman" w:hAnsi="Times New Roman"/>
          <w:b/>
          <w:i/>
          <w:sz w:val="24"/>
          <w:szCs w:val="24"/>
        </w:rPr>
        <w:t xml:space="preserve"> </w:t>
      </w:r>
      <w:r w:rsidRPr="00A32EC8">
        <w:rPr>
          <w:rFonts w:ascii="Times New Roman" w:hAnsi="Times New Roman"/>
          <w:b/>
          <w:i/>
          <w:sz w:val="24"/>
          <w:szCs w:val="24"/>
        </w:rPr>
        <w:t>Methodology Determination 2012</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02707F" w:rsidRDefault="0002707F" w:rsidP="0002707F">
      <w:pPr>
        <w:spacing w:before="240" w:after="240" w:line="240" w:lineRule="auto"/>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rsidR="0002707F" w:rsidRDefault="0002707F" w:rsidP="0002707F">
      <w:pPr>
        <w:pStyle w:val="NormalWeb"/>
        <w:spacing w:before="240" w:beforeAutospacing="0" w:after="240" w:afterAutospacing="0"/>
      </w:pPr>
      <w:r w:rsidRPr="00F737D7">
        <w:t xml:space="preserve">The </w:t>
      </w:r>
      <w:r w:rsidRPr="00F737D7">
        <w:rPr>
          <w:i/>
        </w:rPr>
        <w:t xml:space="preserve">Carbon Farming (Capture and Combustion of Methane </w:t>
      </w:r>
      <w:r w:rsidR="00CE2FA7">
        <w:rPr>
          <w:i/>
        </w:rPr>
        <w:t>in</w:t>
      </w:r>
      <w:r w:rsidR="00CE2FA7" w:rsidRPr="00F737D7">
        <w:rPr>
          <w:i/>
        </w:rPr>
        <w:t xml:space="preserve"> </w:t>
      </w:r>
      <w:r w:rsidRPr="00F737D7">
        <w:rPr>
          <w:i/>
        </w:rPr>
        <w:t>Landfill Gas from Legacy Waste) Methodology Determination 2012</w:t>
      </w:r>
      <w:r w:rsidRPr="00F737D7">
        <w:t xml:space="preserve"> (Methodology Determination) sets out the detailed rules for implementing and monitoring projects under the Carbon Farming Initiative (CFI) to reduce methane emissions from landfill gas generated from legacy waste.  </w:t>
      </w:r>
    </w:p>
    <w:p w:rsidR="00E57FD7" w:rsidRDefault="0002707F" w:rsidP="00E57FD7">
      <w:pPr>
        <w:pStyle w:val="NormalWeb"/>
        <w:spacing w:before="240" w:beforeAutospacing="0" w:after="240" w:afterAutospacing="0"/>
      </w:pPr>
      <w:r w:rsidRPr="00F737D7">
        <w:t xml:space="preserve">Project proponents wanting to implement the Methodology Determination must make an application to the </w:t>
      </w:r>
      <w:r>
        <w:t>Clean Energy Regulator (Regulator</w:t>
      </w:r>
      <w:r w:rsidRPr="00F737D7">
        <w:t xml:space="preserve">) and meet the eligibility requirements </w:t>
      </w:r>
      <w:r>
        <w:t xml:space="preserve">set out under the </w:t>
      </w:r>
      <w:r w:rsidRPr="00172829">
        <w:rPr>
          <w:i/>
        </w:rPr>
        <w:t>Carbon Credits (Carbon Farming Initiative) Act 2011</w:t>
      </w:r>
      <w:r>
        <w:t xml:space="preserve">. Offsets projects that are </w:t>
      </w:r>
      <w:r w:rsidRPr="00F737D7">
        <w:t xml:space="preserve">approved by the </w:t>
      </w:r>
      <w:r>
        <w:t>Regulator</w:t>
      </w:r>
      <w:r w:rsidRPr="00F737D7">
        <w:t xml:space="preserve"> can generate Australian </w:t>
      </w:r>
      <w:r w:rsidR="00425BE7">
        <w:t>c</w:t>
      </w:r>
      <w:r w:rsidRPr="00F737D7">
        <w:t xml:space="preserve">arbon </w:t>
      </w:r>
      <w:r w:rsidR="00425BE7">
        <w:t>c</w:t>
      </w:r>
      <w:r w:rsidRPr="00F737D7">
        <w:t xml:space="preserve">redit </w:t>
      </w:r>
      <w:r w:rsidR="00425BE7">
        <w:t>u</w:t>
      </w:r>
      <w:r w:rsidRPr="00F737D7">
        <w:t xml:space="preserve">nits.  </w:t>
      </w:r>
    </w:p>
    <w:p w:rsidR="0002707F" w:rsidRDefault="0002707F" w:rsidP="0002707F">
      <w:pPr>
        <w:spacing w:before="240" w:after="240" w:line="240" w:lineRule="auto"/>
        <w:rPr>
          <w:rFonts w:ascii="Times New Roman" w:hAnsi="Times New Roman"/>
          <w:b/>
          <w:sz w:val="24"/>
          <w:szCs w:val="24"/>
        </w:rPr>
      </w:pPr>
      <w:r w:rsidRPr="00E4135E">
        <w:rPr>
          <w:rFonts w:ascii="Times New Roman" w:hAnsi="Times New Roman"/>
          <w:b/>
          <w:sz w:val="24"/>
          <w:szCs w:val="24"/>
        </w:rPr>
        <w:t>Human rights implications</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rsidR="0002707F" w:rsidRDefault="0002707F" w:rsidP="0002707F">
      <w:pPr>
        <w:spacing w:before="240" w:after="240" w:line="240" w:lineRule="auto"/>
        <w:rPr>
          <w:rFonts w:ascii="Times New Roman" w:hAnsi="Times New Roman"/>
          <w:b/>
          <w:sz w:val="24"/>
          <w:szCs w:val="24"/>
        </w:rPr>
      </w:pPr>
      <w:r w:rsidRPr="00A32EC8">
        <w:rPr>
          <w:rFonts w:ascii="Times New Roman" w:hAnsi="Times New Roman"/>
          <w:b/>
          <w:sz w:val="24"/>
          <w:szCs w:val="24"/>
        </w:rPr>
        <w:t>Conclusion</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This </w:t>
      </w:r>
      <w:r w:rsidRPr="00A32EC8">
        <w:rPr>
          <w:rFonts w:ascii="Times New Roman" w:hAnsi="Times New Roman"/>
          <w:sz w:val="24"/>
          <w:szCs w:val="24"/>
        </w:rPr>
        <w:t>Legislative Instrument is compatible with human rights as it does not raise any human rights issues.</w:t>
      </w:r>
    </w:p>
    <w:p w:rsidR="0002707F" w:rsidRDefault="0002707F" w:rsidP="0002707F">
      <w:pPr>
        <w:spacing w:before="240" w:after="240" w:line="240" w:lineRule="auto"/>
        <w:rPr>
          <w:rFonts w:ascii="Times New Roman" w:hAnsi="Times New Roman"/>
          <w:sz w:val="24"/>
          <w:szCs w:val="24"/>
        </w:rPr>
      </w:pPr>
    </w:p>
    <w:p w:rsidR="0002707F" w:rsidRDefault="0002707F" w:rsidP="0002707F">
      <w:pPr>
        <w:spacing w:before="240" w:after="240" w:line="240" w:lineRule="auto"/>
      </w:pPr>
      <w:r w:rsidRPr="00A32EC8">
        <w:rPr>
          <w:rFonts w:ascii="Times New Roman" w:hAnsi="Times New Roman"/>
          <w:b/>
          <w:sz w:val="24"/>
          <w:szCs w:val="24"/>
        </w:rPr>
        <w:t>Mark Dreyfus, Parliamentary Secretary for Climate Change and Energy Efficiency</w:t>
      </w:r>
    </w:p>
    <w:p w:rsidR="00BF0E15" w:rsidRPr="0002707F" w:rsidRDefault="00BF0E15" w:rsidP="0002707F"/>
    <w:sectPr w:rsidR="00BF0E15" w:rsidRPr="0002707F" w:rsidSect="008545A4">
      <w:foot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28C" w:rsidRDefault="00C3728C" w:rsidP="00036AA6">
      <w:pPr>
        <w:spacing w:after="0" w:line="240" w:lineRule="auto"/>
      </w:pPr>
      <w:r>
        <w:separator/>
      </w:r>
    </w:p>
  </w:endnote>
  <w:endnote w:type="continuationSeparator" w:id="0">
    <w:p w:rsidR="00C3728C" w:rsidRDefault="00C3728C" w:rsidP="0003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08235"/>
      <w:docPartObj>
        <w:docPartGallery w:val="Page Numbers (Bottom of Page)"/>
        <w:docPartUnique/>
      </w:docPartObj>
    </w:sdtPr>
    <w:sdtContent>
      <w:p w:rsidR="00C3728C" w:rsidRDefault="005B6CC2">
        <w:pPr>
          <w:pStyle w:val="Footer"/>
          <w:jc w:val="right"/>
        </w:pPr>
        <w:r w:rsidRPr="00A60507">
          <w:rPr>
            <w:rFonts w:ascii="Times New Roman" w:hAnsi="Times New Roman"/>
            <w:sz w:val="20"/>
            <w:szCs w:val="20"/>
          </w:rPr>
          <w:fldChar w:fldCharType="begin"/>
        </w:r>
        <w:r w:rsidR="00C3728C" w:rsidRPr="00A60507">
          <w:rPr>
            <w:rFonts w:ascii="Times New Roman" w:hAnsi="Times New Roman"/>
            <w:sz w:val="20"/>
            <w:szCs w:val="20"/>
          </w:rPr>
          <w:instrText xml:space="preserve"> PAGE   \* MERGEFORMAT </w:instrText>
        </w:r>
        <w:r w:rsidRPr="00A60507">
          <w:rPr>
            <w:rFonts w:ascii="Times New Roman" w:hAnsi="Times New Roman"/>
            <w:sz w:val="20"/>
            <w:szCs w:val="20"/>
          </w:rPr>
          <w:fldChar w:fldCharType="separate"/>
        </w:r>
        <w:r w:rsidR="005E3853">
          <w:rPr>
            <w:rFonts w:ascii="Times New Roman" w:hAnsi="Times New Roman"/>
            <w:noProof/>
            <w:sz w:val="20"/>
            <w:szCs w:val="20"/>
          </w:rPr>
          <w:t>15</w:t>
        </w:r>
        <w:r w:rsidRPr="00A60507">
          <w:rPr>
            <w:rFonts w:ascii="Times New Roman" w:hAnsi="Times New Roman"/>
            <w:sz w:val="20"/>
            <w:szCs w:val="20"/>
          </w:rPr>
          <w:fldChar w:fldCharType="end"/>
        </w:r>
      </w:p>
    </w:sdtContent>
  </w:sdt>
  <w:p w:rsidR="00C3728C" w:rsidRDefault="00C37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28C" w:rsidRDefault="00C3728C" w:rsidP="00036AA6">
      <w:pPr>
        <w:spacing w:after="0" w:line="240" w:lineRule="auto"/>
      </w:pPr>
      <w:r>
        <w:separator/>
      </w:r>
    </w:p>
  </w:footnote>
  <w:footnote w:type="continuationSeparator" w:id="0">
    <w:p w:rsidR="00C3728C" w:rsidRDefault="00C3728C" w:rsidP="00036AA6">
      <w:pPr>
        <w:spacing w:after="0" w:line="240" w:lineRule="auto"/>
      </w:pPr>
      <w:r>
        <w:continuationSeparator/>
      </w:r>
    </w:p>
  </w:footnote>
  <w:footnote w:id="1">
    <w:p w:rsidR="00C3728C" w:rsidRDefault="00C3728C" w:rsidP="0002707F">
      <w:pPr>
        <w:pStyle w:val="FootnoteText"/>
      </w:pPr>
      <w:r>
        <w:rPr>
          <w:rStyle w:val="FootnoteReference"/>
        </w:rPr>
        <w:footnoteRef/>
      </w:r>
      <w:r>
        <w:t xml:space="preserve"> </w:t>
      </w:r>
      <w:r w:rsidRPr="005300CB">
        <w:rPr>
          <w:rFonts w:ascii="Times New Roman" w:hAnsi="Times New Roman"/>
        </w:rPr>
        <w:t>Global Warming Potential is an index that measures the heat absorbing ability and the decay rate of a well mixed greenhouse gas in the atmosphere over a time interval, relative to that of carbon dioxide.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B6C"/>
    <w:multiLevelType w:val="multilevel"/>
    <w:tmpl w:val="55FCF944"/>
    <w:lvl w:ilvl="0">
      <w:start w:val="1"/>
      <w:numFmt w:val="lowerLetter"/>
      <w:lvlText w:val="(%1)"/>
      <w:lvlJc w:val="left"/>
      <w:pPr>
        <w:tabs>
          <w:tab w:val="num" w:pos="1040"/>
        </w:tabs>
        <w:ind w:left="1040" w:hanging="520"/>
      </w:pPr>
      <w:rPr>
        <w:rFonts w:hint="default"/>
        <w:b w:val="0"/>
      </w:rPr>
    </w:lvl>
    <w:lvl w:ilvl="1">
      <w:start w:val="1"/>
      <w:numFmt w:val="decimal"/>
      <w:lvlText w:val="%1.%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F8460D"/>
    <w:multiLevelType w:val="multilevel"/>
    <w:tmpl w:val="B7B8BB2E"/>
    <w:name w:val="StandardBulletedList"/>
    <w:lvl w:ilvl="0">
      <w:start w:val="1"/>
      <w:numFmt w:val="lowerLetter"/>
      <w:lvlText w:val="(%1)"/>
      <w:lvlJc w:val="left"/>
      <w:pPr>
        <w:tabs>
          <w:tab w:val="num" w:pos="1240"/>
        </w:tabs>
        <w:ind w:left="1240" w:hanging="520"/>
      </w:pPr>
      <w:rPr>
        <w:rFonts w:hint="default"/>
        <w:b/>
      </w:rPr>
    </w:lvl>
    <w:lvl w:ilvl="1">
      <w:start w:val="1"/>
      <w:numFmt w:val="decimal"/>
      <w:lvlText w:val="%1.%2."/>
      <w:lvlJc w:val="left"/>
      <w:pPr>
        <w:tabs>
          <w:tab w:val="num" w:pos="1760"/>
        </w:tabs>
        <w:ind w:left="1760" w:hanging="520"/>
      </w:pPr>
    </w:lvl>
    <w:lvl w:ilvl="2">
      <w:start w:val="1"/>
      <w:numFmt w:val="decimal"/>
      <w:lvlText w:val="%1.%2.%3."/>
      <w:lvlJc w:val="left"/>
      <w:pPr>
        <w:tabs>
          <w:tab w:val="num" w:pos="2280"/>
        </w:tabs>
        <w:ind w:left="2280" w:hanging="52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nsid w:val="1A7410EA"/>
    <w:multiLevelType w:val="hybridMultilevel"/>
    <w:tmpl w:val="9328CDD8"/>
    <w:lvl w:ilvl="0" w:tplc="8BA47A68">
      <w:start w:val="3"/>
      <w:numFmt w:val="bullet"/>
      <w:lvlText w:val="-"/>
      <w:lvlJc w:val="left"/>
      <w:pPr>
        <w:ind w:left="1080" w:hanging="360"/>
      </w:pPr>
      <w:rPr>
        <w:rFonts w:ascii="Times New Roman" w:eastAsia="Calibri" w:hAnsi="Times New Roman" w:cs="Times New Roman" w:hint="default"/>
      </w:rPr>
    </w:lvl>
    <w:lvl w:ilvl="1" w:tplc="67021E5C" w:tentative="1">
      <w:start w:val="1"/>
      <w:numFmt w:val="bullet"/>
      <w:lvlText w:val="o"/>
      <w:lvlJc w:val="left"/>
      <w:pPr>
        <w:ind w:left="1800" w:hanging="360"/>
      </w:pPr>
      <w:rPr>
        <w:rFonts w:ascii="Courier New" w:hAnsi="Courier New" w:cs="Courier New" w:hint="default"/>
      </w:rPr>
    </w:lvl>
    <w:lvl w:ilvl="2" w:tplc="2EC807D0" w:tentative="1">
      <w:start w:val="1"/>
      <w:numFmt w:val="bullet"/>
      <w:lvlText w:val=""/>
      <w:lvlJc w:val="left"/>
      <w:pPr>
        <w:ind w:left="2520" w:hanging="360"/>
      </w:pPr>
      <w:rPr>
        <w:rFonts w:ascii="Wingdings" w:hAnsi="Wingdings" w:hint="default"/>
      </w:rPr>
    </w:lvl>
    <w:lvl w:ilvl="3" w:tplc="1FC428A6" w:tentative="1">
      <w:start w:val="1"/>
      <w:numFmt w:val="bullet"/>
      <w:lvlText w:val=""/>
      <w:lvlJc w:val="left"/>
      <w:pPr>
        <w:ind w:left="3240" w:hanging="360"/>
      </w:pPr>
      <w:rPr>
        <w:rFonts w:ascii="Symbol" w:hAnsi="Symbol" w:hint="default"/>
      </w:rPr>
    </w:lvl>
    <w:lvl w:ilvl="4" w:tplc="B6F66ECE" w:tentative="1">
      <w:start w:val="1"/>
      <w:numFmt w:val="bullet"/>
      <w:lvlText w:val="o"/>
      <w:lvlJc w:val="left"/>
      <w:pPr>
        <w:ind w:left="3960" w:hanging="360"/>
      </w:pPr>
      <w:rPr>
        <w:rFonts w:ascii="Courier New" w:hAnsi="Courier New" w:cs="Courier New" w:hint="default"/>
      </w:rPr>
    </w:lvl>
    <w:lvl w:ilvl="5" w:tplc="789EC6C6" w:tentative="1">
      <w:start w:val="1"/>
      <w:numFmt w:val="bullet"/>
      <w:lvlText w:val=""/>
      <w:lvlJc w:val="left"/>
      <w:pPr>
        <w:ind w:left="4680" w:hanging="360"/>
      </w:pPr>
      <w:rPr>
        <w:rFonts w:ascii="Wingdings" w:hAnsi="Wingdings" w:hint="default"/>
      </w:rPr>
    </w:lvl>
    <w:lvl w:ilvl="6" w:tplc="3D10F0A8" w:tentative="1">
      <w:start w:val="1"/>
      <w:numFmt w:val="bullet"/>
      <w:lvlText w:val=""/>
      <w:lvlJc w:val="left"/>
      <w:pPr>
        <w:ind w:left="5400" w:hanging="360"/>
      </w:pPr>
      <w:rPr>
        <w:rFonts w:ascii="Symbol" w:hAnsi="Symbol" w:hint="default"/>
      </w:rPr>
    </w:lvl>
    <w:lvl w:ilvl="7" w:tplc="EA72948A" w:tentative="1">
      <w:start w:val="1"/>
      <w:numFmt w:val="bullet"/>
      <w:lvlText w:val="o"/>
      <w:lvlJc w:val="left"/>
      <w:pPr>
        <w:ind w:left="6120" w:hanging="360"/>
      </w:pPr>
      <w:rPr>
        <w:rFonts w:ascii="Courier New" w:hAnsi="Courier New" w:cs="Courier New" w:hint="default"/>
      </w:rPr>
    </w:lvl>
    <w:lvl w:ilvl="8" w:tplc="1E82CB6C" w:tentative="1">
      <w:start w:val="1"/>
      <w:numFmt w:val="bullet"/>
      <w:lvlText w:val=""/>
      <w:lvlJc w:val="left"/>
      <w:pPr>
        <w:ind w:left="6840" w:hanging="360"/>
      </w:pPr>
      <w:rPr>
        <w:rFonts w:ascii="Wingdings" w:hAnsi="Wingdings" w:hint="default"/>
      </w:rPr>
    </w:lvl>
  </w:abstractNum>
  <w:abstractNum w:abstractNumId="4">
    <w:nsid w:val="1E46273D"/>
    <w:multiLevelType w:val="multilevel"/>
    <w:tmpl w:val="B7B8BB2E"/>
    <w:lvl w:ilvl="0">
      <w:start w:val="1"/>
      <w:numFmt w:val="lowerLetter"/>
      <w:lvlText w:val="(%1)"/>
      <w:lvlJc w:val="left"/>
      <w:pPr>
        <w:tabs>
          <w:tab w:val="num" w:pos="520"/>
        </w:tabs>
        <w:ind w:left="520" w:hanging="520"/>
      </w:pPr>
      <w:rPr>
        <w:rFonts w:hint="default"/>
        <w:b/>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F860DB5"/>
    <w:multiLevelType w:val="hybridMultilevel"/>
    <w:tmpl w:val="DF4E3E28"/>
    <w:lvl w:ilvl="0" w:tplc="9D74FD9E">
      <w:start w:val="1"/>
      <w:numFmt w:val="lowerLetter"/>
      <w:lvlText w:val="(%1)"/>
      <w:lvlJc w:val="left"/>
      <w:pPr>
        <w:ind w:left="1069" w:hanging="360"/>
      </w:pPr>
      <w:rPr>
        <w:rFonts w:hint="default"/>
      </w:rPr>
    </w:lvl>
    <w:lvl w:ilvl="1" w:tplc="979EF36E" w:tentative="1">
      <w:start w:val="1"/>
      <w:numFmt w:val="bullet"/>
      <w:lvlText w:val="o"/>
      <w:lvlJc w:val="left"/>
      <w:pPr>
        <w:ind w:left="1789" w:hanging="360"/>
      </w:pPr>
      <w:rPr>
        <w:rFonts w:ascii="Courier New" w:hAnsi="Courier New" w:cs="Courier New" w:hint="default"/>
      </w:rPr>
    </w:lvl>
    <w:lvl w:ilvl="2" w:tplc="534034DA" w:tentative="1">
      <w:start w:val="1"/>
      <w:numFmt w:val="bullet"/>
      <w:lvlText w:val=""/>
      <w:lvlJc w:val="left"/>
      <w:pPr>
        <w:ind w:left="2509" w:hanging="360"/>
      </w:pPr>
      <w:rPr>
        <w:rFonts w:ascii="Wingdings" w:hAnsi="Wingdings" w:hint="default"/>
      </w:rPr>
    </w:lvl>
    <w:lvl w:ilvl="3" w:tplc="DA2C8C28" w:tentative="1">
      <w:start w:val="1"/>
      <w:numFmt w:val="bullet"/>
      <w:lvlText w:val=""/>
      <w:lvlJc w:val="left"/>
      <w:pPr>
        <w:ind w:left="3229" w:hanging="360"/>
      </w:pPr>
      <w:rPr>
        <w:rFonts w:ascii="Symbol" w:hAnsi="Symbol" w:hint="default"/>
      </w:rPr>
    </w:lvl>
    <w:lvl w:ilvl="4" w:tplc="486E3906" w:tentative="1">
      <w:start w:val="1"/>
      <w:numFmt w:val="bullet"/>
      <w:lvlText w:val="o"/>
      <w:lvlJc w:val="left"/>
      <w:pPr>
        <w:ind w:left="3949" w:hanging="360"/>
      </w:pPr>
      <w:rPr>
        <w:rFonts w:ascii="Courier New" w:hAnsi="Courier New" w:cs="Courier New" w:hint="default"/>
      </w:rPr>
    </w:lvl>
    <w:lvl w:ilvl="5" w:tplc="2AE4C934" w:tentative="1">
      <w:start w:val="1"/>
      <w:numFmt w:val="bullet"/>
      <w:lvlText w:val=""/>
      <w:lvlJc w:val="left"/>
      <w:pPr>
        <w:ind w:left="4669" w:hanging="360"/>
      </w:pPr>
      <w:rPr>
        <w:rFonts w:ascii="Wingdings" w:hAnsi="Wingdings" w:hint="default"/>
      </w:rPr>
    </w:lvl>
    <w:lvl w:ilvl="6" w:tplc="594418E6" w:tentative="1">
      <w:start w:val="1"/>
      <w:numFmt w:val="bullet"/>
      <w:lvlText w:val=""/>
      <w:lvlJc w:val="left"/>
      <w:pPr>
        <w:ind w:left="5389" w:hanging="360"/>
      </w:pPr>
      <w:rPr>
        <w:rFonts w:ascii="Symbol" w:hAnsi="Symbol" w:hint="default"/>
      </w:rPr>
    </w:lvl>
    <w:lvl w:ilvl="7" w:tplc="83280DEA" w:tentative="1">
      <w:start w:val="1"/>
      <w:numFmt w:val="bullet"/>
      <w:lvlText w:val="o"/>
      <w:lvlJc w:val="left"/>
      <w:pPr>
        <w:ind w:left="6109" w:hanging="360"/>
      </w:pPr>
      <w:rPr>
        <w:rFonts w:ascii="Courier New" w:hAnsi="Courier New" w:cs="Courier New" w:hint="default"/>
      </w:rPr>
    </w:lvl>
    <w:lvl w:ilvl="8" w:tplc="3AAE8780" w:tentative="1">
      <w:start w:val="1"/>
      <w:numFmt w:val="bullet"/>
      <w:lvlText w:val=""/>
      <w:lvlJc w:val="left"/>
      <w:pPr>
        <w:ind w:left="6829" w:hanging="360"/>
      </w:pPr>
      <w:rPr>
        <w:rFonts w:ascii="Wingdings" w:hAnsi="Wingdings" w:hint="default"/>
      </w:rPr>
    </w:lvl>
  </w:abstractNum>
  <w:abstractNum w:abstractNumId="6">
    <w:nsid w:val="23756D8A"/>
    <w:multiLevelType w:val="hybridMultilevel"/>
    <w:tmpl w:val="2F148C64"/>
    <w:lvl w:ilvl="0" w:tplc="162E4FB4">
      <w:numFmt w:val="bullet"/>
      <w:lvlText w:val="-"/>
      <w:lvlJc w:val="left"/>
      <w:pPr>
        <w:ind w:left="1069" w:hanging="360"/>
      </w:pPr>
      <w:rPr>
        <w:rFonts w:ascii="Calibri" w:eastAsiaTheme="minorHAnsi" w:hAnsi="Calibri" w:cs="Calibri"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nsid w:val="2816188A"/>
    <w:multiLevelType w:val="hybridMultilevel"/>
    <w:tmpl w:val="26340516"/>
    <w:lvl w:ilvl="0" w:tplc="0C090017">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0B0CAC"/>
    <w:multiLevelType w:val="multilevel"/>
    <w:tmpl w:val="3508035C"/>
    <w:lvl w:ilvl="0">
      <w:start w:val="1"/>
      <w:numFmt w:val="lowerLetter"/>
      <w:lvlText w:val="(%1)"/>
      <w:lvlJc w:val="left"/>
      <w:pPr>
        <w:tabs>
          <w:tab w:val="num" w:pos="1040"/>
        </w:tabs>
        <w:ind w:left="1040" w:hanging="520"/>
      </w:pPr>
      <w:rPr>
        <w:rFonts w:hint="default"/>
        <w:b w:val="0"/>
      </w:rPr>
    </w:lvl>
    <w:lvl w:ilvl="1">
      <w:start w:val="1"/>
      <w:numFmt w:val="decimal"/>
      <w:lvlText w:val="%1.%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9">
    <w:nsid w:val="68D87FB4"/>
    <w:multiLevelType w:val="hybridMultilevel"/>
    <w:tmpl w:val="F7A415DE"/>
    <w:lvl w:ilvl="0" w:tplc="9D74FD9E">
      <w:start w:val="1"/>
      <w:numFmt w:val="lowerLetter"/>
      <w:lvlText w:val="(%1)"/>
      <w:lvlJc w:val="left"/>
      <w:pPr>
        <w:ind w:left="720" w:hanging="360"/>
      </w:pPr>
      <w:rPr>
        <w:rFonts w:hint="default"/>
      </w:rPr>
    </w:lvl>
    <w:lvl w:ilvl="1" w:tplc="DF0669F4">
      <w:start w:val="1"/>
      <w:numFmt w:val="bullet"/>
      <w:lvlText w:val="o"/>
      <w:lvlJc w:val="left"/>
      <w:pPr>
        <w:ind w:left="1440" w:hanging="360"/>
      </w:pPr>
      <w:rPr>
        <w:rFonts w:ascii="Courier New" w:hAnsi="Courier New" w:cs="Courier New" w:hint="default"/>
      </w:rPr>
    </w:lvl>
    <w:lvl w:ilvl="2" w:tplc="123272CE" w:tentative="1">
      <w:start w:val="1"/>
      <w:numFmt w:val="bullet"/>
      <w:lvlText w:val=""/>
      <w:lvlJc w:val="left"/>
      <w:pPr>
        <w:ind w:left="2160" w:hanging="360"/>
      </w:pPr>
      <w:rPr>
        <w:rFonts w:ascii="Wingdings" w:hAnsi="Wingdings" w:hint="default"/>
      </w:rPr>
    </w:lvl>
    <w:lvl w:ilvl="3" w:tplc="AB94EF6C" w:tentative="1">
      <w:start w:val="1"/>
      <w:numFmt w:val="bullet"/>
      <w:lvlText w:val=""/>
      <w:lvlJc w:val="left"/>
      <w:pPr>
        <w:ind w:left="2880" w:hanging="360"/>
      </w:pPr>
      <w:rPr>
        <w:rFonts w:ascii="Symbol" w:hAnsi="Symbol" w:hint="default"/>
      </w:rPr>
    </w:lvl>
    <w:lvl w:ilvl="4" w:tplc="8B76AA00" w:tentative="1">
      <w:start w:val="1"/>
      <w:numFmt w:val="bullet"/>
      <w:lvlText w:val="o"/>
      <w:lvlJc w:val="left"/>
      <w:pPr>
        <w:ind w:left="3600" w:hanging="360"/>
      </w:pPr>
      <w:rPr>
        <w:rFonts w:ascii="Courier New" w:hAnsi="Courier New" w:cs="Courier New" w:hint="default"/>
      </w:rPr>
    </w:lvl>
    <w:lvl w:ilvl="5" w:tplc="67268FB8" w:tentative="1">
      <w:start w:val="1"/>
      <w:numFmt w:val="bullet"/>
      <w:lvlText w:val=""/>
      <w:lvlJc w:val="left"/>
      <w:pPr>
        <w:ind w:left="4320" w:hanging="360"/>
      </w:pPr>
      <w:rPr>
        <w:rFonts w:ascii="Wingdings" w:hAnsi="Wingdings" w:hint="default"/>
      </w:rPr>
    </w:lvl>
    <w:lvl w:ilvl="6" w:tplc="0E36A60C" w:tentative="1">
      <w:start w:val="1"/>
      <w:numFmt w:val="bullet"/>
      <w:lvlText w:val=""/>
      <w:lvlJc w:val="left"/>
      <w:pPr>
        <w:ind w:left="5040" w:hanging="360"/>
      </w:pPr>
      <w:rPr>
        <w:rFonts w:ascii="Symbol" w:hAnsi="Symbol" w:hint="default"/>
      </w:rPr>
    </w:lvl>
    <w:lvl w:ilvl="7" w:tplc="B182364A" w:tentative="1">
      <w:start w:val="1"/>
      <w:numFmt w:val="bullet"/>
      <w:lvlText w:val="o"/>
      <w:lvlJc w:val="left"/>
      <w:pPr>
        <w:ind w:left="5760" w:hanging="360"/>
      </w:pPr>
      <w:rPr>
        <w:rFonts w:ascii="Courier New" w:hAnsi="Courier New" w:cs="Courier New" w:hint="default"/>
      </w:rPr>
    </w:lvl>
    <w:lvl w:ilvl="8" w:tplc="1E02AEAE" w:tentative="1">
      <w:start w:val="1"/>
      <w:numFmt w:val="bullet"/>
      <w:lvlText w:val=""/>
      <w:lvlJc w:val="left"/>
      <w:pPr>
        <w:ind w:left="6480" w:hanging="360"/>
      </w:pPr>
      <w:rPr>
        <w:rFonts w:ascii="Wingdings" w:hAnsi="Wingdings" w:hint="default"/>
      </w:rPr>
    </w:lvl>
  </w:abstractNum>
  <w:abstractNum w:abstractNumId="10">
    <w:nsid w:val="6CE4361A"/>
    <w:multiLevelType w:val="multilevel"/>
    <w:tmpl w:val="96ACD332"/>
    <w:lvl w:ilvl="0">
      <w:start w:val="1"/>
      <w:numFmt w:val="lowerLetter"/>
      <w:lvlText w:val="(%1)"/>
      <w:lvlJc w:val="left"/>
      <w:pPr>
        <w:tabs>
          <w:tab w:val="num" w:pos="1040"/>
        </w:tabs>
        <w:ind w:left="1040" w:hanging="520"/>
      </w:pPr>
      <w:rPr>
        <w:rFonts w:hint="default"/>
        <w:b w:val="0"/>
      </w:rPr>
    </w:lvl>
    <w:lvl w:ilvl="1">
      <w:start w:val="1"/>
      <w:numFmt w:val="decimal"/>
      <w:lvlText w:val="%1.%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1">
    <w:nsid w:val="6F0C7DE3"/>
    <w:multiLevelType w:val="hybridMultilevel"/>
    <w:tmpl w:val="A55651FC"/>
    <w:lvl w:ilvl="0" w:tplc="9D74FD9E">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2">
    <w:nsid w:val="72C83816"/>
    <w:multiLevelType w:val="multilevel"/>
    <w:tmpl w:val="2242BABC"/>
    <w:lvl w:ilvl="0">
      <w:start w:val="1"/>
      <w:numFmt w:val="lowerRoman"/>
      <w:pStyle w:val="Bullet"/>
      <w:lvlText w:val="(%1)"/>
      <w:lvlJc w:val="left"/>
      <w:pPr>
        <w:tabs>
          <w:tab w:val="num" w:pos="520"/>
        </w:tabs>
        <w:ind w:left="520" w:hanging="520"/>
      </w:pPr>
      <w:rPr>
        <w:rFonts w:asciiTheme="minorHAnsi" w:eastAsia="Times New Roman" w:hAnsiTheme="minorHAns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3">
    <w:nsid w:val="772C279D"/>
    <w:multiLevelType w:val="multilevel"/>
    <w:tmpl w:val="20A23974"/>
    <w:lvl w:ilvl="0">
      <w:start w:val="1"/>
      <w:numFmt w:val="lowerLetter"/>
      <w:lvlText w:val="(%1)"/>
      <w:lvlJc w:val="left"/>
      <w:pPr>
        <w:tabs>
          <w:tab w:val="num" w:pos="1229"/>
        </w:tabs>
        <w:ind w:left="1229" w:hanging="520"/>
      </w:pPr>
      <w:rPr>
        <w:rFonts w:hint="default"/>
        <w:b w:val="0"/>
      </w:rPr>
    </w:lvl>
    <w:lvl w:ilvl="1">
      <w:start w:val="1"/>
      <w:numFmt w:val="decimal"/>
      <w:lvlText w:val="%1.%2."/>
      <w:lvlJc w:val="left"/>
      <w:pPr>
        <w:tabs>
          <w:tab w:val="num" w:pos="1749"/>
        </w:tabs>
        <w:ind w:left="1749" w:hanging="520"/>
      </w:pPr>
    </w:lvl>
    <w:lvl w:ilvl="2">
      <w:start w:val="1"/>
      <w:numFmt w:val="decimal"/>
      <w:lvlText w:val="%1.%2.%3."/>
      <w:lvlJc w:val="left"/>
      <w:pPr>
        <w:tabs>
          <w:tab w:val="num" w:pos="2269"/>
        </w:tabs>
        <w:ind w:left="2269" w:hanging="52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num w:numId="1">
    <w:abstractNumId w:val="12"/>
  </w:num>
  <w:num w:numId="2">
    <w:abstractNumId w:val="1"/>
  </w:num>
  <w:num w:numId="3">
    <w:abstractNumId w:val="13"/>
  </w:num>
  <w:num w:numId="4">
    <w:abstractNumId w:val="9"/>
  </w:num>
  <w:num w:numId="5">
    <w:abstractNumId w:val="4"/>
  </w:num>
  <w:num w:numId="6">
    <w:abstractNumId w:val="8"/>
  </w:num>
  <w:num w:numId="7">
    <w:abstractNumId w:val="10"/>
  </w:num>
  <w:num w:numId="8">
    <w:abstractNumId w:val="0"/>
  </w:num>
  <w:num w:numId="9">
    <w:abstractNumId w:val="5"/>
  </w:num>
  <w:num w:numId="10">
    <w:abstractNumId w:val="7"/>
  </w:num>
  <w:num w:numId="11">
    <w:abstractNumId w:val="3"/>
  </w:num>
  <w:num w:numId="12">
    <w:abstractNumId w:val="6"/>
  </w:num>
  <w:num w:numId="13">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A57799"/>
    <w:rsid w:val="000014D0"/>
    <w:rsid w:val="0000234E"/>
    <w:rsid w:val="00003672"/>
    <w:rsid w:val="0000488D"/>
    <w:rsid w:val="00006338"/>
    <w:rsid w:val="0000721B"/>
    <w:rsid w:val="000105E4"/>
    <w:rsid w:val="00021E58"/>
    <w:rsid w:val="00023F52"/>
    <w:rsid w:val="00024271"/>
    <w:rsid w:val="0002468D"/>
    <w:rsid w:val="00025504"/>
    <w:rsid w:val="0002707F"/>
    <w:rsid w:val="00027C17"/>
    <w:rsid w:val="00031E92"/>
    <w:rsid w:val="00035945"/>
    <w:rsid w:val="00036AA6"/>
    <w:rsid w:val="0004205A"/>
    <w:rsid w:val="00044A85"/>
    <w:rsid w:val="00044BDC"/>
    <w:rsid w:val="00044CA9"/>
    <w:rsid w:val="00044E0B"/>
    <w:rsid w:val="00055A7F"/>
    <w:rsid w:val="00056D2E"/>
    <w:rsid w:val="00060265"/>
    <w:rsid w:val="00061EE6"/>
    <w:rsid w:val="00063273"/>
    <w:rsid w:val="00065AED"/>
    <w:rsid w:val="00071F75"/>
    <w:rsid w:val="000728F3"/>
    <w:rsid w:val="00075996"/>
    <w:rsid w:val="00085A4A"/>
    <w:rsid w:val="0009244C"/>
    <w:rsid w:val="00094442"/>
    <w:rsid w:val="00094886"/>
    <w:rsid w:val="000950CF"/>
    <w:rsid w:val="00097C1E"/>
    <w:rsid w:val="000B2A78"/>
    <w:rsid w:val="000B36FD"/>
    <w:rsid w:val="000C7F85"/>
    <w:rsid w:val="000D3FBC"/>
    <w:rsid w:val="000D63D6"/>
    <w:rsid w:val="000D6E58"/>
    <w:rsid w:val="000E0B2B"/>
    <w:rsid w:val="000E3EB0"/>
    <w:rsid w:val="000E43E8"/>
    <w:rsid w:val="000E5449"/>
    <w:rsid w:val="000E77A5"/>
    <w:rsid w:val="000F0619"/>
    <w:rsid w:val="00103F5A"/>
    <w:rsid w:val="001059BF"/>
    <w:rsid w:val="001069FC"/>
    <w:rsid w:val="00112AC4"/>
    <w:rsid w:val="00120250"/>
    <w:rsid w:val="00122125"/>
    <w:rsid w:val="00122950"/>
    <w:rsid w:val="00124A3F"/>
    <w:rsid w:val="00125AC2"/>
    <w:rsid w:val="00131376"/>
    <w:rsid w:val="00133419"/>
    <w:rsid w:val="0014326A"/>
    <w:rsid w:val="001445FD"/>
    <w:rsid w:val="0015599B"/>
    <w:rsid w:val="00155A10"/>
    <w:rsid w:val="00160071"/>
    <w:rsid w:val="00160ED0"/>
    <w:rsid w:val="0016236D"/>
    <w:rsid w:val="00170B4F"/>
    <w:rsid w:val="001716A2"/>
    <w:rsid w:val="00172829"/>
    <w:rsid w:val="00172A96"/>
    <w:rsid w:val="00177EEE"/>
    <w:rsid w:val="001810B6"/>
    <w:rsid w:val="0018264C"/>
    <w:rsid w:val="0018435C"/>
    <w:rsid w:val="00184A83"/>
    <w:rsid w:val="00197621"/>
    <w:rsid w:val="001A0067"/>
    <w:rsid w:val="001A0F53"/>
    <w:rsid w:val="001A3B3E"/>
    <w:rsid w:val="001A4123"/>
    <w:rsid w:val="001A5B83"/>
    <w:rsid w:val="001B7964"/>
    <w:rsid w:val="001C058C"/>
    <w:rsid w:val="001C311C"/>
    <w:rsid w:val="001C4D52"/>
    <w:rsid w:val="001C5A00"/>
    <w:rsid w:val="001C78F1"/>
    <w:rsid w:val="001D1076"/>
    <w:rsid w:val="001D2002"/>
    <w:rsid w:val="001D4EB0"/>
    <w:rsid w:val="001D65D9"/>
    <w:rsid w:val="001E0C60"/>
    <w:rsid w:val="001E3465"/>
    <w:rsid w:val="001F1E40"/>
    <w:rsid w:val="001F23EC"/>
    <w:rsid w:val="001F2D24"/>
    <w:rsid w:val="001F308C"/>
    <w:rsid w:val="002015D3"/>
    <w:rsid w:val="00201A0E"/>
    <w:rsid w:val="00203E36"/>
    <w:rsid w:val="00204DB6"/>
    <w:rsid w:val="00206876"/>
    <w:rsid w:val="00207E53"/>
    <w:rsid w:val="00210F32"/>
    <w:rsid w:val="00216C09"/>
    <w:rsid w:val="00217F14"/>
    <w:rsid w:val="00221382"/>
    <w:rsid w:val="00225A09"/>
    <w:rsid w:val="002357D8"/>
    <w:rsid w:val="00241904"/>
    <w:rsid w:val="002465DA"/>
    <w:rsid w:val="00253CD8"/>
    <w:rsid w:val="00256AB1"/>
    <w:rsid w:val="00266925"/>
    <w:rsid w:val="00266C89"/>
    <w:rsid w:val="00271C5B"/>
    <w:rsid w:val="00280F08"/>
    <w:rsid w:val="00281145"/>
    <w:rsid w:val="002818ED"/>
    <w:rsid w:val="00282786"/>
    <w:rsid w:val="0029340B"/>
    <w:rsid w:val="00295151"/>
    <w:rsid w:val="0029550F"/>
    <w:rsid w:val="0029578D"/>
    <w:rsid w:val="002A06DA"/>
    <w:rsid w:val="002A740A"/>
    <w:rsid w:val="002B3DAA"/>
    <w:rsid w:val="002B61D8"/>
    <w:rsid w:val="002C1AAC"/>
    <w:rsid w:val="002C441E"/>
    <w:rsid w:val="002D1F2D"/>
    <w:rsid w:val="002D2FC6"/>
    <w:rsid w:val="002D54F6"/>
    <w:rsid w:val="002D7487"/>
    <w:rsid w:val="002D7ECF"/>
    <w:rsid w:val="002E14E1"/>
    <w:rsid w:val="002E2E0C"/>
    <w:rsid w:val="002E68C3"/>
    <w:rsid w:val="002E7E74"/>
    <w:rsid w:val="002F2A33"/>
    <w:rsid w:val="00303C6C"/>
    <w:rsid w:val="00306A78"/>
    <w:rsid w:val="003073EC"/>
    <w:rsid w:val="00311DCC"/>
    <w:rsid w:val="00314AD7"/>
    <w:rsid w:val="0031752B"/>
    <w:rsid w:val="00323F39"/>
    <w:rsid w:val="00324B45"/>
    <w:rsid w:val="0033460F"/>
    <w:rsid w:val="00343933"/>
    <w:rsid w:val="003542B6"/>
    <w:rsid w:val="00355417"/>
    <w:rsid w:val="003570EA"/>
    <w:rsid w:val="00362C75"/>
    <w:rsid w:val="003675F6"/>
    <w:rsid w:val="0037553B"/>
    <w:rsid w:val="00386946"/>
    <w:rsid w:val="00391794"/>
    <w:rsid w:val="00393968"/>
    <w:rsid w:val="0039794C"/>
    <w:rsid w:val="003A2E55"/>
    <w:rsid w:val="003A3A79"/>
    <w:rsid w:val="003A413F"/>
    <w:rsid w:val="003A4BA4"/>
    <w:rsid w:val="003A598F"/>
    <w:rsid w:val="003A5A00"/>
    <w:rsid w:val="003B312C"/>
    <w:rsid w:val="003B5BFC"/>
    <w:rsid w:val="003B69A8"/>
    <w:rsid w:val="003B6CFC"/>
    <w:rsid w:val="003C0531"/>
    <w:rsid w:val="003C08D5"/>
    <w:rsid w:val="003C2A26"/>
    <w:rsid w:val="003C70AD"/>
    <w:rsid w:val="003D3909"/>
    <w:rsid w:val="003D57E1"/>
    <w:rsid w:val="003D67B4"/>
    <w:rsid w:val="003D7383"/>
    <w:rsid w:val="003E42B9"/>
    <w:rsid w:val="003E70ED"/>
    <w:rsid w:val="003F1B21"/>
    <w:rsid w:val="004142A8"/>
    <w:rsid w:val="0042310A"/>
    <w:rsid w:val="00424D1B"/>
    <w:rsid w:val="004259F7"/>
    <w:rsid w:val="00425BE7"/>
    <w:rsid w:val="004268D1"/>
    <w:rsid w:val="004304A9"/>
    <w:rsid w:val="0043336F"/>
    <w:rsid w:val="004339AA"/>
    <w:rsid w:val="004405C7"/>
    <w:rsid w:val="00440CCF"/>
    <w:rsid w:val="00447702"/>
    <w:rsid w:val="004514FD"/>
    <w:rsid w:val="00456913"/>
    <w:rsid w:val="00457B49"/>
    <w:rsid w:val="004717E5"/>
    <w:rsid w:val="00476611"/>
    <w:rsid w:val="00480D26"/>
    <w:rsid w:val="00481305"/>
    <w:rsid w:val="004821D4"/>
    <w:rsid w:val="00482247"/>
    <w:rsid w:val="00482833"/>
    <w:rsid w:val="00494157"/>
    <w:rsid w:val="0049653B"/>
    <w:rsid w:val="004972AA"/>
    <w:rsid w:val="004B47E0"/>
    <w:rsid w:val="004C1F4C"/>
    <w:rsid w:val="004C5682"/>
    <w:rsid w:val="004C7D4C"/>
    <w:rsid w:val="004D065C"/>
    <w:rsid w:val="004D2315"/>
    <w:rsid w:val="004D6DF4"/>
    <w:rsid w:val="004E11EF"/>
    <w:rsid w:val="004E26D7"/>
    <w:rsid w:val="004E3657"/>
    <w:rsid w:val="004E5DED"/>
    <w:rsid w:val="004F1247"/>
    <w:rsid w:val="004F6EF6"/>
    <w:rsid w:val="00502D85"/>
    <w:rsid w:val="00504508"/>
    <w:rsid w:val="00507A62"/>
    <w:rsid w:val="0051135E"/>
    <w:rsid w:val="00511AEA"/>
    <w:rsid w:val="00512215"/>
    <w:rsid w:val="00514B85"/>
    <w:rsid w:val="005168E1"/>
    <w:rsid w:val="00526226"/>
    <w:rsid w:val="005354D3"/>
    <w:rsid w:val="00540D33"/>
    <w:rsid w:val="00546DC7"/>
    <w:rsid w:val="00547E52"/>
    <w:rsid w:val="00560B6F"/>
    <w:rsid w:val="005616C9"/>
    <w:rsid w:val="005618D0"/>
    <w:rsid w:val="00561A76"/>
    <w:rsid w:val="00562C24"/>
    <w:rsid w:val="00581951"/>
    <w:rsid w:val="00586AB4"/>
    <w:rsid w:val="00590C05"/>
    <w:rsid w:val="00595034"/>
    <w:rsid w:val="00597991"/>
    <w:rsid w:val="005A3A25"/>
    <w:rsid w:val="005B319B"/>
    <w:rsid w:val="005B5425"/>
    <w:rsid w:val="005B5B61"/>
    <w:rsid w:val="005B6CC2"/>
    <w:rsid w:val="005C5ECD"/>
    <w:rsid w:val="005C663B"/>
    <w:rsid w:val="005D3483"/>
    <w:rsid w:val="005D38E6"/>
    <w:rsid w:val="005D5EA2"/>
    <w:rsid w:val="005D765A"/>
    <w:rsid w:val="005E125C"/>
    <w:rsid w:val="005E3853"/>
    <w:rsid w:val="005E3935"/>
    <w:rsid w:val="005F2B40"/>
    <w:rsid w:val="006024A0"/>
    <w:rsid w:val="00612D70"/>
    <w:rsid w:val="0061347E"/>
    <w:rsid w:val="00616AA5"/>
    <w:rsid w:val="006217BB"/>
    <w:rsid w:val="0062229D"/>
    <w:rsid w:val="006244D7"/>
    <w:rsid w:val="00627192"/>
    <w:rsid w:val="00630B89"/>
    <w:rsid w:val="0063305C"/>
    <w:rsid w:val="006336BF"/>
    <w:rsid w:val="006341EF"/>
    <w:rsid w:val="00634699"/>
    <w:rsid w:val="00637589"/>
    <w:rsid w:val="00644B67"/>
    <w:rsid w:val="00646CFD"/>
    <w:rsid w:val="006530E4"/>
    <w:rsid w:val="00656B1D"/>
    <w:rsid w:val="006575B0"/>
    <w:rsid w:val="00661158"/>
    <w:rsid w:val="00665772"/>
    <w:rsid w:val="00665FBD"/>
    <w:rsid w:val="006741B5"/>
    <w:rsid w:val="00674E96"/>
    <w:rsid w:val="0067650B"/>
    <w:rsid w:val="00682F85"/>
    <w:rsid w:val="0068417D"/>
    <w:rsid w:val="006841D4"/>
    <w:rsid w:val="0068565C"/>
    <w:rsid w:val="00685E7B"/>
    <w:rsid w:val="00690710"/>
    <w:rsid w:val="00690C2D"/>
    <w:rsid w:val="006916C5"/>
    <w:rsid w:val="00696196"/>
    <w:rsid w:val="0069714D"/>
    <w:rsid w:val="006A2698"/>
    <w:rsid w:val="006A2C0D"/>
    <w:rsid w:val="006A406D"/>
    <w:rsid w:val="006A4136"/>
    <w:rsid w:val="006A5306"/>
    <w:rsid w:val="006A72E2"/>
    <w:rsid w:val="006B15F4"/>
    <w:rsid w:val="006C6120"/>
    <w:rsid w:val="006C6258"/>
    <w:rsid w:val="006D30FC"/>
    <w:rsid w:val="006D3944"/>
    <w:rsid w:val="006D731C"/>
    <w:rsid w:val="006E2F23"/>
    <w:rsid w:val="006E6E7F"/>
    <w:rsid w:val="006F01DC"/>
    <w:rsid w:val="006F1F1B"/>
    <w:rsid w:val="006F25EC"/>
    <w:rsid w:val="006F791B"/>
    <w:rsid w:val="00705959"/>
    <w:rsid w:val="00707CF8"/>
    <w:rsid w:val="00710B12"/>
    <w:rsid w:val="0071181E"/>
    <w:rsid w:val="0071260D"/>
    <w:rsid w:val="00713FDB"/>
    <w:rsid w:val="0071443D"/>
    <w:rsid w:val="00714D7C"/>
    <w:rsid w:val="00717064"/>
    <w:rsid w:val="00723D2E"/>
    <w:rsid w:val="007260FB"/>
    <w:rsid w:val="00730E2B"/>
    <w:rsid w:val="00734E7D"/>
    <w:rsid w:val="00736493"/>
    <w:rsid w:val="00736CBF"/>
    <w:rsid w:val="007370B0"/>
    <w:rsid w:val="00737884"/>
    <w:rsid w:val="00741E0B"/>
    <w:rsid w:val="00744A70"/>
    <w:rsid w:val="007514AD"/>
    <w:rsid w:val="00762E4F"/>
    <w:rsid w:val="00764D4E"/>
    <w:rsid w:val="00766FBD"/>
    <w:rsid w:val="00771246"/>
    <w:rsid w:val="00772F60"/>
    <w:rsid w:val="00775223"/>
    <w:rsid w:val="007778F0"/>
    <w:rsid w:val="007817AC"/>
    <w:rsid w:val="00790C5E"/>
    <w:rsid w:val="00792138"/>
    <w:rsid w:val="00793AD1"/>
    <w:rsid w:val="007A008A"/>
    <w:rsid w:val="007A24F4"/>
    <w:rsid w:val="007B3047"/>
    <w:rsid w:val="007B4852"/>
    <w:rsid w:val="007B7AB9"/>
    <w:rsid w:val="007C2FA7"/>
    <w:rsid w:val="007C393E"/>
    <w:rsid w:val="007C5218"/>
    <w:rsid w:val="007C5FEC"/>
    <w:rsid w:val="007D56FD"/>
    <w:rsid w:val="007D61B5"/>
    <w:rsid w:val="007D6D8C"/>
    <w:rsid w:val="007D7429"/>
    <w:rsid w:val="007E1071"/>
    <w:rsid w:val="007E4DA9"/>
    <w:rsid w:val="007E5C5C"/>
    <w:rsid w:val="007E7DA3"/>
    <w:rsid w:val="007F1B0E"/>
    <w:rsid w:val="007F4760"/>
    <w:rsid w:val="007F531F"/>
    <w:rsid w:val="007F70B6"/>
    <w:rsid w:val="008004C2"/>
    <w:rsid w:val="00801DEB"/>
    <w:rsid w:val="0080347C"/>
    <w:rsid w:val="0080349E"/>
    <w:rsid w:val="0080546B"/>
    <w:rsid w:val="00810DD6"/>
    <w:rsid w:val="008114E3"/>
    <w:rsid w:val="00820A5F"/>
    <w:rsid w:val="00822099"/>
    <w:rsid w:val="0083080F"/>
    <w:rsid w:val="00831D8A"/>
    <w:rsid w:val="00837FFB"/>
    <w:rsid w:val="008545A4"/>
    <w:rsid w:val="0085543F"/>
    <w:rsid w:val="008620CB"/>
    <w:rsid w:val="00865AB7"/>
    <w:rsid w:val="00872CE8"/>
    <w:rsid w:val="00877359"/>
    <w:rsid w:val="00880FD3"/>
    <w:rsid w:val="008820E1"/>
    <w:rsid w:val="0088253C"/>
    <w:rsid w:val="00884682"/>
    <w:rsid w:val="00885BF0"/>
    <w:rsid w:val="00891FAC"/>
    <w:rsid w:val="008926EA"/>
    <w:rsid w:val="008931EB"/>
    <w:rsid w:val="00893E7B"/>
    <w:rsid w:val="008941A0"/>
    <w:rsid w:val="008946A3"/>
    <w:rsid w:val="008971D9"/>
    <w:rsid w:val="008A0C43"/>
    <w:rsid w:val="008A1A27"/>
    <w:rsid w:val="008B43A9"/>
    <w:rsid w:val="008B6241"/>
    <w:rsid w:val="008B784B"/>
    <w:rsid w:val="008C0BF0"/>
    <w:rsid w:val="008C1207"/>
    <w:rsid w:val="008C286C"/>
    <w:rsid w:val="008C57E5"/>
    <w:rsid w:val="008E157C"/>
    <w:rsid w:val="008E396F"/>
    <w:rsid w:val="008E5C5D"/>
    <w:rsid w:val="008F184D"/>
    <w:rsid w:val="008F2FEA"/>
    <w:rsid w:val="008F617E"/>
    <w:rsid w:val="00904056"/>
    <w:rsid w:val="009040F3"/>
    <w:rsid w:val="00904C1C"/>
    <w:rsid w:val="00905DF6"/>
    <w:rsid w:val="009076EE"/>
    <w:rsid w:val="00913239"/>
    <w:rsid w:val="0091405E"/>
    <w:rsid w:val="00920702"/>
    <w:rsid w:val="00921B31"/>
    <w:rsid w:val="00921EB5"/>
    <w:rsid w:val="00923DF9"/>
    <w:rsid w:val="00924FD5"/>
    <w:rsid w:val="00927A39"/>
    <w:rsid w:val="00927FEC"/>
    <w:rsid w:val="00931535"/>
    <w:rsid w:val="0093157B"/>
    <w:rsid w:val="00932A51"/>
    <w:rsid w:val="0093390A"/>
    <w:rsid w:val="00936695"/>
    <w:rsid w:val="009379A1"/>
    <w:rsid w:val="0094068A"/>
    <w:rsid w:val="0094070B"/>
    <w:rsid w:val="00941AF4"/>
    <w:rsid w:val="00942BA3"/>
    <w:rsid w:val="0094380B"/>
    <w:rsid w:val="00952B1C"/>
    <w:rsid w:val="009606E3"/>
    <w:rsid w:val="00965D5F"/>
    <w:rsid w:val="00965E70"/>
    <w:rsid w:val="0096616F"/>
    <w:rsid w:val="00967655"/>
    <w:rsid w:val="00967AE4"/>
    <w:rsid w:val="00975B44"/>
    <w:rsid w:val="00976191"/>
    <w:rsid w:val="00977347"/>
    <w:rsid w:val="009773D9"/>
    <w:rsid w:val="00982245"/>
    <w:rsid w:val="00983FF2"/>
    <w:rsid w:val="0098485A"/>
    <w:rsid w:val="00984A7F"/>
    <w:rsid w:val="00985A55"/>
    <w:rsid w:val="00995035"/>
    <w:rsid w:val="009A2D18"/>
    <w:rsid w:val="009A488E"/>
    <w:rsid w:val="009A513A"/>
    <w:rsid w:val="009A5244"/>
    <w:rsid w:val="009B719E"/>
    <w:rsid w:val="009C26DF"/>
    <w:rsid w:val="009C2D98"/>
    <w:rsid w:val="009C6472"/>
    <w:rsid w:val="009D052C"/>
    <w:rsid w:val="009D0F81"/>
    <w:rsid w:val="009D1D5E"/>
    <w:rsid w:val="009D356D"/>
    <w:rsid w:val="009E1859"/>
    <w:rsid w:val="009E1A11"/>
    <w:rsid w:val="009E2DEF"/>
    <w:rsid w:val="009E3AA5"/>
    <w:rsid w:val="009E5673"/>
    <w:rsid w:val="009E780C"/>
    <w:rsid w:val="00A0206A"/>
    <w:rsid w:val="00A0565A"/>
    <w:rsid w:val="00A12005"/>
    <w:rsid w:val="00A1521C"/>
    <w:rsid w:val="00A1745C"/>
    <w:rsid w:val="00A23AB9"/>
    <w:rsid w:val="00A25FF3"/>
    <w:rsid w:val="00A27C6A"/>
    <w:rsid w:val="00A32894"/>
    <w:rsid w:val="00A34E47"/>
    <w:rsid w:val="00A4408B"/>
    <w:rsid w:val="00A52C7A"/>
    <w:rsid w:val="00A57799"/>
    <w:rsid w:val="00A60507"/>
    <w:rsid w:val="00A643A7"/>
    <w:rsid w:val="00A66B32"/>
    <w:rsid w:val="00A77238"/>
    <w:rsid w:val="00A77287"/>
    <w:rsid w:val="00A822BE"/>
    <w:rsid w:val="00A84C06"/>
    <w:rsid w:val="00A85EFE"/>
    <w:rsid w:val="00A9033E"/>
    <w:rsid w:val="00A95719"/>
    <w:rsid w:val="00A958FD"/>
    <w:rsid w:val="00AA5131"/>
    <w:rsid w:val="00AB1A95"/>
    <w:rsid w:val="00AB1F90"/>
    <w:rsid w:val="00AB2060"/>
    <w:rsid w:val="00AB429F"/>
    <w:rsid w:val="00AB7217"/>
    <w:rsid w:val="00AC3336"/>
    <w:rsid w:val="00AC3A0C"/>
    <w:rsid w:val="00AC7509"/>
    <w:rsid w:val="00AD22CE"/>
    <w:rsid w:val="00AD317D"/>
    <w:rsid w:val="00AD53EC"/>
    <w:rsid w:val="00AE1DF8"/>
    <w:rsid w:val="00AE207B"/>
    <w:rsid w:val="00AF221A"/>
    <w:rsid w:val="00AF5A3F"/>
    <w:rsid w:val="00AF5CBA"/>
    <w:rsid w:val="00AF65BB"/>
    <w:rsid w:val="00B05817"/>
    <w:rsid w:val="00B06339"/>
    <w:rsid w:val="00B10C56"/>
    <w:rsid w:val="00B17878"/>
    <w:rsid w:val="00B20488"/>
    <w:rsid w:val="00B22A8A"/>
    <w:rsid w:val="00B23F8D"/>
    <w:rsid w:val="00B2592E"/>
    <w:rsid w:val="00B32350"/>
    <w:rsid w:val="00B33954"/>
    <w:rsid w:val="00B40240"/>
    <w:rsid w:val="00B4141C"/>
    <w:rsid w:val="00B55E68"/>
    <w:rsid w:val="00B62A74"/>
    <w:rsid w:val="00B63821"/>
    <w:rsid w:val="00B639B8"/>
    <w:rsid w:val="00B64376"/>
    <w:rsid w:val="00B80521"/>
    <w:rsid w:val="00B8330F"/>
    <w:rsid w:val="00B834F6"/>
    <w:rsid w:val="00B85D11"/>
    <w:rsid w:val="00B86259"/>
    <w:rsid w:val="00B87DAA"/>
    <w:rsid w:val="00B90D91"/>
    <w:rsid w:val="00B96A03"/>
    <w:rsid w:val="00B97D0C"/>
    <w:rsid w:val="00BA07C6"/>
    <w:rsid w:val="00BA3B26"/>
    <w:rsid w:val="00BA43A9"/>
    <w:rsid w:val="00BA44EA"/>
    <w:rsid w:val="00BA56D5"/>
    <w:rsid w:val="00BA6FE0"/>
    <w:rsid w:val="00BB23A7"/>
    <w:rsid w:val="00BB4FDF"/>
    <w:rsid w:val="00BC473F"/>
    <w:rsid w:val="00BC4AE6"/>
    <w:rsid w:val="00BD303F"/>
    <w:rsid w:val="00BD63AC"/>
    <w:rsid w:val="00BE12B8"/>
    <w:rsid w:val="00BE438B"/>
    <w:rsid w:val="00BE5CC0"/>
    <w:rsid w:val="00BE710E"/>
    <w:rsid w:val="00BF0C77"/>
    <w:rsid w:val="00BF0E15"/>
    <w:rsid w:val="00BF2AB3"/>
    <w:rsid w:val="00BF2D7C"/>
    <w:rsid w:val="00BF37CA"/>
    <w:rsid w:val="00BF5855"/>
    <w:rsid w:val="00BF69E8"/>
    <w:rsid w:val="00C0026A"/>
    <w:rsid w:val="00C01122"/>
    <w:rsid w:val="00C07FEF"/>
    <w:rsid w:val="00C11589"/>
    <w:rsid w:val="00C12FA6"/>
    <w:rsid w:val="00C202F8"/>
    <w:rsid w:val="00C223C3"/>
    <w:rsid w:val="00C24480"/>
    <w:rsid w:val="00C24B75"/>
    <w:rsid w:val="00C26AB2"/>
    <w:rsid w:val="00C2726B"/>
    <w:rsid w:val="00C309E6"/>
    <w:rsid w:val="00C3464F"/>
    <w:rsid w:val="00C36700"/>
    <w:rsid w:val="00C36981"/>
    <w:rsid w:val="00C36EC7"/>
    <w:rsid w:val="00C3728C"/>
    <w:rsid w:val="00C4626A"/>
    <w:rsid w:val="00C46D8B"/>
    <w:rsid w:val="00C47C57"/>
    <w:rsid w:val="00C534D2"/>
    <w:rsid w:val="00C53CEF"/>
    <w:rsid w:val="00C55C1C"/>
    <w:rsid w:val="00C65E42"/>
    <w:rsid w:val="00C66A92"/>
    <w:rsid w:val="00C7669A"/>
    <w:rsid w:val="00C81684"/>
    <w:rsid w:val="00C82441"/>
    <w:rsid w:val="00C8325E"/>
    <w:rsid w:val="00C8484A"/>
    <w:rsid w:val="00C908A4"/>
    <w:rsid w:val="00C94E2F"/>
    <w:rsid w:val="00C96DC9"/>
    <w:rsid w:val="00C97F00"/>
    <w:rsid w:val="00CA0AA4"/>
    <w:rsid w:val="00CB12C8"/>
    <w:rsid w:val="00CB1776"/>
    <w:rsid w:val="00CB46F7"/>
    <w:rsid w:val="00CC1A50"/>
    <w:rsid w:val="00CC2783"/>
    <w:rsid w:val="00CC371F"/>
    <w:rsid w:val="00CC68DD"/>
    <w:rsid w:val="00CC6DC7"/>
    <w:rsid w:val="00CD3DA8"/>
    <w:rsid w:val="00CD4AA6"/>
    <w:rsid w:val="00CD5A83"/>
    <w:rsid w:val="00CD6BE3"/>
    <w:rsid w:val="00CD7431"/>
    <w:rsid w:val="00CE2FA7"/>
    <w:rsid w:val="00CE52E1"/>
    <w:rsid w:val="00CE6DAD"/>
    <w:rsid w:val="00CF06BF"/>
    <w:rsid w:val="00CF3D42"/>
    <w:rsid w:val="00CF4023"/>
    <w:rsid w:val="00CF5B1F"/>
    <w:rsid w:val="00CF73BB"/>
    <w:rsid w:val="00D00807"/>
    <w:rsid w:val="00D04E27"/>
    <w:rsid w:val="00D076C9"/>
    <w:rsid w:val="00D07C61"/>
    <w:rsid w:val="00D128DD"/>
    <w:rsid w:val="00D31460"/>
    <w:rsid w:val="00D37131"/>
    <w:rsid w:val="00D43C5E"/>
    <w:rsid w:val="00D43E31"/>
    <w:rsid w:val="00D4658D"/>
    <w:rsid w:val="00D505FA"/>
    <w:rsid w:val="00D534CF"/>
    <w:rsid w:val="00D6008B"/>
    <w:rsid w:val="00D654EE"/>
    <w:rsid w:val="00D679AB"/>
    <w:rsid w:val="00D746D3"/>
    <w:rsid w:val="00D82FA8"/>
    <w:rsid w:val="00D84235"/>
    <w:rsid w:val="00D97A2D"/>
    <w:rsid w:val="00DA0F54"/>
    <w:rsid w:val="00DA2A3A"/>
    <w:rsid w:val="00DA7404"/>
    <w:rsid w:val="00DA7A80"/>
    <w:rsid w:val="00DB3207"/>
    <w:rsid w:val="00DB32DA"/>
    <w:rsid w:val="00DB5C38"/>
    <w:rsid w:val="00DB6141"/>
    <w:rsid w:val="00DB6737"/>
    <w:rsid w:val="00DC416A"/>
    <w:rsid w:val="00DD136C"/>
    <w:rsid w:val="00DE0A04"/>
    <w:rsid w:val="00DE45CD"/>
    <w:rsid w:val="00DF48C9"/>
    <w:rsid w:val="00DF57DD"/>
    <w:rsid w:val="00DF65D3"/>
    <w:rsid w:val="00E04186"/>
    <w:rsid w:val="00E06D7D"/>
    <w:rsid w:val="00E16833"/>
    <w:rsid w:val="00E20F64"/>
    <w:rsid w:val="00E24A9F"/>
    <w:rsid w:val="00E27EA4"/>
    <w:rsid w:val="00E30544"/>
    <w:rsid w:val="00E308CC"/>
    <w:rsid w:val="00E30B36"/>
    <w:rsid w:val="00E401E0"/>
    <w:rsid w:val="00E40BCF"/>
    <w:rsid w:val="00E417A6"/>
    <w:rsid w:val="00E43731"/>
    <w:rsid w:val="00E4450C"/>
    <w:rsid w:val="00E453FA"/>
    <w:rsid w:val="00E51609"/>
    <w:rsid w:val="00E51E45"/>
    <w:rsid w:val="00E534E5"/>
    <w:rsid w:val="00E53591"/>
    <w:rsid w:val="00E57FD7"/>
    <w:rsid w:val="00E6130F"/>
    <w:rsid w:val="00E639C9"/>
    <w:rsid w:val="00E65454"/>
    <w:rsid w:val="00E83F73"/>
    <w:rsid w:val="00E8693A"/>
    <w:rsid w:val="00E96FBF"/>
    <w:rsid w:val="00EA26B6"/>
    <w:rsid w:val="00EA51C3"/>
    <w:rsid w:val="00EA6144"/>
    <w:rsid w:val="00EA7B52"/>
    <w:rsid w:val="00EB7611"/>
    <w:rsid w:val="00EB7E7F"/>
    <w:rsid w:val="00EC240C"/>
    <w:rsid w:val="00EC4EC5"/>
    <w:rsid w:val="00EE0156"/>
    <w:rsid w:val="00EE083D"/>
    <w:rsid w:val="00EE344F"/>
    <w:rsid w:val="00EE5A8C"/>
    <w:rsid w:val="00EF0004"/>
    <w:rsid w:val="00EF0287"/>
    <w:rsid w:val="00EF0574"/>
    <w:rsid w:val="00EF256C"/>
    <w:rsid w:val="00EF5FAD"/>
    <w:rsid w:val="00F02229"/>
    <w:rsid w:val="00F05037"/>
    <w:rsid w:val="00F076AB"/>
    <w:rsid w:val="00F10B9B"/>
    <w:rsid w:val="00F12D9C"/>
    <w:rsid w:val="00F14E96"/>
    <w:rsid w:val="00F226E5"/>
    <w:rsid w:val="00F25D73"/>
    <w:rsid w:val="00F327BF"/>
    <w:rsid w:val="00F33811"/>
    <w:rsid w:val="00F3427F"/>
    <w:rsid w:val="00F42261"/>
    <w:rsid w:val="00F43E37"/>
    <w:rsid w:val="00F456AE"/>
    <w:rsid w:val="00F52EC0"/>
    <w:rsid w:val="00F6326F"/>
    <w:rsid w:val="00F64D7F"/>
    <w:rsid w:val="00F64F85"/>
    <w:rsid w:val="00F66A78"/>
    <w:rsid w:val="00F66C2C"/>
    <w:rsid w:val="00F710EB"/>
    <w:rsid w:val="00F731F1"/>
    <w:rsid w:val="00F737D7"/>
    <w:rsid w:val="00F81F9D"/>
    <w:rsid w:val="00F912A3"/>
    <w:rsid w:val="00F91E5D"/>
    <w:rsid w:val="00F91FB3"/>
    <w:rsid w:val="00F946E4"/>
    <w:rsid w:val="00F9576C"/>
    <w:rsid w:val="00FA00C9"/>
    <w:rsid w:val="00FA0BE6"/>
    <w:rsid w:val="00FA40A7"/>
    <w:rsid w:val="00FA4AF7"/>
    <w:rsid w:val="00FA54EF"/>
    <w:rsid w:val="00FA6B5F"/>
    <w:rsid w:val="00FB2E09"/>
    <w:rsid w:val="00FC1559"/>
    <w:rsid w:val="00FC328B"/>
    <w:rsid w:val="00FC599F"/>
    <w:rsid w:val="00FD2FB5"/>
    <w:rsid w:val="00FD4896"/>
    <w:rsid w:val="00FD5821"/>
    <w:rsid w:val="00FD66FF"/>
    <w:rsid w:val="00FE2776"/>
    <w:rsid w:val="00FE2E9E"/>
    <w:rsid w:val="00FE4F50"/>
    <w:rsid w:val="00FE6A12"/>
    <w:rsid w:val="00FF091A"/>
    <w:rsid w:val="00FF40F3"/>
    <w:rsid w:val="00FF4F32"/>
    <w:rsid w:val="00FF51CD"/>
    <w:rsid w:val="00FF566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99"/>
    <w:rPr>
      <w:rFonts w:ascii="Calibri" w:eastAsia="Calibri" w:hAnsi="Calibri" w:cs="Times New Roman"/>
    </w:rPr>
  </w:style>
  <w:style w:type="paragraph" w:styleId="Heading1">
    <w:name w:val="heading 1"/>
    <w:basedOn w:val="Normal"/>
    <w:link w:val="Heading1Char"/>
    <w:uiPriority w:val="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3A3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799"/>
    <w:rPr>
      <w:rFonts w:ascii="Times New Roman" w:eastAsia="Times New Roman" w:hAnsi="Times New Roman" w:cs="Times New Roman"/>
      <w:b/>
      <w:bCs/>
      <w:color w:val="336699"/>
      <w:kern w:val="36"/>
      <w:sz w:val="23"/>
      <w:szCs w:val="23"/>
      <w:lang w:eastAsia="en-AU"/>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ascii="Calibri" w:eastAsia="Times New Roman" w:hAnsi="Calibri" w:cs="Times New Roman"/>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uiPriority w:val="59"/>
    <w:rsid w:val="00A57799"/>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A3A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11589"/>
    <w:rPr>
      <w:rFonts w:cs="Times New Roman"/>
      <w:b/>
      <w:bCs/>
    </w:rPr>
  </w:style>
  <w:style w:type="paragraph" w:styleId="BalloonText">
    <w:name w:val="Balloon Text"/>
    <w:basedOn w:val="Normal"/>
    <w:link w:val="BalloonTextChar"/>
    <w:uiPriority w:val="99"/>
    <w:semiHidden/>
    <w:unhideWhenUsed/>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2B6"/>
    <w:rPr>
      <w:rFonts w:ascii="Tahoma" w:eastAsia="Calibri" w:hAnsi="Tahoma" w:cs="Tahoma"/>
      <w:sz w:val="16"/>
      <w:szCs w:val="16"/>
    </w:rPr>
  </w:style>
  <w:style w:type="character" w:styleId="Hyperlink">
    <w:name w:val="Hyperlink"/>
    <w:basedOn w:val="DefaultParagraphFont"/>
    <w:uiPriority w:val="99"/>
    <w:unhideWhenUsed/>
    <w:rsid w:val="00E453FA"/>
    <w:rPr>
      <w:color w:val="0000FF" w:themeColor="hyperlink"/>
      <w:u w:val="single"/>
    </w:rPr>
  </w:style>
  <w:style w:type="paragraph" w:styleId="ListParagraph">
    <w:name w:val="List Paragraph"/>
    <w:basedOn w:val="Normal"/>
    <w:uiPriority w:val="34"/>
    <w:qFormat/>
    <w:rsid w:val="003B5BFC"/>
    <w:pPr>
      <w:ind w:left="720"/>
    </w:pPr>
  </w:style>
  <w:style w:type="paragraph" w:customStyle="1" w:styleId="OutlineNumbered1">
    <w:name w:val="Outline Numbered 1"/>
    <w:basedOn w:val="Normal"/>
    <w:link w:val="OutlineNumbered1Char"/>
    <w:rsid w:val="003B5BFC"/>
    <w:pPr>
      <w:numPr>
        <w:numId w:val="2"/>
      </w:numPr>
    </w:pPr>
  </w:style>
  <w:style w:type="character" w:customStyle="1" w:styleId="OutlineNumbered1Char">
    <w:name w:val="Outline Numbered 1 Char"/>
    <w:basedOn w:val="BulletChar"/>
    <w:link w:val="OutlineNumbered1"/>
    <w:rsid w:val="003B5BFC"/>
    <w:rPr>
      <w:rFonts w:eastAsia="Calibri"/>
    </w:rPr>
  </w:style>
  <w:style w:type="paragraph" w:customStyle="1" w:styleId="OutlineNumbered2">
    <w:name w:val="Outline Numbered 2"/>
    <w:basedOn w:val="Normal"/>
    <w:rsid w:val="003B5BFC"/>
    <w:pPr>
      <w:numPr>
        <w:ilvl w:val="1"/>
        <w:numId w:val="2"/>
      </w:numPr>
    </w:pPr>
  </w:style>
  <w:style w:type="paragraph" w:customStyle="1" w:styleId="OutlineNumbered3">
    <w:name w:val="Outline Numbered 3"/>
    <w:basedOn w:val="Normal"/>
    <w:rsid w:val="003B5BFC"/>
    <w:pPr>
      <w:numPr>
        <w:ilvl w:val="2"/>
        <w:numId w:val="2"/>
      </w:numPr>
    </w:pPr>
  </w:style>
  <w:style w:type="character" w:customStyle="1" w:styleId="DashChar">
    <w:name w:val="Dash Char"/>
    <w:basedOn w:val="DefaultParagraphFont"/>
    <w:link w:val="Dash"/>
    <w:locked/>
    <w:rsid w:val="00F66A78"/>
    <w:rPr>
      <w:rFonts w:ascii="Calibri" w:eastAsia="Times New Roman" w:hAnsi="Calibri" w:cs="Times New Roman"/>
    </w:rPr>
  </w:style>
  <w:style w:type="paragraph" w:styleId="NormalWeb">
    <w:name w:val="Normal (Web)"/>
    <w:basedOn w:val="Normal"/>
    <w:uiPriority w:val="99"/>
    <w:unhideWhenUsed/>
    <w:rsid w:val="002C441E"/>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E43731"/>
    <w:rPr>
      <w:sz w:val="16"/>
      <w:szCs w:val="16"/>
    </w:rPr>
  </w:style>
  <w:style w:type="paragraph" w:styleId="CommentText">
    <w:name w:val="annotation text"/>
    <w:basedOn w:val="Normal"/>
    <w:link w:val="CommentTextChar"/>
    <w:uiPriority w:val="99"/>
    <w:semiHidden/>
    <w:unhideWhenUsed/>
    <w:rsid w:val="00E43731"/>
    <w:pPr>
      <w:spacing w:line="240" w:lineRule="auto"/>
    </w:pPr>
    <w:rPr>
      <w:sz w:val="20"/>
      <w:szCs w:val="20"/>
    </w:rPr>
  </w:style>
  <w:style w:type="character" w:customStyle="1" w:styleId="CommentTextChar">
    <w:name w:val="Comment Text Char"/>
    <w:basedOn w:val="DefaultParagraphFont"/>
    <w:link w:val="CommentText"/>
    <w:uiPriority w:val="99"/>
    <w:semiHidden/>
    <w:rsid w:val="00E437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3731"/>
    <w:rPr>
      <w:b/>
      <w:bCs/>
    </w:rPr>
  </w:style>
  <w:style w:type="character" w:customStyle="1" w:styleId="CommentSubjectChar">
    <w:name w:val="Comment Subject Char"/>
    <w:basedOn w:val="CommentTextChar"/>
    <w:link w:val="CommentSubject"/>
    <w:uiPriority w:val="99"/>
    <w:semiHidden/>
    <w:rsid w:val="00E43731"/>
    <w:rPr>
      <w:rFonts w:ascii="Calibri" w:eastAsia="Calibri" w:hAnsi="Calibri" w:cs="Times New Roman"/>
      <w:b/>
      <w:bCs/>
      <w:sz w:val="20"/>
      <w:szCs w:val="20"/>
    </w:rPr>
  </w:style>
  <w:style w:type="paragraph" w:customStyle="1" w:styleId="definition">
    <w:name w:val="definition"/>
    <w:basedOn w:val="Normal"/>
    <w:rsid w:val="000728F3"/>
    <w:pPr>
      <w:spacing w:before="80" w:after="0" w:line="260" w:lineRule="exact"/>
      <w:ind w:left="964"/>
      <w:jc w:val="both"/>
    </w:pPr>
    <w:rPr>
      <w:rFonts w:ascii="Times New Roman" w:eastAsia="Times New Roman" w:hAnsi="Times New Roman"/>
      <w:sz w:val="24"/>
      <w:szCs w:val="24"/>
      <w:lang w:eastAsia="en-AU"/>
    </w:rPr>
  </w:style>
  <w:style w:type="paragraph" w:customStyle="1" w:styleId="P1">
    <w:name w:val="P1"/>
    <w:aliases w:val="(a)"/>
    <w:basedOn w:val="Normal"/>
    <w:rsid w:val="00C36981"/>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styleId="Header">
    <w:name w:val="header"/>
    <w:basedOn w:val="Normal"/>
    <w:link w:val="HeaderChar"/>
    <w:uiPriority w:val="99"/>
    <w:unhideWhenUsed/>
    <w:rsid w:val="00036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AA6"/>
    <w:rPr>
      <w:rFonts w:ascii="Calibri" w:eastAsia="Calibri" w:hAnsi="Calibri" w:cs="Times New Roman"/>
    </w:rPr>
  </w:style>
  <w:style w:type="paragraph" w:styleId="Footer">
    <w:name w:val="footer"/>
    <w:basedOn w:val="Normal"/>
    <w:link w:val="FooterChar"/>
    <w:uiPriority w:val="99"/>
    <w:unhideWhenUsed/>
    <w:rsid w:val="00036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AA6"/>
    <w:rPr>
      <w:rFonts w:ascii="Calibri" w:eastAsia="Calibri" w:hAnsi="Calibri" w:cs="Times New Roman"/>
    </w:rPr>
  </w:style>
  <w:style w:type="paragraph" w:styleId="Revision">
    <w:name w:val="Revision"/>
    <w:hidden/>
    <w:uiPriority w:val="99"/>
    <w:semiHidden/>
    <w:rsid w:val="001C311C"/>
    <w:pPr>
      <w:spacing w:after="0" w:line="240" w:lineRule="auto"/>
    </w:pPr>
    <w:rPr>
      <w:rFonts w:ascii="Calibri" w:eastAsia="Calibri" w:hAnsi="Calibri" w:cs="Times New Roman"/>
    </w:rPr>
  </w:style>
  <w:style w:type="paragraph" w:customStyle="1" w:styleId="Default">
    <w:name w:val="Default"/>
    <w:rsid w:val="002B3DAA"/>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221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221382"/>
    <w:rPr>
      <w:rFonts w:ascii="Courier New" w:eastAsia="Times New Roman" w:hAnsi="Courier New" w:cs="Courier New"/>
      <w:sz w:val="20"/>
      <w:szCs w:val="20"/>
      <w:lang w:eastAsia="en-AU"/>
    </w:rPr>
  </w:style>
  <w:style w:type="paragraph" w:styleId="FootnoteText">
    <w:name w:val="footnote text"/>
    <w:basedOn w:val="Normal"/>
    <w:link w:val="FootnoteTextChar"/>
    <w:uiPriority w:val="99"/>
    <w:semiHidden/>
    <w:unhideWhenUsed/>
    <w:rsid w:val="00CD5A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A8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D5A83"/>
    <w:rPr>
      <w:vertAlign w:val="superscript"/>
    </w:rPr>
  </w:style>
  <w:style w:type="paragraph" w:customStyle="1" w:styleId="R2">
    <w:name w:val="R2"/>
    <w:aliases w:val="(2)"/>
    <w:basedOn w:val="Normal"/>
    <w:rsid w:val="00BA43A9"/>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242375926">
      <w:bodyDiv w:val="1"/>
      <w:marLeft w:val="0"/>
      <w:marRight w:val="0"/>
      <w:marTop w:val="0"/>
      <w:marBottom w:val="0"/>
      <w:divBdr>
        <w:top w:val="none" w:sz="0" w:space="0" w:color="auto"/>
        <w:left w:val="none" w:sz="0" w:space="0" w:color="auto"/>
        <w:bottom w:val="none" w:sz="0" w:space="0" w:color="auto"/>
        <w:right w:val="none" w:sz="0" w:space="0" w:color="auto"/>
      </w:divBdr>
    </w:div>
    <w:div w:id="476461989">
      <w:bodyDiv w:val="1"/>
      <w:marLeft w:val="0"/>
      <w:marRight w:val="0"/>
      <w:marTop w:val="0"/>
      <w:marBottom w:val="0"/>
      <w:divBdr>
        <w:top w:val="none" w:sz="0" w:space="0" w:color="auto"/>
        <w:left w:val="none" w:sz="0" w:space="0" w:color="auto"/>
        <w:bottom w:val="none" w:sz="0" w:space="0" w:color="auto"/>
        <w:right w:val="none" w:sz="0" w:space="0" w:color="auto"/>
      </w:divBdr>
    </w:div>
    <w:div w:id="838928580">
      <w:bodyDiv w:val="1"/>
      <w:marLeft w:val="0"/>
      <w:marRight w:val="0"/>
      <w:marTop w:val="0"/>
      <w:marBottom w:val="0"/>
      <w:divBdr>
        <w:top w:val="none" w:sz="0" w:space="0" w:color="auto"/>
        <w:left w:val="none" w:sz="0" w:space="0" w:color="auto"/>
        <w:bottom w:val="none" w:sz="0" w:space="0" w:color="auto"/>
        <w:right w:val="none" w:sz="0" w:space="0" w:color="auto"/>
      </w:divBdr>
      <w:divsChild>
        <w:div w:id="680278195">
          <w:marLeft w:val="0"/>
          <w:marRight w:val="0"/>
          <w:marTop w:val="0"/>
          <w:marBottom w:val="0"/>
          <w:divBdr>
            <w:top w:val="none" w:sz="0" w:space="0" w:color="auto"/>
            <w:left w:val="none" w:sz="0" w:space="0" w:color="auto"/>
            <w:bottom w:val="none" w:sz="0" w:space="0" w:color="auto"/>
            <w:right w:val="none" w:sz="0" w:space="0" w:color="auto"/>
          </w:divBdr>
          <w:divsChild>
            <w:div w:id="1016418624">
              <w:marLeft w:val="0"/>
              <w:marRight w:val="0"/>
              <w:marTop w:val="0"/>
              <w:marBottom w:val="0"/>
              <w:divBdr>
                <w:top w:val="none" w:sz="0" w:space="0" w:color="auto"/>
                <w:left w:val="none" w:sz="0" w:space="0" w:color="auto"/>
                <w:bottom w:val="none" w:sz="0" w:space="0" w:color="auto"/>
                <w:right w:val="none" w:sz="0" w:space="0" w:color="auto"/>
              </w:divBdr>
              <w:divsChild>
                <w:div w:id="11617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87894">
      <w:bodyDiv w:val="1"/>
      <w:marLeft w:val="0"/>
      <w:marRight w:val="0"/>
      <w:marTop w:val="0"/>
      <w:marBottom w:val="0"/>
      <w:divBdr>
        <w:top w:val="none" w:sz="0" w:space="0" w:color="auto"/>
        <w:left w:val="none" w:sz="0" w:space="0" w:color="auto"/>
        <w:bottom w:val="none" w:sz="0" w:space="0" w:color="auto"/>
        <w:right w:val="none" w:sz="0" w:space="0" w:color="auto"/>
      </w:divBdr>
    </w:div>
    <w:div w:id="997031890">
      <w:bodyDiv w:val="1"/>
      <w:marLeft w:val="0"/>
      <w:marRight w:val="0"/>
      <w:marTop w:val="0"/>
      <w:marBottom w:val="0"/>
      <w:divBdr>
        <w:top w:val="none" w:sz="0" w:space="0" w:color="auto"/>
        <w:left w:val="none" w:sz="0" w:space="0" w:color="auto"/>
        <w:bottom w:val="none" w:sz="0" w:space="0" w:color="auto"/>
        <w:right w:val="none" w:sz="0" w:space="0" w:color="auto"/>
      </w:divBdr>
      <w:divsChild>
        <w:div w:id="274681916">
          <w:marLeft w:val="0"/>
          <w:marRight w:val="0"/>
          <w:marTop w:val="0"/>
          <w:marBottom w:val="0"/>
          <w:divBdr>
            <w:top w:val="none" w:sz="0" w:space="0" w:color="auto"/>
            <w:left w:val="none" w:sz="0" w:space="0" w:color="auto"/>
            <w:bottom w:val="none" w:sz="0" w:space="0" w:color="auto"/>
            <w:right w:val="none" w:sz="0" w:space="0" w:color="auto"/>
          </w:divBdr>
          <w:divsChild>
            <w:div w:id="174348938">
              <w:marLeft w:val="0"/>
              <w:marRight w:val="0"/>
              <w:marTop w:val="0"/>
              <w:marBottom w:val="0"/>
              <w:divBdr>
                <w:top w:val="none" w:sz="0" w:space="0" w:color="auto"/>
                <w:left w:val="none" w:sz="0" w:space="0" w:color="auto"/>
                <w:bottom w:val="none" w:sz="0" w:space="0" w:color="auto"/>
                <w:right w:val="none" w:sz="0" w:space="0" w:color="auto"/>
              </w:divBdr>
              <w:divsChild>
                <w:div w:id="2123842084">
                  <w:marLeft w:val="0"/>
                  <w:marRight w:val="0"/>
                  <w:marTop w:val="0"/>
                  <w:marBottom w:val="0"/>
                  <w:divBdr>
                    <w:top w:val="none" w:sz="0" w:space="0" w:color="auto"/>
                    <w:left w:val="none" w:sz="0" w:space="0" w:color="auto"/>
                    <w:bottom w:val="none" w:sz="0" w:space="0" w:color="auto"/>
                    <w:right w:val="none" w:sz="0" w:space="0" w:color="auto"/>
                  </w:divBdr>
                  <w:divsChild>
                    <w:div w:id="206531935">
                      <w:marLeft w:val="0"/>
                      <w:marRight w:val="0"/>
                      <w:marTop w:val="0"/>
                      <w:marBottom w:val="0"/>
                      <w:divBdr>
                        <w:top w:val="none" w:sz="0" w:space="0" w:color="auto"/>
                        <w:left w:val="none" w:sz="0" w:space="0" w:color="auto"/>
                        <w:bottom w:val="none" w:sz="0" w:space="0" w:color="auto"/>
                        <w:right w:val="none" w:sz="0" w:space="0" w:color="auto"/>
                      </w:divBdr>
                      <w:divsChild>
                        <w:div w:id="1786004198">
                          <w:marLeft w:val="0"/>
                          <w:marRight w:val="0"/>
                          <w:marTop w:val="0"/>
                          <w:marBottom w:val="0"/>
                          <w:divBdr>
                            <w:top w:val="single" w:sz="4" w:space="0" w:color="828282"/>
                            <w:left w:val="single" w:sz="4" w:space="0" w:color="828282"/>
                            <w:bottom w:val="single" w:sz="4" w:space="0" w:color="828282"/>
                            <w:right w:val="single" w:sz="4" w:space="0" w:color="828282"/>
                          </w:divBdr>
                          <w:divsChild>
                            <w:div w:id="236524968">
                              <w:marLeft w:val="0"/>
                              <w:marRight w:val="0"/>
                              <w:marTop w:val="0"/>
                              <w:marBottom w:val="0"/>
                              <w:divBdr>
                                <w:top w:val="none" w:sz="0" w:space="0" w:color="auto"/>
                                <w:left w:val="none" w:sz="0" w:space="0" w:color="auto"/>
                                <w:bottom w:val="none" w:sz="0" w:space="0" w:color="auto"/>
                                <w:right w:val="none" w:sz="0" w:space="0" w:color="auto"/>
                              </w:divBdr>
                              <w:divsChild>
                                <w:div w:id="2030837149">
                                  <w:marLeft w:val="0"/>
                                  <w:marRight w:val="0"/>
                                  <w:marTop w:val="0"/>
                                  <w:marBottom w:val="0"/>
                                  <w:divBdr>
                                    <w:top w:val="none" w:sz="0" w:space="0" w:color="auto"/>
                                    <w:left w:val="none" w:sz="0" w:space="0" w:color="auto"/>
                                    <w:bottom w:val="none" w:sz="0" w:space="0" w:color="auto"/>
                                    <w:right w:val="none" w:sz="0" w:space="0" w:color="auto"/>
                                  </w:divBdr>
                                  <w:divsChild>
                                    <w:div w:id="153687658">
                                      <w:marLeft w:val="0"/>
                                      <w:marRight w:val="0"/>
                                      <w:marTop w:val="0"/>
                                      <w:marBottom w:val="0"/>
                                      <w:divBdr>
                                        <w:top w:val="none" w:sz="0" w:space="0" w:color="auto"/>
                                        <w:left w:val="none" w:sz="0" w:space="0" w:color="auto"/>
                                        <w:bottom w:val="none" w:sz="0" w:space="0" w:color="auto"/>
                                        <w:right w:val="none" w:sz="0" w:space="0" w:color="auto"/>
                                      </w:divBdr>
                                      <w:divsChild>
                                        <w:div w:id="272515083">
                                          <w:marLeft w:val="0"/>
                                          <w:marRight w:val="0"/>
                                          <w:marTop w:val="0"/>
                                          <w:marBottom w:val="0"/>
                                          <w:divBdr>
                                            <w:top w:val="none" w:sz="0" w:space="0" w:color="auto"/>
                                            <w:left w:val="none" w:sz="0" w:space="0" w:color="auto"/>
                                            <w:bottom w:val="none" w:sz="0" w:space="0" w:color="auto"/>
                                            <w:right w:val="none" w:sz="0" w:space="0" w:color="auto"/>
                                          </w:divBdr>
                                          <w:divsChild>
                                            <w:div w:id="221330470">
                                              <w:marLeft w:val="0"/>
                                              <w:marRight w:val="0"/>
                                              <w:marTop w:val="0"/>
                                              <w:marBottom w:val="0"/>
                                              <w:divBdr>
                                                <w:top w:val="none" w:sz="0" w:space="0" w:color="auto"/>
                                                <w:left w:val="none" w:sz="0" w:space="0" w:color="auto"/>
                                                <w:bottom w:val="none" w:sz="0" w:space="0" w:color="auto"/>
                                                <w:right w:val="none" w:sz="0" w:space="0" w:color="auto"/>
                                              </w:divBdr>
                                              <w:divsChild>
                                                <w:div w:id="621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matechange.gov.au/c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1827-6DA6-4C24-834B-E0A8942E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4528</Words>
  <Characters>25811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DCC2212</dc:creator>
  <cp:lastModifiedBy>DCC2202</cp:lastModifiedBy>
  <cp:revision>2</cp:revision>
  <cp:lastPrinted>2012-07-11T05:57:00Z</cp:lastPrinted>
  <dcterms:created xsi:type="dcterms:W3CDTF">2012-08-14T05:21:00Z</dcterms:created>
  <dcterms:modified xsi:type="dcterms:W3CDTF">2012-08-14T05:21:00Z</dcterms:modified>
</cp:coreProperties>
</file>