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E4" w:rsidRPr="00E53951" w:rsidRDefault="00C07FE4">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58"/>
        </w:tabs>
      </w:pPr>
      <w:r w:rsidRPr="00E53951">
        <w:t>EXPLANATORY STATEMENT</w:t>
      </w:r>
    </w:p>
    <w:p w:rsidR="00C07FE4" w:rsidRPr="00E53951" w:rsidRDefault="00C07FE4">
      <w:pPr>
        <w:spacing w:before="120"/>
        <w:jc w:val="center"/>
        <w:rPr>
          <w:sz w:val="22"/>
        </w:rPr>
      </w:pPr>
      <w:r w:rsidRPr="00E53951">
        <w:rPr>
          <w:sz w:val="22"/>
        </w:rPr>
        <w:t xml:space="preserve">Issued by the authority of the Minister for Finance and </w:t>
      </w:r>
      <w:r w:rsidR="00B04D05" w:rsidRPr="00E53951">
        <w:rPr>
          <w:sz w:val="22"/>
        </w:rPr>
        <w:t>Deregulation</w:t>
      </w:r>
    </w:p>
    <w:p w:rsidR="002A0BFE" w:rsidRPr="00E53951" w:rsidRDefault="00C07FE4" w:rsidP="002A0BFE">
      <w:pPr>
        <w:pStyle w:val="Heading8"/>
        <w:spacing w:before="120" w:after="120"/>
        <w:jc w:val="center"/>
        <w:rPr>
          <w:iCs/>
        </w:rPr>
      </w:pPr>
      <w:r w:rsidRPr="00E53951">
        <w:rPr>
          <w:b/>
          <w:iCs/>
          <w:sz w:val="22"/>
        </w:rPr>
        <w:t>Financial Management and Accountability Act 1997</w:t>
      </w:r>
      <w:r w:rsidR="002A0BFE" w:rsidRPr="00E53951">
        <w:rPr>
          <w:b/>
          <w:iCs/>
          <w:sz w:val="22"/>
        </w:rPr>
        <w:t xml:space="preserve"> </w:t>
      </w:r>
      <w:r w:rsidR="00532337" w:rsidRPr="00E53951">
        <w:rPr>
          <w:b/>
          <w:i w:val="0"/>
          <w:iCs/>
          <w:sz w:val="22"/>
        </w:rPr>
        <w:t>and</w:t>
      </w:r>
      <w:r w:rsidR="002A0BFE" w:rsidRPr="00E53951">
        <w:rPr>
          <w:b/>
          <w:iCs/>
          <w:sz w:val="22"/>
        </w:rPr>
        <w:t xml:space="preserve"> Commonwealth Authorities and Companies Act 1997</w:t>
      </w:r>
    </w:p>
    <w:p w:rsidR="00C07FE4" w:rsidRPr="00E53951" w:rsidRDefault="00C07FE4" w:rsidP="002A0BFE">
      <w:pPr>
        <w:pStyle w:val="BodyText2"/>
        <w:rPr>
          <w:i/>
          <w:iCs/>
          <w:lang w:val="en-AU"/>
        </w:rPr>
      </w:pPr>
      <w:r w:rsidRPr="00E53951">
        <w:rPr>
          <w:i/>
          <w:iCs/>
          <w:lang w:val="en-AU"/>
        </w:rPr>
        <w:t>Financ</w:t>
      </w:r>
      <w:r w:rsidR="002A0BFE" w:rsidRPr="00E53951">
        <w:rPr>
          <w:i/>
          <w:iCs/>
          <w:lang w:val="en-AU"/>
        </w:rPr>
        <w:t>e Minister’s</w:t>
      </w:r>
      <w:r w:rsidRPr="00E53951">
        <w:rPr>
          <w:i/>
          <w:iCs/>
          <w:lang w:val="en-AU"/>
        </w:rPr>
        <w:t xml:space="preserve"> </w:t>
      </w:r>
      <w:r w:rsidR="009E3AC5" w:rsidRPr="00E53951">
        <w:rPr>
          <w:i/>
          <w:iCs/>
          <w:lang w:val="en-AU"/>
        </w:rPr>
        <w:t xml:space="preserve">Amendment </w:t>
      </w:r>
      <w:r w:rsidRPr="00E53951">
        <w:rPr>
          <w:i/>
          <w:iCs/>
          <w:lang w:val="en-AU"/>
        </w:rPr>
        <w:t>Orders (Financial Statements for repor</w:t>
      </w:r>
      <w:r w:rsidR="004E2414" w:rsidRPr="00E53951">
        <w:rPr>
          <w:i/>
          <w:iCs/>
          <w:lang w:val="en-AU"/>
        </w:rPr>
        <w:t>ting periods ending on or after 1 </w:t>
      </w:r>
      <w:r w:rsidRPr="00E53951">
        <w:rPr>
          <w:i/>
          <w:iCs/>
          <w:lang w:val="en-AU"/>
        </w:rPr>
        <w:t xml:space="preserve">July </w:t>
      </w:r>
      <w:r w:rsidR="006B075B" w:rsidRPr="00E53951">
        <w:rPr>
          <w:i/>
          <w:iCs/>
          <w:lang w:val="en-AU"/>
        </w:rPr>
        <w:t>20</w:t>
      </w:r>
      <w:r w:rsidR="002A0BFE" w:rsidRPr="00E53951">
        <w:rPr>
          <w:i/>
          <w:iCs/>
          <w:lang w:val="en-AU"/>
        </w:rPr>
        <w:t>11</w:t>
      </w:r>
      <w:r w:rsidRPr="00E53951">
        <w:rPr>
          <w:i/>
          <w:iCs/>
          <w:lang w:val="en-AU"/>
        </w:rPr>
        <w:t>)</w:t>
      </w:r>
    </w:p>
    <w:p w:rsidR="00C07FE4" w:rsidRPr="00E53951" w:rsidRDefault="00C07FE4">
      <w:pPr>
        <w:pStyle w:val="BodyText"/>
      </w:pPr>
    </w:p>
    <w:p w:rsidR="00C07FE4" w:rsidRPr="00E53951" w:rsidRDefault="00C07FE4">
      <w:pPr>
        <w:pStyle w:val="Heading7"/>
        <w:spacing w:before="120"/>
        <w:ind w:hanging="851"/>
        <w:rPr>
          <w:lang w:val="en-AU"/>
        </w:rPr>
      </w:pPr>
    </w:p>
    <w:p w:rsidR="00C07FE4" w:rsidRPr="00E53951" w:rsidRDefault="00C07FE4">
      <w:pPr>
        <w:pStyle w:val="Heading7"/>
        <w:spacing w:before="120"/>
        <w:ind w:hanging="851"/>
        <w:rPr>
          <w:i w:val="0"/>
          <w:iCs/>
          <w:lang w:val="en-AU"/>
        </w:rPr>
      </w:pPr>
      <w:r w:rsidRPr="00E53951">
        <w:rPr>
          <w:lang w:val="en-AU"/>
        </w:rPr>
        <w:t xml:space="preserve">Financial Management and Accountability Act 1997 </w:t>
      </w:r>
      <w:r w:rsidRPr="00E53951">
        <w:rPr>
          <w:i w:val="0"/>
          <w:iCs/>
          <w:lang w:val="en-AU"/>
        </w:rPr>
        <w:t>(FMA Act)</w:t>
      </w:r>
    </w:p>
    <w:p w:rsidR="00C07FE4" w:rsidRPr="00E53951" w:rsidRDefault="00C07FE4">
      <w:pPr>
        <w:spacing w:before="120" w:after="120"/>
        <w:rPr>
          <w:sz w:val="22"/>
        </w:rPr>
      </w:pPr>
      <w:r w:rsidRPr="00E53951">
        <w:rPr>
          <w:sz w:val="22"/>
        </w:rPr>
        <w:t xml:space="preserve">Subsection 63(1) of the FMA Act provides that Orders may be made on any matter on which the </w:t>
      </w:r>
      <w:r w:rsidRPr="00E53951">
        <w:rPr>
          <w:i/>
          <w:sz w:val="22"/>
        </w:rPr>
        <w:t>FMA Act</w:t>
      </w:r>
      <w:r w:rsidRPr="00E53951">
        <w:rPr>
          <w:sz w:val="22"/>
        </w:rPr>
        <w:t xml:space="preserve"> requires or permits Orders to be made and on any matter on which regulations under the </w:t>
      </w:r>
      <w:r w:rsidRPr="00E53951">
        <w:rPr>
          <w:i/>
          <w:sz w:val="22"/>
        </w:rPr>
        <w:t>FMA Act</w:t>
      </w:r>
      <w:r w:rsidRPr="00E53951">
        <w:rPr>
          <w:sz w:val="22"/>
        </w:rPr>
        <w:t xml:space="preserve"> may be made. Section 49 of the </w:t>
      </w:r>
      <w:r w:rsidRPr="00E53951">
        <w:rPr>
          <w:i/>
          <w:sz w:val="22"/>
        </w:rPr>
        <w:t>FMA Act</w:t>
      </w:r>
      <w:r w:rsidRPr="00E53951">
        <w:rPr>
          <w:sz w:val="22"/>
        </w:rPr>
        <w:t xml:space="preserve"> provides that the Chief Executive of an Australian Government Agency must prepare financial statements in accordance with Finance Minister’s Orders.  These requirements are currently specified in Schedule 1 to the </w:t>
      </w:r>
      <w:r w:rsidR="00DD1D67" w:rsidRPr="00E53951">
        <w:rPr>
          <w:i/>
          <w:iCs/>
          <w:sz w:val="22"/>
        </w:rPr>
        <w:t xml:space="preserve">Finance Minister’s </w:t>
      </w:r>
      <w:r w:rsidRPr="00E53951">
        <w:rPr>
          <w:i/>
          <w:iCs/>
          <w:sz w:val="22"/>
        </w:rPr>
        <w:t>Orders (Financial Statements for reporting perio</w:t>
      </w:r>
      <w:r w:rsidR="00DD1D67" w:rsidRPr="00E53951">
        <w:rPr>
          <w:i/>
          <w:iCs/>
          <w:sz w:val="22"/>
        </w:rPr>
        <w:t>ds ending on or after 1 July 2011</w:t>
      </w:r>
      <w:r w:rsidRPr="00E53951">
        <w:rPr>
          <w:i/>
          <w:iCs/>
          <w:sz w:val="22"/>
        </w:rPr>
        <w:t>)</w:t>
      </w:r>
      <w:r w:rsidR="00932D06" w:rsidRPr="00E53951">
        <w:rPr>
          <w:i/>
          <w:iCs/>
          <w:sz w:val="22"/>
        </w:rPr>
        <w:t xml:space="preserve"> </w:t>
      </w:r>
      <w:r w:rsidR="00932D06" w:rsidRPr="00E53951">
        <w:rPr>
          <w:iCs/>
          <w:sz w:val="22"/>
        </w:rPr>
        <w:t>(FMOs)</w:t>
      </w:r>
      <w:r w:rsidRPr="00E53951">
        <w:rPr>
          <w:sz w:val="22"/>
        </w:rPr>
        <w:t>.</w:t>
      </w:r>
    </w:p>
    <w:p w:rsidR="003D3B28" w:rsidRPr="00E53951" w:rsidRDefault="003D3B28" w:rsidP="003D3B28">
      <w:pPr>
        <w:pStyle w:val="Heading7"/>
        <w:spacing w:before="120"/>
        <w:ind w:hanging="851"/>
        <w:rPr>
          <w:b w:val="0"/>
          <w:i w:val="0"/>
          <w:iCs/>
          <w:lang w:val="en-AU"/>
        </w:rPr>
      </w:pPr>
      <w:r w:rsidRPr="00E53951">
        <w:rPr>
          <w:lang w:val="en-AU"/>
        </w:rPr>
        <w:t xml:space="preserve">Commonwealth Authorities and Companies Act 1997 </w:t>
      </w:r>
      <w:r w:rsidRPr="00E53951">
        <w:rPr>
          <w:i w:val="0"/>
          <w:iCs/>
          <w:lang w:val="en-AU"/>
        </w:rPr>
        <w:t>(CAC Act)</w:t>
      </w:r>
    </w:p>
    <w:p w:rsidR="003D3B28" w:rsidRPr="00E53951" w:rsidRDefault="003D3B28" w:rsidP="003D3B28">
      <w:pPr>
        <w:spacing w:before="120" w:after="120"/>
        <w:rPr>
          <w:sz w:val="22"/>
        </w:rPr>
      </w:pPr>
      <w:r w:rsidRPr="00E53951">
        <w:rPr>
          <w:sz w:val="22"/>
        </w:rPr>
        <w:t xml:space="preserve">Subsection 48(1) of the </w:t>
      </w:r>
      <w:r w:rsidRPr="00E53951">
        <w:rPr>
          <w:i/>
          <w:sz w:val="22"/>
        </w:rPr>
        <w:t>CAC Act</w:t>
      </w:r>
      <w:r w:rsidRPr="00E53951">
        <w:rPr>
          <w:sz w:val="22"/>
        </w:rPr>
        <w:t xml:space="preserve"> provides that Orders may be made on any matter on which the </w:t>
      </w:r>
      <w:r w:rsidRPr="00E53951">
        <w:rPr>
          <w:i/>
          <w:sz w:val="22"/>
        </w:rPr>
        <w:t>CAC Act</w:t>
      </w:r>
      <w:r w:rsidRPr="00E53951">
        <w:rPr>
          <w:sz w:val="22"/>
        </w:rPr>
        <w:t xml:space="preserve"> requires or permits Orders to be made.  Section 9 of the </w:t>
      </w:r>
      <w:r w:rsidRPr="00E53951">
        <w:rPr>
          <w:i/>
          <w:sz w:val="22"/>
        </w:rPr>
        <w:t>CAC Act</w:t>
      </w:r>
      <w:r w:rsidRPr="00E53951">
        <w:rPr>
          <w:sz w:val="22"/>
        </w:rPr>
        <w:t xml:space="preserve"> requires the directors of a Commonwealth authority to prepare an annual report in accordance with Schedule 1 to the </w:t>
      </w:r>
      <w:r w:rsidRPr="00E53951">
        <w:rPr>
          <w:i/>
          <w:sz w:val="22"/>
        </w:rPr>
        <w:t>CAC Act</w:t>
      </w:r>
      <w:r w:rsidRPr="00E53951">
        <w:rPr>
          <w:sz w:val="22"/>
        </w:rPr>
        <w:t xml:space="preserve">.  Part 1 of Schedule 1 to the </w:t>
      </w:r>
      <w:r w:rsidRPr="00E53951">
        <w:rPr>
          <w:i/>
          <w:sz w:val="22"/>
        </w:rPr>
        <w:t>CAC Act</w:t>
      </w:r>
      <w:r w:rsidRPr="00E53951">
        <w:rPr>
          <w:sz w:val="22"/>
        </w:rPr>
        <w:t xml:space="preserve"> provides that the annual report must include financial statements prepared by the directors in accordance with the Finance Minister’s Orders. These requirements are currently specified in Schedule 1 to the </w:t>
      </w:r>
      <w:r w:rsidRPr="00E53951">
        <w:rPr>
          <w:i/>
          <w:iCs/>
          <w:sz w:val="22"/>
        </w:rPr>
        <w:t>Finance Minister’s Orders (Financial Statements for reporting periods ending on or after 1</w:t>
      </w:r>
      <w:r w:rsidR="004E2414" w:rsidRPr="00E53951">
        <w:rPr>
          <w:i/>
          <w:iCs/>
          <w:sz w:val="22"/>
        </w:rPr>
        <w:t> </w:t>
      </w:r>
      <w:r w:rsidRPr="00E53951">
        <w:rPr>
          <w:i/>
          <w:iCs/>
          <w:sz w:val="22"/>
        </w:rPr>
        <w:t>July 2011)</w:t>
      </w:r>
      <w:r w:rsidRPr="00E53951">
        <w:rPr>
          <w:sz w:val="22"/>
        </w:rPr>
        <w:t>.</w:t>
      </w:r>
    </w:p>
    <w:p w:rsidR="003D3B28" w:rsidRPr="00E53951" w:rsidRDefault="00792E4C">
      <w:pPr>
        <w:spacing w:before="120" w:after="120"/>
        <w:rPr>
          <w:b/>
          <w:sz w:val="22"/>
        </w:rPr>
      </w:pPr>
      <w:r w:rsidRPr="00E53951">
        <w:rPr>
          <w:b/>
          <w:i/>
          <w:sz w:val="22"/>
          <w:szCs w:val="20"/>
        </w:rPr>
        <w:t>Other legislative provisions</w:t>
      </w:r>
    </w:p>
    <w:p w:rsidR="00792E4C" w:rsidRPr="00E53951" w:rsidRDefault="00792E4C" w:rsidP="00792E4C">
      <w:pPr>
        <w:spacing w:before="120" w:after="60"/>
        <w:ind w:right="-2"/>
        <w:rPr>
          <w:sz w:val="22"/>
        </w:rPr>
      </w:pPr>
      <w:r w:rsidRPr="00E53951">
        <w:rPr>
          <w:sz w:val="22"/>
        </w:rPr>
        <w:t>The Finance Minister’s Orders are also made under the relevant provisions as set out below:</w:t>
      </w:r>
    </w:p>
    <w:p w:rsidR="00792E4C" w:rsidRPr="00E53951" w:rsidRDefault="00792E4C" w:rsidP="00792E4C">
      <w:pPr>
        <w:numPr>
          <w:ilvl w:val="2"/>
          <w:numId w:val="38"/>
        </w:numPr>
        <w:tabs>
          <w:tab w:val="clear" w:pos="1361"/>
          <w:tab w:val="num" w:pos="709"/>
        </w:tabs>
        <w:spacing w:before="60" w:after="60"/>
        <w:ind w:left="709" w:right="-2" w:hanging="425"/>
        <w:rPr>
          <w:sz w:val="22"/>
        </w:rPr>
      </w:pPr>
      <w:r w:rsidRPr="00E53951">
        <w:rPr>
          <w:sz w:val="22"/>
        </w:rPr>
        <w:t xml:space="preserve">subsection 47(1) of the </w:t>
      </w:r>
      <w:r w:rsidRPr="00E53951">
        <w:rPr>
          <w:i/>
          <w:sz w:val="22"/>
        </w:rPr>
        <w:t>High Court of Australia Act 1979</w:t>
      </w:r>
      <w:r w:rsidRPr="00E53951">
        <w:rPr>
          <w:sz w:val="22"/>
        </w:rPr>
        <w:t xml:space="preserve"> in relation to how financial statements must be prepared by the High Court of Australia; </w:t>
      </w:r>
    </w:p>
    <w:p w:rsidR="00792E4C" w:rsidRPr="00E53951" w:rsidRDefault="00792E4C" w:rsidP="00792E4C">
      <w:pPr>
        <w:numPr>
          <w:ilvl w:val="2"/>
          <w:numId w:val="38"/>
        </w:numPr>
        <w:tabs>
          <w:tab w:val="clear" w:pos="1361"/>
          <w:tab w:val="num" w:pos="709"/>
        </w:tabs>
        <w:spacing w:before="60" w:after="60"/>
        <w:ind w:left="709" w:right="-2" w:hanging="425"/>
        <w:rPr>
          <w:sz w:val="22"/>
        </w:rPr>
      </w:pPr>
      <w:r w:rsidRPr="00E53951">
        <w:rPr>
          <w:sz w:val="22"/>
        </w:rPr>
        <w:t xml:space="preserve">subsection 193H(1) of the </w:t>
      </w:r>
      <w:bookmarkStart w:id="0" w:name="OLE_LINK1"/>
      <w:bookmarkStart w:id="1" w:name="OLE_LINK2"/>
      <w:r w:rsidRPr="00E53951">
        <w:rPr>
          <w:i/>
          <w:sz w:val="22"/>
        </w:rPr>
        <w:t>Aboriginal and Torres Strait Islander Act 2005</w:t>
      </w:r>
      <w:bookmarkEnd w:id="0"/>
      <w:bookmarkEnd w:id="1"/>
      <w:r w:rsidRPr="00E53951">
        <w:rPr>
          <w:sz w:val="22"/>
        </w:rPr>
        <w:t xml:space="preserve"> in relation to how the accounts and financial statements must be prepared for the Land Account;</w:t>
      </w:r>
    </w:p>
    <w:p w:rsidR="00792E4C" w:rsidRPr="00E53951" w:rsidRDefault="00792E4C" w:rsidP="00792E4C">
      <w:pPr>
        <w:numPr>
          <w:ilvl w:val="2"/>
          <w:numId w:val="38"/>
        </w:numPr>
        <w:tabs>
          <w:tab w:val="clear" w:pos="1361"/>
          <w:tab w:val="num" w:pos="709"/>
        </w:tabs>
        <w:spacing w:before="60" w:after="60"/>
        <w:ind w:left="709" w:right="142" w:hanging="425"/>
        <w:rPr>
          <w:sz w:val="22"/>
        </w:rPr>
      </w:pPr>
      <w:r w:rsidRPr="00E53951">
        <w:rPr>
          <w:sz w:val="22"/>
        </w:rPr>
        <w:t xml:space="preserve">subsection 50B(4) of the </w:t>
      </w:r>
      <w:r w:rsidRPr="00E53951">
        <w:rPr>
          <w:i/>
          <w:sz w:val="22"/>
        </w:rPr>
        <w:t>Defence Service Homes Act 1918</w:t>
      </w:r>
      <w:r w:rsidRPr="00E53951">
        <w:rPr>
          <w:sz w:val="22"/>
        </w:rPr>
        <w:t xml:space="preserve"> in relation to how financial statements must be prepared by the Defence Service Homes Corporation; and </w:t>
      </w:r>
    </w:p>
    <w:p w:rsidR="00792E4C" w:rsidRPr="00E53951" w:rsidRDefault="00792E4C" w:rsidP="00792E4C">
      <w:pPr>
        <w:numPr>
          <w:ilvl w:val="2"/>
          <w:numId w:val="38"/>
        </w:numPr>
        <w:tabs>
          <w:tab w:val="clear" w:pos="1361"/>
          <w:tab w:val="num" w:pos="709"/>
        </w:tabs>
        <w:spacing w:before="60" w:after="60"/>
        <w:ind w:left="709" w:right="-2" w:hanging="425"/>
        <w:rPr>
          <w:sz w:val="22"/>
        </w:rPr>
      </w:pPr>
      <w:r w:rsidRPr="00E53951">
        <w:rPr>
          <w:sz w:val="22"/>
        </w:rPr>
        <w:t xml:space="preserve">subsection 43(3) of the </w:t>
      </w:r>
      <w:r w:rsidRPr="00E53951">
        <w:rPr>
          <w:i/>
          <w:sz w:val="22"/>
        </w:rPr>
        <w:t>Natural Heritage Trust of Australia Act 1997</w:t>
      </w:r>
      <w:r w:rsidRPr="00E53951">
        <w:rPr>
          <w:sz w:val="22"/>
        </w:rPr>
        <w:t xml:space="preserve"> in relation to how financial statements must be prepared for the Natural Heritage Trust of Australia Account.</w:t>
      </w:r>
    </w:p>
    <w:p w:rsidR="00EC1E9C" w:rsidRPr="00E53951" w:rsidRDefault="00DD1D67" w:rsidP="00527733">
      <w:pPr>
        <w:pStyle w:val="BodyText3"/>
      </w:pPr>
      <w:r w:rsidRPr="00E53951">
        <w:t xml:space="preserve">The Finance Minister’s Orders </w:t>
      </w:r>
      <w:r w:rsidR="00C07FE4" w:rsidRPr="00E53951">
        <w:t>set out the financial statement reporting requirements fo</w:t>
      </w:r>
      <w:r w:rsidRPr="00E53951">
        <w:t xml:space="preserve">r Australian Government </w:t>
      </w:r>
      <w:r w:rsidR="004D50FB" w:rsidRPr="00E53951">
        <w:t>e</w:t>
      </w:r>
      <w:r w:rsidRPr="00E53951">
        <w:t>ntities</w:t>
      </w:r>
      <w:r w:rsidR="00C07FE4" w:rsidRPr="00E53951">
        <w:t xml:space="preserve"> for reporting periods ending on or after 1 July </w:t>
      </w:r>
      <w:r w:rsidRPr="00E53951">
        <w:t>2011</w:t>
      </w:r>
      <w:r w:rsidR="00C07FE4" w:rsidRPr="00E53951">
        <w:t xml:space="preserve">. </w:t>
      </w:r>
      <w:r w:rsidR="00C5393C" w:rsidRPr="00E53951">
        <w:t xml:space="preserve"> </w:t>
      </w:r>
    </w:p>
    <w:p w:rsidR="00C07FE4" w:rsidRPr="00E53951" w:rsidRDefault="00C07FE4" w:rsidP="00527733">
      <w:pPr>
        <w:pStyle w:val="BodyText3"/>
      </w:pPr>
      <w:r w:rsidRPr="00E53951">
        <w:t>Specifics in relation to the Orders are as follows:</w:t>
      </w:r>
    </w:p>
    <w:p w:rsidR="00C07FE4" w:rsidRPr="00E53951" w:rsidRDefault="00C07FE4">
      <w:pPr>
        <w:pStyle w:val="Year"/>
        <w:keepNext w:val="0"/>
        <w:keepLines w:val="0"/>
        <w:pBdr>
          <w:bottom w:val="none" w:sz="0" w:space="0" w:color="auto"/>
        </w:pBdr>
        <w:tabs>
          <w:tab w:val="clear" w:pos="454"/>
          <w:tab w:val="clear" w:pos="907"/>
          <w:tab w:val="clear" w:pos="1361"/>
          <w:tab w:val="clear" w:pos="1814"/>
          <w:tab w:val="clear" w:pos="2268"/>
          <w:tab w:val="clear" w:pos="7938"/>
        </w:tabs>
        <w:spacing w:before="120" w:after="120"/>
        <w:rPr>
          <w:iCs w:val="0"/>
          <w:szCs w:val="24"/>
          <w:lang w:val="en-AU"/>
        </w:rPr>
      </w:pPr>
      <w:r w:rsidRPr="00E53951">
        <w:rPr>
          <w:iCs w:val="0"/>
          <w:szCs w:val="24"/>
          <w:lang w:val="en-AU"/>
        </w:rPr>
        <w:t>Financ</w:t>
      </w:r>
      <w:r w:rsidR="002A0BFE" w:rsidRPr="00E53951">
        <w:rPr>
          <w:iCs w:val="0"/>
          <w:szCs w:val="24"/>
          <w:lang w:val="en-AU"/>
        </w:rPr>
        <w:t xml:space="preserve">e Minister’s Orders </w:t>
      </w:r>
      <w:r w:rsidRPr="00E53951">
        <w:rPr>
          <w:iCs w:val="0"/>
          <w:szCs w:val="24"/>
          <w:lang w:val="en-AU"/>
        </w:rPr>
        <w:t>(Financial Statements for reporti</w:t>
      </w:r>
      <w:r w:rsidR="004E2414" w:rsidRPr="00E53951">
        <w:rPr>
          <w:iCs w:val="0"/>
          <w:szCs w:val="24"/>
          <w:lang w:val="en-AU"/>
        </w:rPr>
        <w:t>ng periods ending on or after 1 </w:t>
      </w:r>
      <w:r w:rsidRPr="00E53951">
        <w:rPr>
          <w:iCs w:val="0"/>
          <w:szCs w:val="24"/>
          <w:lang w:val="en-AU"/>
        </w:rPr>
        <w:t xml:space="preserve">July </w:t>
      </w:r>
      <w:r w:rsidR="002A0BFE" w:rsidRPr="00E53951">
        <w:rPr>
          <w:iCs w:val="0"/>
          <w:szCs w:val="24"/>
          <w:lang w:val="en-AU"/>
        </w:rPr>
        <w:t>2011</w:t>
      </w:r>
      <w:r w:rsidRPr="00E53951">
        <w:rPr>
          <w:iCs w:val="0"/>
          <w:szCs w:val="24"/>
          <w:lang w:val="en-AU"/>
        </w:rPr>
        <w:t>)</w:t>
      </w:r>
    </w:p>
    <w:p w:rsidR="00C07FE4" w:rsidRPr="00E53951" w:rsidRDefault="00C07FE4">
      <w:pPr>
        <w:spacing w:before="100" w:beforeAutospacing="1" w:after="100" w:afterAutospacing="1"/>
        <w:ind w:left="720"/>
        <w:rPr>
          <w:sz w:val="22"/>
        </w:rPr>
      </w:pPr>
      <w:r w:rsidRPr="00E53951">
        <w:rPr>
          <w:sz w:val="22"/>
        </w:rPr>
        <w:t>Clause 1 of the Orders deals with naming of the Orders.</w:t>
      </w:r>
    </w:p>
    <w:p w:rsidR="00C07FE4" w:rsidRPr="00E53951" w:rsidRDefault="00C07FE4">
      <w:pPr>
        <w:spacing w:before="100" w:beforeAutospacing="1" w:after="100" w:afterAutospacing="1"/>
        <w:ind w:left="720"/>
        <w:rPr>
          <w:sz w:val="22"/>
        </w:rPr>
      </w:pPr>
      <w:r w:rsidRPr="00E53951">
        <w:rPr>
          <w:sz w:val="22"/>
        </w:rPr>
        <w:t>Clause 2 of the Orders deals with commencement of the Orders.</w:t>
      </w:r>
    </w:p>
    <w:p w:rsidR="00C07FE4" w:rsidRPr="00E53951" w:rsidRDefault="00C07FE4">
      <w:pPr>
        <w:pStyle w:val="ParaNumbering"/>
        <w:tabs>
          <w:tab w:val="clear" w:pos="567"/>
        </w:tabs>
        <w:spacing w:before="100" w:beforeAutospacing="1" w:after="100" w:afterAutospacing="1"/>
        <w:ind w:left="720"/>
        <w:rPr>
          <w:sz w:val="22"/>
        </w:rPr>
      </w:pPr>
      <w:r w:rsidRPr="00E53951">
        <w:rPr>
          <w:sz w:val="22"/>
        </w:rPr>
        <w:lastRenderedPageBreak/>
        <w:t xml:space="preserve">Clause 3 inserts Schedule 1, which </w:t>
      </w:r>
      <w:r w:rsidR="00B6108D" w:rsidRPr="00E53951">
        <w:rPr>
          <w:sz w:val="22"/>
        </w:rPr>
        <w:t>amends the</w:t>
      </w:r>
      <w:r w:rsidRPr="00E53951">
        <w:rPr>
          <w:sz w:val="22"/>
        </w:rPr>
        <w:t xml:space="preserve"> requirements for the preparation of annual financial statements for reporting periods ending on or after 1 July </w:t>
      </w:r>
      <w:r w:rsidR="00552752" w:rsidRPr="00E53951">
        <w:rPr>
          <w:sz w:val="22"/>
        </w:rPr>
        <w:t>20</w:t>
      </w:r>
      <w:r w:rsidR="002A0BFE" w:rsidRPr="00E53951">
        <w:rPr>
          <w:sz w:val="22"/>
        </w:rPr>
        <w:t>11</w:t>
      </w:r>
      <w:r w:rsidR="00B163FC" w:rsidRPr="00E53951">
        <w:rPr>
          <w:sz w:val="22"/>
        </w:rPr>
        <w:t>, and specifies the legislation to which it applies</w:t>
      </w:r>
      <w:r w:rsidRPr="00E53951">
        <w:rPr>
          <w:sz w:val="22"/>
        </w:rPr>
        <w:t>.</w:t>
      </w:r>
    </w:p>
    <w:p w:rsidR="002D46B0" w:rsidRPr="00E53951" w:rsidRDefault="002D46B0" w:rsidP="005E014D">
      <w:pPr>
        <w:pStyle w:val="NumberedParagraph"/>
        <w:numPr>
          <w:ilvl w:val="0"/>
          <w:numId w:val="0"/>
        </w:numPr>
        <w:rPr>
          <w:b/>
          <w:sz w:val="22"/>
          <w:szCs w:val="22"/>
        </w:rPr>
      </w:pPr>
      <w:r w:rsidRPr="00E53951">
        <w:rPr>
          <w:b/>
          <w:sz w:val="22"/>
          <w:szCs w:val="22"/>
        </w:rPr>
        <w:t>Changes in 2011-12</w:t>
      </w:r>
    </w:p>
    <w:p w:rsidR="005E014D" w:rsidRPr="00E53951" w:rsidRDefault="005E014D" w:rsidP="005E014D">
      <w:pPr>
        <w:pStyle w:val="NumberedParagraph"/>
        <w:numPr>
          <w:ilvl w:val="0"/>
          <w:numId w:val="0"/>
        </w:numPr>
        <w:rPr>
          <w:sz w:val="22"/>
          <w:szCs w:val="22"/>
        </w:rPr>
      </w:pPr>
      <w:r w:rsidRPr="00E53951">
        <w:rPr>
          <w:sz w:val="22"/>
          <w:szCs w:val="22"/>
        </w:rPr>
        <w:t>Fr</w:t>
      </w:r>
      <w:r w:rsidR="00B6108D" w:rsidRPr="00E53951">
        <w:rPr>
          <w:sz w:val="22"/>
          <w:szCs w:val="22"/>
        </w:rPr>
        <w:t>om</w:t>
      </w:r>
      <w:r w:rsidRPr="00E53951">
        <w:rPr>
          <w:sz w:val="22"/>
          <w:szCs w:val="22"/>
        </w:rPr>
        <w:t xml:space="preserve"> 2011-12, the separate </w:t>
      </w:r>
      <w:r w:rsidR="00E9733F" w:rsidRPr="00E53951">
        <w:rPr>
          <w:i/>
          <w:sz w:val="22"/>
          <w:szCs w:val="22"/>
        </w:rPr>
        <w:t>Financial Management and Accountability Orders (Financial Statements)</w:t>
      </w:r>
      <w:r w:rsidR="00E9733F" w:rsidRPr="00E53951">
        <w:rPr>
          <w:sz w:val="22"/>
          <w:szCs w:val="22"/>
        </w:rPr>
        <w:t xml:space="preserve"> and </w:t>
      </w:r>
      <w:r w:rsidR="00E9733F" w:rsidRPr="00E53951">
        <w:rPr>
          <w:i/>
          <w:sz w:val="22"/>
          <w:szCs w:val="22"/>
        </w:rPr>
        <w:t>Commonwealth Authorities and Companies Orders (Financial Statements)</w:t>
      </w:r>
      <w:r w:rsidR="00E9733F" w:rsidRPr="00E53951">
        <w:rPr>
          <w:sz w:val="22"/>
          <w:szCs w:val="22"/>
        </w:rPr>
        <w:t xml:space="preserve"> </w:t>
      </w:r>
      <w:r w:rsidRPr="00E53951">
        <w:rPr>
          <w:sz w:val="22"/>
          <w:szCs w:val="22"/>
        </w:rPr>
        <w:t xml:space="preserve">prepared in previous years have been combined into a single legislative instrument.  This </w:t>
      </w:r>
      <w:r w:rsidR="00E8558E" w:rsidRPr="00E53951">
        <w:rPr>
          <w:sz w:val="22"/>
          <w:szCs w:val="22"/>
        </w:rPr>
        <w:t xml:space="preserve">has no </w:t>
      </w:r>
      <w:r w:rsidRPr="00E53951">
        <w:rPr>
          <w:sz w:val="22"/>
          <w:szCs w:val="22"/>
        </w:rPr>
        <w:t xml:space="preserve">impact for preparers of financial statements. </w:t>
      </w:r>
    </w:p>
    <w:p w:rsidR="0072275C" w:rsidRPr="00E53951" w:rsidRDefault="00921AAE" w:rsidP="0072275C">
      <w:pPr>
        <w:rPr>
          <w:b/>
          <w:sz w:val="22"/>
          <w:szCs w:val="22"/>
        </w:rPr>
      </w:pPr>
      <w:r w:rsidRPr="00E53951">
        <w:rPr>
          <w:b/>
          <w:sz w:val="22"/>
          <w:szCs w:val="22"/>
        </w:rPr>
        <w:t>Retrospectivity</w:t>
      </w:r>
    </w:p>
    <w:p w:rsidR="00E6511D" w:rsidRPr="00E53951" w:rsidRDefault="00921AAE">
      <w:pPr>
        <w:pStyle w:val="Paragraph"/>
      </w:pPr>
      <w:r w:rsidRPr="00E53951">
        <w:rPr>
          <w:sz w:val="22"/>
          <w:szCs w:val="22"/>
        </w:rPr>
        <w:t xml:space="preserve">The retrospective commencement date of this legislative instrument does not adversely affect the rights of persons or otherwise impose liabilities, other than onto the Commonwealth, and as such, does not contravene subsection 12 (2) of the </w:t>
      </w:r>
      <w:r w:rsidRPr="00E53951">
        <w:rPr>
          <w:i/>
          <w:sz w:val="22"/>
          <w:szCs w:val="22"/>
        </w:rPr>
        <w:t>Legislative Instruments Act 2003</w:t>
      </w:r>
      <w:r w:rsidRPr="00E53951">
        <w:rPr>
          <w:sz w:val="22"/>
          <w:szCs w:val="22"/>
        </w:rPr>
        <w:t>.</w:t>
      </w:r>
      <w:r w:rsidR="0072275C" w:rsidRPr="00E53951">
        <w:br/>
      </w:r>
    </w:p>
    <w:p w:rsidR="00C07FE4" w:rsidRPr="00E53951" w:rsidRDefault="00C07FE4" w:rsidP="000B5C59">
      <w:pPr>
        <w:pStyle w:val="Heading7"/>
        <w:spacing w:after="120"/>
        <w:ind w:left="0"/>
        <w:rPr>
          <w:i w:val="0"/>
          <w:iCs/>
        </w:rPr>
      </w:pPr>
      <w:r w:rsidRPr="00E53951">
        <w:rPr>
          <w:i w:val="0"/>
          <w:iCs/>
        </w:rPr>
        <w:t>Consultation</w:t>
      </w:r>
    </w:p>
    <w:p w:rsidR="00FE3FB9" w:rsidRPr="00E53951" w:rsidRDefault="00FE3FB9">
      <w:pPr>
        <w:rPr>
          <w:sz w:val="22"/>
          <w:lang w:val="en-GB"/>
        </w:rPr>
      </w:pPr>
    </w:p>
    <w:p w:rsidR="00C07FE4" w:rsidRPr="00E53951" w:rsidRDefault="00FE3FB9" w:rsidP="00FE3FB9">
      <w:pPr>
        <w:rPr>
          <w:sz w:val="22"/>
          <w:lang w:val="en-GB"/>
        </w:rPr>
      </w:pPr>
      <w:r w:rsidRPr="00E53951">
        <w:rPr>
          <w:sz w:val="22"/>
          <w:lang w:val="en-GB"/>
        </w:rPr>
        <w:t>Department of Finance and Deregulation (Finance)</w:t>
      </w:r>
      <w:r w:rsidR="00DA47EA" w:rsidRPr="00E53951">
        <w:rPr>
          <w:sz w:val="22"/>
          <w:lang w:val="en-GB"/>
        </w:rPr>
        <w:t xml:space="preserve"> collaborated </w:t>
      </w:r>
      <w:r w:rsidRPr="00E53951">
        <w:rPr>
          <w:sz w:val="22"/>
          <w:lang w:val="en-GB"/>
        </w:rPr>
        <w:t>with entities that are affected as a result this amendment along with</w:t>
      </w:r>
      <w:r w:rsidR="001E0E7C" w:rsidRPr="00E53951">
        <w:rPr>
          <w:sz w:val="22"/>
          <w:lang w:val="en-GB"/>
        </w:rPr>
        <w:t xml:space="preserve"> </w:t>
      </w:r>
      <w:r w:rsidRPr="00E53951">
        <w:rPr>
          <w:sz w:val="22"/>
          <w:lang w:val="en-GB"/>
        </w:rPr>
        <w:t>t</w:t>
      </w:r>
      <w:r w:rsidR="00C07FE4" w:rsidRPr="00E53951">
        <w:rPr>
          <w:sz w:val="22"/>
          <w:lang w:val="en-GB"/>
        </w:rPr>
        <w:t xml:space="preserve">he Australian National Audit Office </w:t>
      </w:r>
      <w:r w:rsidRPr="00E53951">
        <w:rPr>
          <w:sz w:val="22"/>
          <w:lang w:val="en-GB"/>
        </w:rPr>
        <w:t xml:space="preserve">prior to the finalisation of the content of the amendment. </w:t>
      </w:r>
    </w:p>
    <w:p w:rsidR="00C07FE4" w:rsidRPr="00E53951" w:rsidRDefault="00C07FE4">
      <w:pPr>
        <w:rPr>
          <w:sz w:val="22"/>
        </w:rPr>
      </w:pPr>
    </w:p>
    <w:p w:rsidR="007329EA" w:rsidRPr="00E53951" w:rsidRDefault="007329EA" w:rsidP="007329EA">
      <w:pPr>
        <w:pStyle w:val="BodyText3"/>
        <w:rPr>
          <w:b/>
        </w:rPr>
      </w:pPr>
      <w:r w:rsidRPr="00E53951">
        <w:rPr>
          <w:b/>
        </w:rPr>
        <w:t xml:space="preserve">Attachments </w:t>
      </w:r>
    </w:p>
    <w:p w:rsidR="007329EA" w:rsidRPr="00E53951" w:rsidRDefault="007329EA" w:rsidP="007329EA">
      <w:pPr>
        <w:pStyle w:val="BodyText3"/>
      </w:pPr>
      <w:r w:rsidRPr="00E53951">
        <w:t xml:space="preserve">Details of the main </w:t>
      </w:r>
      <w:r w:rsidR="00157755" w:rsidRPr="00E53951">
        <w:t>amendments</w:t>
      </w:r>
      <w:r w:rsidRPr="00E53951">
        <w:t xml:space="preserve"> to reporting requirements for the reporting periods ending on or after 1 July 2011, as compared to the requirements that were previously in force, are provided in </w:t>
      </w:r>
      <w:r w:rsidRPr="00E53951">
        <w:rPr>
          <w:u w:val="single"/>
        </w:rPr>
        <w:t>Attachment A</w:t>
      </w:r>
      <w:r w:rsidRPr="00E53951">
        <w:t xml:space="preserve">. </w:t>
      </w:r>
    </w:p>
    <w:p w:rsidR="00802A29" w:rsidRPr="00E53951" w:rsidRDefault="00802A29" w:rsidP="00802A29">
      <w:pPr>
        <w:pStyle w:val="BodyText3"/>
      </w:pPr>
      <w:r w:rsidRPr="00E53951">
        <w:t>The Statement of Compatibility with Human Rights as required by the</w:t>
      </w:r>
      <w:r w:rsidRPr="00E53951">
        <w:rPr>
          <w:i/>
        </w:rPr>
        <w:t xml:space="preserve"> Human Rights (Parliamentary Scrutiny) Act 2011</w:t>
      </w:r>
      <w:r w:rsidRPr="00E53951">
        <w:t xml:space="preserve"> is provided in </w:t>
      </w:r>
      <w:r w:rsidRPr="00E53951">
        <w:rPr>
          <w:u w:val="single"/>
        </w:rPr>
        <w:t>Attachment B</w:t>
      </w:r>
      <w:r w:rsidRPr="00E53951">
        <w:t>.</w:t>
      </w:r>
    </w:p>
    <w:p w:rsidR="00802A29" w:rsidRPr="00E53951" w:rsidRDefault="00802A29" w:rsidP="00802A29">
      <w:pPr>
        <w:pStyle w:val="BodyText3"/>
      </w:pPr>
      <w:r w:rsidRPr="00E53951">
        <w:t xml:space="preserve"> </w:t>
      </w:r>
    </w:p>
    <w:p w:rsidR="00802A29" w:rsidRPr="00E53951" w:rsidRDefault="00802A29" w:rsidP="007329EA">
      <w:pPr>
        <w:pStyle w:val="BodyText3"/>
      </w:pPr>
    </w:p>
    <w:p w:rsidR="007329EA" w:rsidRPr="00E53951" w:rsidRDefault="007329EA" w:rsidP="007329EA">
      <w:pPr>
        <w:pStyle w:val="BodyText3"/>
      </w:pPr>
    </w:p>
    <w:p w:rsidR="00AE0023" w:rsidRPr="00E53951" w:rsidRDefault="00AE0023" w:rsidP="00397D8B">
      <w:pPr>
        <w:pStyle w:val="Heading1"/>
        <w:rPr>
          <w:lang w:val="en-AU"/>
        </w:rPr>
      </w:pPr>
    </w:p>
    <w:p w:rsidR="007329EA" w:rsidRPr="00E53951" w:rsidRDefault="007329EA" w:rsidP="007329EA"/>
    <w:p w:rsidR="007329EA" w:rsidRPr="00E53951" w:rsidRDefault="007329EA" w:rsidP="007329EA">
      <w:pPr>
        <w:sectPr w:rsidR="007329EA" w:rsidRPr="00E53951">
          <w:headerReference w:type="default" r:id="rId8"/>
          <w:footerReference w:type="first" r:id="rId9"/>
          <w:pgSz w:w="11907" w:h="16840" w:code="9"/>
          <w:pgMar w:top="1440" w:right="1797" w:bottom="1440" w:left="1797" w:header="720" w:footer="720" w:gutter="0"/>
          <w:cols w:space="720"/>
          <w:titlePg/>
        </w:sectPr>
      </w:pPr>
    </w:p>
    <w:p w:rsidR="00C07FE4" w:rsidRPr="00E53951" w:rsidRDefault="00C07FE4" w:rsidP="00397D8B">
      <w:pPr>
        <w:pStyle w:val="Heading1"/>
        <w:rPr>
          <w:sz w:val="22"/>
          <w:szCs w:val="22"/>
          <w:u w:val="single"/>
          <w:lang w:val="en-AU"/>
        </w:rPr>
      </w:pPr>
      <w:r w:rsidRPr="00E53951">
        <w:rPr>
          <w:sz w:val="22"/>
          <w:szCs w:val="22"/>
          <w:u w:val="single"/>
          <w:lang w:val="en-AU"/>
        </w:rPr>
        <w:lastRenderedPageBreak/>
        <w:t>Attachment A to the Explanatory Statement</w:t>
      </w:r>
    </w:p>
    <w:p w:rsidR="003E590E" w:rsidRPr="00E53951" w:rsidRDefault="003E590E">
      <w:pPr>
        <w:rPr>
          <w:sz w:val="22"/>
          <w:szCs w:val="22"/>
        </w:rPr>
      </w:pPr>
    </w:p>
    <w:p w:rsidR="00C07FE4" w:rsidRPr="00E53951" w:rsidRDefault="00C07FE4">
      <w:pPr>
        <w:rPr>
          <w:sz w:val="22"/>
          <w:szCs w:val="22"/>
        </w:rPr>
      </w:pPr>
      <w:r w:rsidRPr="00E53951">
        <w:rPr>
          <w:sz w:val="22"/>
          <w:szCs w:val="22"/>
        </w:rPr>
        <w:t>This attac</w:t>
      </w:r>
      <w:r w:rsidR="00CB165A" w:rsidRPr="00E53951">
        <w:rPr>
          <w:sz w:val="22"/>
          <w:szCs w:val="22"/>
        </w:rPr>
        <w:t xml:space="preserve">hment summarises the main amendments </w:t>
      </w:r>
      <w:r w:rsidRPr="00E53951">
        <w:rPr>
          <w:sz w:val="22"/>
          <w:szCs w:val="22"/>
        </w:rPr>
        <w:t>to the F</w:t>
      </w:r>
      <w:r w:rsidR="00932D06" w:rsidRPr="00E53951">
        <w:rPr>
          <w:sz w:val="22"/>
          <w:szCs w:val="22"/>
        </w:rPr>
        <w:t>M</w:t>
      </w:r>
      <w:r w:rsidRPr="00E53951">
        <w:rPr>
          <w:sz w:val="22"/>
          <w:szCs w:val="22"/>
        </w:rPr>
        <w:t>Os requiring the preparation of financial statements for reporting periods ending on or after 1</w:t>
      </w:r>
      <w:r w:rsidR="000B5C59" w:rsidRPr="00E53951">
        <w:rPr>
          <w:sz w:val="22"/>
          <w:szCs w:val="22"/>
        </w:rPr>
        <w:t> </w:t>
      </w:r>
      <w:r w:rsidRPr="00E53951">
        <w:rPr>
          <w:sz w:val="22"/>
          <w:szCs w:val="22"/>
        </w:rPr>
        <w:t>July</w:t>
      </w:r>
      <w:r w:rsidR="000B5C59" w:rsidRPr="00E53951">
        <w:rPr>
          <w:sz w:val="22"/>
          <w:szCs w:val="22"/>
        </w:rPr>
        <w:t> </w:t>
      </w:r>
      <w:r w:rsidR="00194265" w:rsidRPr="00E53951">
        <w:rPr>
          <w:sz w:val="22"/>
          <w:szCs w:val="22"/>
        </w:rPr>
        <w:t>2011</w:t>
      </w:r>
      <w:r w:rsidR="00935A56" w:rsidRPr="00E53951">
        <w:rPr>
          <w:sz w:val="22"/>
          <w:szCs w:val="22"/>
        </w:rPr>
        <w:t xml:space="preserve"> </w:t>
      </w:r>
      <w:r w:rsidRPr="00E53951">
        <w:rPr>
          <w:sz w:val="22"/>
          <w:szCs w:val="22"/>
        </w:rPr>
        <w:t>for</w:t>
      </w:r>
      <w:r w:rsidR="00397D8B" w:rsidRPr="00E53951">
        <w:rPr>
          <w:sz w:val="22"/>
          <w:szCs w:val="22"/>
        </w:rPr>
        <w:t xml:space="preserve"> </w:t>
      </w:r>
      <w:r w:rsidR="00C5393C" w:rsidRPr="00E53951">
        <w:rPr>
          <w:sz w:val="22"/>
          <w:szCs w:val="22"/>
        </w:rPr>
        <w:t xml:space="preserve">Australian Government </w:t>
      </w:r>
      <w:r w:rsidR="00947296" w:rsidRPr="00E53951">
        <w:rPr>
          <w:sz w:val="22"/>
          <w:szCs w:val="22"/>
        </w:rPr>
        <w:t>entities</w:t>
      </w:r>
      <w:r w:rsidR="00397D8B" w:rsidRPr="00E53951">
        <w:rPr>
          <w:sz w:val="22"/>
          <w:szCs w:val="22"/>
        </w:rPr>
        <w:t>.</w:t>
      </w:r>
    </w:p>
    <w:p w:rsidR="003E590E" w:rsidRPr="00E53951" w:rsidRDefault="003E590E" w:rsidP="00643CC6">
      <w:pPr>
        <w:pStyle w:val="ListParagraph"/>
        <w:spacing w:after="100"/>
        <w:ind w:right="-341"/>
        <w:rPr>
          <w:sz w:val="22"/>
          <w:szCs w:val="22"/>
        </w:rPr>
      </w:pPr>
    </w:p>
    <w:p w:rsidR="00885099" w:rsidRPr="00E53951" w:rsidRDefault="003E590E" w:rsidP="003E590E">
      <w:pPr>
        <w:pStyle w:val="Heading1"/>
        <w:spacing w:after="120"/>
        <w:rPr>
          <w:sz w:val="22"/>
          <w:szCs w:val="22"/>
          <w:lang w:val="en-AU"/>
        </w:rPr>
      </w:pPr>
      <w:r w:rsidRPr="00E53951">
        <w:rPr>
          <w:sz w:val="22"/>
          <w:szCs w:val="22"/>
          <w:lang w:val="en-AU"/>
        </w:rPr>
        <w:t>Amendments</w:t>
      </w:r>
      <w:r w:rsidR="00643CC6" w:rsidRPr="00E53951">
        <w:rPr>
          <w:sz w:val="22"/>
          <w:szCs w:val="22"/>
          <w:lang w:val="en-AU"/>
        </w:rPr>
        <w:t xml:space="preserve"> to existing policies</w:t>
      </w:r>
    </w:p>
    <w:p w:rsidR="00643CC6" w:rsidRPr="00E53951" w:rsidRDefault="00643CC6" w:rsidP="00753CD8">
      <w:pPr>
        <w:pStyle w:val="ListParagraph"/>
        <w:numPr>
          <w:ilvl w:val="0"/>
          <w:numId w:val="36"/>
        </w:numPr>
        <w:spacing w:after="100"/>
        <w:ind w:right="-341"/>
        <w:rPr>
          <w:sz w:val="22"/>
          <w:szCs w:val="22"/>
        </w:rPr>
      </w:pPr>
      <w:r w:rsidRPr="00E53951">
        <w:rPr>
          <w:i/>
          <w:sz w:val="22"/>
          <w:szCs w:val="22"/>
          <w:u w:val="single"/>
        </w:rPr>
        <w:t xml:space="preserve">Division </w:t>
      </w:r>
      <w:r w:rsidR="00460056" w:rsidRPr="00E53951">
        <w:rPr>
          <w:i/>
          <w:sz w:val="22"/>
          <w:szCs w:val="22"/>
          <w:u w:val="single"/>
        </w:rPr>
        <w:t>7</w:t>
      </w:r>
      <w:r w:rsidRPr="00E53951">
        <w:rPr>
          <w:i/>
          <w:sz w:val="22"/>
          <w:szCs w:val="22"/>
          <w:u w:val="single"/>
        </w:rPr>
        <w:t xml:space="preserve"> </w:t>
      </w:r>
      <w:r w:rsidR="00460056" w:rsidRPr="00E53951">
        <w:rPr>
          <w:i/>
          <w:sz w:val="22"/>
          <w:szCs w:val="22"/>
          <w:u w:val="single"/>
        </w:rPr>
        <w:t>Applicable Entities</w:t>
      </w:r>
      <w:r w:rsidRPr="00E53951">
        <w:rPr>
          <w:i/>
          <w:sz w:val="22"/>
          <w:szCs w:val="22"/>
          <w:u w:val="single"/>
        </w:rPr>
        <w:t>:</w:t>
      </w:r>
      <w:r w:rsidRPr="00E53951">
        <w:rPr>
          <w:sz w:val="22"/>
          <w:szCs w:val="22"/>
        </w:rPr>
        <w:t xml:space="preserve">  Clarified the scope </w:t>
      </w:r>
      <w:r w:rsidR="00460056" w:rsidRPr="00E53951">
        <w:rPr>
          <w:sz w:val="22"/>
          <w:szCs w:val="22"/>
        </w:rPr>
        <w:t xml:space="preserve">of the requirement to prepare financial statements </w:t>
      </w:r>
      <w:r w:rsidRPr="00E53951">
        <w:rPr>
          <w:sz w:val="22"/>
          <w:szCs w:val="22"/>
        </w:rPr>
        <w:t xml:space="preserve">by </w:t>
      </w:r>
      <w:r w:rsidR="00107D09" w:rsidRPr="00E53951">
        <w:rPr>
          <w:sz w:val="22"/>
          <w:szCs w:val="22"/>
        </w:rPr>
        <w:t>replacing the word</w:t>
      </w:r>
      <w:r w:rsidR="00460056" w:rsidRPr="00E53951">
        <w:rPr>
          <w:sz w:val="22"/>
          <w:szCs w:val="22"/>
        </w:rPr>
        <w:t xml:space="preserve"> ‘entity’ with ‘agency and authority’</w:t>
      </w:r>
      <w:r w:rsidRPr="00E53951">
        <w:rPr>
          <w:sz w:val="22"/>
          <w:szCs w:val="22"/>
        </w:rPr>
        <w:t>.</w:t>
      </w:r>
    </w:p>
    <w:p w:rsidR="0007348C" w:rsidRPr="00E53951" w:rsidRDefault="0007348C" w:rsidP="00753CD8">
      <w:pPr>
        <w:pStyle w:val="ListParagraph"/>
        <w:numPr>
          <w:ilvl w:val="0"/>
          <w:numId w:val="36"/>
        </w:numPr>
        <w:spacing w:after="100"/>
        <w:ind w:right="-341"/>
        <w:rPr>
          <w:sz w:val="22"/>
          <w:szCs w:val="22"/>
        </w:rPr>
      </w:pPr>
      <w:r w:rsidRPr="00E53951">
        <w:rPr>
          <w:i/>
          <w:sz w:val="22"/>
          <w:szCs w:val="22"/>
          <w:u w:val="single"/>
        </w:rPr>
        <w:t>Division 44 Measurement and Disclosure of Post Employment Plans:</w:t>
      </w:r>
      <w:r w:rsidRPr="00E53951">
        <w:rPr>
          <w:sz w:val="22"/>
          <w:szCs w:val="22"/>
        </w:rPr>
        <w:t xml:space="preserve"> Clarified the requirement to reference the market yield on Australian Government bonds when determining a discount rate.</w:t>
      </w:r>
    </w:p>
    <w:p w:rsidR="00BA129C" w:rsidRPr="00E53951" w:rsidRDefault="00BA129C">
      <w:pPr>
        <w:rPr>
          <w:i/>
          <w:sz w:val="22"/>
          <w:szCs w:val="22"/>
          <w:u w:val="single"/>
        </w:rPr>
      </w:pPr>
      <w:r w:rsidRPr="00E53951">
        <w:rPr>
          <w:i/>
          <w:sz w:val="22"/>
          <w:szCs w:val="22"/>
          <w:u w:val="single"/>
        </w:rPr>
        <w:br w:type="page"/>
      </w:r>
    </w:p>
    <w:p w:rsidR="00F53ADE" w:rsidRPr="00E53951" w:rsidRDefault="00F53ADE" w:rsidP="00F53ADE">
      <w:pPr>
        <w:pStyle w:val="Heading1"/>
        <w:rPr>
          <w:sz w:val="22"/>
          <w:szCs w:val="22"/>
          <w:u w:val="single"/>
          <w:lang w:val="en-AU"/>
        </w:rPr>
      </w:pPr>
      <w:r w:rsidRPr="00E53951">
        <w:rPr>
          <w:sz w:val="22"/>
          <w:szCs w:val="22"/>
          <w:u w:val="single"/>
          <w:lang w:val="en-AU"/>
        </w:rPr>
        <w:t>Attachment B to the Explanatory Statement</w:t>
      </w:r>
    </w:p>
    <w:p w:rsidR="00F53ADE" w:rsidRPr="00E53951" w:rsidRDefault="00F53ADE" w:rsidP="00F53ADE">
      <w:pPr>
        <w:pStyle w:val="Heading1"/>
        <w:spacing w:after="120"/>
        <w:rPr>
          <w:rFonts w:ascii="Calibri" w:hAnsi="Calibri" w:cs="Arial"/>
          <w:i/>
          <w:iCs/>
          <w:sz w:val="22"/>
          <w:szCs w:val="22"/>
          <w:lang w:val="en-AU"/>
        </w:rPr>
      </w:pPr>
    </w:p>
    <w:p w:rsidR="00BA129C" w:rsidRPr="00E53951" w:rsidRDefault="00BA129C" w:rsidP="00BA129C">
      <w:pPr>
        <w:jc w:val="center"/>
        <w:rPr>
          <w:b/>
          <w:sz w:val="36"/>
        </w:rPr>
      </w:pPr>
      <w:r w:rsidRPr="00E53951">
        <w:rPr>
          <w:b/>
          <w:sz w:val="36"/>
        </w:rPr>
        <w:t>Statement of Compatibility with Human Rights</w:t>
      </w:r>
    </w:p>
    <w:p w:rsidR="00BA129C" w:rsidRPr="00E53951" w:rsidRDefault="00BA129C" w:rsidP="00BA129C">
      <w:pPr>
        <w:jc w:val="center"/>
        <w:rPr>
          <w:i/>
        </w:rPr>
      </w:pPr>
      <w:r w:rsidRPr="00E53951">
        <w:rPr>
          <w:i/>
        </w:rPr>
        <w:t>Prepared in accordance with Part 3 of the Human Rights (Parliamentary Scrutiny) Act 2011</w:t>
      </w:r>
    </w:p>
    <w:p w:rsidR="00BA129C" w:rsidRPr="00E53951" w:rsidRDefault="00BA129C" w:rsidP="00BA129C">
      <w:pPr>
        <w:jc w:val="center"/>
        <w:rPr>
          <w:i/>
        </w:rPr>
      </w:pPr>
    </w:p>
    <w:p w:rsidR="00BA129C" w:rsidRPr="00E53951" w:rsidRDefault="00BA129C" w:rsidP="00BA129C">
      <w:pPr>
        <w:jc w:val="center"/>
        <w:rPr>
          <w:b/>
          <w:sz w:val="28"/>
        </w:rPr>
      </w:pPr>
      <w:r w:rsidRPr="00E53951">
        <w:rPr>
          <w:b/>
          <w:sz w:val="28"/>
        </w:rPr>
        <w:t>Finance Minister’s Amendment Orders (Financial Statements for reporting periods ending on or after 1 July 2011)</w:t>
      </w:r>
    </w:p>
    <w:p w:rsidR="00E835FF" w:rsidRPr="00E53951" w:rsidRDefault="00F53ADE" w:rsidP="00E835FF">
      <w:pPr>
        <w:pStyle w:val="ListParagraph"/>
        <w:numPr>
          <w:ilvl w:val="0"/>
          <w:numId w:val="46"/>
        </w:numPr>
        <w:spacing w:before="120" w:after="120"/>
        <w:rPr>
          <w:rFonts w:ascii="Calibri" w:eastAsia="Calibri" w:hAnsi="Calibri"/>
          <w:sz w:val="22"/>
          <w:szCs w:val="22"/>
        </w:rPr>
      </w:pPr>
      <w:r w:rsidRPr="00E53951">
        <w:rPr>
          <w:sz w:val="22"/>
          <w:szCs w:val="22"/>
        </w:rPr>
        <w:t xml:space="preserve">The proposed amendments do not engage any of the applicable rights or freedoms outlined in the </w:t>
      </w:r>
      <w:r w:rsidRPr="00E53951">
        <w:rPr>
          <w:i/>
          <w:iCs/>
          <w:sz w:val="22"/>
          <w:szCs w:val="22"/>
        </w:rPr>
        <w:t>Human Rights (Parliamentary Scrutiny) Act 2011</w:t>
      </w:r>
      <w:r w:rsidRPr="00E53951">
        <w:rPr>
          <w:sz w:val="22"/>
          <w:szCs w:val="22"/>
        </w:rPr>
        <w:t xml:space="preserve">, such as encompassed in the </w:t>
      </w:r>
      <w:r w:rsidRPr="00E53951">
        <w:rPr>
          <w:i/>
          <w:iCs/>
          <w:sz w:val="22"/>
          <w:szCs w:val="22"/>
        </w:rPr>
        <w:t>International Covenant on Civil and Political Rights</w:t>
      </w:r>
      <w:r w:rsidRPr="00E53951">
        <w:rPr>
          <w:sz w:val="22"/>
          <w:szCs w:val="22"/>
        </w:rPr>
        <w:t>.</w:t>
      </w:r>
    </w:p>
    <w:p w:rsidR="00E835FF" w:rsidRPr="00E53951" w:rsidRDefault="00F53ADE" w:rsidP="00E835FF">
      <w:pPr>
        <w:pStyle w:val="ListParagraph"/>
        <w:numPr>
          <w:ilvl w:val="0"/>
          <w:numId w:val="46"/>
        </w:numPr>
        <w:spacing w:before="120" w:after="120"/>
        <w:rPr>
          <w:rFonts w:ascii="Calibri" w:eastAsia="Calibri" w:hAnsi="Calibri"/>
          <w:sz w:val="22"/>
          <w:szCs w:val="22"/>
        </w:rPr>
      </w:pPr>
      <w:r w:rsidRPr="00E53951">
        <w:rPr>
          <w:sz w:val="22"/>
          <w:szCs w:val="22"/>
        </w:rPr>
        <w:t xml:space="preserve">The proposed amendments do not limit any human rights, nor propose any offences or penalties.  </w:t>
      </w:r>
    </w:p>
    <w:p w:rsidR="00F53ADE" w:rsidRPr="00E53951" w:rsidRDefault="00F53ADE" w:rsidP="00E835FF">
      <w:pPr>
        <w:pStyle w:val="ListParagraph"/>
        <w:numPr>
          <w:ilvl w:val="0"/>
          <w:numId w:val="46"/>
        </w:numPr>
        <w:spacing w:before="120" w:after="120"/>
        <w:rPr>
          <w:rFonts w:ascii="Calibri" w:eastAsia="Calibri" w:hAnsi="Calibri"/>
          <w:sz w:val="22"/>
          <w:szCs w:val="22"/>
        </w:rPr>
      </w:pPr>
      <w:r w:rsidRPr="00E53951">
        <w:rPr>
          <w:sz w:val="22"/>
          <w:szCs w:val="22"/>
        </w:rPr>
        <w:t xml:space="preserve">This legislative instrument is therefore compatible with the human rights and freedoms recognised or declared in the international instruments listed in subsection 3(1) of the </w:t>
      </w:r>
      <w:r w:rsidRPr="00E53951">
        <w:rPr>
          <w:i/>
          <w:iCs/>
          <w:sz w:val="22"/>
          <w:szCs w:val="22"/>
        </w:rPr>
        <w:t>Human Rights (Parliamentary Scrutiny) Act 2011</w:t>
      </w:r>
      <w:r w:rsidRPr="00E53951">
        <w:rPr>
          <w:b/>
          <w:bCs/>
          <w:sz w:val="22"/>
          <w:szCs w:val="22"/>
        </w:rPr>
        <w:t>.</w:t>
      </w:r>
    </w:p>
    <w:p w:rsidR="00B3043B" w:rsidRPr="00E53951" w:rsidRDefault="00B3043B" w:rsidP="00B3043B">
      <w:pPr>
        <w:spacing w:after="100"/>
        <w:ind w:right="-341"/>
      </w:pPr>
    </w:p>
    <w:p w:rsidR="00BA129C" w:rsidRPr="00E53951" w:rsidRDefault="00BA129C" w:rsidP="00BA129C">
      <w:pPr>
        <w:jc w:val="center"/>
        <w:rPr>
          <w:b/>
        </w:rPr>
      </w:pPr>
      <w:r w:rsidRPr="00E53951">
        <w:rPr>
          <w:b/>
        </w:rPr>
        <w:t>Penelope Ying Yen Wong, Minister for Finance and Deregulation</w:t>
      </w:r>
    </w:p>
    <w:p w:rsidR="002A4F19" w:rsidRPr="00E53951" w:rsidRDefault="002A4F19" w:rsidP="00AE0023">
      <w:pPr>
        <w:rPr>
          <w:sz w:val="22"/>
          <w:szCs w:val="22"/>
        </w:rPr>
      </w:pPr>
    </w:p>
    <w:sectPr w:rsidR="002A4F19" w:rsidRPr="00E53951" w:rsidSect="00AE0023">
      <w:pgSz w:w="11907" w:h="16840" w:code="9"/>
      <w:pgMar w:top="993" w:right="1797" w:bottom="709"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34" w:rsidRDefault="00267B34">
      <w:r>
        <w:separator/>
      </w:r>
    </w:p>
  </w:endnote>
  <w:endnote w:type="continuationSeparator" w:id="0">
    <w:p w:rsidR="00267B34" w:rsidRDefault="00267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B9" w:rsidRDefault="00FE3F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34" w:rsidRDefault="00267B34">
      <w:r>
        <w:separator/>
      </w:r>
    </w:p>
  </w:footnote>
  <w:footnote w:type="continuationSeparator" w:id="0">
    <w:p w:rsidR="00267B34" w:rsidRDefault="00267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B9" w:rsidRDefault="00FE3FB9">
    <w:pPr>
      <w:pStyle w:val="Header"/>
      <w:pBdr>
        <w:between w:val="single" w:sz="12"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FA"/>
    <w:multiLevelType w:val="hybridMultilevel"/>
    <w:tmpl w:val="CBC27FB6"/>
    <w:lvl w:ilvl="0" w:tplc="D50A8B80">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C090019">
      <w:start w:val="1"/>
      <w:numFmt w:val="lowerLetter"/>
      <w:lvlText w:val="%2."/>
      <w:lvlJc w:val="left"/>
      <w:pPr>
        <w:ind w:left="1156"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2BF07F9"/>
    <w:multiLevelType w:val="hybridMultilevel"/>
    <w:tmpl w:val="11D43802"/>
    <w:lvl w:ilvl="0" w:tplc="8D044FB4">
      <w:start w:val="8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3ED51B8"/>
    <w:multiLevelType w:val="hybridMultilevel"/>
    <w:tmpl w:val="A00217B2"/>
    <w:lvl w:ilvl="0" w:tplc="0F385938">
      <w:start w:val="1"/>
      <w:numFmt w:val="lowerRoman"/>
      <w:lvlText w:val="%1."/>
      <w:lvlJc w:val="left"/>
      <w:pPr>
        <w:tabs>
          <w:tab w:val="num" w:pos="357"/>
        </w:tabs>
        <w:ind w:left="357" w:hanging="357"/>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4B4160"/>
    <w:multiLevelType w:val="multilevel"/>
    <w:tmpl w:val="628E4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7014ED"/>
    <w:multiLevelType w:val="multilevel"/>
    <w:tmpl w:val="513E190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DA951BC"/>
    <w:multiLevelType w:val="multilevel"/>
    <w:tmpl w:val="1578179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AB4C0A"/>
    <w:multiLevelType w:val="multilevel"/>
    <w:tmpl w:val="AEC2FF9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i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CD4750"/>
    <w:multiLevelType w:val="multilevel"/>
    <w:tmpl w:val="52E8072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2493F4D"/>
    <w:multiLevelType w:val="singleLevel"/>
    <w:tmpl w:val="3474C19C"/>
    <w:lvl w:ilvl="0">
      <w:start w:val="1"/>
      <w:numFmt w:val="bullet"/>
      <w:lvlText w:val=""/>
      <w:lvlJc w:val="left"/>
      <w:pPr>
        <w:tabs>
          <w:tab w:val="num" w:pos="814"/>
        </w:tabs>
        <w:ind w:left="737" w:hanging="283"/>
      </w:pPr>
      <w:rPr>
        <w:rFonts w:ascii="Symbol" w:hAnsi="Symbol" w:cs="Times New Roman" w:hint="default"/>
        <w:b/>
        <w:i w:val="0"/>
        <w:color w:val="auto"/>
      </w:rPr>
    </w:lvl>
  </w:abstractNum>
  <w:abstractNum w:abstractNumId="9">
    <w:nsid w:val="12736F75"/>
    <w:multiLevelType w:val="multilevel"/>
    <w:tmpl w:val="6F7431E6"/>
    <w:lvl w:ilvl="0">
      <w:start w:val="1"/>
      <w:numFmt w:val="upperRoman"/>
      <w:lvlText w:val="%1."/>
      <w:lvlJc w:val="left"/>
      <w:pPr>
        <w:tabs>
          <w:tab w:val="num" w:pos="720"/>
        </w:tabs>
        <w:ind w:left="567" w:hanging="567"/>
      </w:pPr>
      <w:rPr>
        <w:rFonts w:ascii="Arial" w:hAnsi="Arial" w:cs="Arial" w:hint="default"/>
        <w:b/>
        <w:i w:val="0"/>
        <w:sz w:val="28"/>
        <w:szCs w:val="28"/>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855"/>
        </w:tabs>
        <w:ind w:left="855" w:hanging="855"/>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40249D7"/>
    <w:multiLevelType w:val="multilevel"/>
    <w:tmpl w:val="1DD006AA"/>
    <w:lvl w:ilvl="0">
      <w:start w:val="1"/>
      <w:numFmt w:val="bullet"/>
      <w:pStyle w:val="Bullet"/>
      <w:lvlText w:val=""/>
      <w:lvlJc w:val="left"/>
      <w:pPr>
        <w:tabs>
          <w:tab w:val="num" w:pos="680"/>
        </w:tabs>
        <w:ind w:left="680" w:hanging="680"/>
      </w:pPr>
      <w:rPr>
        <w:rFonts w:ascii="Symbol" w:hAnsi="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2268"/>
        </w:tabs>
        <w:ind w:left="2268" w:hanging="567"/>
      </w:pPr>
      <w:rPr>
        <w:rFonts w:ascii="Symbol" w:hAnsi="Symbol" w:cs="Symbol" w:hint="default"/>
      </w:rPr>
    </w:lvl>
    <w:lvl w:ilvl="7">
      <w:start w:val="1"/>
      <w:numFmt w:val="bullet"/>
      <w:lvlText w:val=""/>
      <w:lvlJc w:val="left"/>
      <w:pPr>
        <w:tabs>
          <w:tab w:val="num" w:pos="2835"/>
        </w:tabs>
        <w:ind w:left="2835" w:hanging="567"/>
      </w:pPr>
      <w:rPr>
        <w:rFonts w:ascii="Symbol" w:hAnsi="Symbol" w:cs="Symbol" w:hint="default"/>
      </w:rPr>
    </w:lvl>
    <w:lvl w:ilvl="8">
      <w:start w:val="1"/>
      <w:numFmt w:val="bullet"/>
      <w:lvlText w:val=""/>
      <w:lvlJc w:val="left"/>
      <w:pPr>
        <w:tabs>
          <w:tab w:val="num" w:pos="3402"/>
        </w:tabs>
        <w:ind w:left="3402" w:hanging="567"/>
      </w:pPr>
      <w:rPr>
        <w:rFonts w:ascii="Symbol" w:hAnsi="Symbol" w:cs="Symbol" w:hint="default"/>
      </w:rPr>
    </w:lvl>
  </w:abstractNum>
  <w:abstractNum w:abstractNumId="11">
    <w:nsid w:val="143F7B23"/>
    <w:multiLevelType w:val="hybridMultilevel"/>
    <w:tmpl w:val="7F9E6DEA"/>
    <w:lvl w:ilvl="0" w:tplc="269EEE5E">
      <w:start w:val="1"/>
      <w:numFmt w:val="bullet"/>
      <w:lvlText w:val=""/>
      <w:lvlJc w:val="left"/>
      <w:pPr>
        <w:tabs>
          <w:tab w:val="num" w:pos="1071"/>
        </w:tabs>
        <w:ind w:left="1071" w:hanging="357"/>
      </w:pPr>
      <w:rPr>
        <w:rFonts w:ascii="Symbol" w:hAnsi="Symbol" w:hint="default"/>
      </w:rPr>
    </w:lvl>
    <w:lvl w:ilvl="1" w:tplc="269EEE5E">
      <w:start w:val="1"/>
      <w:numFmt w:val="bullet"/>
      <w:lvlText w:val=""/>
      <w:lvlJc w:val="left"/>
      <w:pPr>
        <w:tabs>
          <w:tab w:val="num" w:pos="2151"/>
        </w:tabs>
        <w:ind w:left="2151" w:hanging="357"/>
      </w:pPr>
      <w:rPr>
        <w:rFonts w:ascii="Symbol" w:hAnsi="Symbol" w:hint="default"/>
      </w:rPr>
    </w:lvl>
    <w:lvl w:ilvl="2" w:tplc="0C090005" w:tentative="1">
      <w:start w:val="1"/>
      <w:numFmt w:val="bullet"/>
      <w:lvlText w:val=""/>
      <w:lvlJc w:val="left"/>
      <w:pPr>
        <w:tabs>
          <w:tab w:val="num" w:pos="2874"/>
        </w:tabs>
        <w:ind w:left="2874" w:hanging="360"/>
      </w:pPr>
      <w:rPr>
        <w:rFonts w:ascii="Wingdings" w:hAnsi="Wingdings" w:hint="default"/>
      </w:rPr>
    </w:lvl>
    <w:lvl w:ilvl="3" w:tplc="0C090001" w:tentative="1">
      <w:start w:val="1"/>
      <w:numFmt w:val="bullet"/>
      <w:lvlText w:val=""/>
      <w:lvlJc w:val="left"/>
      <w:pPr>
        <w:tabs>
          <w:tab w:val="num" w:pos="3594"/>
        </w:tabs>
        <w:ind w:left="3594" w:hanging="360"/>
      </w:pPr>
      <w:rPr>
        <w:rFonts w:ascii="Symbol" w:hAnsi="Symbol" w:hint="default"/>
      </w:rPr>
    </w:lvl>
    <w:lvl w:ilvl="4" w:tplc="0C090003" w:tentative="1">
      <w:start w:val="1"/>
      <w:numFmt w:val="bullet"/>
      <w:lvlText w:val="o"/>
      <w:lvlJc w:val="left"/>
      <w:pPr>
        <w:tabs>
          <w:tab w:val="num" w:pos="4314"/>
        </w:tabs>
        <w:ind w:left="4314" w:hanging="360"/>
      </w:pPr>
      <w:rPr>
        <w:rFonts w:ascii="Courier New" w:hAnsi="Courier New" w:cs="Courier New" w:hint="default"/>
      </w:rPr>
    </w:lvl>
    <w:lvl w:ilvl="5" w:tplc="0C090005" w:tentative="1">
      <w:start w:val="1"/>
      <w:numFmt w:val="bullet"/>
      <w:lvlText w:val=""/>
      <w:lvlJc w:val="left"/>
      <w:pPr>
        <w:tabs>
          <w:tab w:val="num" w:pos="5034"/>
        </w:tabs>
        <w:ind w:left="5034" w:hanging="360"/>
      </w:pPr>
      <w:rPr>
        <w:rFonts w:ascii="Wingdings" w:hAnsi="Wingdings" w:hint="default"/>
      </w:rPr>
    </w:lvl>
    <w:lvl w:ilvl="6" w:tplc="0C090001" w:tentative="1">
      <w:start w:val="1"/>
      <w:numFmt w:val="bullet"/>
      <w:lvlText w:val=""/>
      <w:lvlJc w:val="left"/>
      <w:pPr>
        <w:tabs>
          <w:tab w:val="num" w:pos="5754"/>
        </w:tabs>
        <w:ind w:left="5754" w:hanging="360"/>
      </w:pPr>
      <w:rPr>
        <w:rFonts w:ascii="Symbol" w:hAnsi="Symbol" w:hint="default"/>
      </w:rPr>
    </w:lvl>
    <w:lvl w:ilvl="7" w:tplc="0C090003" w:tentative="1">
      <w:start w:val="1"/>
      <w:numFmt w:val="bullet"/>
      <w:lvlText w:val="o"/>
      <w:lvlJc w:val="left"/>
      <w:pPr>
        <w:tabs>
          <w:tab w:val="num" w:pos="6474"/>
        </w:tabs>
        <w:ind w:left="6474" w:hanging="360"/>
      </w:pPr>
      <w:rPr>
        <w:rFonts w:ascii="Courier New" w:hAnsi="Courier New" w:cs="Courier New" w:hint="default"/>
      </w:rPr>
    </w:lvl>
    <w:lvl w:ilvl="8" w:tplc="0C090005" w:tentative="1">
      <w:start w:val="1"/>
      <w:numFmt w:val="bullet"/>
      <w:lvlText w:val=""/>
      <w:lvlJc w:val="left"/>
      <w:pPr>
        <w:tabs>
          <w:tab w:val="num" w:pos="7194"/>
        </w:tabs>
        <w:ind w:left="7194" w:hanging="360"/>
      </w:pPr>
      <w:rPr>
        <w:rFonts w:ascii="Wingdings" w:hAnsi="Wingdings" w:hint="default"/>
      </w:rPr>
    </w:lvl>
  </w:abstractNum>
  <w:abstractNum w:abstractNumId="12">
    <w:nsid w:val="18CF7699"/>
    <w:multiLevelType w:val="hybridMultilevel"/>
    <w:tmpl w:val="1EC6D346"/>
    <w:lvl w:ilvl="0" w:tplc="EB081A80">
      <w:start w:val="92"/>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2ED0DF7"/>
    <w:multiLevelType w:val="hybridMultilevel"/>
    <w:tmpl w:val="99524468"/>
    <w:lvl w:ilvl="0" w:tplc="D48451A8">
      <w:start w:val="1"/>
      <w:numFmt w:val="bullet"/>
      <w:pStyle w:val="StyleNew"/>
      <w:lvlText w:val=""/>
      <w:lvlJc w:val="left"/>
      <w:pPr>
        <w:tabs>
          <w:tab w:val="num" w:pos="720"/>
        </w:tabs>
        <w:ind w:left="340" w:hanging="340"/>
      </w:pPr>
      <w:rPr>
        <w:rFonts w:ascii="Symbol" w:hAnsi="Symbol" w:hint="default"/>
      </w:rPr>
    </w:lvl>
    <w:lvl w:ilvl="1" w:tplc="F294D27C">
      <w:start w:val="1"/>
      <w:numFmt w:val="bullet"/>
      <w:lvlText w:val="o"/>
      <w:lvlJc w:val="left"/>
      <w:pPr>
        <w:tabs>
          <w:tab w:val="num" w:pos="927"/>
        </w:tabs>
        <w:ind w:left="907" w:hanging="34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C14251"/>
    <w:multiLevelType w:val="hybridMultilevel"/>
    <w:tmpl w:val="B71A0D02"/>
    <w:lvl w:ilvl="0" w:tplc="0AE697B6">
      <w:start w:val="4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7FA6D69"/>
    <w:multiLevelType w:val="multilevel"/>
    <w:tmpl w:val="306CEBB4"/>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BED6B6D"/>
    <w:multiLevelType w:val="hybridMultilevel"/>
    <w:tmpl w:val="F8EABBF0"/>
    <w:lvl w:ilvl="0" w:tplc="0F385938">
      <w:start w:val="1"/>
      <w:numFmt w:val="lowerRoman"/>
      <w:lvlText w:val="%1."/>
      <w:lvlJc w:val="left"/>
      <w:pPr>
        <w:tabs>
          <w:tab w:val="num" w:pos="357"/>
        </w:tabs>
        <w:ind w:left="357" w:hanging="35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nsid w:val="31584003"/>
    <w:multiLevelType w:val="singleLevel"/>
    <w:tmpl w:val="AC5A729E"/>
    <w:lvl w:ilvl="0">
      <w:start w:val="1"/>
      <w:numFmt w:val="bullet"/>
      <w:lvlText w:val=""/>
      <w:lvlJc w:val="left"/>
      <w:pPr>
        <w:tabs>
          <w:tab w:val="num" w:pos="360"/>
        </w:tabs>
        <w:ind w:left="360" w:hanging="360"/>
      </w:pPr>
      <w:rPr>
        <w:rFonts w:ascii="Symbol" w:hAnsi="Symbol" w:cs="Times New Roman" w:hint="default"/>
        <w:sz w:val="20"/>
        <w:szCs w:val="20"/>
      </w:rPr>
    </w:lvl>
  </w:abstractNum>
  <w:abstractNum w:abstractNumId="19">
    <w:nsid w:val="33935232"/>
    <w:multiLevelType w:val="multilevel"/>
    <w:tmpl w:val="389E818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i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5E01269"/>
    <w:multiLevelType w:val="hybridMultilevel"/>
    <w:tmpl w:val="E1E6E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951A0B"/>
    <w:multiLevelType w:val="hybridMultilevel"/>
    <w:tmpl w:val="F11AFA8E"/>
    <w:lvl w:ilvl="0" w:tplc="B442E3F0">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C7B0911"/>
    <w:multiLevelType w:val="hybridMultilevel"/>
    <w:tmpl w:val="EB2E00FE"/>
    <w:lvl w:ilvl="0" w:tplc="B26A1AEA">
      <w:start w:val="6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ED77334"/>
    <w:multiLevelType w:val="hybridMultilevel"/>
    <w:tmpl w:val="B588C12C"/>
    <w:lvl w:ilvl="0" w:tplc="31CE28B0">
      <w:start w:val="3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3BE12F7"/>
    <w:multiLevelType w:val="hybridMultilevel"/>
    <w:tmpl w:val="A8240B88"/>
    <w:lvl w:ilvl="0" w:tplc="DBBA1C72">
      <w:start w:val="1"/>
      <w:numFmt w:val="lowerRoman"/>
      <w:lvlText w:val="%1."/>
      <w:lvlJc w:val="left"/>
      <w:pPr>
        <w:tabs>
          <w:tab w:val="num" w:pos="504"/>
        </w:tabs>
        <w:ind w:left="504" w:hanging="50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6CA7C41"/>
    <w:multiLevelType w:val="hybridMultilevel"/>
    <w:tmpl w:val="5BB6BCA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nsid w:val="47BD5622"/>
    <w:multiLevelType w:val="hybridMultilevel"/>
    <w:tmpl w:val="50809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052BCF"/>
    <w:multiLevelType w:val="multilevel"/>
    <w:tmpl w:val="4DBA45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9A758CD"/>
    <w:multiLevelType w:val="hybridMultilevel"/>
    <w:tmpl w:val="FC1A3F54"/>
    <w:lvl w:ilvl="0" w:tplc="83D0648E">
      <w:start w:val="85"/>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AAA2202"/>
    <w:multiLevelType w:val="multilevel"/>
    <w:tmpl w:val="02CA74CA"/>
    <w:lvl w:ilvl="0">
      <w:start w:val="1"/>
      <w:numFmt w:val="decimal"/>
      <w:lvlText w:val="%1."/>
      <w:lvlJc w:val="left"/>
      <w:pPr>
        <w:tabs>
          <w:tab w:val="num" w:pos="360"/>
        </w:tabs>
        <w:ind w:left="360" w:hanging="360"/>
      </w:pPr>
      <w:rPr>
        <w:rFonts w:hint="default"/>
        <w:i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AE7534B"/>
    <w:multiLevelType w:val="hybridMultilevel"/>
    <w:tmpl w:val="A42498A2"/>
    <w:lvl w:ilvl="0" w:tplc="5122D932">
      <w:start w:val="12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29A366A"/>
    <w:multiLevelType w:val="multilevel"/>
    <w:tmpl w:val="AE0A4630"/>
    <w:lvl w:ilvl="0">
      <w:start w:val="1"/>
      <w:numFmt w:val="decimal"/>
      <w:lvlText w:val="%1"/>
      <w:lvlJc w:val="left"/>
      <w:pPr>
        <w:tabs>
          <w:tab w:val="num" w:pos="709"/>
        </w:tabs>
        <w:ind w:left="709" w:hanging="709"/>
      </w:pPr>
      <w:rPr>
        <w:rFonts w:ascii="Arial" w:hAnsi="Arial" w:cs="Arial" w:hint="default"/>
        <w:b/>
        <w:i w:val="0"/>
        <w:sz w:val="32"/>
        <w:szCs w:val="32"/>
      </w:rPr>
    </w:lvl>
    <w:lvl w:ilvl="1">
      <w:start w:val="1"/>
      <w:numFmt w:val="decimal"/>
      <w:lvlText w:val="%1.%2"/>
      <w:lvlJc w:val="left"/>
      <w:pPr>
        <w:tabs>
          <w:tab w:val="num" w:pos="851"/>
        </w:tabs>
        <w:ind w:left="851" w:hanging="851"/>
      </w:pPr>
      <w:rPr>
        <w:rFonts w:ascii="Times New Roman" w:hAnsi="Times New Roman" w:cs="Times New Roman" w:hint="default"/>
        <w:b/>
        <w:i w:val="0"/>
        <w:color w:val="auto"/>
      </w:rPr>
    </w:lvl>
    <w:lvl w:ilvl="2">
      <w:start w:val="1"/>
      <w:numFmt w:val="bullet"/>
      <w:lvlText w:val=""/>
      <w:lvlJc w:val="left"/>
      <w:pPr>
        <w:tabs>
          <w:tab w:val="num" w:pos="1361"/>
        </w:tabs>
        <w:ind w:left="1361" w:hanging="510"/>
      </w:pPr>
      <w:rPr>
        <w:rFonts w:ascii="Symbol" w:hAnsi="Symbol" w:hint="default"/>
        <w:b/>
        <w:color w:val="auto"/>
      </w:rPr>
    </w:lvl>
    <w:lvl w:ilvl="3">
      <w:start w:val="1"/>
      <w:numFmt w:val="lowerRoman"/>
      <w:lvlText w:val="(%4)"/>
      <w:lvlJc w:val="left"/>
      <w:pPr>
        <w:tabs>
          <w:tab w:val="num" w:pos="1985"/>
        </w:tabs>
        <w:ind w:left="1985" w:hanging="567"/>
      </w:pPr>
      <w:rPr>
        <w:rFonts w:cs="Times New Roman" w:hint="default"/>
        <w:i w:val="0"/>
      </w:rPr>
    </w:lvl>
    <w:lvl w:ilvl="4">
      <w:start w:val="51"/>
      <w:numFmt w:val="decimal"/>
      <w:lvlText w:val="%1.%5P"/>
      <w:lvlJc w:val="left"/>
      <w:pPr>
        <w:tabs>
          <w:tab w:val="num" w:pos="1021"/>
        </w:tabs>
        <w:ind w:left="1021" w:hanging="964"/>
      </w:pPr>
      <w:rPr>
        <w:rFonts w:ascii="Times New Roman" w:hAnsi="Times New Roman" w:cs="Times New Roman" w:hint="default"/>
        <w:b w:val="0"/>
        <w:i w:val="0"/>
        <w:color w:val="auto"/>
        <w:sz w:val="24"/>
        <w:szCs w:val="24"/>
      </w:rPr>
    </w:lvl>
    <w:lvl w:ilvl="5">
      <w:start w:val="1"/>
      <w:numFmt w:val="lowerLetter"/>
      <w:lvlText w:val="(%6)"/>
      <w:lvlJc w:val="left"/>
      <w:pPr>
        <w:tabs>
          <w:tab w:val="num" w:pos="1531"/>
        </w:tabs>
        <w:ind w:left="1531" w:hanging="510"/>
      </w:pPr>
      <w:rPr>
        <w:rFonts w:cs="Times New Roman" w:hint="default"/>
        <w:sz w:val="22"/>
        <w:szCs w:val="22"/>
      </w:rPr>
    </w:lvl>
    <w:lvl w:ilvl="6">
      <w:start w:val="1"/>
      <w:numFmt w:val="lowerRoman"/>
      <w:lvlText w:val="(%7)"/>
      <w:lvlJc w:val="left"/>
      <w:pPr>
        <w:tabs>
          <w:tab w:val="num" w:pos="1985"/>
        </w:tabs>
        <w:ind w:left="1985" w:hanging="567"/>
      </w:pPr>
      <w:rPr>
        <w:rFonts w:cs="Times New Roman" w:hint="default"/>
      </w:rPr>
    </w:lvl>
    <w:lvl w:ilvl="7">
      <w:start w:val="71"/>
      <w:numFmt w:val="decimal"/>
      <w:lvlText w:val="%1.%8G"/>
      <w:lvlJc w:val="left"/>
      <w:pPr>
        <w:tabs>
          <w:tab w:val="num" w:pos="1021"/>
        </w:tabs>
        <w:ind w:left="1021" w:hanging="964"/>
      </w:pPr>
      <w:rPr>
        <w:rFonts w:cs="Times New Roman" w:hint="default"/>
        <w:b w:val="0"/>
        <w:i w:val="0"/>
      </w:rPr>
    </w:lvl>
    <w:lvl w:ilvl="8">
      <w:start w:val="1"/>
      <w:numFmt w:val="lowerLetter"/>
      <w:lvlText w:val="(%9)"/>
      <w:lvlJc w:val="left"/>
      <w:pPr>
        <w:tabs>
          <w:tab w:val="num" w:pos="1531"/>
        </w:tabs>
        <w:ind w:left="1531" w:hanging="510"/>
      </w:pPr>
      <w:rPr>
        <w:rFonts w:cs="Times New Roman" w:hint="default"/>
        <w:b w:val="0"/>
      </w:rPr>
    </w:lvl>
  </w:abstractNum>
  <w:abstractNum w:abstractNumId="32">
    <w:nsid w:val="53DF5F4B"/>
    <w:multiLevelType w:val="hybridMultilevel"/>
    <w:tmpl w:val="926A5ECE"/>
    <w:lvl w:ilvl="0" w:tplc="58925852">
      <w:start w:val="1"/>
      <w:numFmt w:val="bullet"/>
      <w:lvlText w:val=""/>
      <w:lvlJc w:val="left"/>
      <w:pPr>
        <w:ind w:left="2420" w:hanging="360"/>
      </w:pPr>
      <w:rPr>
        <w:rFonts w:ascii="Symbol" w:hAnsi="Symbol" w:hint="default"/>
        <w:color w:val="auto"/>
      </w:rPr>
    </w:lvl>
    <w:lvl w:ilvl="1" w:tplc="DCC06036">
      <w:start w:val="1"/>
      <w:numFmt w:val="bullet"/>
      <w:lvlText w:val="o"/>
      <w:lvlJc w:val="left"/>
      <w:pPr>
        <w:ind w:left="3140" w:hanging="360"/>
      </w:pPr>
      <w:rPr>
        <w:rFonts w:ascii="Courier New" w:hAnsi="Courier New" w:cs="Courier New" w:hint="default"/>
        <w:color w:val="auto"/>
      </w:rPr>
    </w:lvl>
    <w:lvl w:ilvl="2" w:tplc="A93C012C">
      <w:start w:val="1"/>
      <w:numFmt w:val="bullet"/>
      <w:lvlText w:val=""/>
      <w:lvlJc w:val="left"/>
      <w:pPr>
        <w:ind w:left="3860" w:hanging="360"/>
      </w:pPr>
      <w:rPr>
        <w:rFonts w:ascii="Wingdings" w:hAnsi="Wingdings" w:hint="default"/>
        <w:color w:val="auto"/>
      </w:rPr>
    </w:lvl>
    <w:lvl w:ilvl="3" w:tplc="0C090001">
      <w:start w:val="1"/>
      <w:numFmt w:val="bullet"/>
      <w:lvlText w:val=""/>
      <w:lvlJc w:val="left"/>
      <w:pPr>
        <w:ind w:left="4580" w:hanging="360"/>
      </w:pPr>
      <w:rPr>
        <w:rFonts w:ascii="Symbol" w:hAnsi="Symbol" w:hint="default"/>
      </w:rPr>
    </w:lvl>
    <w:lvl w:ilvl="4" w:tplc="0C090003" w:tentative="1">
      <w:start w:val="1"/>
      <w:numFmt w:val="bullet"/>
      <w:lvlText w:val="o"/>
      <w:lvlJc w:val="left"/>
      <w:pPr>
        <w:ind w:left="5300" w:hanging="360"/>
      </w:pPr>
      <w:rPr>
        <w:rFonts w:ascii="Courier New" w:hAnsi="Courier New" w:cs="Courier New" w:hint="default"/>
      </w:rPr>
    </w:lvl>
    <w:lvl w:ilvl="5" w:tplc="0C090005" w:tentative="1">
      <w:start w:val="1"/>
      <w:numFmt w:val="bullet"/>
      <w:lvlText w:val=""/>
      <w:lvlJc w:val="left"/>
      <w:pPr>
        <w:ind w:left="6020" w:hanging="360"/>
      </w:pPr>
      <w:rPr>
        <w:rFonts w:ascii="Wingdings" w:hAnsi="Wingdings" w:hint="default"/>
      </w:rPr>
    </w:lvl>
    <w:lvl w:ilvl="6" w:tplc="0C090001" w:tentative="1">
      <w:start w:val="1"/>
      <w:numFmt w:val="bullet"/>
      <w:lvlText w:val=""/>
      <w:lvlJc w:val="left"/>
      <w:pPr>
        <w:ind w:left="6740" w:hanging="360"/>
      </w:pPr>
      <w:rPr>
        <w:rFonts w:ascii="Symbol" w:hAnsi="Symbol" w:hint="default"/>
      </w:rPr>
    </w:lvl>
    <w:lvl w:ilvl="7" w:tplc="0C090003" w:tentative="1">
      <w:start w:val="1"/>
      <w:numFmt w:val="bullet"/>
      <w:lvlText w:val="o"/>
      <w:lvlJc w:val="left"/>
      <w:pPr>
        <w:ind w:left="7460" w:hanging="360"/>
      </w:pPr>
      <w:rPr>
        <w:rFonts w:ascii="Courier New" w:hAnsi="Courier New" w:cs="Courier New" w:hint="default"/>
      </w:rPr>
    </w:lvl>
    <w:lvl w:ilvl="8" w:tplc="0C090005" w:tentative="1">
      <w:start w:val="1"/>
      <w:numFmt w:val="bullet"/>
      <w:lvlText w:val=""/>
      <w:lvlJc w:val="left"/>
      <w:pPr>
        <w:ind w:left="8180" w:hanging="360"/>
      </w:pPr>
      <w:rPr>
        <w:rFonts w:ascii="Wingdings" w:hAnsi="Wingdings" w:hint="default"/>
      </w:rPr>
    </w:lvl>
  </w:abstractNum>
  <w:abstractNum w:abstractNumId="33">
    <w:nsid w:val="572453FF"/>
    <w:multiLevelType w:val="hybridMultilevel"/>
    <w:tmpl w:val="3D72ADDC"/>
    <w:lvl w:ilvl="0" w:tplc="518600FA">
      <w:start w:val="1"/>
      <w:numFmt w:val="lowerLetter"/>
      <w:lvlText w:val="(%1)"/>
      <w:lvlJc w:val="left"/>
      <w:pPr>
        <w:tabs>
          <w:tab w:val="num" w:pos="1080"/>
        </w:tabs>
        <w:ind w:left="1080" w:hanging="360"/>
      </w:pPr>
      <w:rPr>
        <w:rFonts w:hint="default"/>
      </w:rPr>
    </w:lvl>
    <w:lvl w:ilvl="1" w:tplc="BCCA3CF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4AAE8450">
      <w:start w:val="1"/>
      <w:numFmt w:val="lowerLetter"/>
      <w:pStyle w:val="AmendmentHeading"/>
      <w:lvlText w:val="(%4)"/>
      <w:lvlJc w:val="left"/>
      <w:pPr>
        <w:tabs>
          <w:tab w:val="num" w:pos="3240"/>
        </w:tabs>
        <w:ind w:left="3240" w:hanging="360"/>
      </w:pPr>
      <w:rPr>
        <w:rFonts w:hint="default"/>
      </w:rPr>
    </w:lvl>
    <w:lvl w:ilvl="4" w:tplc="93CA2846">
      <w:start w:val="1"/>
      <w:numFmt w:val="bullet"/>
      <w:lvlText w:val=""/>
      <w:lvlJc w:val="left"/>
      <w:pPr>
        <w:tabs>
          <w:tab w:val="num" w:pos="3960"/>
        </w:tabs>
        <w:ind w:left="3960" w:hanging="360"/>
      </w:pPr>
      <w:rPr>
        <w:rFonts w:ascii="Symbol" w:hAnsi="Symbol" w:hint="default"/>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0584DC1"/>
    <w:multiLevelType w:val="hybridMultilevel"/>
    <w:tmpl w:val="7C9AC1CE"/>
    <w:lvl w:ilvl="0" w:tplc="FF54E9CC">
      <w:start w:val="100"/>
      <w:numFmt w:val="decimal"/>
      <w:lvlText w:val="%1."/>
      <w:lvlJc w:val="left"/>
      <w:pPr>
        <w:tabs>
          <w:tab w:val="num" w:pos="1080"/>
        </w:tabs>
        <w:ind w:left="1080" w:hanging="360"/>
      </w:pPr>
      <w:rPr>
        <w:rFonts w:hint="default"/>
      </w:rPr>
    </w:lvl>
    <w:lvl w:ilvl="1" w:tplc="0CFC87CC">
      <w:start w:val="1"/>
      <w:numFmt w:val="decimal"/>
      <w:lvlText w:val="%2"/>
      <w:lvlJc w:val="left"/>
      <w:pPr>
        <w:tabs>
          <w:tab w:val="num" w:pos="1812"/>
        </w:tabs>
        <w:ind w:left="1812" w:hanging="732"/>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F93D22"/>
    <w:multiLevelType w:val="hybridMultilevel"/>
    <w:tmpl w:val="0B168BF8"/>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65D866A1"/>
    <w:multiLevelType w:val="multilevel"/>
    <w:tmpl w:val="1578179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A38338E"/>
    <w:multiLevelType w:val="singleLevel"/>
    <w:tmpl w:val="2922866A"/>
    <w:lvl w:ilvl="0">
      <w:start w:val="1"/>
      <w:numFmt w:val="bullet"/>
      <w:pStyle w:val="Colon"/>
      <w:lvlText w:val=""/>
      <w:lvlJc w:val="left"/>
      <w:pPr>
        <w:tabs>
          <w:tab w:val="num" w:pos="360"/>
        </w:tabs>
        <w:ind w:left="360" w:hanging="360"/>
      </w:pPr>
      <w:rPr>
        <w:rFonts w:ascii="Symbol" w:hAnsi="Symbol" w:cs="Times New Roman" w:hint="default"/>
      </w:rPr>
    </w:lvl>
  </w:abstractNum>
  <w:abstractNum w:abstractNumId="38">
    <w:nsid w:val="712025A5"/>
    <w:multiLevelType w:val="hybridMultilevel"/>
    <w:tmpl w:val="B75E096E"/>
    <w:lvl w:ilvl="0" w:tplc="FBB4C636">
      <w:start w:val="1"/>
      <w:numFmt w:val="lowerRoman"/>
      <w:lvlText w:val="%1."/>
      <w:lvlJc w:val="left"/>
      <w:pPr>
        <w:tabs>
          <w:tab w:val="num" w:pos="504"/>
        </w:tabs>
        <w:ind w:left="504" w:hanging="504"/>
      </w:pPr>
      <w:rPr>
        <w:rFonts w:hint="default"/>
        <w:b w:val="0"/>
        <w:i w:val="0"/>
      </w:rPr>
    </w:lvl>
    <w:lvl w:ilvl="1" w:tplc="269EEE5E">
      <w:start w:val="1"/>
      <w:numFmt w:val="bullet"/>
      <w:lvlText w:val=""/>
      <w:lvlJc w:val="left"/>
      <w:pPr>
        <w:tabs>
          <w:tab w:val="num" w:pos="1437"/>
        </w:tabs>
        <w:ind w:left="1437" w:hanging="35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2766F16"/>
    <w:multiLevelType w:val="multilevel"/>
    <w:tmpl w:val="52E8072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662561B"/>
    <w:multiLevelType w:val="hybridMultilevel"/>
    <w:tmpl w:val="30DCCCEC"/>
    <w:lvl w:ilvl="0" w:tplc="1694B148">
      <w:start w:val="50"/>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71B13EB"/>
    <w:multiLevelType w:val="multilevel"/>
    <w:tmpl w:val="8B86FDC8"/>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upperLetter"/>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82D2D72"/>
    <w:multiLevelType w:val="hybridMultilevel"/>
    <w:tmpl w:val="601C9528"/>
    <w:lvl w:ilvl="0" w:tplc="29D06322">
      <w:start w:val="75"/>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ABF4A93"/>
    <w:multiLevelType w:val="hybridMultilevel"/>
    <w:tmpl w:val="7CB0D9C2"/>
    <w:lvl w:ilvl="0" w:tplc="0F385938">
      <w:start w:val="1"/>
      <w:numFmt w:val="lowerRoman"/>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7ECD4394"/>
    <w:multiLevelType w:val="hybridMultilevel"/>
    <w:tmpl w:val="0E681B08"/>
    <w:lvl w:ilvl="0" w:tplc="0F385938">
      <w:start w:val="1"/>
      <w:numFmt w:val="lowerRoman"/>
      <w:lvlText w:val="%1."/>
      <w:lvlJc w:val="left"/>
      <w:pPr>
        <w:tabs>
          <w:tab w:val="num" w:pos="357"/>
        </w:tabs>
        <w:ind w:left="357" w:hanging="357"/>
      </w:pPr>
      <w:rPr>
        <w:rFonts w:hint="default"/>
      </w:rPr>
    </w:lvl>
    <w:lvl w:ilvl="1" w:tplc="269EEE5E">
      <w:start w:val="1"/>
      <w:numFmt w:val="bullet"/>
      <w:lvlText w:val=""/>
      <w:lvlJc w:val="left"/>
      <w:pPr>
        <w:tabs>
          <w:tab w:val="num" w:pos="1437"/>
        </w:tabs>
        <w:ind w:left="1437" w:hanging="35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7"/>
  </w:num>
  <w:num w:numId="3">
    <w:abstractNumId w:val="18"/>
  </w:num>
  <w:num w:numId="4">
    <w:abstractNumId w:val="9"/>
  </w:num>
  <w:num w:numId="5">
    <w:abstractNumId w:val="27"/>
  </w:num>
  <w:num w:numId="6">
    <w:abstractNumId w:val="8"/>
  </w:num>
  <w:num w:numId="7">
    <w:abstractNumId w:val="20"/>
  </w:num>
  <w:num w:numId="8">
    <w:abstractNumId w:val="26"/>
  </w:num>
  <w:num w:numId="9">
    <w:abstractNumId w:val="39"/>
  </w:num>
  <w:num w:numId="10">
    <w:abstractNumId w:val="35"/>
  </w:num>
  <w:num w:numId="11">
    <w:abstractNumId w:val="23"/>
  </w:num>
  <w:num w:numId="12">
    <w:abstractNumId w:val="14"/>
  </w:num>
  <w:num w:numId="13">
    <w:abstractNumId w:val="40"/>
  </w:num>
  <w:num w:numId="14">
    <w:abstractNumId w:val="22"/>
  </w:num>
  <w:num w:numId="15">
    <w:abstractNumId w:val="42"/>
  </w:num>
  <w:num w:numId="16">
    <w:abstractNumId w:val="1"/>
  </w:num>
  <w:num w:numId="17">
    <w:abstractNumId w:val="28"/>
  </w:num>
  <w:num w:numId="18">
    <w:abstractNumId w:val="12"/>
  </w:num>
  <w:num w:numId="19">
    <w:abstractNumId w:val="34"/>
  </w:num>
  <w:num w:numId="20">
    <w:abstractNumId w:val="30"/>
  </w:num>
  <w:num w:numId="21">
    <w:abstractNumId w:val="41"/>
  </w:num>
  <w:num w:numId="22">
    <w:abstractNumId w:val="6"/>
  </w:num>
  <w:num w:numId="23">
    <w:abstractNumId w:val="19"/>
  </w:num>
  <w:num w:numId="24">
    <w:abstractNumId w:val="7"/>
  </w:num>
  <w:num w:numId="25">
    <w:abstractNumId w:val="25"/>
  </w:num>
  <w:num w:numId="26">
    <w:abstractNumId w:val="2"/>
  </w:num>
  <w:num w:numId="27">
    <w:abstractNumId w:val="44"/>
  </w:num>
  <w:num w:numId="28">
    <w:abstractNumId w:val="11"/>
  </w:num>
  <w:num w:numId="29">
    <w:abstractNumId w:val="4"/>
  </w:num>
  <w:num w:numId="30">
    <w:abstractNumId w:val="43"/>
  </w:num>
  <w:num w:numId="31">
    <w:abstractNumId w:val="16"/>
  </w:num>
  <w:num w:numId="32">
    <w:abstractNumId w:val="38"/>
  </w:num>
  <w:num w:numId="33">
    <w:abstractNumId w:val="29"/>
  </w:num>
  <w:num w:numId="34">
    <w:abstractNumId w:val="10"/>
  </w:num>
  <w:num w:numId="35">
    <w:abstractNumId w:val="24"/>
  </w:num>
  <w:num w:numId="36">
    <w:abstractNumId w:val="36"/>
  </w:num>
  <w:num w:numId="37">
    <w:abstractNumId w:val="3"/>
  </w:num>
  <w:num w:numId="38">
    <w:abstractNumId w:val="31"/>
  </w:num>
  <w:num w:numId="39">
    <w:abstractNumId w:val="13"/>
  </w:num>
  <w:num w:numId="40">
    <w:abstractNumId w:val="32"/>
  </w:num>
  <w:num w:numId="41">
    <w:abstractNumId w:val="17"/>
  </w:num>
  <w:num w:numId="42">
    <w:abstractNumId w:val="5"/>
  </w:num>
  <w:num w:numId="43">
    <w:abstractNumId w:val="1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37"/>
  <w:noPunctuationKerning/>
  <w:characterSpacingControl w:val="doNotCompress"/>
  <w:hdrShapeDefaults>
    <o:shapedefaults v:ext="edit" spidmax="696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971"/>
    <w:rsid w:val="0000674E"/>
    <w:rsid w:val="000359A8"/>
    <w:rsid w:val="00037F5D"/>
    <w:rsid w:val="00047EC3"/>
    <w:rsid w:val="00051243"/>
    <w:rsid w:val="0007348C"/>
    <w:rsid w:val="0008325B"/>
    <w:rsid w:val="000A154D"/>
    <w:rsid w:val="000A2D37"/>
    <w:rsid w:val="000B5C59"/>
    <w:rsid w:val="000D5BC6"/>
    <w:rsid w:val="000F357C"/>
    <w:rsid w:val="000F54DA"/>
    <w:rsid w:val="00107D09"/>
    <w:rsid w:val="00120B88"/>
    <w:rsid w:val="00131A52"/>
    <w:rsid w:val="00136DC3"/>
    <w:rsid w:val="00147057"/>
    <w:rsid w:val="00157755"/>
    <w:rsid w:val="00171AE6"/>
    <w:rsid w:val="00194265"/>
    <w:rsid w:val="001A5CE0"/>
    <w:rsid w:val="001D2D11"/>
    <w:rsid w:val="001E0E7C"/>
    <w:rsid w:val="001E451E"/>
    <w:rsid w:val="002256D1"/>
    <w:rsid w:val="0025231B"/>
    <w:rsid w:val="00267B34"/>
    <w:rsid w:val="00291940"/>
    <w:rsid w:val="002A0BFE"/>
    <w:rsid w:val="002A1AC4"/>
    <w:rsid w:val="002A4F19"/>
    <w:rsid w:val="002C2376"/>
    <w:rsid w:val="002C5E08"/>
    <w:rsid w:val="002C61CF"/>
    <w:rsid w:val="002D46B0"/>
    <w:rsid w:val="002E5296"/>
    <w:rsid w:val="002E56A4"/>
    <w:rsid w:val="002E6107"/>
    <w:rsid w:val="002F1BB4"/>
    <w:rsid w:val="0034240F"/>
    <w:rsid w:val="0035006A"/>
    <w:rsid w:val="00377E45"/>
    <w:rsid w:val="003846EF"/>
    <w:rsid w:val="0039160A"/>
    <w:rsid w:val="00397D8B"/>
    <w:rsid w:val="003B7D2E"/>
    <w:rsid w:val="003C52C7"/>
    <w:rsid w:val="003D3B28"/>
    <w:rsid w:val="003E1B8D"/>
    <w:rsid w:val="003E590E"/>
    <w:rsid w:val="003E6864"/>
    <w:rsid w:val="003F4C4C"/>
    <w:rsid w:val="00402FEF"/>
    <w:rsid w:val="004079A5"/>
    <w:rsid w:val="00421949"/>
    <w:rsid w:val="004373D6"/>
    <w:rsid w:val="00460056"/>
    <w:rsid w:val="004636B2"/>
    <w:rsid w:val="00463A94"/>
    <w:rsid w:val="00471C6A"/>
    <w:rsid w:val="00485048"/>
    <w:rsid w:val="00490663"/>
    <w:rsid w:val="004A7FBD"/>
    <w:rsid w:val="004B6DC8"/>
    <w:rsid w:val="004D44EF"/>
    <w:rsid w:val="004D50FB"/>
    <w:rsid w:val="004D6E83"/>
    <w:rsid w:val="004E2414"/>
    <w:rsid w:val="004E43F1"/>
    <w:rsid w:val="00506090"/>
    <w:rsid w:val="00527733"/>
    <w:rsid w:val="00532337"/>
    <w:rsid w:val="0054303D"/>
    <w:rsid w:val="00544DC1"/>
    <w:rsid w:val="00552752"/>
    <w:rsid w:val="0056441E"/>
    <w:rsid w:val="00576107"/>
    <w:rsid w:val="005775C2"/>
    <w:rsid w:val="005C5255"/>
    <w:rsid w:val="005D07D3"/>
    <w:rsid w:val="005E014D"/>
    <w:rsid w:val="005E34F3"/>
    <w:rsid w:val="005E597D"/>
    <w:rsid w:val="0060489C"/>
    <w:rsid w:val="00612E1E"/>
    <w:rsid w:val="00643CC6"/>
    <w:rsid w:val="00686983"/>
    <w:rsid w:val="00691088"/>
    <w:rsid w:val="00693D80"/>
    <w:rsid w:val="006B075B"/>
    <w:rsid w:val="006B07DA"/>
    <w:rsid w:val="006B49EA"/>
    <w:rsid w:val="006C1849"/>
    <w:rsid w:val="006D6AEE"/>
    <w:rsid w:val="0071140C"/>
    <w:rsid w:val="007142DC"/>
    <w:rsid w:val="0072275C"/>
    <w:rsid w:val="0072401B"/>
    <w:rsid w:val="007329EA"/>
    <w:rsid w:val="007334F8"/>
    <w:rsid w:val="00737756"/>
    <w:rsid w:val="007415A3"/>
    <w:rsid w:val="0074667E"/>
    <w:rsid w:val="00753CD8"/>
    <w:rsid w:val="007816D7"/>
    <w:rsid w:val="00792494"/>
    <w:rsid w:val="00792E4C"/>
    <w:rsid w:val="007C186E"/>
    <w:rsid w:val="007C43FC"/>
    <w:rsid w:val="007F1E8F"/>
    <w:rsid w:val="007F4300"/>
    <w:rsid w:val="00800BFF"/>
    <w:rsid w:val="00801B54"/>
    <w:rsid w:val="00802A29"/>
    <w:rsid w:val="008068CF"/>
    <w:rsid w:val="0081179F"/>
    <w:rsid w:val="00820235"/>
    <w:rsid w:val="00822284"/>
    <w:rsid w:val="008228F4"/>
    <w:rsid w:val="00851C50"/>
    <w:rsid w:val="00852AF7"/>
    <w:rsid w:val="008658C0"/>
    <w:rsid w:val="00867E15"/>
    <w:rsid w:val="00885099"/>
    <w:rsid w:val="008921CA"/>
    <w:rsid w:val="00894B98"/>
    <w:rsid w:val="00895A65"/>
    <w:rsid w:val="008A1BDA"/>
    <w:rsid w:val="008A7621"/>
    <w:rsid w:val="008D0219"/>
    <w:rsid w:val="008F48A3"/>
    <w:rsid w:val="00903BC5"/>
    <w:rsid w:val="00921AAE"/>
    <w:rsid w:val="00932D06"/>
    <w:rsid w:val="00933FDE"/>
    <w:rsid w:val="00935A56"/>
    <w:rsid w:val="00947296"/>
    <w:rsid w:val="009646B1"/>
    <w:rsid w:val="00966BE4"/>
    <w:rsid w:val="009A03BF"/>
    <w:rsid w:val="009A40AB"/>
    <w:rsid w:val="009A51A2"/>
    <w:rsid w:val="009A6ACB"/>
    <w:rsid w:val="009D2CB0"/>
    <w:rsid w:val="009D50F8"/>
    <w:rsid w:val="009E3AC5"/>
    <w:rsid w:val="00A02879"/>
    <w:rsid w:val="00A13A6F"/>
    <w:rsid w:val="00A14A22"/>
    <w:rsid w:val="00A15936"/>
    <w:rsid w:val="00A242F8"/>
    <w:rsid w:val="00A26C80"/>
    <w:rsid w:val="00A453BF"/>
    <w:rsid w:val="00A515D7"/>
    <w:rsid w:val="00A66004"/>
    <w:rsid w:val="00A72962"/>
    <w:rsid w:val="00A74B02"/>
    <w:rsid w:val="00A87691"/>
    <w:rsid w:val="00AC4724"/>
    <w:rsid w:val="00AD23B9"/>
    <w:rsid w:val="00AE0023"/>
    <w:rsid w:val="00AF00A4"/>
    <w:rsid w:val="00B04180"/>
    <w:rsid w:val="00B04D05"/>
    <w:rsid w:val="00B163FC"/>
    <w:rsid w:val="00B2178C"/>
    <w:rsid w:val="00B3043B"/>
    <w:rsid w:val="00B3474A"/>
    <w:rsid w:val="00B40BF9"/>
    <w:rsid w:val="00B57F74"/>
    <w:rsid w:val="00B6108D"/>
    <w:rsid w:val="00B77B86"/>
    <w:rsid w:val="00B83BCD"/>
    <w:rsid w:val="00BA129C"/>
    <w:rsid w:val="00C07FE4"/>
    <w:rsid w:val="00C20B32"/>
    <w:rsid w:val="00C5393C"/>
    <w:rsid w:val="00C57046"/>
    <w:rsid w:val="00C62D1C"/>
    <w:rsid w:val="00C748B2"/>
    <w:rsid w:val="00C74DEE"/>
    <w:rsid w:val="00C82147"/>
    <w:rsid w:val="00C95FFD"/>
    <w:rsid w:val="00C97DDA"/>
    <w:rsid w:val="00CA1AB8"/>
    <w:rsid w:val="00CB165A"/>
    <w:rsid w:val="00CB2978"/>
    <w:rsid w:val="00CD5987"/>
    <w:rsid w:val="00CE67B8"/>
    <w:rsid w:val="00CF1AE9"/>
    <w:rsid w:val="00D56281"/>
    <w:rsid w:val="00D82A3C"/>
    <w:rsid w:val="00D8500D"/>
    <w:rsid w:val="00D95A58"/>
    <w:rsid w:val="00DA003F"/>
    <w:rsid w:val="00DA47EA"/>
    <w:rsid w:val="00DB29DB"/>
    <w:rsid w:val="00DC6B86"/>
    <w:rsid w:val="00DD1D67"/>
    <w:rsid w:val="00E061F0"/>
    <w:rsid w:val="00E13AED"/>
    <w:rsid w:val="00E23480"/>
    <w:rsid w:val="00E259A1"/>
    <w:rsid w:val="00E53951"/>
    <w:rsid w:val="00E6511D"/>
    <w:rsid w:val="00E835FF"/>
    <w:rsid w:val="00E8558E"/>
    <w:rsid w:val="00E9733F"/>
    <w:rsid w:val="00EA2933"/>
    <w:rsid w:val="00EC1E9C"/>
    <w:rsid w:val="00EE4401"/>
    <w:rsid w:val="00EF3971"/>
    <w:rsid w:val="00F011CD"/>
    <w:rsid w:val="00F05198"/>
    <w:rsid w:val="00F056B8"/>
    <w:rsid w:val="00F20000"/>
    <w:rsid w:val="00F275C6"/>
    <w:rsid w:val="00F33A42"/>
    <w:rsid w:val="00F458E0"/>
    <w:rsid w:val="00F53ADE"/>
    <w:rsid w:val="00F74DBB"/>
    <w:rsid w:val="00F7561A"/>
    <w:rsid w:val="00FC2768"/>
    <w:rsid w:val="00FD6D95"/>
    <w:rsid w:val="00FE3FB9"/>
    <w:rsid w:val="00FF063C"/>
    <w:rsid w:val="00FF56D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6D2"/>
    <w:rPr>
      <w:sz w:val="24"/>
      <w:szCs w:val="24"/>
      <w:lang w:eastAsia="en-US"/>
    </w:rPr>
  </w:style>
  <w:style w:type="paragraph" w:styleId="Heading1">
    <w:name w:val="heading 1"/>
    <w:aliases w:val="Attribute Heading 1,h1,Attribute Heading 11,Attribute Heading 12,Attribute Heading 13,Attribute Heading 14,Attribute Heading 15,Attribute Heading 16,Attribute Heading 17,Attribute Heading 18,Attribute Heading 111,Attribute Heading 121"/>
    <w:basedOn w:val="Normal"/>
    <w:next w:val="Normal"/>
    <w:qFormat/>
    <w:rsid w:val="00FF56D2"/>
    <w:pPr>
      <w:keepNext/>
      <w:outlineLvl w:val="0"/>
    </w:pPr>
    <w:rPr>
      <w:b/>
      <w:bCs/>
      <w:lang w:val="en-US"/>
    </w:rPr>
  </w:style>
  <w:style w:type="paragraph" w:styleId="Heading2">
    <w:name w:val="heading 2"/>
    <w:basedOn w:val="Normal"/>
    <w:next w:val="Normal"/>
    <w:qFormat/>
    <w:rsid w:val="00FF56D2"/>
    <w:pPr>
      <w:keepNext/>
      <w:spacing w:before="240" w:after="60"/>
      <w:outlineLvl w:val="1"/>
    </w:pPr>
    <w:rPr>
      <w:rFonts w:ascii="Arial" w:hAnsi="Arial" w:cs="Arial"/>
      <w:b/>
      <w:bCs/>
      <w:i/>
      <w:iCs/>
      <w:sz w:val="28"/>
      <w:szCs w:val="28"/>
    </w:rPr>
  </w:style>
  <w:style w:type="paragraph" w:styleId="Heading3">
    <w:name w:val="heading 3"/>
    <w:aliases w:val="h3,3,l3,Level 3 Head,HeadSmall,h31,31,l31,Level 3 Head1,H31,HeadSmall1,h32,32,l32,Level 3 Head2,H32,HeadSmall2,h33,33,l33,Level 3 Head3,H33,HeadSmall3,heading 31,Level 1 - 1,C Sub-Sub/Italic,h34,34,l34,Level 3 Head4,H34,heading 3,HeadSmall4"/>
    <w:basedOn w:val="Normal"/>
    <w:next w:val="Normal"/>
    <w:qFormat/>
    <w:rsid w:val="00FF56D2"/>
    <w:pPr>
      <w:keepNext/>
      <w:spacing w:before="240" w:after="60"/>
      <w:outlineLvl w:val="2"/>
    </w:pPr>
  </w:style>
  <w:style w:type="paragraph" w:styleId="Heading4">
    <w:name w:val="heading 4"/>
    <w:aliases w:val="Map Title"/>
    <w:basedOn w:val="Normal"/>
    <w:next w:val="Normal"/>
    <w:qFormat/>
    <w:rsid w:val="00FF56D2"/>
    <w:pPr>
      <w:keepNext/>
      <w:spacing w:before="240" w:after="60"/>
      <w:outlineLvl w:val="3"/>
    </w:pPr>
    <w:rPr>
      <w:b/>
      <w:bCs/>
      <w:sz w:val="28"/>
      <w:szCs w:val="28"/>
    </w:rPr>
  </w:style>
  <w:style w:type="paragraph" w:styleId="Heading5">
    <w:name w:val="heading 5"/>
    <w:basedOn w:val="Normal"/>
    <w:next w:val="Normal"/>
    <w:qFormat/>
    <w:rsid w:val="00FF56D2"/>
    <w:pPr>
      <w:keepLines/>
      <w:spacing w:before="120"/>
      <w:ind w:left="1985"/>
      <w:outlineLvl w:val="4"/>
    </w:pPr>
    <w:rPr>
      <w:b/>
      <w:bCs/>
      <w:i/>
      <w:iCs/>
      <w:sz w:val="22"/>
      <w:szCs w:val="22"/>
      <w:lang w:val="en-GB"/>
    </w:rPr>
  </w:style>
  <w:style w:type="paragraph" w:styleId="Heading6">
    <w:name w:val="heading 6"/>
    <w:basedOn w:val="Normal"/>
    <w:next w:val="Normal"/>
    <w:qFormat/>
    <w:rsid w:val="00FF56D2"/>
    <w:pPr>
      <w:spacing w:before="240" w:after="60"/>
      <w:outlineLvl w:val="5"/>
    </w:pPr>
    <w:rPr>
      <w:b/>
      <w:bCs/>
      <w:sz w:val="22"/>
      <w:szCs w:val="22"/>
    </w:rPr>
  </w:style>
  <w:style w:type="paragraph" w:styleId="Heading7">
    <w:name w:val="heading 7"/>
    <w:basedOn w:val="Normal"/>
    <w:next w:val="Normal"/>
    <w:qFormat/>
    <w:rsid w:val="00FF56D2"/>
    <w:pPr>
      <w:keepNext/>
      <w:ind w:left="851"/>
      <w:outlineLvl w:val="6"/>
    </w:pPr>
    <w:rPr>
      <w:b/>
      <w:i/>
      <w:sz w:val="22"/>
      <w:szCs w:val="20"/>
      <w:lang w:val="en-GB"/>
    </w:rPr>
  </w:style>
  <w:style w:type="paragraph" w:styleId="Heading8">
    <w:name w:val="heading 8"/>
    <w:basedOn w:val="Normal"/>
    <w:next w:val="Normal"/>
    <w:qFormat/>
    <w:rsid w:val="00FF56D2"/>
    <w:pPr>
      <w:keepNext/>
      <w:outlineLvl w:val="7"/>
    </w:pPr>
    <w:rPr>
      <w:i/>
      <w:sz w:val="18"/>
    </w:rPr>
  </w:style>
  <w:style w:type="paragraph" w:styleId="Heading9">
    <w:name w:val="heading 9"/>
    <w:basedOn w:val="Normal"/>
    <w:next w:val="Normal"/>
    <w:qFormat/>
    <w:rsid w:val="00F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5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pPr>
    <w:rPr>
      <w:snapToGrid w:val="0"/>
      <w:color w:val="000000"/>
      <w:szCs w:val="20"/>
      <w:u w:val="single"/>
    </w:rPr>
  </w:style>
  <w:style w:type="paragraph" w:styleId="BodyText2">
    <w:name w:val="Body Text 2"/>
    <w:basedOn w:val="Normal"/>
    <w:rsid w:val="00FF56D2"/>
    <w:pPr>
      <w:spacing w:before="120" w:after="120"/>
      <w:jc w:val="center"/>
    </w:pPr>
    <w:rPr>
      <w:sz w:val="22"/>
      <w:lang w:val="en-US"/>
    </w:rPr>
  </w:style>
  <w:style w:type="paragraph" w:customStyle="1" w:styleId="ParaNumbering">
    <w:name w:val="Para Numbering"/>
    <w:basedOn w:val="Normal"/>
    <w:rsid w:val="00FF56D2"/>
    <w:pPr>
      <w:tabs>
        <w:tab w:val="left" w:pos="567"/>
      </w:tabs>
      <w:spacing w:after="200"/>
    </w:pPr>
    <w:rPr>
      <w:szCs w:val="20"/>
    </w:rPr>
  </w:style>
  <w:style w:type="paragraph" w:customStyle="1" w:styleId="ExplanatoryGuidance">
    <w:name w:val="Explanatory Guidance"/>
    <w:basedOn w:val="Normal"/>
    <w:rsid w:val="00FF56D2"/>
    <w:pPr>
      <w:keepNext/>
      <w:spacing w:before="200"/>
    </w:pPr>
    <w:rPr>
      <w:rFonts w:ascii="Arial" w:hAnsi="Arial"/>
      <w:szCs w:val="20"/>
      <w:lang w:val="en-GB"/>
    </w:rPr>
  </w:style>
  <w:style w:type="paragraph" w:customStyle="1" w:styleId="AmendmentHeading">
    <w:name w:val="Amendment Heading"/>
    <w:basedOn w:val="Normal"/>
    <w:rsid w:val="00FF56D2"/>
    <w:pPr>
      <w:numPr>
        <w:ilvl w:val="3"/>
        <w:numId w:val="1"/>
      </w:numPr>
      <w:tabs>
        <w:tab w:val="clear" w:pos="3240"/>
        <w:tab w:val="num" w:pos="800"/>
      </w:tabs>
      <w:spacing w:before="120"/>
      <w:ind w:left="499" w:hanging="357"/>
    </w:pPr>
    <w:rPr>
      <w:b/>
      <w:bCs/>
    </w:rPr>
  </w:style>
  <w:style w:type="paragraph" w:customStyle="1" w:styleId="Year">
    <w:name w:val="Year"/>
    <w:basedOn w:val="Normal"/>
    <w:rsid w:val="00FF56D2"/>
    <w:pPr>
      <w:keepNext/>
      <w:keepLines/>
      <w:pBdr>
        <w:bottom w:val="single" w:sz="6" w:space="3" w:color="auto"/>
      </w:pBdr>
      <w:tabs>
        <w:tab w:val="left" w:pos="454"/>
        <w:tab w:val="left" w:pos="907"/>
        <w:tab w:val="left" w:pos="1361"/>
        <w:tab w:val="left" w:pos="1814"/>
        <w:tab w:val="left" w:pos="2268"/>
        <w:tab w:val="right" w:leader="dot" w:pos="7938"/>
      </w:tabs>
      <w:spacing w:before="240"/>
    </w:pPr>
    <w:rPr>
      <w:i/>
      <w:iCs/>
      <w:sz w:val="22"/>
      <w:szCs w:val="22"/>
      <w:lang w:val="en-GB"/>
    </w:rPr>
  </w:style>
  <w:style w:type="paragraph" w:customStyle="1" w:styleId="BlackLetterText">
    <w:name w:val="Black Letter Text"/>
    <w:basedOn w:val="Heading2"/>
    <w:rsid w:val="00FF56D2"/>
    <w:pPr>
      <w:numPr>
        <w:ilvl w:val="1"/>
      </w:numPr>
      <w:spacing w:before="120" w:after="120"/>
      <w:ind w:left="720" w:hanging="720"/>
      <w:jc w:val="both"/>
    </w:pPr>
    <w:rPr>
      <w:rFonts w:ascii="Times New Roman" w:hAnsi="Times New Roman" w:cs="Times New Roman"/>
      <w:i w:val="0"/>
      <w:iCs w:val="0"/>
      <w:kern w:val="28"/>
      <w:sz w:val="22"/>
      <w:szCs w:val="22"/>
      <w:lang w:val="en-GB"/>
    </w:rPr>
  </w:style>
  <w:style w:type="paragraph" w:customStyle="1" w:styleId="Policy">
    <w:name w:val="Policy"/>
    <w:basedOn w:val="Heading9"/>
    <w:rsid w:val="00FF56D2"/>
    <w:pPr>
      <w:keepNext/>
      <w:spacing w:before="200" w:after="0"/>
    </w:pPr>
    <w:rPr>
      <w:b/>
      <w:bCs/>
      <w:sz w:val="24"/>
      <w:szCs w:val="24"/>
      <w:lang w:val="en-GB"/>
    </w:rPr>
  </w:style>
  <w:style w:type="paragraph" w:customStyle="1" w:styleId="BlackLetterBP">
    <w:name w:val="Black Letter BP"/>
    <w:basedOn w:val="Heading4"/>
    <w:rsid w:val="00FF56D2"/>
    <w:pPr>
      <w:keepNext w:val="0"/>
      <w:keepLines/>
      <w:tabs>
        <w:tab w:val="num" w:pos="1440"/>
      </w:tabs>
      <w:spacing w:before="120" w:after="0"/>
      <w:ind w:left="1440" w:hanging="720"/>
      <w:jc w:val="both"/>
    </w:pPr>
    <w:rPr>
      <w:sz w:val="22"/>
      <w:szCs w:val="22"/>
    </w:rPr>
  </w:style>
  <w:style w:type="paragraph" w:customStyle="1" w:styleId="41">
    <w:name w:val="4.1"/>
    <w:basedOn w:val="Normal"/>
    <w:rsid w:val="00FF56D2"/>
    <w:rPr>
      <w:b/>
      <w:bCs/>
    </w:rPr>
  </w:style>
  <w:style w:type="paragraph" w:customStyle="1" w:styleId="SC1">
    <w:name w:val="SC1"/>
    <w:basedOn w:val="Normal"/>
    <w:rsid w:val="00FF56D2"/>
    <w:pPr>
      <w:keepNext/>
      <w:tabs>
        <w:tab w:val="left" w:pos="454"/>
      </w:tabs>
      <w:spacing w:after="60"/>
      <w:outlineLvl w:val="5"/>
    </w:pPr>
    <w:rPr>
      <w:rFonts w:ascii="Arial" w:hAnsi="Arial" w:cs="Arial"/>
      <w:b/>
      <w:bCs/>
      <w:caps/>
      <w:kern w:val="28"/>
      <w:sz w:val="28"/>
      <w:szCs w:val="28"/>
    </w:rPr>
  </w:style>
  <w:style w:type="paragraph" w:styleId="FootnoteText">
    <w:name w:val="footnote text"/>
    <w:basedOn w:val="Normal"/>
    <w:semiHidden/>
    <w:rsid w:val="00FF56D2"/>
    <w:rPr>
      <w:sz w:val="20"/>
      <w:szCs w:val="20"/>
    </w:rPr>
  </w:style>
  <w:style w:type="character" w:styleId="FootnoteReference">
    <w:name w:val="footnote reference"/>
    <w:basedOn w:val="DefaultParagraphFont"/>
    <w:semiHidden/>
    <w:rsid w:val="00FF56D2"/>
    <w:rPr>
      <w:vertAlign w:val="superscript"/>
    </w:rPr>
  </w:style>
  <w:style w:type="paragraph" w:customStyle="1" w:styleId="Colon">
    <w:name w:val="Colon"/>
    <w:basedOn w:val="Normal"/>
    <w:rsid w:val="00FF56D2"/>
    <w:pPr>
      <w:numPr>
        <w:numId w:val="2"/>
      </w:numPr>
      <w:spacing w:line="240" w:lineRule="atLeast"/>
      <w:ind w:left="0" w:firstLine="0"/>
    </w:pPr>
  </w:style>
  <w:style w:type="paragraph" w:customStyle="1" w:styleId="Tabletext">
    <w:name w:val="Table text"/>
    <w:basedOn w:val="Normal"/>
    <w:rsid w:val="00FF56D2"/>
    <w:pPr>
      <w:spacing w:before="60" w:after="60"/>
    </w:pPr>
    <w:rPr>
      <w:sz w:val="18"/>
      <w:szCs w:val="18"/>
      <w:lang w:val="en-GB"/>
    </w:rPr>
  </w:style>
  <w:style w:type="paragraph" w:customStyle="1" w:styleId="H6">
    <w:name w:val="H6"/>
    <w:basedOn w:val="Heading6"/>
    <w:rsid w:val="00FF56D2"/>
    <w:pPr>
      <w:keepNext/>
      <w:tabs>
        <w:tab w:val="left" w:pos="454"/>
      </w:tabs>
      <w:spacing w:before="0"/>
    </w:pPr>
    <w:rPr>
      <w:i/>
      <w:iCs/>
      <w:sz w:val="20"/>
      <w:szCs w:val="20"/>
    </w:rPr>
  </w:style>
  <w:style w:type="paragraph" w:customStyle="1" w:styleId="BlackLetterSubBullet">
    <w:name w:val="Black Letter Sub Bullet"/>
    <w:basedOn w:val="Heading2"/>
    <w:rsid w:val="00FF56D2"/>
    <w:pPr>
      <w:numPr>
        <w:ilvl w:val="1"/>
      </w:numPr>
      <w:tabs>
        <w:tab w:val="left" w:pos="3570"/>
      </w:tabs>
      <w:spacing w:before="120" w:after="120"/>
      <w:ind w:left="2160" w:hanging="720"/>
      <w:jc w:val="both"/>
    </w:pPr>
    <w:rPr>
      <w:rFonts w:ascii="Times New Roman" w:hAnsi="Times New Roman" w:cs="Times New Roman"/>
      <w:i w:val="0"/>
      <w:iCs w:val="0"/>
      <w:kern w:val="28"/>
      <w:sz w:val="22"/>
      <w:szCs w:val="22"/>
      <w:lang w:val="en-GB"/>
    </w:rPr>
  </w:style>
  <w:style w:type="paragraph" w:styleId="Header">
    <w:name w:val="header"/>
    <w:basedOn w:val="Normal"/>
    <w:rsid w:val="00FF56D2"/>
    <w:pPr>
      <w:tabs>
        <w:tab w:val="center" w:pos="4153"/>
        <w:tab w:val="right" w:pos="8306"/>
      </w:tabs>
    </w:pPr>
  </w:style>
  <w:style w:type="paragraph" w:styleId="BodyText">
    <w:name w:val="Body Text"/>
    <w:basedOn w:val="Normal"/>
    <w:rsid w:val="00FF56D2"/>
    <w:pPr>
      <w:spacing w:before="120" w:after="120"/>
      <w:jc w:val="center"/>
    </w:pPr>
    <w:rPr>
      <w:i/>
      <w:iCs/>
      <w:sz w:val="22"/>
    </w:rPr>
  </w:style>
  <w:style w:type="paragraph" w:styleId="BodyText3">
    <w:name w:val="Body Text 3"/>
    <w:basedOn w:val="Normal"/>
    <w:rsid w:val="00FF56D2"/>
    <w:pPr>
      <w:spacing w:before="120" w:after="120"/>
    </w:pPr>
    <w:rPr>
      <w:sz w:val="22"/>
    </w:rPr>
  </w:style>
  <w:style w:type="paragraph" w:customStyle="1" w:styleId="H3">
    <w:name w:val="H3"/>
    <w:basedOn w:val="Normal"/>
    <w:next w:val="Normal"/>
    <w:rsid w:val="00FF56D2"/>
    <w:pPr>
      <w:keepNext/>
      <w:spacing w:before="100" w:after="100"/>
      <w:outlineLvl w:val="3"/>
    </w:pPr>
    <w:rPr>
      <w:b/>
      <w:bCs/>
      <w:sz w:val="28"/>
      <w:szCs w:val="28"/>
    </w:rPr>
  </w:style>
  <w:style w:type="paragraph" w:styleId="BodyTextIndent2">
    <w:name w:val="Body Text Indent 2"/>
    <w:basedOn w:val="Normal"/>
    <w:rsid w:val="00FF56D2"/>
    <w:pPr>
      <w:ind w:left="720" w:hanging="720"/>
      <w:jc w:val="both"/>
    </w:pPr>
    <w:rPr>
      <w:b/>
      <w:bCs/>
    </w:rPr>
  </w:style>
  <w:style w:type="paragraph" w:customStyle="1" w:styleId="TextboxDot">
    <w:name w:val="Text box Dot"/>
    <w:basedOn w:val="Textbox"/>
    <w:rsid w:val="00FF56D2"/>
    <w:pPr>
      <w:tabs>
        <w:tab w:val="num" w:pos="814"/>
      </w:tabs>
      <w:ind w:left="737" w:hanging="283"/>
    </w:pPr>
  </w:style>
  <w:style w:type="paragraph" w:customStyle="1" w:styleId="Textbox">
    <w:name w:val="Text box"/>
    <w:basedOn w:val="Normal"/>
    <w:rsid w:val="00FF56D2"/>
    <w:pPr>
      <w:spacing w:before="60"/>
      <w:jc w:val="center"/>
    </w:pPr>
    <w:rPr>
      <w:sz w:val="20"/>
      <w:szCs w:val="20"/>
      <w:lang w:val="en-GB"/>
    </w:rPr>
  </w:style>
  <w:style w:type="paragraph" w:customStyle="1" w:styleId="Style2">
    <w:name w:val="Style2"/>
    <w:basedOn w:val="Normal"/>
    <w:rsid w:val="00FF56D2"/>
    <w:pPr>
      <w:tabs>
        <w:tab w:val="num" w:pos="1701"/>
      </w:tabs>
      <w:spacing w:before="240"/>
      <w:ind w:left="1701" w:hanging="283"/>
    </w:pPr>
    <w:rPr>
      <w:b/>
      <w:bCs/>
      <w:sz w:val="22"/>
      <w:szCs w:val="22"/>
      <w:lang w:val="en-GB"/>
    </w:rPr>
  </w:style>
  <w:style w:type="paragraph" w:customStyle="1" w:styleId="Group">
    <w:name w:val="Group"/>
    <w:basedOn w:val="Normal"/>
    <w:rsid w:val="00FF56D2"/>
    <w:pPr>
      <w:keepNext/>
      <w:tabs>
        <w:tab w:val="num" w:pos="720"/>
      </w:tabs>
      <w:ind w:left="567" w:hanging="567"/>
      <w:outlineLvl w:val="0"/>
    </w:pPr>
    <w:rPr>
      <w:rFonts w:ascii="Arial" w:hAnsi="Arial" w:cs="Arial"/>
      <w:b/>
      <w:bCs/>
      <w:sz w:val="32"/>
      <w:szCs w:val="32"/>
    </w:rPr>
  </w:style>
  <w:style w:type="paragraph" w:customStyle="1" w:styleId="ABRM2">
    <w:name w:val="ABRM 2"/>
    <w:basedOn w:val="Normal"/>
    <w:rsid w:val="00FF56D2"/>
    <w:pPr>
      <w:tabs>
        <w:tab w:val="num" w:pos="720"/>
        <w:tab w:val="left" w:pos="851"/>
      </w:tabs>
      <w:spacing w:before="120" w:after="120"/>
      <w:ind w:left="851" w:hanging="851"/>
    </w:pPr>
    <w:rPr>
      <w:b/>
      <w:bCs/>
      <w:lang w:val="en-GB"/>
    </w:rPr>
  </w:style>
  <w:style w:type="paragraph" w:customStyle="1" w:styleId="Year1">
    <w:name w:val="Year1"/>
    <w:basedOn w:val="Year"/>
    <w:rsid w:val="00FF56D2"/>
    <w:pPr>
      <w:spacing w:before="60" w:after="60"/>
    </w:pPr>
    <w:rPr>
      <w:sz w:val="20"/>
      <w:szCs w:val="20"/>
    </w:rPr>
  </w:style>
  <w:style w:type="paragraph" w:customStyle="1" w:styleId="Tot">
    <w:name w:val="Tot"/>
    <w:basedOn w:val="Total"/>
    <w:rsid w:val="00FF56D2"/>
    <w:pPr>
      <w:tabs>
        <w:tab w:val="clear" w:pos="454"/>
        <w:tab w:val="clear" w:pos="907"/>
        <w:tab w:val="clear" w:pos="1361"/>
        <w:tab w:val="clear" w:pos="1814"/>
        <w:tab w:val="clear" w:pos="2268"/>
        <w:tab w:val="right" w:pos="6521"/>
        <w:tab w:val="right" w:pos="7938"/>
      </w:tabs>
    </w:pPr>
  </w:style>
  <w:style w:type="paragraph" w:customStyle="1" w:styleId="Total">
    <w:name w:val="Total"/>
    <w:basedOn w:val="Normal"/>
    <w:rsid w:val="00FF56D2"/>
    <w:pPr>
      <w:keepNext/>
      <w:keepLines/>
      <w:tabs>
        <w:tab w:val="left" w:pos="454"/>
        <w:tab w:val="left" w:pos="907"/>
        <w:tab w:val="left" w:pos="1361"/>
        <w:tab w:val="left" w:pos="1814"/>
        <w:tab w:val="left" w:pos="2268"/>
        <w:tab w:val="right" w:leader="dot" w:pos="7938"/>
      </w:tabs>
      <w:spacing w:before="60"/>
      <w:jc w:val="both"/>
    </w:pPr>
    <w:rPr>
      <w:b/>
      <w:bCs/>
      <w:sz w:val="18"/>
      <w:szCs w:val="18"/>
      <w:lang w:val="en-GB"/>
    </w:rPr>
  </w:style>
  <w:style w:type="paragraph" w:customStyle="1" w:styleId="GreyLetterText">
    <w:name w:val="Grey Letter Text"/>
    <w:basedOn w:val="Heading4"/>
    <w:rsid w:val="00FF56D2"/>
    <w:pPr>
      <w:keepNext w:val="0"/>
      <w:keepLines/>
      <w:numPr>
        <w:ilvl w:val="2"/>
      </w:numPr>
      <w:spacing w:before="120" w:after="0"/>
      <w:ind w:left="720" w:hanging="720"/>
      <w:jc w:val="both"/>
    </w:pPr>
    <w:rPr>
      <w:b w:val="0"/>
      <w:bCs w:val="0"/>
      <w:sz w:val="22"/>
      <w:szCs w:val="22"/>
    </w:rPr>
  </w:style>
  <w:style w:type="paragraph" w:customStyle="1" w:styleId="H5">
    <w:name w:val="H5"/>
    <w:basedOn w:val="Normal"/>
    <w:next w:val="Normal"/>
    <w:rsid w:val="00FF56D2"/>
    <w:pPr>
      <w:keepNext/>
      <w:spacing w:before="100" w:after="100"/>
      <w:outlineLvl w:val="5"/>
    </w:pPr>
    <w:rPr>
      <w:b/>
      <w:bCs/>
      <w:sz w:val="20"/>
      <w:szCs w:val="20"/>
    </w:rPr>
  </w:style>
  <w:style w:type="paragraph" w:customStyle="1" w:styleId="Classy">
    <w:name w:val="Classy"/>
    <w:basedOn w:val="Class"/>
    <w:rsid w:val="00FF56D2"/>
    <w:pPr>
      <w:spacing w:before="0"/>
      <w:jc w:val="left"/>
    </w:pPr>
  </w:style>
  <w:style w:type="paragraph" w:customStyle="1" w:styleId="Class">
    <w:name w:val="Class"/>
    <w:basedOn w:val="Normal"/>
    <w:rsid w:val="00FF56D2"/>
    <w:pPr>
      <w:keepLines/>
      <w:tabs>
        <w:tab w:val="left" w:pos="454"/>
        <w:tab w:val="left" w:pos="907"/>
        <w:tab w:val="left" w:pos="1361"/>
        <w:tab w:val="left" w:pos="1814"/>
        <w:tab w:val="left" w:pos="2268"/>
        <w:tab w:val="right" w:leader="dot" w:pos="7938"/>
      </w:tabs>
      <w:spacing w:before="240"/>
      <w:ind w:left="454"/>
      <w:jc w:val="both"/>
    </w:pPr>
    <w:rPr>
      <w:sz w:val="18"/>
      <w:szCs w:val="18"/>
      <w:lang w:val="en-GB"/>
    </w:rPr>
  </w:style>
  <w:style w:type="paragraph" w:customStyle="1" w:styleId="BlackLetterSubheadings">
    <w:name w:val="Black Letter Subheadings"/>
    <w:basedOn w:val="BlackLetterText"/>
    <w:rsid w:val="00FF56D2"/>
    <w:rPr>
      <w:i/>
      <w:iCs/>
    </w:rPr>
  </w:style>
  <w:style w:type="paragraph" w:customStyle="1" w:styleId="GreyLetterBP">
    <w:name w:val="Grey Letter BP"/>
    <w:basedOn w:val="Normal"/>
    <w:rsid w:val="00FF56D2"/>
    <w:pPr>
      <w:tabs>
        <w:tab w:val="left" w:pos="1442"/>
      </w:tabs>
      <w:spacing w:before="120"/>
      <w:ind w:left="1440" w:hanging="712"/>
      <w:jc w:val="both"/>
    </w:pPr>
    <w:rPr>
      <w:sz w:val="22"/>
      <w:szCs w:val="22"/>
      <w:lang w:val="en-GB"/>
    </w:rPr>
  </w:style>
  <w:style w:type="paragraph" w:styleId="Footer">
    <w:name w:val="footer"/>
    <w:basedOn w:val="Normal"/>
    <w:rsid w:val="00FF56D2"/>
    <w:pPr>
      <w:tabs>
        <w:tab w:val="center" w:pos="4153"/>
        <w:tab w:val="right" w:pos="8306"/>
      </w:tabs>
    </w:pPr>
  </w:style>
  <w:style w:type="character" w:styleId="PageNumber">
    <w:name w:val="page number"/>
    <w:basedOn w:val="DefaultParagraphFont"/>
    <w:rsid w:val="00FF56D2"/>
  </w:style>
  <w:style w:type="paragraph" w:styleId="BodyTextIndent">
    <w:name w:val="Body Text Indent"/>
    <w:basedOn w:val="Normal"/>
    <w:rsid w:val="00FF56D2"/>
    <w:pPr>
      <w:ind w:left="720" w:hanging="720"/>
    </w:pPr>
    <w:rPr>
      <w:sz w:val="22"/>
    </w:rPr>
  </w:style>
  <w:style w:type="paragraph" w:customStyle="1" w:styleId="Item">
    <w:name w:val="Item"/>
    <w:basedOn w:val="Class"/>
    <w:rsid w:val="00FF56D2"/>
    <w:pPr>
      <w:spacing w:before="60"/>
      <w:jc w:val="left"/>
    </w:pPr>
    <w:rPr>
      <w:b/>
      <w:bCs/>
    </w:rPr>
  </w:style>
  <w:style w:type="paragraph" w:customStyle="1" w:styleId="Class2">
    <w:name w:val="Class 2"/>
    <w:basedOn w:val="Class"/>
    <w:rsid w:val="00FF56D2"/>
    <w:pPr>
      <w:spacing w:before="0"/>
      <w:ind w:left="907"/>
      <w:jc w:val="left"/>
    </w:pPr>
  </w:style>
  <w:style w:type="paragraph" w:customStyle="1" w:styleId="ABRMHEAD1">
    <w:name w:val="ABRM HEAD1"/>
    <w:basedOn w:val="Heading1"/>
    <w:rsid w:val="00FF56D2"/>
    <w:pPr>
      <w:tabs>
        <w:tab w:val="num" w:pos="720"/>
      </w:tabs>
      <w:spacing w:after="240"/>
      <w:ind w:left="720" w:hanging="720"/>
    </w:pPr>
    <w:rPr>
      <w:b w:val="0"/>
      <w:bCs w:val="0"/>
      <w:sz w:val="28"/>
      <w:szCs w:val="28"/>
    </w:rPr>
  </w:style>
  <w:style w:type="paragraph" w:customStyle="1" w:styleId="ABRMHEAD2">
    <w:name w:val="ABRM HEAD2"/>
    <w:basedOn w:val="Normal"/>
    <w:rsid w:val="00FF56D2"/>
    <w:pPr>
      <w:tabs>
        <w:tab w:val="num" w:pos="360"/>
      </w:tabs>
      <w:spacing w:before="120" w:after="240"/>
    </w:pPr>
    <w:rPr>
      <w:b/>
      <w:bCs/>
    </w:rPr>
  </w:style>
  <w:style w:type="paragraph" w:customStyle="1" w:styleId="ABRMHEAD3">
    <w:name w:val="ABRM HEAD 3"/>
    <w:basedOn w:val="Normal"/>
    <w:rsid w:val="00FF56D2"/>
    <w:pPr>
      <w:tabs>
        <w:tab w:val="num" w:pos="720"/>
      </w:tabs>
      <w:spacing w:before="120" w:after="240"/>
      <w:ind w:left="720" w:hanging="720"/>
    </w:pPr>
  </w:style>
  <w:style w:type="paragraph" w:customStyle="1" w:styleId="Heading">
    <w:name w:val="Heading"/>
    <w:basedOn w:val="Normal"/>
    <w:autoRedefine/>
    <w:rsid w:val="00FF56D2"/>
    <w:pPr>
      <w:spacing w:before="120"/>
      <w:ind w:right="45"/>
    </w:pPr>
    <w:rPr>
      <w:b/>
      <w:bCs/>
      <w:caps/>
      <w:sz w:val="28"/>
      <w:szCs w:val="22"/>
    </w:rPr>
  </w:style>
  <w:style w:type="paragraph" w:customStyle="1" w:styleId="ChapterTitles">
    <w:name w:val="Chapter Titles"/>
    <w:basedOn w:val="Heading1"/>
    <w:rsid w:val="00FF56D2"/>
    <w:pPr>
      <w:spacing w:before="200" w:after="40"/>
      <w:ind w:left="2200" w:hanging="600"/>
    </w:pPr>
    <w:rPr>
      <w:kern w:val="28"/>
      <w:sz w:val="28"/>
      <w:szCs w:val="28"/>
      <w:lang w:val="en-GB"/>
    </w:rPr>
  </w:style>
  <w:style w:type="paragraph" w:customStyle="1" w:styleId="CHead1">
    <w:name w:val="C Head 1"/>
    <w:basedOn w:val="Normal"/>
    <w:rsid w:val="00FF56D2"/>
    <w:rPr>
      <w:b/>
      <w:bCs/>
      <w:sz w:val="22"/>
    </w:rPr>
  </w:style>
  <w:style w:type="paragraph" w:customStyle="1" w:styleId="H1">
    <w:name w:val="H1"/>
    <w:basedOn w:val="Normal"/>
    <w:next w:val="Normal"/>
    <w:rsid w:val="00FF56D2"/>
    <w:pPr>
      <w:keepNext/>
      <w:spacing w:before="100" w:after="100"/>
      <w:outlineLvl w:val="1"/>
    </w:pPr>
    <w:rPr>
      <w:b/>
      <w:bCs/>
      <w:kern w:val="36"/>
      <w:sz w:val="48"/>
      <w:szCs w:val="48"/>
    </w:rPr>
  </w:style>
  <w:style w:type="paragraph" w:customStyle="1" w:styleId="H2">
    <w:name w:val="H2"/>
    <w:basedOn w:val="Normal"/>
    <w:next w:val="Normal"/>
    <w:rsid w:val="00FF56D2"/>
    <w:pPr>
      <w:keepNext/>
      <w:spacing w:before="100" w:after="100"/>
      <w:outlineLvl w:val="2"/>
    </w:pPr>
    <w:rPr>
      <w:b/>
      <w:bCs/>
      <w:sz w:val="36"/>
      <w:szCs w:val="36"/>
    </w:rPr>
  </w:style>
  <w:style w:type="paragraph" w:customStyle="1" w:styleId="Ross1">
    <w:name w:val="Ross1"/>
    <w:basedOn w:val="Heading3"/>
    <w:rsid w:val="00FF56D2"/>
    <w:pPr>
      <w:keepNext w:val="0"/>
      <w:keepLines/>
      <w:spacing w:before="200" w:after="0"/>
      <w:ind w:left="851"/>
    </w:pPr>
    <w:rPr>
      <w:b/>
      <w:bCs/>
      <w:sz w:val="22"/>
      <w:szCs w:val="22"/>
    </w:rPr>
  </w:style>
  <w:style w:type="paragraph" w:customStyle="1" w:styleId="Heading20">
    <w:name w:val="Heading2"/>
    <w:basedOn w:val="Normal"/>
    <w:rsid w:val="00FF56D2"/>
    <w:pPr>
      <w:spacing w:before="240"/>
    </w:pPr>
    <w:rPr>
      <w:b/>
      <w:bCs/>
      <w:sz w:val="22"/>
      <w:szCs w:val="22"/>
      <w:lang w:val="en-GB"/>
    </w:rPr>
  </w:style>
  <w:style w:type="paragraph" w:customStyle="1" w:styleId="Class3">
    <w:name w:val="Class 3"/>
    <w:basedOn w:val="Class2"/>
    <w:rsid w:val="00FF56D2"/>
    <w:pPr>
      <w:ind w:left="1361"/>
    </w:pPr>
  </w:style>
  <w:style w:type="paragraph" w:customStyle="1" w:styleId="Heading1A">
    <w:name w:val="Heading 1A"/>
    <w:basedOn w:val="Heading1"/>
    <w:rsid w:val="00FF56D2"/>
    <w:pPr>
      <w:spacing w:after="40"/>
      <w:ind w:left="567"/>
    </w:pPr>
    <w:rPr>
      <w:kern w:val="28"/>
      <w:sz w:val="26"/>
      <w:szCs w:val="26"/>
      <w:lang w:val="en-GB"/>
    </w:rPr>
  </w:style>
  <w:style w:type="paragraph" w:customStyle="1" w:styleId="H7">
    <w:name w:val="H7"/>
    <w:basedOn w:val="H6"/>
    <w:rsid w:val="00FF56D2"/>
    <w:pPr>
      <w:keepNext w:val="0"/>
      <w:keepLines/>
      <w:spacing w:before="300" w:after="40"/>
      <w:outlineLvl w:val="0"/>
    </w:pPr>
  </w:style>
  <w:style w:type="paragraph" w:customStyle="1" w:styleId="H4">
    <w:name w:val="H4"/>
    <w:basedOn w:val="H3"/>
    <w:rsid w:val="00FF56D2"/>
    <w:rPr>
      <w:sz w:val="20"/>
      <w:szCs w:val="20"/>
    </w:rPr>
  </w:style>
  <w:style w:type="paragraph" w:customStyle="1" w:styleId="ForwardBullet">
    <w:name w:val="ForwardBullet"/>
    <w:basedOn w:val="Normal"/>
    <w:rsid w:val="00FF56D2"/>
    <w:pPr>
      <w:tabs>
        <w:tab w:val="num" w:pos="720"/>
        <w:tab w:val="num" w:pos="1134"/>
      </w:tabs>
      <w:spacing w:before="120"/>
      <w:ind w:left="1134" w:hanging="567"/>
    </w:pPr>
    <w:rPr>
      <w:sz w:val="22"/>
      <w:szCs w:val="20"/>
      <w:lang w:val="en-GB"/>
    </w:rPr>
  </w:style>
  <w:style w:type="character" w:customStyle="1" w:styleId="EmailStyle711">
    <w:name w:val="EmailStyle71"/>
    <w:aliases w:val="EmailStyle71"/>
    <w:basedOn w:val="DefaultParagraphFont"/>
    <w:personal/>
    <w:personalCompose/>
    <w:rsid w:val="00FF56D2"/>
    <w:rPr>
      <w:rFonts w:ascii="Arial" w:hAnsi="Arial" w:cs="Arial"/>
      <w:color w:val="000000"/>
      <w:sz w:val="20"/>
      <w:szCs w:val="20"/>
    </w:rPr>
  </w:style>
  <w:style w:type="paragraph" w:customStyle="1" w:styleId="FMO">
    <w:name w:val="FMO"/>
    <w:basedOn w:val="Normal"/>
    <w:rsid w:val="00FF56D2"/>
    <w:pPr>
      <w:ind w:left="700" w:hanging="700"/>
    </w:pPr>
    <w:rPr>
      <w:sz w:val="22"/>
      <w:szCs w:val="22"/>
    </w:rPr>
  </w:style>
  <w:style w:type="paragraph" w:customStyle="1" w:styleId="DefnSubpoint1">
    <w:name w:val="Defn Subpoint1"/>
    <w:basedOn w:val="Normal"/>
    <w:rsid w:val="00FF56D2"/>
    <w:pPr>
      <w:spacing w:after="200" w:line="200" w:lineRule="exact"/>
      <w:ind w:left="1587" w:hanging="510"/>
    </w:pPr>
    <w:rPr>
      <w:b/>
      <w:sz w:val="20"/>
      <w:szCs w:val="20"/>
    </w:rPr>
  </w:style>
  <w:style w:type="paragraph" w:customStyle="1" w:styleId="DefnSubpoint2">
    <w:name w:val="Defn Subpoint2"/>
    <w:basedOn w:val="DefnSubpoint1"/>
    <w:rsid w:val="00FF56D2"/>
    <w:pPr>
      <w:ind w:left="2098"/>
    </w:pPr>
  </w:style>
  <w:style w:type="paragraph" w:styleId="BodyTextIndent3">
    <w:name w:val="Body Text Indent 3"/>
    <w:basedOn w:val="Normal"/>
    <w:rsid w:val="00FF56D2"/>
    <w:pPr>
      <w:ind w:left="360"/>
    </w:pPr>
    <w:rPr>
      <w:b/>
      <w:bCs/>
    </w:rPr>
  </w:style>
  <w:style w:type="paragraph" w:styleId="BalloonText">
    <w:name w:val="Balloon Text"/>
    <w:basedOn w:val="Normal"/>
    <w:semiHidden/>
    <w:rsid w:val="00C97DDA"/>
    <w:rPr>
      <w:rFonts w:ascii="Tahoma" w:hAnsi="Tahoma" w:cs="Tahoma"/>
      <w:sz w:val="16"/>
      <w:szCs w:val="16"/>
    </w:rPr>
  </w:style>
  <w:style w:type="table" w:styleId="TableGrid">
    <w:name w:val="Table Grid"/>
    <w:basedOn w:val="TableNormal"/>
    <w:rsid w:val="00686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1179F"/>
    <w:rPr>
      <w:color w:val="0000FF"/>
      <w:u w:val="single"/>
    </w:rPr>
  </w:style>
  <w:style w:type="paragraph" w:styleId="NormalWeb">
    <w:name w:val="Normal (Web)"/>
    <w:basedOn w:val="Normal"/>
    <w:rsid w:val="00C95FFD"/>
    <w:pPr>
      <w:spacing w:before="100" w:beforeAutospacing="1" w:after="100" w:afterAutospacing="1"/>
    </w:pPr>
    <w:rPr>
      <w:lang w:eastAsia="en-AU"/>
    </w:rPr>
  </w:style>
  <w:style w:type="paragraph" w:styleId="DocumentMap">
    <w:name w:val="Document Map"/>
    <w:basedOn w:val="Normal"/>
    <w:semiHidden/>
    <w:rsid w:val="005E597D"/>
    <w:pPr>
      <w:shd w:val="clear" w:color="auto" w:fill="000080"/>
    </w:pPr>
    <w:rPr>
      <w:rFonts w:ascii="Tahoma" w:hAnsi="Tahoma" w:cs="Tahoma"/>
      <w:sz w:val="20"/>
      <w:szCs w:val="20"/>
    </w:rPr>
  </w:style>
  <w:style w:type="paragraph" w:customStyle="1" w:styleId="CharCharCharCharChar">
    <w:name w:val="Char Char Char Char Char"/>
    <w:basedOn w:val="Normal"/>
    <w:rsid w:val="00E23480"/>
    <w:rPr>
      <w:rFonts w:ascii="Arial" w:hAnsi="Arial" w:cs="Arial"/>
      <w:sz w:val="22"/>
      <w:szCs w:val="22"/>
    </w:rPr>
  </w:style>
  <w:style w:type="character" w:customStyle="1" w:styleId="HelpText">
    <w:name w:val="Help Text"/>
    <w:basedOn w:val="DefaultParagraphFont"/>
    <w:rsid w:val="00885099"/>
    <w:rPr>
      <w:color w:val="808080"/>
    </w:rPr>
  </w:style>
  <w:style w:type="paragraph" w:customStyle="1" w:styleId="Bullet">
    <w:name w:val="Bullet"/>
    <w:basedOn w:val="Normal"/>
    <w:rsid w:val="00885099"/>
    <w:pPr>
      <w:numPr>
        <w:numId w:val="34"/>
      </w:numPr>
      <w:spacing w:after="240" w:line="240" w:lineRule="atLeast"/>
    </w:pPr>
  </w:style>
  <w:style w:type="paragraph" w:customStyle="1" w:styleId="Bulletsinglespaced">
    <w:name w:val="Bullet (single spaced)"/>
    <w:basedOn w:val="Bullet"/>
    <w:rsid w:val="00885099"/>
    <w:pPr>
      <w:spacing w:after="0"/>
    </w:pPr>
  </w:style>
  <w:style w:type="character" w:styleId="CommentReference">
    <w:name w:val="annotation reference"/>
    <w:basedOn w:val="DefaultParagraphFont"/>
    <w:rsid w:val="00F458E0"/>
    <w:rPr>
      <w:sz w:val="16"/>
      <w:szCs w:val="16"/>
    </w:rPr>
  </w:style>
  <w:style w:type="paragraph" w:styleId="CommentText">
    <w:name w:val="annotation text"/>
    <w:basedOn w:val="Normal"/>
    <w:link w:val="CommentTextChar"/>
    <w:rsid w:val="00F458E0"/>
    <w:rPr>
      <w:sz w:val="20"/>
      <w:szCs w:val="20"/>
    </w:rPr>
  </w:style>
  <w:style w:type="character" w:customStyle="1" w:styleId="CommentTextChar">
    <w:name w:val="Comment Text Char"/>
    <w:basedOn w:val="DefaultParagraphFont"/>
    <w:link w:val="CommentText"/>
    <w:rsid w:val="00F458E0"/>
    <w:rPr>
      <w:lang w:eastAsia="en-US"/>
    </w:rPr>
  </w:style>
  <w:style w:type="paragraph" w:styleId="CommentSubject">
    <w:name w:val="annotation subject"/>
    <w:basedOn w:val="CommentText"/>
    <w:next w:val="CommentText"/>
    <w:link w:val="CommentSubjectChar"/>
    <w:rsid w:val="00F458E0"/>
    <w:rPr>
      <w:b/>
      <w:bCs/>
    </w:rPr>
  </w:style>
  <w:style w:type="character" w:customStyle="1" w:styleId="CommentSubjectChar">
    <w:name w:val="Comment Subject Char"/>
    <w:basedOn w:val="CommentTextChar"/>
    <w:link w:val="CommentSubject"/>
    <w:rsid w:val="00F458E0"/>
    <w:rPr>
      <w:b/>
      <w:bCs/>
    </w:rPr>
  </w:style>
  <w:style w:type="paragraph" w:customStyle="1" w:styleId="Paragraph">
    <w:name w:val="Paragraph"/>
    <w:basedOn w:val="Normal"/>
    <w:rsid w:val="0072275C"/>
    <w:pPr>
      <w:numPr>
        <w:ilvl w:val="12"/>
      </w:numPr>
      <w:spacing w:before="240"/>
    </w:pPr>
    <w:rPr>
      <w:szCs w:val="20"/>
      <w:lang w:eastAsia="en-AU"/>
    </w:rPr>
  </w:style>
  <w:style w:type="paragraph" w:styleId="ListParagraph">
    <w:name w:val="List Paragraph"/>
    <w:basedOn w:val="Normal"/>
    <w:uiPriority w:val="34"/>
    <w:qFormat/>
    <w:rsid w:val="00753CD8"/>
    <w:pPr>
      <w:ind w:left="720"/>
      <w:contextualSpacing/>
    </w:pPr>
  </w:style>
  <w:style w:type="paragraph" w:customStyle="1" w:styleId="StyleNew">
    <w:name w:val="Style_New"/>
    <w:basedOn w:val="Normal"/>
    <w:qFormat/>
    <w:rsid w:val="00377E45"/>
    <w:pPr>
      <w:numPr>
        <w:numId w:val="39"/>
      </w:numPr>
    </w:pPr>
    <w:rPr>
      <w:color w:val="76923C"/>
      <w:sz w:val="22"/>
      <w:szCs w:val="22"/>
    </w:rPr>
  </w:style>
  <w:style w:type="paragraph" w:customStyle="1" w:styleId="NumberedParagraph">
    <w:name w:val="Numbered Paragraph"/>
    <w:basedOn w:val="Normal"/>
    <w:rsid w:val="00DA47EA"/>
    <w:pPr>
      <w:numPr>
        <w:numId w:val="41"/>
      </w:numPr>
      <w:spacing w:after="240" w:line="240" w:lineRule="atLeast"/>
    </w:pPr>
  </w:style>
</w:styles>
</file>

<file path=word/webSettings.xml><?xml version="1.0" encoding="utf-8"?>
<w:webSettings xmlns:r="http://schemas.openxmlformats.org/officeDocument/2006/relationships" xmlns:w="http://schemas.openxmlformats.org/wordprocessingml/2006/main">
  <w:divs>
    <w:div w:id="1619532866">
      <w:bodyDiv w:val="1"/>
      <w:marLeft w:val="0"/>
      <w:marRight w:val="0"/>
      <w:marTop w:val="0"/>
      <w:marBottom w:val="0"/>
      <w:divBdr>
        <w:top w:val="none" w:sz="0" w:space="0" w:color="auto"/>
        <w:left w:val="none" w:sz="0" w:space="0" w:color="auto"/>
        <w:bottom w:val="none" w:sz="0" w:space="0" w:color="auto"/>
        <w:right w:val="none" w:sz="0" w:space="0" w:color="auto"/>
      </w:divBdr>
    </w:div>
    <w:div w:id="17585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AAD1-B056-406F-AA1E-0A52485B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4930</Characters>
  <Application>Microsoft Office Word</Application>
  <DocSecurity>0</DocSecurity>
  <Lines>109</Lines>
  <Paragraphs>49</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Leslie Macdonald</Manager>
  <Company>Finance</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Tony Rose</dc:creator>
  <cp:keywords/>
  <cp:lastModifiedBy>woodsa</cp:lastModifiedBy>
  <cp:revision>3</cp:revision>
  <cp:lastPrinted>2010-03-22T23:41:00Z</cp:lastPrinted>
  <dcterms:created xsi:type="dcterms:W3CDTF">2012-07-23T23:49:00Z</dcterms:created>
  <dcterms:modified xsi:type="dcterms:W3CDTF">2012-07-23T23:51:00Z</dcterms:modified>
</cp:coreProperties>
</file>