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cement is an AASB Standard, the Standard number, and the month of issue of the AASB amending Standard"/>
      </w:tblPr>
      <w:tblGrid>
        <w:gridCol w:w="3794"/>
        <w:gridCol w:w="2438"/>
      </w:tblGrid>
      <w:tr w:rsidR="00090A6F" w:rsidRPr="0000292B">
        <w:tc>
          <w:tcPr>
            <w:tcW w:w="3794" w:type="dxa"/>
          </w:tcPr>
          <w:p w:rsidR="00090A6F" w:rsidRPr="0000292B" w:rsidRDefault="00364B30">
            <w:pPr>
              <w:pStyle w:val="CoverStandard"/>
            </w:pPr>
            <w:r>
              <w:t>AASB</w:t>
            </w:r>
            <w:r w:rsidR="00831497">
              <w:t xml:space="preserve"> Standard</w:t>
            </w:r>
          </w:p>
        </w:tc>
        <w:tc>
          <w:tcPr>
            <w:tcW w:w="2438" w:type="dxa"/>
          </w:tcPr>
          <w:p w:rsidR="00090A6F" w:rsidRPr="0000292B" w:rsidRDefault="00831497">
            <w:pPr>
              <w:pStyle w:val="CoverNumber"/>
            </w:pPr>
            <w:r>
              <w:t>AASB</w:t>
            </w:r>
            <w:r w:rsidR="00090A6F" w:rsidRPr="0000292B">
              <w:t xml:space="preserve"> </w:t>
            </w:r>
            <w:bookmarkStart w:id="0" w:name="DocNo"/>
            <w:r w:rsidR="00F46AB3">
              <w:t>2012-5</w:t>
            </w:r>
            <w:bookmarkEnd w:id="0"/>
          </w:p>
          <w:p w:rsidR="00090A6F" w:rsidRPr="0000292B" w:rsidRDefault="006C16BB">
            <w:pPr>
              <w:pStyle w:val="CoverDate"/>
            </w:pPr>
            <w:bookmarkStart w:id="1" w:name="DocDate"/>
            <w:r>
              <w:t>June 2012</w:t>
            </w:r>
            <w:bookmarkEnd w:id="1"/>
          </w:p>
        </w:tc>
      </w:tr>
    </w:tbl>
    <w:p w:rsidR="00090A6F" w:rsidRPr="0000292B" w:rsidRDefault="00831497">
      <w:pPr>
        <w:pStyle w:val="CoverTitle"/>
      </w:pPr>
      <w:r>
        <w:t xml:space="preserve">Amendments to Australian Accounting Standards arising from </w:t>
      </w:r>
      <w:bookmarkStart w:id="2" w:name="ArisingNo"/>
      <w:r w:rsidR="00C97E20">
        <w:t>Annual Improvements 2009–2011 Cycle</w:t>
      </w:r>
      <w:bookmarkEnd w:id="2"/>
    </w:p>
    <w:p w:rsidR="00C5022C" w:rsidRPr="00C5022C" w:rsidRDefault="002B7803" w:rsidP="00C5022C">
      <w:pPr>
        <w:pStyle w:val="CoverSubtitle"/>
      </w:pPr>
      <w:r>
        <w:t>[</w:t>
      </w:r>
      <w:bookmarkStart w:id="3" w:name="AmendingNos"/>
      <w:r w:rsidR="006C16BB">
        <w:t xml:space="preserve">AASB 1, AASB 101, AASB 116, </w:t>
      </w:r>
      <w:r w:rsidR="00236416">
        <w:t>AASB </w:t>
      </w:r>
      <w:r w:rsidR="006C16BB">
        <w:t>132</w:t>
      </w:r>
      <w:r w:rsidR="00754402">
        <w:t xml:space="preserve"> &amp;</w:t>
      </w:r>
      <w:r w:rsidR="006C16BB">
        <w:t xml:space="preserve"> AASB 134</w:t>
      </w:r>
      <w:bookmarkEnd w:id="3"/>
      <w:r w:rsidR="00850B10">
        <w:t xml:space="preserve"> </w:t>
      </w:r>
      <w:r w:rsidR="00754402">
        <w:t>and</w:t>
      </w:r>
      <w:r w:rsidR="00850B10">
        <w:t xml:space="preserve"> Interpretation 2</w:t>
      </w:r>
      <w:r>
        <w:t>]</w:t>
      </w:r>
    </w:p>
    <w:p w:rsidR="00737714" w:rsidRPr="0000292B" w:rsidRDefault="00737714" w:rsidP="00737714"/>
    <w:p w:rsidR="00090A6F" w:rsidRPr="0000292B" w:rsidRDefault="008B643A">
      <w:pPr>
        <w:sectPr w:rsidR="00090A6F" w:rsidRPr="0000292B">
          <w:headerReference w:type="even" r:id="rId9"/>
          <w:headerReference w:type="default" r:id="rId10"/>
          <w:footerReference w:type="even" r:id="rId11"/>
          <w:footerReference w:type="default" r:id="rId12"/>
          <w:headerReference w:type="first" r:id="rId13"/>
          <w:footerReference w:type="first" r:id="rId14"/>
          <w:pgSz w:w="11907" w:h="16840"/>
          <w:pgMar w:top="3686" w:right="2835" w:bottom="3686" w:left="2835" w:header="720" w:footer="3255" w:gutter="0"/>
          <w:paperSrc w:first="58" w:other="58"/>
          <w:cols w:space="720"/>
        </w:sectPr>
      </w:pPr>
      <w:r>
        <w:rPr>
          <w:noProof/>
          <w:lang w:eastAsia="en-AU"/>
        </w:rPr>
        <w:drawing>
          <wp:anchor distT="0" distB="0" distL="114300" distR="114300" simplePos="0" relativeHeight="251657728" behindDoc="0" locked="1" layoutInCell="1" allowOverlap="1" wp14:anchorId="7167C7B5" wp14:editId="35656C28">
            <wp:simplePos x="0" y="0"/>
            <wp:positionH relativeFrom="page">
              <wp:posOffset>1764030</wp:posOffset>
            </wp:positionH>
            <wp:positionV relativeFrom="page">
              <wp:posOffset>7272655</wp:posOffset>
            </wp:positionV>
            <wp:extent cx="1676400" cy="1333500"/>
            <wp:effectExtent l="0" t="0" r="0" b="0"/>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6C16BB" w:rsidRDefault="006C16BB" w:rsidP="006D4700">
      <w:pPr>
        <w:spacing w:before="600"/>
      </w:pPr>
      <w:bookmarkStart w:id="4" w:name="CopyrightText"/>
      <w:r>
        <w:t>COPYRIGHT</w:t>
      </w:r>
    </w:p>
    <w:p w:rsidR="006C16BB" w:rsidRDefault="006C16BB" w:rsidP="006D4700"/>
    <w:p w:rsidR="006C16BB" w:rsidRDefault="006C16BB" w:rsidP="006D4700">
      <w:r>
        <w:t xml:space="preserve">© Commonwealth of Australia </w:t>
      </w:r>
      <w:bookmarkStart w:id="5" w:name="Year"/>
      <w:r>
        <w:t>2012</w:t>
      </w:r>
      <w:bookmarkEnd w:id="5"/>
    </w:p>
    <w:p w:rsidR="006C16BB" w:rsidRDefault="006C16BB" w:rsidP="006D4700"/>
    <w:p w:rsidR="006C16BB" w:rsidRPr="00DE4E67" w:rsidRDefault="006C16BB">
      <w:pPr>
        <w:pStyle w:val="CoverLeadPara"/>
      </w:pPr>
      <w:r w:rsidRPr="00DE4E67">
        <w:t xml:space="preserve">This AASB </w:t>
      </w:r>
      <w:bookmarkStart w:id="6" w:name="IASBCopyright"/>
      <w:bookmarkEnd w:id="6"/>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rsidR="006C16BB" w:rsidRPr="00DE4E67" w:rsidRDefault="006C16BB">
      <w:r w:rsidRPr="00DE4E67">
        <w:t>All existing rights in this material are reserved outside Australia.</w:t>
      </w:r>
    </w:p>
    <w:p w:rsidR="006C16BB" w:rsidRPr="00DE4E67" w:rsidRDefault="006C16BB">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4"/>
    <w:p w:rsidR="006D4700" w:rsidRDefault="006D4700" w:rsidP="006D4700"/>
    <w:p w:rsidR="007455F0" w:rsidRPr="0000292B" w:rsidRDefault="006D4700" w:rsidP="006D4700">
      <w:r>
        <w:t xml:space="preserve">ISSN </w:t>
      </w:r>
      <w:bookmarkStart w:id="7" w:name="ISSN"/>
      <w:r w:rsidR="006C16BB">
        <w:t>1036-4803</w:t>
      </w:r>
      <w:bookmarkEnd w:id="7"/>
    </w:p>
    <w:p w:rsidR="00090A6F" w:rsidRPr="0000292B" w:rsidRDefault="00090A6F">
      <w:pPr>
        <w:sectPr w:rsidR="00090A6F" w:rsidRPr="0000292B">
          <w:headerReference w:type="default" r:id="rId16"/>
          <w:footerReference w:type="default" r:id="rId17"/>
          <w:pgSz w:w="11907" w:h="16840"/>
          <w:pgMar w:top="3686" w:right="2837" w:bottom="3686" w:left="2837" w:header="706" w:footer="3254" w:gutter="0"/>
          <w:paperSrc w:first="58" w:other="58"/>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F46AB3" w:rsidRPr="00F46AB3">
        <w:rPr>
          <w:iCs/>
        </w:rPr>
        <w:t>2012-5</w:t>
      </w:r>
      <w:r w:rsidR="009C2479" w:rsidRPr="00BC0D5D">
        <w:rPr>
          <w:iCs/>
        </w:rPr>
        <w:fldChar w:fldCharType="end"/>
      </w:r>
      <w:r w:rsidRPr="0000292B">
        <w:t xml:space="preserve"> </w:t>
      </w:r>
      <w:r w:rsidR="009C2479" w:rsidRPr="009C2479">
        <w:rPr>
          <w:i/>
        </w:rPr>
        <w:t xml:space="preserve">AmenDMENTS TO aUSTRALIAN aCCOUNTING sTANDARDS aRISING FROM </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separate"/>
      </w:r>
      <w:r w:rsidR="00F46AB3" w:rsidRPr="00F46AB3">
        <w:rPr>
          <w:i/>
          <w:iCs/>
        </w:rPr>
        <w:t>Annual Improvements 2009–2011 Cycle</w:t>
      </w:r>
      <w:r w:rsidR="009C2479" w:rsidRPr="009C2479">
        <w:rPr>
          <w:i/>
          <w:iCs/>
        </w:rPr>
        <w:fldChar w:fldCharType="end"/>
      </w:r>
    </w:p>
    <w:p w:rsidR="002B7803" w:rsidRPr="002B7803" w:rsidRDefault="002B7803" w:rsidP="002B7803"/>
    <w:p w:rsidR="00090A6F" w:rsidRPr="0000292B" w:rsidRDefault="00090A6F">
      <w:pPr>
        <w:pStyle w:val="ContentsParaHead"/>
      </w:pPr>
      <w:r w:rsidRPr="0000292B">
        <w:t>Paragraphs</w:t>
      </w:r>
    </w:p>
    <w:p w:rsidR="00B3772F" w:rsidRDefault="00B3772F" w:rsidP="00B3772F">
      <w:pPr>
        <w:pStyle w:val="ContentsLevel1"/>
      </w:pPr>
      <w:bookmarkStart w:id="8" w:name="TOCRange"/>
      <w:r>
        <w:t>Objective</w:t>
      </w:r>
      <w:r>
        <w:tab/>
        <w:t>1</w:t>
      </w:r>
    </w:p>
    <w:p w:rsidR="00B3772F" w:rsidRDefault="00B3772F" w:rsidP="00B3772F">
      <w:pPr>
        <w:pStyle w:val="ContentsLevel1"/>
      </w:pPr>
      <w:r>
        <w:t>Application</w:t>
      </w:r>
      <w:r>
        <w:tab/>
        <w:t>2 – 7</w:t>
      </w:r>
    </w:p>
    <w:p w:rsidR="00B3772F" w:rsidRDefault="00B3772F" w:rsidP="00B3772F">
      <w:pPr>
        <w:pStyle w:val="ContentsLevel1"/>
      </w:pPr>
      <w:r>
        <w:t>Amendments to AASB 1</w:t>
      </w:r>
      <w:r>
        <w:tab/>
        <w:t>8 – 10</w:t>
      </w:r>
    </w:p>
    <w:p w:rsidR="00B3772F" w:rsidRDefault="00B3772F" w:rsidP="00B3772F">
      <w:pPr>
        <w:pStyle w:val="ContentsLevel1"/>
      </w:pPr>
      <w:r>
        <w:t>Amendments to AASB 101</w:t>
      </w:r>
      <w:r>
        <w:tab/>
        <w:t>11</w:t>
      </w:r>
    </w:p>
    <w:p w:rsidR="00B3772F" w:rsidRDefault="00B3772F" w:rsidP="00B3772F">
      <w:pPr>
        <w:pStyle w:val="ContentsLevel1"/>
      </w:pPr>
      <w:r>
        <w:t>Amendments to AASB 116</w:t>
      </w:r>
      <w:r>
        <w:tab/>
        <w:t>12</w:t>
      </w:r>
    </w:p>
    <w:p w:rsidR="00B3772F" w:rsidRDefault="00B3772F" w:rsidP="00B3772F">
      <w:pPr>
        <w:pStyle w:val="ContentsLevel1"/>
      </w:pPr>
      <w:r>
        <w:t>Amendments to AASB 132</w:t>
      </w:r>
      <w:r>
        <w:tab/>
        <w:t>13</w:t>
      </w:r>
    </w:p>
    <w:p w:rsidR="00B3772F" w:rsidRDefault="00B3772F" w:rsidP="00B3772F">
      <w:pPr>
        <w:pStyle w:val="ContentsLevel1"/>
      </w:pPr>
      <w:r>
        <w:t>Amendments to AASB 134</w:t>
      </w:r>
      <w:r>
        <w:tab/>
        <w:t>14 – 15</w:t>
      </w:r>
    </w:p>
    <w:p w:rsidR="00B3772F" w:rsidRDefault="00B3772F" w:rsidP="00B3772F">
      <w:pPr>
        <w:pStyle w:val="ContentsLevel1"/>
      </w:pPr>
      <w:r>
        <w:t>Amendments to Interpretation 2</w:t>
      </w:r>
      <w:r>
        <w:tab/>
        <w:t>16</w:t>
      </w:r>
    </w:p>
    <w:p w:rsidR="00E92B78" w:rsidRDefault="00E92B78" w:rsidP="00E92B78">
      <w:pPr>
        <w:pStyle w:val="ContentsLevel1"/>
        <w:rPr>
          <w:i/>
        </w:rPr>
      </w:pPr>
    </w:p>
    <w:p w:rsidR="00E92B78" w:rsidRDefault="00E92B78" w:rsidP="00E92B78">
      <w:pPr>
        <w:pStyle w:val="ContentsLevel1NoIndent"/>
      </w:pPr>
      <w:r>
        <w:t xml:space="preserve">IASB BASES FOR CONCLUSIONS − AMENDMENTS </w:t>
      </w:r>
      <w:r>
        <w:br/>
        <w:t>(available on the AASB website)</w:t>
      </w:r>
    </w:p>
    <w:p w:rsidR="00754402" w:rsidRPr="0000292B" w:rsidRDefault="00754402" w:rsidP="00754402">
      <w:bookmarkStart w:id="9" w:name="ContentsMarker"/>
      <w:bookmarkStart w:id="10" w:name="_GoBack"/>
      <w:bookmarkEnd w:id="8"/>
      <w:bookmarkEnd w:id="9"/>
      <w:bookmarkEnd w:id="10"/>
    </w:p>
    <w:p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F46AB3" w:rsidRPr="00F46AB3">
        <w:rPr>
          <w:iCs/>
        </w:rPr>
        <w:t>2012-5</w:t>
      </w:r>
      <w:r w:rsidR="00BC0D5D" w:rsidRPr="00BC0D5D">
        <w:rPr>
          <w:iCs/>
        </w:rPr>
        <w:fldChar w:fldCharType="end"/>
      </w:r>
      <w:r w:rsidRPr="0000292B">
        <w:t xml:space="preserve"> </w:t>
      </w:r>
      <w:r w:rsidR="009C2479" w:rsidRPr="009C2479">
        <w:rPr>
          <w:i/>
        </w:rPr>
        <w:t xml:space="preserve">Amendments to Australian Accounting Standards </w:t>
      </w:r>
      <w:r w:rsidR="00460FBB">
        <w:rPr>
          <w:i/>
        </w:rPr>
        <w:t>a</w:t>
      </w:r>
      <w:r w:rsidR="009C2479" w:rsidRPr="009C2479">
        <w:rPr>
          <w:i/>
        </w:rPr>
        <w:t xml:space="preserve">rising </w:t>
      </w:r>
      <w:r w:rsidR="00460FBB">
        <w:rPr>
          <w:i/>
        </w:rPr>
        <w:t>f</w:t>
      </w:r>
      <w:r w:rsidR="009C2479" w:rsidRPr="009C2479">
        <w:rPr>
          <w:i/>
        </w:rPr>
        <w:t>rom</w:t>
      </w:r>
      <w:r w:rsidR="009C2479">
        <w:t xml:space="preserve"> </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separate"/>
      </w:r>
      <w:r w:rsidR="00F46AB3" w:rsidRPr="00F46AB3">
        <w:rPr>
          <w:i/>
          <w:iCs/>
        </w:rPr>
        <w:t>Annual Improvements 2009–2011 Cycle</w:t>
      </w:r>
      <w:r w:rsidRPr="0000292B">
        <w:rPr>
          <w:i/>
          <w:iCs/>
        </w:rPr>
        <w:fldChar w:fldCharType="end"/>
      </w:r>
      <w:r w:rsidRPr="0000292B">
        <w:rPr>
          <w:i/>
          <w:iCs/>
        </w:rPr>
        <w:t xml:space="preserve"> </w:t>
      </w:r>
      <w:r w:rsidRPr="0000292B">
        <w:t xml:space="preserve">is set out in paragraphs </w:t>
      </w:r>
      <w:r w:rsidR="00B3772F">
        <w:t>1</w:t>
      </w:r>
      <w:r w:rsidR="00A666E6">
        <w:t xml:space="preserve"> </w:t>
      </w:r>
      <w:r w:rsidR="00B3772F">
        <w:t>–</w:t>
      </w:r>
      <w:r w:rsidR="00A666E6">
        <w:t xml:space="preserve"> </w:t>
      </w:r>
      <w:r w:rsidR="00B3772F">
        <w:t>16</w:t>
      </w:r>
      <w:r w:rsidR="0036273B" w:rsidRPr="0000292B">
        <w:t xml:space="preserve">.  </w:t>
      </w:r>
      <w:r w:rsidRPr="0000292B">
        <w:t>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footerReference w:type="default" r:id="rId18"/>
          <w:pgSz w:w="11907" w:h="16840"/>
          <w:pgMar w:top="3686" w:right="2837" w:bottom="3686" w:left="2837" w:header="706" w:footer="3254" w:gutter="0"/>
          <w:paperSrc w:first="58" w:other="58"/>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074133" w:rsidRDefault="009C2479" w:rsidP="005A2514">
      <w:pPr>
        <w:pStyle w:val="NoNumPlain1"/>
      </w:pPr>
      <w:r>
        <w:t>This Standard makes amendments to the Australian Accounting Standards</w:t>
      </w:r>
      <w:r w:rsidR="005A2514">
        <w:t xml:space="preserve"> </w:t>
      </w:r>
      <w:r w:rsidR="00545153">
        <w:t xml:space="preserve">and Interpretation </w:t>
      </w:r>
      <w:r w:rsidR="005A2514">
        <w:t>listed in paragraph 1 of the Standard.</w:t>
      </w:r>
      <w:r w:rsidR="005A2514" w:rsidRPr="005A2514">
        <w:t xml:space="preserve"> </w:t>
      </w:r>
    </w:p>
    <w:p w:rsidR="00480499" w:rsidRDefault="00401ECA" w:rsidP="00855043">
      <w:pPr>
        <w:pStyle w:val="NoNumPlain1"/>
      </w:pPr>
      <w:r>
        <w:t xml:space="preserve">These </w:t>
      </w:r>
      <w:r w:rsidR="00460FBB">
        <w:t>a</w:t>
      </w:r>
      <w:r>
        <w:t xml:space="preserve">mendments </w:t>
      </w:r>
      <w:r w:rsidR="00480499">
        <w:t>are a consequence of the annual improvements</w:t>
      </w:r>
      <w:r w:rsidR="00540FFD">
        <w:t xml:space="preserve"> process</w:t>
      </w:r>
      <w:r w:rsidR="00C475C0">
        <w:t>,</w:t>
      </w:r>
      <w:r w:rsidR="00480499">
        <w:t xml:space="preserve"> </w:t>
      </w:r>
      <w:r w:rsidR="00C475C0">
        <w:t xml:space="preserve">which provides </w:t>
      </w:r>
      <w:r w:rsidR="00C475C0">
        <w:rPr>
          <w:lang w:eastAsia="en-AU"/>
        </w:rPr>
        <w:t>a vehicle for making non-urgent but necessary amendments to Standards</w:t>
      </w:r>
      <w:r w:rsidR="00480499">
        <w:t xml:space="preserve">. </w:t>
      </w:r>
    </w:p>
    <w:p w:rsidR="00090A6F" w:rsidRPr="0000292B" w:rsidRDefault="00480499" w:rsidP="00754402">
      <w:pPr>
        <w:pStyle w:val="NoNumPlain1"/>
        <w:rPr>
          <w:lang w:eastAsia="en-AU"/>
        </w:rPr>
      </w:pPr>
      <w:r w:rsidRPr="00B3772F">
        <w:t xml:space="preserve">These amendments result from proposals that were included in Exposure Draft ED </w:t>
      </w:r>
      <w:r w:rsidR="00B3772F" w:rsidRPr="00B3772F">
        <w:t>213</w:t>
      </w:r>
      <w:r w:rsidRPr="00B3772F">
        <w:t xml:space="preserve"> </w:t>
      </w:r>
      <w:r w:rsidR="00B3772F" w:rsidRPr="00B3772F">
        <w:rPr>
          <w:i/>
        </w:rPr>
        <w:t>Improvements to IFRSs</w:t>
      </w:r>
      <w:r w:rsidR="005E3388" w:rsidRPr="00B3772F">
        <w:t xml:space="preserve"> </w:t>
      </w:r>
      <w:r w:rsidRPr="00B3772F">
        <w:t xml:space="preserve">published in </w:t>
      </w:r>
      <w:r w:rsidR="00B3772F">
        <w:t>July</w:t>
      </w:r>
      <w:r w:rsidR="005E3388" w:rsidRPr="00B3772F">
        <w:t xml:space="preserve"> </w:t>
      </w:r>
      <w:r w:rsidR="00B3772F">
        <w:t>2011</w:t>
      </w:r>
      <w:r w:rsidR="005E3388" w:rsidRPr="00B3772F">
        <w:t xml:space="preserve"> </w:t>
      </w:r>
      <w:r w:rsidRPr="00B3772F">
        <w:t xml:space="preserve">and follow the issuance of </w:t>
      </w:r>
      <w:r w:rsidRPr="00B3772F">
        <w:rPr>
          <w:i/>
        </w:rPr>
        <w:t>Annual Improvements to IFRSs 2009</w:t>
      </w:r>
      <w:r w:rsidR="00540FFD">
        <w:rPr>
          <w:i/>
        </w:rPr>
        <w:t>–</w:t>
      </w:r>
      <w:r w:rsidRPr="00B3772F">
        <w:rPr>
          <w:i/>
        </w:rPr>
        <w:t>2011 Cycle</w:t>
      </w:r>
      <w:r w:rsidRPr="00B3772F">
        <w:t xml:space="preserve"> </w:t>
      </w:r>
      <w:r w:rsidR="00C475C0">
        <w:t xml:space="preserve">issued by the International Accounting Standards Board </w:t>
      </w:r>
      <w:r w:rsidRPr="00B3772F">
        <w:t>in May 2012.</w:t>
      </w:r>
    </w:p>
    <w:p w:rsidR="00480499" w:rsidRDefault="00480499" w:rsidP="00855043">
      <w:pPr>
        <w:pStyle w:val="Heading2"/>
      </w:pPr>
      <w:r>
        <w:t>Main Features of this Standard</w:t>
      </w:r>
    </w:p>
    <w:p w:rsidR="00480499" w:rsidRPr="00B3772F" w:rsidRDefault="00480499" w:rsidP="00855043">
      <w:pPr>
        <w:pStyle w:val="Heading3"/>
      </w:pPr>
      <w:r w:rsidRPr="00B3772F">
        <w:t>Application Date</w:t>
      </w:r>
    </w:p>
    <w:p w:rsidR="00480499" w:rsidRPr="00B3772F" w:rsidRDefault="00480499" w:rsidP="00855043">
      <w:pPr>
        <w:pStyle w:val="NoNumPlain1"/>
        <w:rPr>
          <w:lang w:eastAsia="en-AU"/>
        </w:rPr>
      </w:pPr>
      <w:r w:rsidRPr="00B3772F">
        <w:rPr>
          <w:lang w:eastAsia="en-AU"/>
        </w:rPr>
        <w:t>This Standard is applicable to annual reporting periods beginning on or after</w:t>
      </w:r>
      <w:r w:rsidR="00855043" w:rsidRPr="00B3772F">
        <w:rPr>
          <w:lang w:eastAsia="en-AU"/>
        </w:rPr>
        <w:t xml:space="preserve"> </w:t>
      </w:r>
      <w:r w:rsidRPr="00B3772F">
        <w:rPr>
          <w:lang w:eastAsia="en-AU"/>
        </w:rPr>
        <w:t xml:space="preserve">1 </w:t>
      </w:r>
      <w:r w:rsidR="00D74DB5" w:rsidRPr="00B3772F">
        <w:rPr>
          <w:lang w:eastAsia="en-AU"/>
        </w:rPr>
        <w:t>January 2013</w:t>
      </w:r>
      <w:r w:rsidR="00BE1262" w:rsidRPr="00B3772F">
        <w:rPr>
          <w:lang w:eastAsia="en-AU"/>
        </w:rPr>
        <w:t xml:space="preserve">.  </w:t>
      </w:r>
      <w:r w:rsidRPr="00B3772F">
        <w:rPr>
          <w:lang w:eastAsia="en-AU"/>
        </w:rPr>
        <w:t>Earl</w:t>
      </w:r>
      <w:r w:rsidR="009367F2">
        <w:rPr>
          <w:lang w:eastAsia="en-AU"/>
        </w:rPr>
        <w:t>ier application</w:t>
      </w:r>
      <w:r w:rsidRPr="00B3772F">
        <w:rPr>
          <w:lang w:eastAsia="en-AU"/>
        </w:rPr>
        <w:t xml:space="preserve"> is permitted for annual reporting periods</w:t>
      </w:r>
      <w:r w:rsidR="00855043" w:rsidRPr="00B3772F">
        <w:rPr>
          <w:lang w:eastAsia="en-AU"/>
        </w:rPr>
        <w:t xml:space="preserve"> </w:t>
      </w:r>
      <w:r w:rsidRPr="00B3772F">
        <w:rPr>
          <w:lang w:eastAsia="en-AU"/>
        </w:rPr>
        <w:t xml:space="preserve">beginning on or after 1 January 2005 but before 1 </w:t>
      </w:r>
      <w:r w:rsidR="00D74DB5" w:rsidRPr="00B3772F">
        <w:rPr>
          <w:lang w:eastAsia="en-AU"/>
        </w:rPr>
        <w:t>January</w:t>
      </w:r>
      <w:r w:rsidRPr="00B3772F">
        <w:rPr>
          <w:lang w:eastAsia="en-AU"/>
        </w:rPr>
        <w:t xml:space="preserve"> 201</w:t>
      </w:r>
      <w:r w:rsidR="00D74DB5" w:rsidRPr="00B3772F">
        <w:rPr>
          <w:lang w:eastAsia="en-AU"/>
        </w:rPr>
        <w:t>3</w:t>
      </w:r>
      <w:r w:rsidRPr="00B3772F">
        <w:rPr>
          <w:lang w:eastAsia="en-AU"/>
        </w:rPr>
        <w:t>.</w:t>
      </w:r>
    </w:p>
    <w:p w:rsidR="00090A6F" w:rsidRDefault="00480499" w:rsidP="00855043">
      <w:pPr>
        <w:pStyle w:val="NoNumPlain1"/>
        <w:rPr>
          <w:lang w:eastAsia="en-AU"/>
        </w:rPr>
      </w:pPr>
      <w:r w:rsidRPr="00B3772F">
        <w:rPr>
          <w:lang w:eastAsia="en-AU"/>
        </w:rPr>
        <w:t xml:space="preserve">The insertion of early </w:t>
      </w:r>
      <w:r w:rsidR="009367F2">
        <w:rPr>
          <w:lang w:eastAsia="en-AU"/>
        </w:rPr>
        <w:t>application</w:t>
      </w:r>
      <w:r w:rsidR="009367F2" w:rsidRPr="00B3772F">
        <w:rPr>
          <w:lang w:eastAsia="en-AU"/>
        </w:rPr>
        <w:t xml:space="preserve"> </w:t>
      </w:r>
      <w:r w:rsidRPr="00B3772F">
        <w:rPr>
          <w:lang w:eastAsia="en-AU"/>
        </w:rPr>
        <w:t xml:space="preserve">conditions in the individual Standards </w:t>
      </w:r>
      <w:r w:rsidR="00545153" w:rsidRPr="00B3772F">
        <w:rPr>
          <w:lang w:eastAsia="en-AU"/>
        </w:rPr>
        <w:t xml:space="preserve">and Interpretation </w:t>
      </w:r>
      <w:r w:rsidRPr="00B3772F">
        <w:rPr>
          <w:lang w:eastAsia="en-AU"/>
        </w:rPr>
        <w:t>means</w:t>
      </w:r>
      <w:r w:rsidR="00855043" w:rsidRPr="00B3772F">
        <w:rPr>
          <w:lang w:eastAsia="en-AU"/>
        </w:rPr>
        <w:t xml:space="preserve"> </w:t>
      </w:r>
      <w:r w:rsidRPr="00B3772F">
        <w:rPr>
          <w:lang w:eastAsia="en-AU"/>
        </w:rPr>
        <w:t>that the amendments</w:t>
      </w:r>
      <w:r w:rsidR="009367F2">
        <w:rPr>
          <w:lang w:eastAsia="en-AU"/>
        </w:rPr>
        <w:t xml:space="preserve"> (or sets of amendments)</w:t>
      </w:r>
      <w:r w:rsidRPr="00B3772F">
        <w:rPr>
          <w:lang w:eastAsia="en-AU"/>
        </w:rPr>
        <w:t xml:space="preserve"> to each of those Standards </w:t>
      </w:r>
      <w:r w:rsidR="00545153" w:rsidRPr="00B3772F">
        <w:rPr>
          <w:lang w:eastAsia="en-AU"/>
        </w:rPr>
        <w:t xml:space="preserve">and Interpretation </w:t>
      </w:r>
      <w:r w:rsidRPr="00B3772F">
        <w:rPr>
          <w:lang w:eastAsia="en-AU"/>
        </w:rPr>
        <w:t>can be applied separately.</w:t>
      </w:r>
    </w:p>
    <w:p w:rsidR="00172D03" w:rsidRPr="00C97E20" w:rsidRDefault="00172D03" w:rsidP="00172D03">
      <w:pPr>
        <w:pStyle w:val="Heading3"/>
      </w:pPr>
      <w:r w:rsidRPr="00C97E20">
        <w:t>Main Requirements</w:t>
      </w:r>
    </w:p>
    <w:p w:rsidR="00172D03" w:rsidRPr="00C97E20" w:rsidRDefault="00172D03" w:rsidP="00172D03">
      <w:pPr>
        <w:pStyle w:val="NoNumPlain1"/>
        <w:rPr>
          <w:lang w:eastAsia="en-AU"/>
        </w:rPr>
      </w:pPr>
      <w:r w:rsidRPr="00C97E20">
        <w:rPr>
          <w:lang w:eastAsia="en-AU"/>
        </w:rPr>
        <w:t>The subjects of the principal amendments to the Standards and Interpretation are set out below:</w:t>
      </w:r>
    </w:p>
    <w:tbl>
      <w:tblPr>
        <w:tblStyle w:val="IASBInsideTable"/>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ubjects of the principal amendments to the Standards and Interpretation"/>
        <w:tblDescription w:val="This table provides the subjects of the principal amendments made by this Standard and the title and number of the Standards and Interpretation that are amended."/>
      </w:tblPr>
      <w:tblGrid>
        <w:gridCol w:w="2885"/>
        <w:gridCol w:w="3402"/>
      </w:tblGrid>
      <w:tr w:rsidR="00172D03" w:rsidRPr="00C97E20" w:rsidTr="00C97E20">
        <w:trPr>
          <w:trHeight w:val="675"/>
          <w:tblHeader/>
        </w:trPr>
        <w:tc>
          <w:tcPr>
            <w:tcW w:w="2885" w:type="dxa"/>
          </w:tcPr>
          <w:p w:rsidR="00172D03" w:rsidRPr="00C97E20" w:rsidRDefault="00172D03" w:rsidP="00E55E2D">
            <w:pPr>
              <w:pStyle w:val="AASBNormalTable"/>
              <w:rPr>
                <w:lang w:val="en-GB"/>
              </w:rPr>
            </w:pPr>
            <w:r w:rsidRPr="00C97E20">
              <w:rPr>
                <w:b/>
                <w:lang w:val="en-GB"/>
              </w:rPr>
              <w:t xml:space="preserve">Australian Accounting Standard or </w:t>
            </w:r>
            <w:r w:rsidRPr="00E55E2D">
              <w:rPr>
                <w:b/>
              </w:rPr>
              <w:t>Interpretation</w:t>
            </w:r>
          </w:p>
        </w:tc>
        <w:tc>
          <w:tcPr>
            <w:tcW w:w="3402" w:type="dxa"/>
          </w:tcPr>
          <w:p w:rsidR="00172D03" w:rsidRPr="00C97E20" w:rsidRDefault="00172D03" w:rsidP="00E55E2D">
            <w:pPr>
              <w:pStyle w:val="AASBNormalTable"/>
              <w:rPr>
                <w:lang w:val="en-GB"/>
              </w:rPr>
            </w:pPr>
            <w:r w:rsidRPr="00C97E20">
              <w:rPr>
                <w:b/>
                <w:lang w:val="en-GB"/>
              </w:rPr>
              <w:t xml:space="preserve">Subject </w:t>
            </w:r>
            <w:r w:rsidRPr="00E55E2D">
              <w:rPr>
                <w:b/>
              </w:rPr>
              <w:t>of</w:t>
            </w:r>
            <w:r w:rsidRPr="00C97E20">
              <w:rPr>
                <w:b/>
                <w:lang w:val="en-GB"/>
              </w:rPr>
              <w:t xml:space="preserve"> amendment</w:t>
            </w:r>
          </w:p>
        </w:tc>
      </w:tr>
      <w:tr w:rsidR="00172D03" w:rsidRPr="00C97E20" w:rsidTr="008E7DC9">
        <w:trPr>
          <w:trHeight w:val="412"/>
        </w:trPr>
        <w:tc>
          <w:tcPr>
            <w:tcW w:w="2885" w:type="dxa"/>
            <w:vMerge w:val="restart"/>
          </w:tcPr>
          <w:p w:rsidR="00172D03" w:rsidRPr="00C97E20" w:rsidRDefault="00172D03" w:rsidP="00DF234F">
            <w:pPr>
              <w:pStyle w:val="AASBNormalTable"/>
              <w:rPr>
                <w:lang w:val="en-GB"/>
              </w:rPr>
            </w:pPr>
            <w:r w:rsidRPr="00C97E20">
              <w:t xml:space="preserve">AASB 1 </w:t>
            </w:r>
            <w:r w:rsidRPr="00C97E20">
              <w:rPr>
                <w:i/>
              </w:rPr>
              <w:t>First-time Adoption of  Australian Accounting Standards</w:t>
            </w:r>
          </w:p>
        </w:tc>
        <w:tc>
          <w:tcPr>
            <w:tcW w:w="3402" w:type="dxa"/>
          </w:tcPr>
          <w:p w:rsidR="00172D03" w:rsidRPr="00C97E20" w:rsidRDefault="008E7DC9" w:rsidP="00DF234F">
            <w:pPr>
              <w:pStyle w:val="AASBNormalTable"/>
            </w:pPr>
            <w:r w:rsidRPr="00C97E20">
              <w:t>Repeated application of AASB 1</w:t>
            </w:r>
          </w:p>
        </w:tc>
      </w:tr>
      <w:tr w:rsidR="00172D03" w:rsidRPr="00C97E20" w:rsidTr="00C97E20">
        <w:trPr>
          <w:trHeight w:val="427"/>
        </w:trPr>
        <w:tc>
          <w:tcPr>
            <w:tcW w:w="2885" w:type="dxa"/>
            <w:vMerge/>
          </w:tcPr>
          <w:p w:rsidR="00172D03" w:rsidRPr="00C97E20" w:rsidRDefault="00172D03" w:rsidP="00C97E20">
            <w:pPr>
              <w:pStyle w:val="nonelevel2bold"/>
              <w:spacing w:beforeLines="20" w:before="48" w:after="160"/>
              <w:jc w:val="left"/>
              <w:rPr>
                <w:rFonts w:ascii="Times New Roman" w:hAnsi="Times New Roman" w:cs="Times New Roman"/>
                <w:sz w:val="20"/>
                <w:szCs w:val="20"/>
              </w:rPr>
            </w:pPr>
          </w:p>
        </w:tc>
        <w:tc>
          <w:tcPr>
            <w:tcW w:w="3402" w:type="dxa"/>
          </w:tcPr>
          <w:p w:rsidR="00172D03" w:rsidRPr="00C97E20" w:rsidRDefault="008E7DC9" w:rsidP="00DF234F">
            <w:pPr>
              <w:pStyle w:val="AASBNormalTable"/>
            </w:pPr>
            <w:r w:rsidRPr="00C97E20">
              <w:t>Borrowing costs</w:t>
            </w:r>
          </w:p>
        </w:tc>
      </w:tr>
      <w:tr w:rsidR="00172D03" w:rsidRPr="00C97E20" w:rsidTr="00C97E20">
        <w:trPr>
          <w:trHeight w:val="675"/>
        </w:trPr>
        <w:tc>
          <w:tcPr>
            <w:tcW w:w="2885" w:type="dxa"/>
          </w:tcPr>
          <w:p w:rsidR="00172D03" w:rsidRPr="00C97E20" w:rsidRDefault="00172D03" w:rsidP="00DF234F">
            <w:pPr>
              <w:pStyle w:val="AASBNormalTable"/>
            </w:pPr>
            <w:r w:rsidRPr="00C97E20">
              <w:t xml:space="preserve">AASB 101 </w:t>
            </w:r>
            <w:r w:rsidRPr="00C97E20">
              <w:rPr>
                <w:i/>
              </w:rPr>
              <w:t>Presentation of Financial Statements</w:t>
            </w:r>
          </w:p>
        </w:tc>
        <w:tc>
          <w:tcPr>
            <w:tcW w:w="3402" w:type="dxa"/>
          </w:tcPr>
          <w:p w:rsidR="00172D03" w:rsidRPr="00C97E20" w:rsidRDefault="00172D03" w:rsidP="00E55E2D">
            <w:pPr>
              <w:pStyle w:val="AASBNormalTable"/>
            </w:pPr>
            <w:r w:rsidRPr="00C97E20">
              <w:t xml:space="preserve">Clarification </w:t>
            </w:r>
            <w:r w:rsidR="008E7DC9" w:rsidRPr="00C97E20">
              <w:t>of the requirements for comparative information</w:t>
            </w:r>
          </w:p>
        </w:tc>
      </w:tr>
      <w:tr w:rsidR="00172D03" w:rsidRPr="00C97E20" w:rsidTr="00C97E20">
        <w:trPr>
          <w:trHeight w:val="675"/>
        </w:trPr>
        <w:tc>
          <w:tcPr>
            <w:tcW w:w="2885" w:type="dxa"/>
          </w:tcPr>
          <w:p w:rsidR="00172D03" w:rsidRPr="00C97E20" w:rsidRDefault="008E7DC9" w:rsidP="00DF234F">
            <w:pPr>
              <w:pStyle w:val="AASBNormalTable"/>
              <w:rPr>
                <w:i/>
              </w:rPr>
            </w:pPr>
            <w:r w:rsidRPr="00C97E20">
              <w:t xml:space="preserve">AASB 116 </w:t>
            </w:r>
            <w:r w:rsidRPr="00C97E20">
              <w:rPr>
                <w:i/>
              </w:rPr>
              <w:t>Property, Plant and Equipment</w:t>
            </w:r>
          </w:p>
        </w:tc>
        <w:tc>
          <w:tcPr>
            <w:tcW w:w="3402" w:type="dxa"/>
          </w:tcPr>
          <w:p w:rsidR="00172D03" w:rsidRPr="00C97E20" w:rsidRDefault="008E7DC9" w:rsidP="00E55E2D">
            <w:pPr>
              <w:pStyle w:val="AASBNormalTable"/>
              <w:rPr>
                <w:lang w:val="en-GB"/>
              </w:rPr>
            </w:pPr>
            <w:r w:rsidRPr="00C97E20">
              <w:t>Classification of servicing equipment</w:t>
            </w:r>
          </w:p>
        </w:tc>
      </w:tr>
      <w:tr w:rsidR="008E7DC9" w:rsidRPr="00C97E20" w:rsidTr="00C97E20">
        <w:trPr>
          <w:trHeight w:val="675"/>
        </w:trPr>
        <w:tc>
          <w:tcPr>
            <w:tcW w:w="2885" w:type="dxa"/>
          </w:tcPr>
          <w:p w:rsidR="008E7DC9" w:rsidRPr="00540FFD" w:rsidRDefault="008E7DC9" w:rsidP="00DF234F">
            <w:pPr>
              <w:pStyle w:val="AASBNormalTable"/>
            </w:pPr>
            <w:r w:rsidRPr="00C97E20">
              <w:t xml:space="preserve">AASB 132 </w:t>
            </w:r>
            <w:r w:rsidRPr="00C97E20">
              <w:rPr>
                <w:i/>
              </w:rPr>
              <w:t>Financial Instruments: Presentation</w:t>
            </w:r>
            <w:r w:rsidR="00540FFD">
              <w:t>;</w:t>
            </w:r>
            <w:r w:rsidR="00C97E20">
              <w:t xml:space="preserve"> and </w:t>
            </w:r>
            <w:r w:rsidR="00540FFD">
              <w:br/>
            </w:r>
            <w:r w:rsidR="00C97E20" w:rsidRPr="00C97E20">
              <w:t>Interpretation</w:t>
            </w:r>
            <w:r w:rsidR="00C97E20" w:rsidRPr="00540FFD">
              <w:t xml:space="preserve"> 2 </w:t>
            </w:r>
            <w:r w:rsidR="00C97E20" w:rsidRPr="00C97E20">
              <w:rPr>
                <w:i/>
              </w:rPr>
              <w:t>Members</w:t>
            </w:r>
            <w:r w:rsidR="00C97E20">
              <w:rPr>
                <w:i/>
              </w:rPr>
              <w:t>’</w:t>
            </w:r>
            <w:r w:rsidR="00C97E20" w:rsidRPr="00C97E20">
              <w:rPr>
                <w:i/>
              </w:rPr>
              <w:t xml:space="preserve"> Shares in Co-operative Entities and Similar Instruments</w:t>
            </w:r>
          </w:p>
        </w:tc>
        <w:tc>
          <w:tcPr>
            <w:tcW w:w="3402" w:type="dxa"/>
          </w:tcPr>
          <w:p w:rsidR="008E7DC9" w:rsidRPr="00C97E20" w:rsidRDefault="00B3628C" w:rsidP="00DF234F">
            <w:pPr>
              <w:pStyle w:val="AASBNormalTable"/>
              <w:rPr>
                <w:lang w:val="en-GB"/>
              </w:rPr>
            </w:pPr>
            <w:r w:rsidRPr="00C97E20">
              <w:t>Tax effect of distribution to holders of equity instruments</w:t>
            </w:r>
          </w:p>
        </w:tc>
      </w:tr>
      <w:tr w:rsidR="008E7DC9" w:rsidRPr="00DC3293" w:rsidTr="00C97E20">
        <w:trPr>
          <w:trHeight w:val="675"/>
        </w:trPr>
        <w:tc>
          <w:tcPr>
            <w:tcW w:w="2885" w:type="dxa"/>
          </w:tcPr>
          <w:p w:rsidR="008E7DC9" w:rsidRPr="00C97E20" w:rsidRDefault="008E7DC9" w:rsidP="00DF234F">
            <w:pPr>
              <w:pStyle w:val="AASBNormalTable"/>
              <w:rPr>
                <w:i/>
              </w:rPr>
            </w:pPr>
            <w:r w:rsidRPr="00C97E20">
              <w:t xml:space="preserve">AASB 134 </w:t>
            </w:r>
            <w:r w:rsidRPr="00C97E20">
              <w:rPr>
                <w:i/>
              </w:rPr>
              <w:t>Interim Financial Reporting</w:t>
            </w:r>
          </w:p>
        </w:tc>
        <w:tc>
          <w:tcPr>
            <w:tcW w:w="3402" w:type="dxa"/>
          </w:tcPr>
          <w:p w:rsidR="008E7DC9" w:rsidRPr="008E26D1" w:rsidRDefault="008E7DC9" w:rsidP="00DF234F">
            <w:pPr>
              <w:pStyle w:val="AASBNormalTable"/>
              <w:rPr>
                <w:lang w:val="en-GB"/>
              </w:rPr>
            </w:pPr>
            <w:r w:rsidRPr="00DF234F">
              <w:t>Interim</w:t>
            </w:r>
            <w:r w:rsidRPr="00C97E20">
              <w:rPr>
                <w:lang w:val="en-GB"/>
              </w:rPr>
              <w:t xml:space="preserve"> financial reporting and segment information for total assets and liabilities</w:t>
            </w:r>
          </w:p>
        </w:tc>
      </w:tr>
    </w:tbl>
    <w:p w:rsidR="00172D03" w:rsidRPr="0000292B" w:rsidRDefault="00172D03" w:rsidP="00172D03">
      <w:pPr>
        <w:pStyle w:val="NoNumPlain1"/>
        <w:rPr>
          <w:lang w:eastAsia="en-AU"/>
        </w:rPr>
        <w:sectPr w:rsidR="00172D03" w:rsidRPr="0000292B">
          <w:footerReference w:type="default" r:id="rId19"/>
          <w:pgSz w:w="11907" w:h="16840"/>
          <w:pgMar w:top="3686" w:right="2837" w:bottom="3686" w:left="2837" w:header="706" w:footer="3254" w:gutter="0"/>
          <w:paperSrc w:first="58" w:other="58"/>
          <w:cols w:space="720"/>
        </w:sectPr>
      </w:pPr>
    </w:p>
    <w:p w:rsidR="001662B8" w:rsidRPr="0000292B" w:rsidRDefault="001662B8" w:rsidP="001662B8">
      <w:pPr>
        <w:pStyle w:val="Heading1"/>
      </w:pPr>
      <w:r w:rsidRPr="0000292B">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F46AB3" w:rsidRPr="00F46AB3">
        <w:rPr>
          <w:iCs/>
        </w:rPr>
        <w:t>2012-5</w:t>
      </w:r>
      <w:r w:rsidRPr="00BC0D5D">
        <w:rPr>
          <w:iCs/>
        </w:rPr>
        <w:fldChar w:fldCharType="end"/>
      </w:r>
    </w:p>
    <w:p w:rsidR="001662B8" w:rsidRDefault="001662B8" w:rsidP="001662B8">
      <w:r>
        <w:t>The Australian Accounting Standards Board makes Accounting Standard AASB </w:t>
      </w:r>
      <w:fldSimple w:instr=" REF DocNo  \* charformat " w:fldLock="1">
        <w:r w:rsidR="00F46AB3">
          <w:t>2012-5</w:t>
        </w:r>
      </w:fldSimple>
      <w:r>
        <w:t xml:space="preserve"> </w:t>
      </w:r>
      <w:r w:rsidRPr="001662B8">
        <w:rPr>
          <w:i/>
        </w:rPr>
        <w:t xml:space="preserve">Amendments to Australian Accounting Standards arising from </w:t>
      </w:r>
      <w:r w:rsidRPr="001662B8">
        <w:rPr>
          <w:i/>
          <w:iCs/>
        </w:rPr>
        <w:fldChar w:fldCharType="begin" w:fldLock="1"/>
      </w:r>
      <w:r w:rsidRPr="001662B8">
        <w:rPr>
          <w:i/>
          <w:iCs/>
        </w:rPr>
        <w:instrText xml:space="preserve"> REF ArisingNo  \* charformat </w:instrText>
      </w:r>
      <w:r w:rsidRPr="001662B8">
        <w:rPr>
          <w:i/>
          <w:iCs/>
        </w:rPr>
        <w:fldChar w:fldCharType="separate"/>
      </w:r>
      <w:r w:rsidR="00F46AB3" w:rsidRPr="00F46AB3">
        <w:rPr>
          <w:i/>
          <w:iCs/>
        </w:rPr>
        <w:t>Annual Improvements 2009–2011 Cycle</w:t>
      </w:r>
      <w:r w:rsidRPr="001662B8">
        <w:rPr>
          <w:i/>
          <w:iCs/>
        </w:rPr>
        <w:fldChar w:fldCharType="end"/>
      </w:r>
      <w:r w:rsidR="002B7803">
        <w:rPr>
          <w:i/>
          <w:iCs/>
        </w:rPr>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226"/>
        <w:gridCol w:w="3227"/>
      </w:tblGrid>
      <w:tr w:rsidR="00C03C7B" w:rsidTr="0048155F">
        <w:tc>
          <w:tcPr>
            <w:tcW w:w="3226" w:type="dxa"/>
          </w:tcPr>
          <w:p w:rsidR="00C03C7B" w:rsidRDefault="00C03C7B" w:rsidP="0048155F"/>
        </w:tc>
        <w:tc>
          <w:tcPr>
            <w:tcW w:w="3227" w:type="dxa"/>
          </w:tcPr>
          <w:p w:rsidR="00C03C7B" w:rsidRDefault="00C03C7B" w:rsidP="0048155F">
            <w:pPr>
              <w:jc w:val="right"/>
            </w:pPr>
            <w:r>
              <w:t xml:space="preserve">Kevin </w:t>
            </w:r>
            <w:r w:rsidR="000B733C">
              <w:t xml:space="preserve">M. </w:t>
            </w:r>
            <w:r>
              <w:t>Stevenson</w:t>
            </w:r>
          </w:p>
        </w:tc>
      </w:tr>
      <w:tr w:rsidR="00C03C7B" w:rsidTr="0048155F">
        <w:tc>
          <w:tcPr>
            <w:tcW w:w="3226" w:type="dxa"/>
          </w:tcPr>
          <w:p w:rsidR="00C03C7B" w:rsidRDefault="00C03C7B" w:rsidP="0048155F">
            <w:r>
              <w:t xml:space="preserve">Dated </w:t>
            </w:r>
            <w:bookmarkStart w:id="11" w:name="DateSigned"/>
            <w:r w:rsidR="00F46AB3">
              <w:t>29 June 2012</w:t>
            </w:r>
            <w:bookmarkEnd w:id="11"/>
          </w:p>
        </w:tc>
        <w:tc>
          <w:tcPr>
            <w:tcW w:w="3227"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F46AB3" w:rsidRPr="00F46AB3">
        <w:rPr>
          <w:iCs/>
        </w:rPr>
        <w:t>2012-5</w:t>
      </w:r>
      <w:r w:rsidR="00BC0D5D" w:rsidRPr="00BC0D5D">
        <w:rPr>
          <w:iCs/>
        </w:rPr>
        <w:fldChar w:fldCharType="end"/>
      </w:r>
    </w:p>
    <w:p w:rsidR="00090A6F" w:rsidRDefault="001662B8">
      <w:pPr>
        <w:pStyle w:val="Heading1Italic"/>
      </w:pPr>
      <w:r>
        <w:t xml:space="preserve">AMENDMENTS TO AUSTRALIAN ACCOUNTING STANDARDS ARISING FROM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separate"/>
      </w:r>
      <w:r w:rsidR="00F46AB3">
        <w:t>Annual Improvements 2009–2011 Cycle</w:t>
      </w:r>
      <w:r w:rsidR="00090A6F" w:rsidRPr="0000292B">
        <w:fldChar w:fldCharType="end"/>
      </w:r>
    </w:p>
    <w:p w:rsidR="00090A6F" w:rsidRPr="0000292B" w:rsidRDefault="00090A6F">
      <w:pPr>
        <w:pStyle w:val="Heading2"/>
      </w:pPr>
      <w:bookmarkStart w:id="12" w:name="TOCStart"/>
      <w:bookmarkEnd w:id="12"/>
      <w:r w:rsidRPr="0000292B">
        <w:t>Objective</w:t>
      </w:r>
    </w:p>
    <w:p w:rsidR="00090A6F" w:rsidRDefault="001662B8" w:rsidP="001E031B">
      <w:pPr>
        <w:pStyle w:val="NumPlain1"/>
      </w:pPr>
      <w:r>
        <w:t xml:space="preserve">The </w:t>
      </w:r>
      <w:r w:rsidR="00460FBB">
        <w:t>o</w:t>
      </w:r>
      <w:r>
        <w:t>bjective of this Standard is to make amendments to:</w:t>
      </w:r>
    </w:p>
    <w:p w:rsidR="006C16BB" w:rsidRDefault="006C16BB" w:rsidP="006C16BB">
      <w:pPr>
        <w:pStyle w:val="NumPlain2"/>
      </w:pPr>
      <w:r>
        <w:t xml:space="preserve">AASB 1 </w:t>
      </w:r>
      <w:r w:rsidRPr="006C16BB">
        <w:rPr>
          <w:i/>
        </w:rPr>
        <w:t>First-time Adoption of Australian Accounting Standards</w:t>
      </w:r>
      <w:r w:rsidR="00D74DB5" w:rsidRPr="00D74DB5">
        <w:t>;</w:t>
      </w:r>
    </w:p>
    <w:p w:rsidR="006C16BB" w:rsidRPr="00D74DB5" w:rsidRDefault="006C16BB" w:rsidP="006C16BB">
      <w:pPr>
        <w:pStyle w:val="NumPlain2"/>
      </w:pPr>
      <w:r>
        <w:t xml:space="preserve">AASB 101 </w:t>
      </w:r>
      <w:r w:rsidRPr="006C16BB">
        <w:rPr>
          <w:i/>
        </w:rPr>
        <w:t>Presentation of Financial Statements</w:t>
      </w:r>
      <w:r w:rsidR="00D74DB5" w:rsidRPr="00D74DB5">
        <w:t>;</w:t>
      </w:r>
    </w:p>
    <w:p w:rsidR="006C16BB" w:rsidRPr="00D74DB5" w:rsidRDefault="006C16BB" w:rsidP="006C16BB">
      <w:pPr>
        <w:pStyle w:val="NumPlain2"/>
      </w:pPr>
      <w:r>
        <w:t xml:space="preserve">AASB 116 </w:t>
      </w:r>
      <w:r w:rsidRPr="006C16BB">
        <w:rPr>
          <w:i/>
        </w:rPr>
        <w:t>Property, Plant and Equipment</w:t>
      </w:r>
      <w:r w:rsidR="00D74DB5" w:rsidRPr="00D74DB5">
        <w:t>;</w:t>
      </w:r>
    </w:p>
    <w:p w:rsidR="006C16BB" w:rsidRDefault="006C16BB" w:rsidP="006C16BB">
      <w:pPr>
        <w:pStyle w:val="NumPlain2"/>
      </w:pPr>
      <w:r>
        <w:t xml:space="preserve">AASB 132 </w:t>
      </w:r>
      <w:r w:rsidRPr="006C16BB">
        <w:rPr>
          <w:i/>
        </w:rPr>
        <w:t>Financial Instruments: Presentation</w:t>
      </w:r>
      <w:r w:rsidR="00545153">
        <w:t>;</w:t>
      </w:r>
    </w:p>
    <w:p w:rsidR="006C16BB" w:rsidRDefault="006C16BB" w:rsidP="006C16BB">
      <w:pPr>
        <w:pStyle w:val="NumPlain2"/>
      </w:pPr>
      <w:r>
        <w:t xml:space="preserve">AASB 134 </w:t>
      </w:r>
      <w:r w:rsidRPr="006C16BB">
        <w:rPr>
          <w:i/>
        </w:rPr>
        <w:t>Interim Financial Reporting</w:t>
      </w:r>
      <w:r w:rsidR="00D74DB5" w:rsidRPr="00D74DB5">
        <w:t>;</w:t>
      </w:r>
      <w:r w:rsidR="00545153">
        <w:t xml:space="preserve"> and</w:t>
      </w:r>
    </w:p>
    <w:p w:rsidR="00545153" w:rsidRDefault="00545153" w:rsidP="006C16BB">
      <w:pPr>
        <w:pStyle w:val="NumPlain2"/>
      </w:pPr>
      <w:r>
        <w:t xml:space="preserve">Interpretation 2 </w:t>
      </w:r>
      <w:r w:rsidRPr="009A0269">
        <w:rPr>
          <w:i/>
        </w:rPr>
        <w:t>Members’ Shares in Co</w:t>
      </w:r>
      <w:r w:rsidR="008E7DC9">
        <w:rPr>
          <w:i/>
        </w:rPr>
        <w:t>-</w:t>
      </w:r>
      <w:r w:rsidRPr="009A0269">
        <w:rPr>
          <w:i/>
        </w:rPr>
        <w:t>operative Entities and Similar Instruments</w:t>
      </w:r>
      <w:r w:rsidR="00966250" w:rsidRPr="00DC7659">
        <w:t>;</w:t>
      </w:r>
    </w:p>
    <w:p w:rsidR="001662B8" w:rsidRPr="0000292B" w:rsidRDefault="001662B8" w:rsidP="001662B8">
      <w:pPr>
        <w:pStyle w:val="NoNumPlain2"/>
      </w:pPr>
      <w:r>
        <w:t>a</w:t>
      </w:r>
      <w:bookmarkStart w:id="13" w:name="StndObj"/>
      <w:bookmarkEnd w:id="13"/>
      <w:r>
        <w:t>s a consequence of the</w:t>
      </w:r>
      <w:r w:rsidR="00DC7659">
        <w:t xml:space="preserve"> issuance of International Financial Reporting Standard </w:t>
      </w:r>
      <w:r w:rsidR="00DC7659">
        <w:rPr>
          <w:i/>
        </w:rPr>
        <w:t>Annual Improvements to IFRSs 2009</w:t>
      </w:r>
      <w:r w:rsidR="00540FFD">
        <w:rPr>
          <w:i/>
        </w:rPr>
        <w:t>–</w:t>
      </w:r>
      <w:r w:rsidR="00DC7659">
        <w:rPr>
          <w:i/>
        </w:rPr>
        <w:t>2011 Cycle</w:t>
      </w:r>
      <w:r w:rsidR="00DC7659">
        <w:t xml:space="preserve"> by the International Accounting Standards Board in May 2012</w:t>
      </w:r>
      <w:r w:rsidR="00855043">
        <w:t>.</w:t>
      </w:r>
    </w:p>
    <w:p w:rsidR="00090A6F" w:rsidRPr="0000292B" w:rsidRDefault="00090A6F" w:rsidP="00F10896">
      <w:pPr>
        <w:pStyle w:val="Heading2"/>
      </w:pPr>
      <w:r w:rsidRPr="0000292B">
        <w:t>Application</w:t>
      </w:r>
    </w:p>
    <w:p w:rsidR="00511C34" w:rsidRDefault="00511C34" w:rsidP="00F10896">
      <w:pPr>
        <w:pStyle w:val="NumBold1"/>
        <w:keepNext/>
      </w:pPr>
      <w:r>
        <w:t xml:space="preserve">Subject to paragraphs </w:t>
      </w:r>
      <w:r w:rsidR="00A01F31">
        <w:t>3</w:t>
      </w:r>
      <w:r w:rsidR="00D31993">
        <w:t xml:space="preserve"> and </w:t>
      </w:r>
      <w:r w:rsidR="00A01F31">
        <w:t>4</w:t>
      </w:r>
      <w:r>
        <w:t>, 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r>
        <w:t>financial statements that are, or are held out to be, general purpose financial statements.</w:t>
      </w:r>
    </w:p>
    <w:p w:rsidR="00AF7181" w:rsidRPr="00650235" w:rsidRDefault="00AF7181" w:rsidP="00650235">
      <w:pPr>
        <w:pStyle w:val="NumBold1"/>
      </w:pPr>
      <w:r w:rsidRPr="00650235">
        <w:t>In respect of AASB 101, this Standard applies to:</w:t>
      </w:r>
    </w:p>
    <w:p w:rsidR="00AF7181" w:rsidRPr="00650235" w:rsidRDefault="00AF7181" w:rsidP="00650235">
      <w:pPr>
        <w:pStyle w:val="NumBold2"/>
      </w:pPr>
      <w:r w:rsidRPr="00650235">
        <w:t xml:space="preserve">each entity that is required to prepare financial reports in accordance with Part 2M.3 of the Corporations Act; </w:t>
      </w:r>
    </w:p>
    <w:p w:rsidR="00AF7181" w:rsidRPr="00650235" w:rsidRDefault="00AF7181" w:rsidP="00650235">
      <w:pPr>
        <w:pStyle w:val="NumBold2"/>
      </w:pPr>
      <w:r w:rsidRPr="00650235">
        <w:t xml:space="preserve">general purpose financial statements of each reporting entity; and </w:t>
      </w:r>
    </w:p>
    <w:p w:rsidR="00AF7181" w:rsidRPr="00650235" w:rsidRDefault="00650235" w:rsidP="00650235">
      <w:pPr>
        <w:pStyle w:val="NumBold2"/>
      </w:pPr>
      <w:r w:rsidRPr="00650235">
        <w:t>financial statements that are, or are held out to be, general purpose financial statements.</w:t>
      </w:r>
    </w:p>
    <w:p w:rsidR="00AF7181" w:rsidRPr="00D261FF" w:rsidRDefault="00AF7181" w:rsidP="00AF7181">
      <w:pPr>
        <w:pStyle w:val="NumBold1"/>
      </w:pPr>
      <w:r w:rsidRPr="00D261FF">
        <w:t>In respect of AASB 1</w:t>
      </w:r>
      <w:r w:rsidR="00D261FF" w:rsidRPr="00D261FF">
        <w:t>34</w:t>
      </w:r>
      <w:r w:rsidRPr="00D261FF">
        <w:t>, this Standard applies to:</w:t>
      </w:r>
    </w:p>
    <w:p w:rsidR="00D261FF" w:rsidRPr="00D261FF" w:rsidRDefault="00D261FF" w:rsidP="00D261FF">
      <w:pPr>
        <w:pStyle w:val="NumBold2"/>
      </w:pPr>
      <w:r w:rsidRPr="00D261FF">
        <w:t>each disclosing entity required to prepare half-year financial reports in accordance with Part 2M.3 of the Corporations Act;</w:t>
      </w:r>
    </w:p>
    <w:p w:rsidR="00D261FF" w:rsidRPr="00D261FF" w:rsidRDefault="00D261FF" w:rsidP="00D261FF">
      <w:pPr>
        <w:pStyle w:val="NumBold2"/>
      </w:pPr>
      <w:r w:rsidRPr="00D261FF">
        <w:t>interim financial reports that are general purpose financial statements of each other reporting entity; and</w:t>
      </w:r>
    </w:p>
    <w:p w:rsidR="00AF7181" w:rsidRPr="00D261FF" w:rsidRDefault="00D261FF" w:rsidP="00D261FF">
      <w:pPr>
        <w:pStyle w:val="NumBold2"/>
      </w:pPr>
      <w:r w:rsidRPr="00D261FF">
        <w:t>interim financial reports that are, or are held out to be, general purpose financial statements.</w:t>
      </w:r>
    </w:p>
    <w:p w:rsidR="009367F2" w:rsidRDefault="00090A6F" w:rsidP="009367F2">
      <w:pPr>
        <w:pStyle w:val="NumBold1"/>
      </w:pPr>
      <w:r w:rsidRPr="00027E8B">
        <w:t xml:space="preserve">This Standard applies to annual reporting periods </w:t>
      </w:r>
      <w:bookmarkStart w:id="14" w:name="ApplyText"/>
      <w:r w:rsidRPr="00027E8B">
        <w:t>beginning</w:t>
      </w:r>
      <w:bookmarkEnd w:id="14"/>
      <w:r w:rsidRPr="00027E8B">
        <w:t xml:space="preserve"> on or after </w:t>
      </w:r>
      <w:bookmarkStart w:id="15" w:name="ApplyDate"/>
      <w:r w:rsidR="006C16BB">
        <w:t>1 January 2013</w:t>
      </w:r>
      <w:bookmarkStart w:id="16" w:name="EarlyYesPara"/>
      <w:bookmarkEnd w:id="15"/>
      <w:r w:rsidR="009367F2">
        <w:t>.</w:t>
      </w:r>
    </w:p>
    <w:p w:rsidR="00090A6F" w:rsidRPr="00A01F31" w:rsidRDefault="00090A6F" w:rsidP="009367F2">
      <w:pPr>
        <w:pStyle w:val="NumBold1"/>
      </w:pPr>
      <w:r w:rsidRPr="00A01F31">
        <w:t xml:space="preserve">This Standard may be applied to annual reporting periods </w:t>
      </w:r>
      <w:bookmarkStart w:id="17" w:name="EarlyText"/>
      <w:r w:rsidR="00E839DA" w:rsidRPr="00A01F31">
        <w:t>beginning</w:t>
      </w:r>
      <w:bookmarkEnd w:id="17"/>
      <w:r w:rsidRPr="00A01F31">
        <w:t xml:space="preserve"> on or after </w:t>
      </w:r>
      <w:r w:rsidR="00927D36" w:rsidRPr="00A01F31">
        <w:t>1</w:t>
      </w:r>
      <w:r w:rsidR="004F44B4" w:rsidRPr="00A01F31">
        <w:t> </w:t>
      </w:r>
      <w:r w:rsidR="00927D36" w:rsidRPr="00A01F31">
        <w:t>January</w:t>
      </w:r>
      <w:r w:rsidR="004F44B4" w:rsidRPr="00A01F31">
        <w:t> </w:t>
      </w:r>
      <w:r w:rsidR="00927D36" w:rsidRPr="00A01F31">
        <w:t>2005</w:t>
      </w:r>
      <w:r w:rsidR="0078116B" w:rsidRPr="00A01F31">
        <w:t xml:space="preserve"> </w:t>
      </w:r>
      <w:bookmarkStart w:id="18" w:name="EarlyWord"/>
      <w:r w:rsidR="0078116B" w:rsidRPr="00A01F31">
        <w:t>but</w:t>
      </w:r>
      <w:bookmarkEnd w:id="18"/>
      <w:r w:rsidR="0078116B" w:rsidRPr="00A01F31">
        <w:t xml:space="preserve"> before </w:t>
      </w:r>
      <w:r w:rsidR="005A2514" w:rsidRPr="00A01F31">
        <w:fldChar w:fldCharType="begin" w:fldLock="1"/>
      </w:r>
      <w:r w:rsidR="005A2514" w:rsidRPr="00A01F31">
        <w:instrText xml:space="preserve"> REF ApplyDate  \* charformat  </w:instrText>
      </w:r>
      <w:r w:rsidR="00D74DB5" w:rsidRPr="00A01F31">
        <w:instrText xml:space="preserve"> \* MERGEFORMAT </w:instrText>
      </w:r>
      <w:r w:rsidR="005A2514" w:rsidRPr="00A01F31">
        <w:fldChar w:fldCharType="separate"/>
      </w:r>
      <w:r w:rsidR="00F46AB3">
        <w:t>1 January 2013</w:t>
      </w:r>
      <w:r w:rsidR="005A2514" w:rsidRPr="00A01F31">
        <w:fldChar w:fldCharType="end"/>
      </w:r>
      <w:r w:rsidR="00AF7181" w:rsidRPr="00A01F31">
        <w:t>.</w:t>
      </w:r>
      <w:r w:rsidR="00240AA0">
        <w:t xml:space="preserve">  </w:t>
      </w:r>
      <w:r w:rsidR="009367F2" w:rsidRPr="00C508B2">
        <w:t>The insertion of early application conditions in the individual Standards and Interpretation means that the amendments (or sets of amendments) to each of those Standards and Interpretation can be applied separately from the other amendments provided the particular early application conditions are satisfied.</w:t>
      </w:r>
    </w:p>
    <w:bookmarkEnd w:id="16"/>
    <w:p w:rsidR="00090A6F" w:rsidRDefault="0048155F" w:rsidP="0048155F">
      <w:pPr>
        <w:pStyle w:val="NumBold1"/>
      </w:pPr>
      <w:r w:rsidRPr="00A01F31">
        <w:t>This Standard uses underlining, striking out and other</w:t>
      </w:r>
      <w:r>
        <w:t xml:space="preserve"> typographical material to identify some of the amendments to a Standard</w:t>
      </w:r>
      <w:r w:rsidR="00545153">
        <w:t xml:space="preserve"> or </w:t>
      </w:r>
      <w:r w:rsidR="00534427">
        <w:t xml:space="preserve">an </w:t>
      </w:r>
      <w:r w:rsidR="00545153">
        <w:t>Interpretation</w:t>
      </w:r>
      <w:r>
        <w:t>, in order to make the amendments more understandable.  However, the amendments made by this Standard do not include that underlining, striking out or</w:t>
      </w:r>
      <w:r w:rsidR="002244DA">
        <w:t xml:space="preserve"> other typographical material. </w:t>
      </w:r>
    </w:p>
    <w:p w:rsidR="006C16BB" w:rsidRDefault="006C16BB">
      <w:pPr>
        <w:pStyle w:val="Heading2"/>
      </w:pPr>
      <w:r>
        <w:t>Amendments to AASB 1</w:t>
      </w:r>
    </w:p>
    <w:p w:rsidR="006C16BB" w:rsidRPr="00B94CAC" w:rsidRDefault="002244DA" w:rsidP="00D03401">
      <w:pPr>
        <w:pStyle w:val="NumPlain1"/>
        <w:keepNext/>
      </w:pPr>
      <w:r w:rsidRPr="00B94CAC">
        <w:t>Paragraphs 4A</w:t>
      </w:r>
      <w:r w:rsidR="002D5D59" w:rsidRPr="00B94CAC">
        <w:t xml:space="preserve">, </w:t>
      </w:r>
      <w:r w:rsidRPr="00B94CAC">
        <w:t>4B, 23A</w:t>
      </w:r>
      <w:r w:rsidR="002D5D59" w:rsidRPr="00B94CAC">
        <w:t xml:space="preserve">, </w:t>
      </w:r>
      <w:r w:rsidRPr="00B94CAC">
        <w:t>23B and 39P are added</w:t>
      </w:r>
      <w:r w:rsidR="00966250" w:rsidRPr="00B94CAC">
        <w:t xml:space="preserve"> as follows: </w:t>
      </w:r>
    </w:p>
    <w:p w:rsidR="00556E07" w:rsidRPr="00B94CAC" w:rsidRDefault="004F5C40" w:rsidP="008A4467">
      <w:pPr>
        <w:pStyle w:val="SubNumPlain1"/>
      </w:pPr>
      <w:r w:rsidRPr="00B94CAC">
        <w:t>4A</w:t>
      </w:r>
      <w:r w:rsidRPr="00B94CAC">
        <w:tab/>
        <w:t>Notwithstanding the requirements in paragraphs 2</w:t>
      </w:r>
      <w:r w:rsidR="00D31993" w:rsidRPr="00B94CAC">
        <w:t>-</w:t>
      </w:r>
      <w:r w:rsidR="005E3388" w:rsidRPr="00B94CAC">
        <w:t>Aus3.2</w:t>
      </w:r>
      <w:r w:rsidRPr="00B94CAC">
        <w:t xml:space="preserve">, an entity that has applied </w:t>
      </w:r>
      <w:r w:rsidR="00C5081E" w:rsidRPr="00B94CAC">
        <w:t xml:space="preserve">Australian Accounting Standards or </w:t>
      </w:r>
      <w:r w:rsidRPr="00B94CAC">
        <w:t xml:space="preserve">IFRSs in a previous reporting period, but whose most recent previous annual financial statements did not contain an explicit and unreserved statement of compliance with </w:t>
      </w:r>
      <w:r w:rsidR="00C5081E" w:rsidRPr="00B94CAC">
        <w:t xml:space="preserve">Australian Accounting Standards or </w:t>
      </w:r>
      <w:r w:rsidRPr="00B94CAC">
        <w:t xml:space="preserve">IFRSs, must either apply this </w:t>
      </w:r>
      <w:r w:rsidR="009E1D62" w:rsidRPr="00B94CAC">
        <w:t>Standard</w:t>
      </w:r>
      <w:r w:rsidRPr="00B94CAC">
        <w:t xml:space="preserve"> or else apply </w:t>
      </w:r>
      <w:r w:rsidR="00C5081E" w:rsidRPr="00B94CAC">
        <w:t xml:space="preserve">Australian Accounting Standards </w:t>
      </w:r>
      <w:r w:rsidRPr="00B94CAC">
        <w:t xml:space="preserve">retrospectively in accordance with </w:t>
      </w:r>
      <w:r w:rsidR="00E249F4" w:rsidRPr="00B94CAC">
        <w:t>AASB 10</w:t>
      </w:r>
      <w:r w:rsidRPr="00B94CAC">
        <w:t xml:space="preserve">8 </w:t>
      </w:r>
      <w:r w:rsidRPr="00B94CAC">
        <w:rPr>
          <w:i/>
        </w:rPr>
        <w:t>Accounting</w:t>
      </w:r>
      <w:r w:rsidRPr="00B94CAC">
        <w:t xml:space="preserve"> </w:t>
      </w:r>
      <w:r w:rsidRPr="00B94CAC">
        <w:rPr>
          <w:i/>
        </w:rPr>
        <w:t>Policies</w:t>
      </w:r>
      <w:r w:rsidRPr="00B94CAC">
        <w:t xml:space="preserve">, </w:t>
      </w:r>
      <w:r w:rsidRPr="00B94CAC">
        <w:rPr>
          <w:i/>
        </w:rPr>
        <w:t>Changes</w:t>
      </w:r>
      <w:r w:rsidRPr="00B94CAC">
        <w:t xml:space="preserve"> </w:t>
      </w:r>
      <w:r w:rsidRPr="00B94CAC">
        <w:rPr>
          <w:i/>
        </w:rPr>
        <w:t>in</w:t>
      </w:r>
      <w:r w:rsidRPr="00B94CAC">
        <w:t xml:space="preserve"> </w:t>
      </w:r>
      <w:r w:rsidR="00D31993" w:rsidRPr="00B94CAC">
        <w:rPr>
          <w:i/>
        </w:rPr>
        <w:t>Accounting</w:t>
      </w:r>
      <w:r w:rsidR="00D31993" w:rsidRPr="00B94CAC">
        <w:t xml:space="preserve"> </w:t>
      </w:r>
      <w:r w:rsidRPr="00B94CAC">
        <w:rPr>
          <w:i/>
        </w:rPr>
        <w:t>Estimates</w:t>
      </w:r>
      <w:r w:rsidRPr="00B94CAC">
        <w:t xml:space="preserve"> </w:t>
      </w:r>
      <w:r w:rsidRPr="00B94CAC">
        <w:rPr>
          <w:i/>
        </w:rPr>
        <w:t>and</w:t>
      </w:r>
      <w:r w:rsidRPr="00B94CAC">
        <w:t xml:space="preserve"> </w:t>
      </w:r>
      <w:r w:rsidRPr="00B94CAC">
        <w:rPr>
          <w:i/>
        </w:rPr>
        <w:t>Errors</w:t>
      </w:r>
      <w:r w:rsidRPr="00B94CAC">
        <w:t xml:space="preserve"> as if the entity had </w:t>
      </w:r>
      <w:r w:rsidR="00A2278B">
        <w:t xml:space="preserve">never stopped </w:t>
      </w:r>
      <w:r w:rsidR="00240762" w:rsidRPr="00B94CAC">
        <w:t>appl</w:t>
      </w:r>
      <w:r w:rsidR="00A2278B">
        <w:t xml:space="preserve">ying </w:t>
      </w:r>
      <w:r w:rsidR="00C5081E" w:rsidRPr="00B94CAC">
        <w:t>Australian Accounting Standards</w:t>
      </w:r>
      <w:r w:rsidR="00A2278B">
        <w:t xml:space="preserve"> or</w:t>
      </w:r>
      <w:r w:rsidR="00A2278B" w:rsidRPr="00B94CAC">
        <w:t xml:space="preserve"> </w:t>
      </w:r>
      <w:r w:rsidR="00A2278B">
        <w:t>IFRSs</w:t>
      </w:r>
      <w:r w:rsidRPr="00B94CAC">
        <w:t>.</w:t>
      </w:r>
    </w:p>
    <w:p w:rsidR="00D12130" w:rsidRPr="00B94CAC" w:rsidRDefault="00D12130" w:rsidP="008A4467">
      <w:pPr>
        <w:pStyle w:val="SubNumPlain1"/>
      </w:pPr>
      <w:r w:rsidRPr="00B94CAC">
        <w:t>4B</w:t>
      </w:r>
      <w:r w:rsidRPr="00B94CAC">
        <w:tab/>
        <w:t>When an entity does not elect to apply this Standard in accordance with paragraph 4A, the entity shall nevertheless apply the disclosure requirements in paragraphs 23A</w:t>
      </w:r>
      <w:r w:rsidR="002D5D59" w:rsidRPr="00B94CAC">
        <w:t xml:space="preserve"> and </w:t>
      </w:r>
      <w:r w:rsidRPr="00B94CAC">
        <w:t>23B of AASB 1, in addition to the disclosure requirements in AASB</w:t>
      </w:r>
      <w:r w:rsidR="00E249F4" w:rsidRPr="00B94CAC">
        <w:t> </w:t>
      </w:r>
      <w:r w:rsidRPr="00B94CAC">
        <w:t xml:space="preserve">108.  </w:t>
      </w:r>
    </w:p>
    <w:p w:rsidR="00257FA1" w:rsidRPr="00B94CAC" w:rsidRDefault="00257FA1" w:rsidP="008A4467">
      <w:pPr>
        <w:pStyle w:val="SubNumPlain1"/>
      </w:pPr>
      <w:r w:rsidRPr="00B94CAC">
        <w:t>23A</w:t>
      </w:r>
      <w:r w:rsidRPr="00B94CAC">
        <w:tab/>
        <w:t xml:space="preserve">An entity that has applied </w:t>
      </w:r>
      <w:r w:rsidR="00C5081E" w:rsidRPr="00B94CAC">
        <w:t xml:space="preserve">Australian Accounting Standards or </w:t>
      </w:r>
      <w:r w:rsidRPr="00B94CAC">
        <w:t>IFRSs in a previous period, as described in paragraph 4A, shall disclose:</w:t>
      </w:r>
    </w:p>
    <w:p w:rsidR="00257FA1" w:rsidRPr="00B94CAC" w:rsidRDefault="00257FA1" w:rsidP="008A4467">
      <w:pPr>
        <w:pStyle w:val="SubNumPlain2"/>
      </w:pPr>
      <w:r w:rsidRPr="00B94CAC">
        <w:t>the reason it stopped applying</w:t>
      </w:r>
      <w:r w:rsidR="00C5081E" w:rsidRPr="00B94CAC">
        <w:t xml:space="preserve"> Australian Accounting Standards or</w:t>
      </w:r>
      <w:r w:rsidRPr="00B94CAC">
        <w:t xml:space="preserve"> IFRSs; and</w:t>
      </w:r>
    </w:p>
    <w:p w:rsidR="00257FA1" w:rsidRPr="00B94CAC" w:rsidRDefault="00257FA1" w:rsidP="008A4467">
      <w:pPr>
        <w:pStyle w:val="SubNumPlain2"/>
      </w:pPr>
      <w:r w:rsidRPr="00B94CAC">
        <w:t>the reason it is resuming</w:t>
      </w:r>
      <w:r w:rsidR="002D5D59" w:rsidRPr="00B94CAC">
        <w:t xml:space="preserve"> or commencing</w:t>
      </w:r>
      <w:r w:rsidRPr="00B94CAC">
        <w:t xml:space="preserve"> the application of </w:t>
      </w:r>
      <w:r w:rsidR="00C5081E" w:rsidRPr="00B94CAC">
        <w:t>Australian Accounting Standards</w:t>
      </w:r>
      <w:r w:rsidRPr="00B94CAC">
        <w:t>.</w:t>
      </w:r>
    </w:p>
    <w:p w:rsidR="00257FA1" w:rsidRPr="00B94CAC" w:rsidRDefault="00257FA1" w:rsidP="008A4467">
      <w:pPr>
        <w:pStyle w:val="SubNumPlain1"/>
      </w:pPr>
      <w:r w:rsidRPr="00B94CAC">
        <w:t>23B</w:t>
      </w:r>
      <w:r w:rsidRPr="00B94CAC">
        <w:tab/>
        <w:t xml:space="preserve">When an entity, in accordance with paragraph 4A, does not elect to apply </w:t>
      </w:r>
      <w:r w:rsidR="00FD486B" w:rsidRPr="00B94CAC">
        <w:t xml:space="preserve">AASB </w:t>
      </w:r>
      <w:r w:rsidRPr="00B94CAC">
        <w:t xml:space="preserve">1, the entity shall explain the reasons for electing to apply </w:t>
      </w:r>
      <w:r w:rsidR="00C5081E" w:rsidRPr="00B94CAC">
        <w:t>Australian Accounting Standards</w:t>
      </w:r>
      <w:r w:rsidRPr="00B94CAC">
        <w:t xml:space="preserve"> as if it had </w:t>
      </w:r>
      <w:r w:rsidR="00A2278B">
        <w:t xml:space="preserve">never stopped </w:t>
      </w:r>
      <w:r w:rsidR="00A2278B" w:rsidRPr="00B94CAC">
        <w:t>appl</w:t>
      </w:r>
      <w:r w:rsidR="00A2278B">
        <w:t xml:space="preserve">ying </w:t>
      </w:r>
      <w:r w:rsidR="00A2278B" w:rsidRPr="00B94CAC">
        <w:t>Australian Accounting Standards</w:t>
      </w:r>
      <w:r w:rsidR="00A2278B">
        <w:t xml:space="preserve"> or</w:t>
      </w:r>
      <w:r w:rsidR="00A2278B" w:rsidRPr="00B94CAC">
        <w:t xml:space="preserve"> </w:t>
      </w:r>
      <w:r w:rsidR="00A2278B">
        <w:t>IFRSs</w:t>
      </w:r>
      <w:r w:rsidRPr="00B94CAC">
        <w:t>.</w:t>
      </w:r>
    </w:p>
    <w:p w:rsidR="00630789" w:rsidRPr="00B94CAC" w:rsidRDefault="00630789" w:rsidP="008A4467">
      <w:pPr>
        <w:pStyle w:val="SubNumPlain1"/>
      </w:pPr>
      <w:r w:rsidRPr="00B94CAC">
        <w:t>39P</w:t>
      </w:r>
      <w:r w:rsidRPr="00B94CAC">
        <w:tab/>
      </w:r>
      <w:r w:rsidR="00823A87" w:rsidRPr="00B94CAC">
        <w:t>AASB </w:t>
      </w:r>
      <w:r w:rsidR="00A666E6" w:rsidRPr="00B94CAC">
        <w:fldChar w:fldCharType="begin" w:fldLock="1"/>
      </w:r>
      <w:r w:rsidR="00A666E6" w:rsidRPr="00B94CAC">
        <w:instrText xml:space="preserve"> REF DocNo  \* charformat </w:instrText>
      </w:r>
      <w:r w:rsidR="00B94CAC">
        <w:instrText xml:space="preserve"> \* MERGEFORMAT </w:instrText>
      </w:r>
      <w:r w:rsidR="00A666E6" w:rsidRPr="00B94CAC">
        <w:fldChar w:fldCharType="separate"/>
      </w:r>
      <w:r w:rsidR="00F46AB3">
        <w:t>2012-5</w:t>
      </w:r>
      <w:r w:rsidR="00A666E6" w:rsidRPr="00B94CAC">
        <w:fldChar w:fldCharType="end"/>
      </w:r>
      <w:r w:rsidR="00823A87" w:rsidRPr="00B94CAC">
        <w:t xml:space="preserve"> </w:t>
      </w:r>
      <w:r w:rsidR="00823A87" w:rsidRPr="00B94CAC">
        <w:rPr>
          <w:i/>
        </w:rPr>
        <w:t xml:space="preserve">Amendments to Australian Accounting Standards arising from </w:t>
      </w:r>
      <w:r w:rsidR="00823A87" w:rsidRPr="00B94CAC">
        <w:rPr>
          <w:i/>
          <w:iCs/>
        </w:rPr>
        <w:fldChar w:fldCharType="begin" w:fldLock="1"/>
      </w:r>
      <w:r w:rsidR="00823A87" w:rsidRPr="00B94CAC">
        <w:rPr>
          <w:i/>
          <w:iCs/>
        </w:rPr>
        <w:instrText xml:space="preserve"> REF ArisingNo  \* charformat </w:instrText>
      </w:r>
      <w:r w:rsidR="008233F9" w:rsidRPr="00B94CAC">
        <w:rPr>
          <w:i/>
          <w:iCs/>
        </w:rPr>
        <w:instrText xml:space="preserve"> \* MERGEFORMAT </w:instrText>
      </w:r>
      <w:r w:rsidR="00823A87" w:rsidRPr="00B94CAC">
        <w:rPr>
          <w:i/>
          <w:iCs/>
        </w:rPr>
        <w:fldChar w:fldCharType="separate"/>
      </w:r>
      <w:r w:rsidR="00F46AB3" w:rsidRPr="00F46AB3">
        <w:rPr>
          <w:i/>
          <w:iCs/>
        </w:rPr>
        <w:t>Annual Improvements 2009–2011 Cycle</w:t>
      </w:r>
      <w:r w:rsidR="00823A87" w:rsidRPr="00B94CAC">
        <w:rPr>
          <w:i/>
          <w:iCs/>
        </w:rPr>
        <w:fldChar w:fldCharType="end"/>
      </w:r>
      <w:r w:rsidRPr="00B94CAC">
        <w:t xml:space="preserve">, issued in </w:t>
      </w:r>
      <w:r w:rsidR="00823A87" w:rsidRPr="00B94CAC">
        <w:t xml:space="preserve">June </w:t>
      </w:r>
      <w:r w:rsidRPr="00B94CAC">
        <w:t>2012, added paragraphs 4A</w:t>
      </w:r>
      <w:r w:rsidR="00B94CAC" w:rsidRPr="00B94CAC">
        <w:t xml:space="preserve">, </w:t>
      </w:r>
      <w:r w:rsidRPr="00B94CAC">
        <w:t>4B</w:t>
      </w:r>
      <w:r w:rsidR="00B94CAC" w:rsidRPr="00B94CAC">
        <w:t>,</w:t>
      </w:r>
      <w:r w:rsidRPr="00B94CAC">
        <w:t xml:space="preserve"> 23A</w:t>
      </w:r>
      <w:r w:rsidR="00B94CAC" w:rsidRPr="00B94CAC">
        <w:t xml:space="preserve"> and </w:t>
      </w:r>
      <w:r w:rsidRPr="00B94CAC">
        <w:t>23B.  An entity shall apply that amendment retrospectively in accordance with</w:t>
      </w:r>
      <w:r w:rsidR="002345D6" w:rsidRPr="00B94CAC">
        <w:t xml:space="preserve"> </w:t>
      </w:r>
      <w:r w:rsidR="00B52145">
        <w:t>AASB </w:t>
      </w:r>
      <w:r w:rsidRPr="00B94CAC">
        <w:t xml:space="preserve">108 </w:t>
      </w:r>
      <w:r w:rsidRPr="00B94CAC">
        <w:rPr>
          <w:i/>
        </w:rPr>
        <w:t>Accounting Policies, Changes in Accounting Estimates and Errors</w:t>
      </w:r>
      <w:r w:rsidRPr="00B94CAC">
        <w:t xml:space="preserve"> for annual </w:t>
      </w:r>
      <w:r w:rsidR="002A1594" w:rsidRPr="00B94CAC">
        <w:t xml:space="preserve">reporting </w:t>
      </w:r>
      <w:r w:rsidRPr="00B94CAC">
        <w:t>periods beginning on or after 1</w:t>
      </w:r>
      <w:r w:rsidR="00E249F4" w:rsidRPr="00B94CAC">
        <w:t> </w:t>
      </w:r>
      <w:r w:rsidRPr="00B94CAC">
        <w:t>January</w:t>
      </w:r>
      <w:r w:rsidR="00E249F4" w:rsidRPr="00B94CAC">
        <w:t> </w:t>
      </w:r>
      <w:r w:rsidRPr="00B94CAC">
        <w:t>2013.  Earlier application is permitted.  If an entity applies that amendment for an earlier period it shall disclose that fact.</w:t>
      </w:r>
    </w:p>
    <w:p w:rsidR="00630789" w:rsidRDefault="00630789" w:rsidP="00630789">
      <w:pPr>
        <w:pStyle w:val="NumPlain1"/>
      </w:pPr>
      <w:r w:rsidRPr="00E275AA">
        <w:t>Paragraph D23 is amended</w:t>
      </w:r>
      <w:r w:rsidR="00E42A5E">
        <w:t xml:space="preserve"> as follows</w:t>
      </w:r>
      <w:r w:rsidRPr="00E275AA">
        <w:t xml:space="preserve"> (new text is underlined and deleted text is struck through) and </w:t>
      </w:r>
      <w:r w:rsidR="00B52145" w:rsidRPr="00E275AA">
        <w:t>paragraph</w:t>
      </w:r>
      <w:r w:rsidR="00B52145">
        <w:t> </w:t>
      </w:r>
      <w:r w:rsidRPr="00E275AA">
        <w:t>39Q is added</w:t>
      </w:r>
      <w:r w:rsidR="00C97E20">
        <w:t>:</w:t>
      </w:r>
    </w:p>
    <w:p w:rsidR="00CE7DF2" w:rsidRPr="008A4467" w:rsidRDefault="00CE7DF2" w:rsidP="008A4467">
      <w:pPr>
        <w:pStyle w:val="SubNumPlain1"/>
        <w:rPr>
          <w:u w:val="single"/>
        </w:rPr>
      </w:pPr>
      <w:r w:rsidRPr="00DC0497">
        <w:t>D23</w:t>
      </w:r>
      <w:r w:rsidRPr="00DC0497">
        <w:tab/>
      </w:r>
      <w:r w:rsidRPr="008A4467">
        <w:rPr>
          <w:strike/>
        </w:rPr>
        <w:t xml:space="preserve">A first-time adopter may apply the transitional provisions set out in paragraphs 27 and 28 of AASB </w:t>
      </w:r>
      <w:r w:rsidR="00823A87" w:rsidRPr="008A4467">
        <w:rPr>
          <w:strike/>
        </w:rPr>
        <w:t>1</w:t>
      </w:r>
      <w:r w:rsidRPr="008A4467">
        <w:rPr>
          <w:strike/>
        </w:rPr>
        <w:t xml:space="preserve">23 </w:t>
      </w:r>
      <w:r w:rsidRPr="008A4467">
        <w:rPr>
          <w:i/>
          <w:strike/>
        </w:rPr>
        <w:t>Borrowing Costs</w:t>
      </w:r>
      <w:r w:rsidRPr="008A4467">
        <w:rPr>
          <w:strike/>
        </w:rPr>
        <w:t xml:space="preserve">, as revised in 2007.  In those paragraphs references to the </w:t>
      </w:r>
      <w:r w:rsidR="00B52145">
        <w:rPr>
          <w:strike/>
        </w:rPr>
        <w:t>application</w:t>
      </w:r>
      <w:r w:rsidR="00B52145" w:rsidRPr="008A4467">
        <w:rPr>
          <w:strike/>
        </w:rPr>
        <w:t xml:space="preserve"> </w:t>
      </w:r>
      <w:r w:rsidRPr="008A4467">
        <w:rPr>
          <w:strike/>
        </w:rPr>
        <w:t>date shall be interpreted as 1 January 2009 or the date of transition to Australian Accounting Standards, whichever is later.</w:t>
      </w:r>
      <w:r w:rsidRPr="004F44B4">
        <w:t xml:space="preserve">  </w:t>
      </w:r>
      <w:r w:rsidRPr="00B94CAC">
        <w:rPr>
          <w:u w:val="single"/>
        </w:rPr>
        <w:t xml:space="preserve">A first-time adopter can elect to apply the requirements of </w:t>
      </w:r>
      <w:r w:rsidR="00B52145">
        <w:rPr>
          <w:u w:val="single"/>
        </w:rPr>
        <w:t>AASB </w:t>
      </w:r>
      <w:r w:rsidR="00823A87" w:rsidRPr="00B94CAC">
        <w:rPr>
          <w:u w:val="single"/>
        </w:rPr>
        <w:t xml:space="preserve">123 </w:t>
      </w:r>
      <w:r w:rsidR="00823A87" w:rsidRPr="00B94CAC">
        <w:rPr>
          <w:i/>
          <w:u w:val="single"/>
        </w:rPr>
        <w:t>Borrowing Costs</w:t>
      </w:r>
      <w:r w:rsidR="00823A87" w:rsidRPr="00B94CAC">
        <w:rPr>
          <w:u w:val="single"/>
        </w:rPr>
        <w:t xml:space="preserve"> </w:t>
      </w:r>
      <w:r w:rsidRPr="00B94CAC">
        <w:rPr>
          <w:u w:val="single"/>
        </w:rPr>
        <w:t xml:space="preserve">from the date of transition or from an earlier date as permitted by </w:t>
      </w:r>
      <w:r w:rsidR="00B52145" w:rsidRPr="00B94CAC">
        <w:rPr>
          <w:u w:val="single"/>
        </w:rPr>
        <w:t>paragraph</w:t>
      </w:r>
      <w:r w:rsidR="00B52145">
        <w:rPr>
          <w:u w:val="single"/>
        </w:rPr>
        <w:t> </w:t>
      </w:r>
      <w:r w:rsidRPr="00B94CAC">
        <w:rPr>
          <w:u w:val="single"/>
        </w:rPr>
        <w:t>28 of</w:t>
      </w:r>
      <w:r w:rsidR="00823A87" w:rsidRPr="00B94CAC">
        <w:rPr>
          <w:u w:val="single"/>
        </w:rPr>
        <w:t xml:space="preserve"> </w:t>
      </w:r>
      <w:r w:rsidR="00B52145">
        <w:rPr>
          <w:u w:val="single"/>
        </w:rPr>
        <w:t>AASB </w:t>
      </w:r>
      <w:r w:rsidR="00823A87" w:rsidRPr="00B94CAC">
        <w:rPr>
          <w:u w:val="single"/>
        </w:rPr>
        <w:t>123</w:t>
      </w:r>
      <w:r w:rsidRPr="00B94CAC">
        <w:rPr>
          <w:u w:val="single"/>
        </w:rPr>
        <w:t>.  From the date on which an entity that applies this</w:t>
      </w:r>
      <w:r w:rsidRPr="008A4467">
        <w:rPr>
          <w:u w:val="single"/>
        </w:rPr>
        <w:t xml:space="preserve"> exemption begins to apply</w:t>
      </w:r>
      <w:r w:rsidR="00823A87" w:rsidRPr="008A4467">
        <w:rPr>
          <w:u w:val="single"/>
        </w:rPr>
        <w:t xml:space="preserve"> </w:t>
      </w:r>
      <w:r w:rsidR="00B52145">
        <w:rPr>
          <w:u w:val="single"/>
        </w:rPr>
        <w:t>AASB </w:t>
      </w:r>
      <w:r w:rsidR="00823A87" w:rsidRPr="008A4467">
        <w:rPr>
          <w:u w:val="single"/>
        </w:rPr>
        <w:t>123</w:t>
      </w:r>
      <w:r w:rsidRPr="008A4467">
        <w:rPr>
          <w:u w:val="single"/>
        </w:rPr>
        <w:t>, the entity:</w:t>
      </w:r>
    </w:p>
    <w:p w:rsidR="00CE7DF2" w:rsidRPr="00BC36CC" w:rsidRDefault="00534427" w:rsidP="00534427">
      <w:pPr>
        <w:pStyle w:val="PlainHanging2"/>
      </w:pPr>
      <w:r w:rsidRPr="00534427">
        <w:rPr>
          <w:u w:val="single"/>
        </w:rPr>
        <w:t>(a)</w:t>
      </w:r>
      <w:r w:rsidRPr="00534427">
        <w:tab/>
      </w:r>
      <w:r w:rsidR="00CE7DF2" w:rsidRPr="00534427">
        <w:rPr>
          <w:u w:val="single"/>
        </w:rPr>
        <w:t>shall not restate the borrowing cost component that was capitalised under previous GAAP and that was included in the carrying amount of assets at that date; and</w:t>
      </w:r>
    </w:p>
    <w:p w:rsidR="001E57D2" w:rsidRPr="00B94CAC" w:rsidRDefault="00534427" w:rsidP="00534427">
      <w:pPr>
        <w:pStyle w:val="PlainHanging2"/>
      </w:pPr>
      <w:r w:rsidRPr="00534427">
        <w:rPr>
          <w:u w:val="single"/>
        </w:rPr>
        <w:t>(b)</w:t>
      </w:r>
      <w:r>
        <w:tab/>
      </w:r>
      <w:r w:rsidR="00CE7DF2" w:rsidRPr="00534427">
        <w:rPr>
          <w:u w:val="single"/>
        </w:rPr>
        <w:t>shall account for borrowing costs incurred on or after that date in accordance with</w:t>
      </w:r>
      <w:r w:rsidR="00823A87" w:rsidRPr="00534427">
        <w:rPr>
          <w:u w:val="single"/>
        </w:rPr>
        <w:t xml:space="preserve"> </w:t>
      </w:r>
      <w:r w:rsidR="00B52145" w:rsidRPr="00534427">
        <w:rPr>
          <w:u w:val="single"/>
        </w:rPr>
        <w:t>AASB </w:t>
      </w:r>
      <w:r w:rsidR="00823A87" w:rsidRPr="00534427">
        <w:rPr>
          <w:u w:val="single"/>
        </w:rPr>
        <w:t>123</w:t>
      </w:r>
      <w:r w:rsidR="00CE7DF2" w:rsidRPr="00534427">
        <w:rPr>
          <w:u w:val="single"/>
        </w:rPr>
        <w:t>, including those borrowing costs incurred on or after that date on qualifying assets already under construction.</w:t>
      </w:r>
    </w:p>
    <w:p w:rsidR="00630789" w:rsidRPr="002526B6" w:rsidRDefault="00CE7DF2" w:rsidP="00AD37EE">
      <w:pPr>
        <w:pStyle w:val="SubNumPlain1"/>
      </w:pPr>
      <w:r w:rsidRPr="002526B6">
        <w:t>39Q</w:t>
      </w:r>
      <w:r w:rsidRPr="002526B6">
        <w:tab/>
      </w:r>
      <w:r w:rsidR="00823A87" w:rsidRPr="002526B6">
        <w:t>AASB </w:t>
      </w:r>
      <w:r w:rsidR="00823A87" w:rsidRPr="002526B6">
        <w:fldChar w:fldCharType="begin" w:fldLock="1"/>
      </w:r>
      <w:r w:rsidR="00823A87" w:rsidRPr="002526B6">
        <w:instrText xml:space="preserve"> REF DocNo  \* charformat </w:instrText>
      </w:r>
      <w:r w:rsidR="004F44B4" w:rsidRPr="002526B6">
        <w:instrText xml:space="preserve"> \* MERGEFORMAT </w:instrText>
      </w:r>
      <w:r w:rsidR="00823A87" w:rsidRPr="002526B6">
        <w:fldChar w:fldCharType="separate"/>
      </w:r>
      <w:r w:rsidR="00F46AB3">
        <w:t>2012-5</w:t>
      </w:r>
      <w:r w:rsidR="00823A87" w:rsidRPr="002526B6">
        <w:fldChar w:fldCharType="end"/>
      </w:r>
      <w:r w:rsidR="00823A87" w:rsidRPr="002526B6">
        <w:t xml:space="preserve"> </w:t>
      </w:r>
      <w:r w:rsidR="00823A87" w:rsidRPr="002526B6">
        <w:rPr>
          <w:i/>
        </w:rPr>
        <w:t xml:space="preserve">Amendments to Australian Accounting Standards arising from </w:t>
      </w:r>
      <w:r w:rsidR="00823A87" w:rsidRPr="002526B6">
        <w:rPr>
          <w:i/>
          <w:iCs/>
        </w:rPr>
        <w:fldChar w:fldCharType="begin" w:fldLock="1"/>
      </w:r>
      <w:r w:rsidR="00823A87" w:rsidRPr="002526B6">
        <w:rPr>
          <w:i/>
          <w:iCs/>
        </w:rPr>
        <w:instrText xml:space="preserve"> REF ArisingNo  \* charformat </w:instrText>
      </w:r>
      <w:r w:rsidR="008233F9" w:rsidRPr="002526B6">
        <w:rPr>
          <w:i/>
          <w:iCs/>
        </w:rPr>
        <w:instrText xml:space="preserve"> \* MERGEFORMAT </w:instrText>
      </w:r>
      <w:r w:rsidR="00823A87" w:rsidRPr="002526B6">
        <w:rPr>
          <w:i/>
          <w:iCs/>
        </w:rPr>
        <w:fldChar w:fldCharType="separate"/>
      </w:r>
      <w:r w:rsidR="00F46AB3" w:rsidRPr="00F46AB3">
        <w:rPr>
          <w:i/>
          <w:iCs/>
        </w:rPr>
        <w:t>Annual Improvements 2009–2011 Cycle</w:t>
      </w:r>
      <w:r w:rsidR="00823A87" w:rsidRPr="002526B6">
        <w:rPr>
          <w:i/>
          <w:iCs/>
        </w:rPr>
        <w:fldChar w:fldCharType="end"/>
      </w:r>
      <w:r w:rsidRPr="002526B6">
        <w:t xml:space="preserve">, issued in </w:t>
      </w:r>
      <w:r w:rsidR="00823A87" w:rsidRPr="002526B6">
        <w:t xml:space="preserve">June </w:t>
      </w:r>
      <w:r w:rsidRPr="002526B6">
        <w:t>2012, amended paragraph D23.  An entity shall apply that amendment retrospectively in accordance with</w:t>
      </w:r>
      <w:r w:rsidR="00823A87" w:rsidRPr="002526B6">
        <w:t xml:space="preserve"> </w:t>
      </w:r>
      <w:r w:rsidR="00B52145">
        <w:t>AASB </w:t>
      </w:r>
      <w:r w:rsidR="00823A87" w:rsidRPr="002526B6">
        <w:t>108</w:t>
      </w:r>
      <w:r w:rsidRPr="002526B6">
        <w:t xml:space="preserve"> </w:t>
      </w:r>
      <w:r w:rsidRPr="002526B6">
        <w:rPr>
          <w:i/>
          <w:iCs/>
        </w:rPr>
        <w:t>Accounting Policies, Changes in Accounting Estimates and Errors</w:t>
      </w:r>
      <w:r w:rsidRPr="002526B6">
        <w:t xml:space="preserve"> for annual </w:t>
      </w:r>
      <w:r w:rsidR="002A1594" w:rsidRPr="002526B6">
        <w:t xml:space="preserve">reporting </w:t>
      </w:r>
      <w:r w:rsidRPr="002526B6">
        <w:t xml:space="preserve">periods beginning on or after </w:t>
      </w:r>
      <w:r w:rsidR="00B52145" w:rsidRPr="002526B6">
        <w:t>1</w:t>
      </w:r>
      <w:r w:rsidR="00B52145">
        <w:t> </w:t>
      </w:r>
      <w:r w:rsidRPr="002526B6">
        <w:t>January 2013.  Earlier application is permitted.  If an entity applies that amendment for an earlier period it shall disclose that fact.</w:t>
      </w:r>
    </w:p>
    <w:p w:rsidR="004E1891" w:rsidRDefault="00144748" w:rsidP="00F10896">
      <w:pPr>
        <w:pStyle w:val="NumPlain1"/>
        <w:keepNext/>
      </w:pPr>
      <w:r>
        <w:t xml:space="preserve">Paragraph 21 is amended </w:t>
      </w:r>
      <w:r w:rsidR="00E42A5E">
        <w:t xml:space="preserve">as follows </w:t>
      </w:r>
      <w:r>
        <w:t xml:space="preserve">(new text is underlined and deleted text is struck through) and </w:t>
      </w:r>
      <w:r w:rsidR="00B52145">
        <w:t>paragraph </w:t>
      </w:r>
      <w:r>
        <w:t>39R is added</w:t>
      </w:r>
      <w:r w:rsidR="00B52145">
        <w:t>:</w:t>
      </w:r>
    </w:p>
    <w:p w:rsidR="00E42A5E" w:rsidRDefault="00E42A5E" w:rsidP="00E42A5E">
      <w:pPr>
        <w:pStyle w:val="SubNumPlain1"/>
      </w:pPr>
      <w:r>
        <w:t>21</w:t>
      </w:r>
      <w:r>
        <w:tab/>
      </w:r>
      <w:r w:rsidRPr="00E42A5E">
        <w:rPr>
          <w:strike/>
        </w:rPr>
        <w:t>To comply with AASB 101, an</w:t>
      </w:r>
      <w:r>
        <w:t xml:space="preserve"> </w:t>
      </w:r>
      <w:r w:rsidRPr="00D03401">
        <w:rPr>
          <w:u w:val="single"/>
        </w:rPr>
        <w:t>An</w:t>
      </w:r>
      <w:r>
        <w:t xml:space="preserve"> entity’s first Australian-Accounting-Standards financial statements shall include at least three statements of financial position, two statements of profit or loss and other comprehensive income, two separate statements of profit or loss (if presented), two statements of cash flows and two statements of changes in equity and related notes, including comparative information</w:t>
      </w:r>
      <w:r w:rsidRPr="00E42A5E">
        <w:t xml:space="preserve"> </w:t>
      </w:r>
      <w:r>
        <w:rPr>
          <w:u w:val="single"/>
        </w:rPr>
        <w:t>for all statements presented</w:t>
      </w:r>
      <w:r>
        <w:t>.</w:t>
      </w:r>
    </w:p>
    <w:p w:rsidR="00144748" w:rsidRPr="002526B6" w:rsidRDefault="00C16A0A" w:rsidP="00AD37EE">
      <w:pPr>
        <w:pStyle w:val="SubNumPlain1"/>
      </w:pPr>
      <w:r w:rsidRPr="002526B6">
        <w:t>39R</w:t>
      </w:r>
      <w:r w:rsidRPr="002526B6">
        <w:tab/>
      </w:r>
      <w:r w:rsidR="00F65DCE" w:rsidRPr="002526B6">
        <w:t>AASB </w:t>
      </w:r>
      <w:r w:rsidR="00F65DCE" w:rsidRPr="002526B6">
        <w:fldChar w:fldCharType="begin" w:fldLock="1"/>
      </w:r>
      <w:r w:rsidR="00F65DCE" w:rsidRPr="002526B6">
        <w:instrText xml:space="preserve"> REF DocNo  \* charformat </w:instrText>
      </w:r>
      <w:r w:rsidR="00AD37EE" w:rsidRPr="002526B6">
        <w:instrText xml:space="preserve"> \* MERGEFORMAT </w:instrText>
      </w:r>
      <w:r w:rsidR="00F65DCE" w:rsidRPr="002526B6">
        <w:fldChar w:fldCharType="separate"/>
      </w:r>
      <w:r w:rsidR="00F46AB3">
        <w:t>2012-5</w:t>
      </w:r>
      <w:r w:rsidR="00F65DCE" w:rsidRPr="002526B6">
        <w:fldChar w:fldCharType="end"/>
      </w:r>
      <w:r w:rsidR="00F65DCE" w:rsidRPr="002526B6">
        <w:t xml:space="preserve"> </w:t>
      </w:r>
      <w:r w:rsidR="00F65DCE" w:rsidRPr="002526B6">
        <w:rPr>
          <w:i/>
        </w:rPr>
        <w:t xml:space="preserve">Amendments to Australian Accounting Standards arising from </w:t>
      </w:r>
      <w:r w:rsidR="00F65DCE" w:rsidRPr="002526B6">
        <w:rPr>
          <w:i/>
          <w:iCs/>
        </w:rPr>
        <w:fldChar w:fldCharType="begin" w:fldLock="1"/>
      </w:r>
      <w:r w:rsidR="00F65DCE" w:rsidRPr="002526B6">
        <w:rPr>
          <w:i/>
          <w:iCs/>
        </w:rPr>
        <w:instrText xml:space="preserve"> REF ArisingNo  \* charformat  \* MERGEFORMAT </w:instrText>
      </w:r>
      <w:r w:rsidR="00F65DCE" w:rsidRPr="002526B6">
        <w:rPr>
          <w:i/>
          <w:iCs/>
        </w:rPr>
        <w:fldChar w:fldCharType="separate"/>
      </w:r>
      <w:r w:rsidR="00F46AB3" w:rsidRPr="00F46AB3">
        <w:rPr>
          <w:i/>
          <w:iCs/>
        </w:rPr>
        <w:t>Annual Improvements 2009–2011 Cycle</w:t>
      </w:r>
      <w:r w:rsidR="00F65DCE" w:rsidRPr="002526B6">
        <w:rPr>
          <w:i/>
          <w:iCs/>
        </w:rPr>
        <w:fldChar w:fldCharType="end"/>
      </w:r>
      <w:r w:rsidRPr="002526B6">
        <w:t xml:space="preserve">, issued in </w:t>
      </w:r>
      <w:r w:rsidR="00F65DCE" w:rsidRPr="002526B6">
        <w:t xml:space="preserve">June </w:t>
      </w:r>
      <w:r w:rsidRPr="002526B6">
        <w:t>2012, amended paragraph 21.  An entity shall apply that amendment retrospectively in accordance with</w:t>
      </w:r>
      <w:r w:rsidR="00F65DCE" w:rsidRPr="002526B6">
        <w:t xml:space="preserve"> </w:t>
      </w:r>
      <w:r w:rsidR="00B52145">
        <w:t>AASB </w:t>
      </w:r>
      <w:r w:rsidR="00F65DCE" w:rsidRPr="002526B6">
        <w:t>108</w:t>
      </w:r>
      <w:r w:rsidRPr="002526B6">
        <w:t xml:space="preserve"> </w:t>
      </w:r>
      <w:r w:rsidRPr="002526B6">
        <w:rPr>
          <w:i/>
        </w:rPr>
        <w:t>Accounting</w:t>
      </w:r>
      <w:r w:rsidRPr="002526B6">
        <w:t xml:space="preserve"> </w:t>
      </w:r>
      <w:r w:rsidRPr="002526B6">
        <w:rPr>
          <w:i/>
        </w:rPr>
        <w:t>Policies</w:t>
      </w:r>
      <w:r w:rsidRPr="002526B6">
        <w:t xml:space="preserve">, </w:t>
      </w:r>
      <w:r w:rsidRPr="002526B6">
        <w:rPr>
          <w:i/>
        </w:rPr>
        <w:t>Changes</w:t>
      </w:r>
      <w:r w:rsidRPr="002526B6">
        <w:t xml:space="preserve"> </w:t>
      </w:r>
      <w:r w:rsidRPr="002526B6">
        <w:rPr>
          <w:i/>
        </w:rPr>
        <w:t>in</w:t>
      </w:r>
      <w:r w:rsidRPr="002526B6">
        <w:t xml:space="preserve"> </w:t>
      </w:r>
      <w:r w:rsidRPr="002526B6">
        <w:rPr>
          <w:i/>
        </w:rPr>
        <w:t>Accounting</w:t>
      </w:r>
      <w:r w:rsidRPr="002526B6">
        <w:t xml:space="preserve"> </w:t>
      </w:r>
      <w:r w:rsidRPr="002526B6">
        <w:rPr>
          <w:i/>
        </w:rPr>
        <w:t>Estimates</w:t>
      </w:r>
      <w:r w:rsidRPr="002526B6">
        <w:t xml:space="preserve"> </w:t>
      </w:r>
      <w:r w:rsidRPr="002526B6">
        <w:rPr>
          <w:i/>
        </w:rPr>
        <w:t>and</w:t>
      </w:r>
      <w:r w:rsidRPr="002526B6">
        <w:t xml:space="preserve"> </w:t>
      </w:r>
      <w:r w:rsidRPr="002526B6">
        <w:rPr>
          <w:i/>
        </w:rPr>
        <w:t>Errors</w:t>
      </w:r>
      <w:r w:rsidRPr="002526B6">
        <w:t xml:space="preserve"> for annual </w:t>
      </w:r>
      <w:r w:rsidR="002A1594" w:rsidRPr="002526B6">
        <w:t xml:space="preserve">reporting </w:t>
      </w:r>
      <w:r w:rsidRPr="002526B6">
        <w:t xml:space="preserve">periods beginning on or after </w:t>
      </w:r>
      <w:r w:rsidR="00B52145" w:rsidRPr="002526B6">
        <w:t>1</w:t>
      </w:r>
      <w:r w:rsidR="00B52145">
        <w:t> </w:t>
      </w:r>
      <w:r w:rsidRPr="002526B6">
        <w:t>January 2013.  Earlier application is permitted.  If an entity applies that amendment for an earlier period it shall disclose that fact.</w:t>
      </w:r>
    </w:p>
    <w:p w:rsidR="006C16BB" w:rsidRDefault="006C16BB">
      <w:pPr>
        <w:pStyle w:val="Heading2"/>
      </w:pPr>
      <w:r>
        <w:t>Amendments to AASB 101</w:t>
      </w:r>
    </w:p>
    <w:p w:rsidR="007F6F17" w:rsidRPr="00ED5709" w:rsidRDefault="007F6F17" w:rsidP="00D03401">
      <w:pPr>
        <w:pStyle w:val="NumPlain1"/>
        <w:spacing w:after="180"/>
      </w:pPr>
      <w:r w:rsidRPr="00ED5709">
        <w:t>Paragraphs 10, 38 and 41 are amended</w:t>
      </w:r>
      <w:r w:rsidR="00340C00">
        <w:t xml:space="preserve"> as follows (new text is underlined and deleted text is struck through)</w:t>
      </w:r>
      <w:r w:rsidR="00001C81">
        <w:t>.</w:t>
      </w:r>
      <w:r w:rsidR="003F3A7A">
        <w:t xml:space="preserve"> </w:t>
      </w:r>
      <w:r w:rsidR="00001C81">
        <w:t xml:space="preserve"> </w:t>
      </w:r>
      <w:r w:rsidR="00B52145">
        <w:t>P</w:t>
      </w:r>
      <w:r w:rsidR="00B52145" w:rsidRPr="00ED5709">
        <w:t>aragraphs</w:t>
      </w:r>
      <w:r w:rsidR="00B52145">
        <w:t> </w:t>
      </w:r>
      <w:r w:rsidRPr="00ED5709">
        <w:t>39 and 40 are deleted</w:t>
      </w:r>
      <w:r w:rsidR="00001C81">
        <w:t xml:space="preserve"> (and notes added)</w:t>
      </w:r>
      <w:r w:rsidRPr="00ED5709">
        <w:t>.</w:t>
      </w:r>
      <w:r>
        <w:t xml:space="preserve">  </w:t>
      </w:r>
      <w:r w:rsidR="00B52145" w:rsidRPr="00ED5709">
        <w:t>Paragraphs</w:t>
      </w:r>
      <w:r w:rsidR="00B52145">
        <w:t> </w:t>
      </w:r>
      <w:r w:rsidRPr="00ED5709">
        <w:t>38A</w:t>
      </w:r>
      <w:r w:rsidR="00B52145">
        <w:t>-</w:t>
      </w:r>
      <w:r w:rsidRPr="00ED5709">
        <w:t>38D, 40A</w:t>
      </w:r>
      <w:r w:rsidR="00B52145">
        <w:t>-</w:t>
      </w:r>
      <w:r w:rsidRPr="00ED5709">
        <w:t xml:space="preserve">40D </w:t>
      </w:r>
      <w:r w:rsidR="00001C81">
        <w:t xml:space="preserve">and </w:t>
      </w:r>
      <w:r w:rsidRPr="00ED5709">
        <w:t xml:space="preserve">139L </w:t>
      </w:r>
      <w:r w:rsidR="009C5623">
        <w:t xml:space="preserve">and </w:t>
      </w:r>
      <w:r w:rsidR="00B52145">
        <w:t>related</w:t>
      </w:r>
      <w:r w:rsidR="00B52145" w:rsidRPr="00ED5709">
        <w:t xml:space="preserve"> </w:t>
      </w:r>
      <w:r w:rsidRPr="00ED5709">
        <w:t xml:space="preserve">headings </w:t>
      </w:r>
      <w:r w:rsidR="00934C68">
        <w:t>are added</w:t>
      </w:r>
      <w:r w:rsidR="00001C81">
        <w:t>.</w:t>
      </w:r>
    </w:p>
    <w:p w:rsidR="007F6F17" w:rsidRPr="007F6F17" w:rsidRDefault="007F6F17" w:rsidP="00D03401">
      <w:pPr>
        <w:pStyle w:val="SubNumBold1"/>
        <w:spacing w:after="160"/>
        <w:ind w:left="1020" w:hanging="510"/>
      </w:pPr>
      <w:r w:rsidRPr="007F6F17">
        <w:t>10</w:t>
      </w:r>
      <w:r w:rsidRPr="007F6F17">
        <w:tab/>
        <w:t>A complete set of financial statements comprises:</w:t>
      </w:r>
    </w:p>
    <w:p w:rsidR="007F6F17" w:rsidRPr="007F6F17" w:rsidRDefault="00934C68" w:rsidP="00D03401">
      <w:pPr>
        <w:pStyle w:val="SubNumBold2"/>
        <w:spacing w:after="160"/>
        <w:ind w:hanging="510"/>
      </w:pPr>
      <w:r>
        <w:t>…</w:t>
      </w:r>
    </w:p>
    <w:p w:rsidR="007F6F17" w:rsidRDefault="00934C68" w:rsidP="00D03401">
      <w:pPr>
        <w:pStyle w:val="BoldHanging2"/>
        <w:spacing w:after="160"/>
      </w:pPr>
      <w:r>
        <w:t xml:space="preserve">(e) </w:t>
      </w:r>
      <w:r>
        <w:tab/>
      </w:r>
      <w:r w:rsidR="007F6F17" w:rsidRPr="007F6F17">
        <w:t>notes, comprising a summary of significant accounting policies and other explanatory information;</w:t>
      </w:r>
      <w:r w:rsidR="007F6F17" w:rsidRPr="0019579C">
        <w:rPr>
          <w:strike/>
        </w:rPr>
        <w:t xml:space="preserve"> and</w:t>
      </w:r>
      <w:r w:rsidR="007F6F17" w:rsidRPr="007F6F17">
        <w:t xml:space="preserve"> </w:t>
      </w:r>
    </w:p>
    <w:p w:rsidR="007F6F17" w:rsidRPr="0019579C" w:rsidRDefault="0019579C" w:rsidP="00D03401">
      <w:pPr>
        <w:pStyle w:val="BoldHanging2"/>
        <w:spacing w:after="160"/>
        <w:rPr>
          <w:u w:val="single"/>
        </w:rPr>
      </w:pPr>
      <w:r w:rsidRPr="0019579C">
        <w:rPr>
          <w:u w:val="single"/>
        </w:rPr>
        <w:t>(ea)</w:t>
      </w:r>
      <w:r w:rsidRPr="00534427">
        <w:tab/>
      </w:r>
      <w:r w:rsidR="007F6F17" w:rsidRPr="0019579C">
        <w:rPr>
          <w:u w:val="single"/>
        </w:rPr>
        <w:t>comparative information in respect of the preceding period as specified in paragraphs 38 and 38A; and</w:t>
      </w:r>
    </w:p>
    <w:p w:rsidR="007F6F17" w:rsidRPr="007F6F17" w:rsidRDefault="00934C68" w:rsidP="00D03401">
      <w:pPr>
        <w:pStyle w:val="BoldHanging2"/>
        <w:spacing w:after="160"/>
      </w:pPr>
      <w:r>
        <w:t>(f)</w:t>
      </w:r>
      <w:r>
        <w:tab/>
      </w:r>
      <w:r w:rsidR="007F6F17" w:rsidRPr="007F6F17">
        <w:t xml:space="preserve">a statement of financial position as at the beginning of the </w:t>
      </w:r>
      <w:r w:rsidR="007F6F17" w:rsidRPr="0019579C">
        <w:rPr>
          <w:strike/>
        </w:rPr>
        <w:t>earliest comparative</w:t>
      </w:r>
      <w:r w:rsidR="007F6F17" w:rsidRPr="007F6F17">
        <w:t xml:space="preserve"> </w:t>
      </w:r>
      <w:r w:rsidR="007F6F17" w:rsidRPr="0019579C">
        <w:rPr>
          <w:u w:val="single"/>
        </w:rPr>
        <w:t>preceding</w:t>
      </w:r>
      <w:r w:rsidR="007F6F17" w:rsidRPr="007F6F17">
        <w:t xml:space="preserve"> period when an entity applies an accounting policy retrospectively or makes a retrospective restatement of items in its financial statements, or when it reclassifies items in its financial statements</w:t>
      </w:r>
      <w:r w:rsidR="007F6F17" w:rsidRPr="00BC5C28">
        <w:t xml:space="preserve"> </w:t>
      </w:r>
      <w:r w:rsidR="007F6F17" w:rsidRPr="0019579C">
        <w:rPr>
          <w:u w:val="single"/>
        </w:rPr>
        <w:t xml:space="preserve">in accordance with </w:t>
      </w:r>
      <w:r w:rsidR="00B52145" w:rsidRPr="0019579C">
        <w:rPr>
          <w:u w:val="single"/>
        </w:rPr>
        <w:t>paragraphs</w:t>
      </w:r>
      <w:r w:rsidR="00B52145">
        <w:rPr>
          <w:u w:val="single"/>
        </w:rPr>
        <w:t> </w:t>
      </w:r>
      <w:r w:rsidR="007F6F17" w:rsidRPr="0019579C">
        <w:rPr>
          <w:u w:val="single"/>
        </w:rPr>
        <w:t>40A</w:t>
      </w:r>
      <w:r w:rsidR="00B52145">
        <w:rPr>
          <w:u w:val="single"/>
        </w:rPr>
        <w:t>-</w:t>
      </w:r>
      <w:r w:rsidR="007F6F17" w:rsidRPr="0019579C">
        <w:rPr>
          <w:u w:val="single"/>
        </w:rPr>
        <w:t>40D</w:t>
      </w:r>
      <w:r w:rsidR="007F6F17" w:rsidRPr="007F6F17">
        <w:t xml:space="preserve">.  </w:t>
      </w:r>
    </w:p>
    <w:p w:rsidR="007F6F17" w:rsidRPr="00F96EF0" w:rsidRDefault="00934C68" w:rsidP="00D03401">
      <w:pPr>
        <w:pStyle w:val="NoNumPlain3"/>
        <w:spacing w:after="160"/>
      </w:pPr>
      <w:r>
        <w:rPr>
          <w:b/>
        </w:rPr>
        <w:t>…</w:t>
      </w:r>
    </w:p>
    <w:p w:rsidR="0019579C" w:rsidRPr="002526B6" w:rsidRDefault="0019579C" w:rsidP="00D03401">
      <w:pPr>
        <w:pStyle w:val="Heading5Indent1"/>
      </w:pPr>
      <w:r w:rsidRPr="002526B6">
        <w:t xml:space="preserve">Minimum </w:t>
      </w:r>
      <w:r w:rsidR="00133F39" w:rsidRPr="002526B6">
        <w:t>C</w:t>
      </w:r>
      <w:r w:rsidRPr="002526B6">
        <w:t xml:space="preserve">omparative </w:t>
      </w:r>
      <w:r w:rsidR="00133F39" w:rsidRPr="002526B6">
        <w:t>I</w:t>
      </w:r>
      <w:r w:rsidRPr="002526B6">
        <w:t>nformation</w:t>
      </w:r>
    </w:p>
    <w:p w:rsidR="0019579C" w:rsidRPr="00EA3221" w:rsidRDefault="0019579C" w:rsidP="00C5081E">
      <w:pPr>
        <w:pStyle w:val="SubNumBold1"/>
      </w:pPr>
      <w:r w:rsidRPr="00EA3221">
        <w:t>38</w:t>
      </w:r>
      <w:r w:rsidRPr="00EA3221">
        <w:tab/>
      </w:r>
      <w:r w:rsidR="00C5081E" w:rsidRPr="00C5081E">
        <w:t xml:space="preserve">Except when Australian Accounting Standards permit or require otherwise, an entity shall </w:t>
      </w:r>
      <w:r w:rsidR="00C5081E" w:rsidRPr="00C5081E">
        <w:rPr>
          <w:strike/>
        </w:rPr>
        <w:t>disclose</w:t>
      </w:r>
      <w:r w:rsidR="00C5081E" w:rsidRPr="00C5081E">
        <w:t xml:space="preserve"> </w:t>
      </w:r>
      <w:r w:rsidR="00C5081E" w:rsidRPr="00C5081E">
        <w:rPr>
          <w:u w:val="single"/>
        </w:rPr>
        <w:t>present</w:t>
      </w:r>
      <w:r w:rsidR="00C5081E">
        <w:t xml:space="preserve"> </w:t>
      </w:r>
      <w:r w:rsidR="00C5081E" w:rsidRPr="00C5081E">
        <w:t xml:space="preserve">comparative information in respect of the </w:t>
      </w:r>
      <w:r w:rsidR="00C5081E" w:rsidRPr="00C5081E">
        <w:rPr>
          <w:strike/>
        </w:rPr>
        <w:t>previous</w:t>
      </w:r>
      <w:r w:rsidR="00C5081E">
        <w:t xml:space="preserve"> </w:t>
      </w:r>
      <w:r w:rsidR="00C5081E" w:rsidRPr="00C5081E">
        <w:rPr>
          <w:u w:val="single"/>
        </w:rPr>
        <w:t>preceding</w:t>
      </w:r>
      <w:r w:rsidR="00C5081E" w:rsidRPr="00C5081E">
        <w:t xml:space="preserve"> period for all amounts reported in the current period’s financial statements</w:t>
      </w:r>
      <w:r w:rsidR="0036273B" w:rsidRPr="00C5081E">
        <w:t xml:space="preserve">.  </w:t>
      </w:r>
      <w:r w:rsidR="00C5081E" w:rsidRPr="00C5081E">
        <w:t xml:space="preserve">An entity shall include comparative information for narrative and descriptive information </w:t>
      </w:r>
      <w:r w:rsidR="00C5081E" w:rsidRPr="00C5081E">
        <w:rPr>
          <w:strike/>
        </w:rPr>
        <w:t>when</w:t>
      </w:r>
      <w:r w:rsidR="00C5081E">
        <w:t xml:space="preserve"> </w:t>
      </w:r>
      <w:r w:rsidR="00C5081E">
        <w:rPr>
          <w:u w:val="single"/>
        </w:rPr>
        <w:t>if</w:t>
      </w:r>
      <w:r w:rsidR="00C5081E" w:rsidRPr="00C5081E">
        <w:t xml:space="preserve"> it is relevant to </w:t>
      </w:r>
      <w:r w:rsidR="00C5081E" w:rsidRPr="00C5081E">
        <w:rPr>
          <w:strike/>
        </w:rPr>
        <w:t>an</w:t>
      </w:r>
      <w:r w:rsidR="00C5081E" w:rsidRPr="00C5081E">
        <w:t xml:space="preserve"> understanding </w:t>
      </w:r>
      <w:r w:rsidR="00C5081E" w:rsidRPr="00C5081E">
        <w:rPr>
          <w:strike/>
        </w:rPr>
        <w:t>of</w:t>
      </w:r>
      <w:r w:rsidR="00C5081E" w:rsidRPr="00C5081E">
        <w:t xml:space="preserve"> the current period’s financial statements.</w:t>
      </w:r>
      <w:r>
        <w:t xml:space="preserve"> </w:t>
      </w:r>
    </w:p>
    <w:p w:rsidR="0019579C" w:rsidRPr="002526B6" w:rsidRDefault="0019579C" w:rsidP="00ED1E57">
      <w:pPr>
        <w:pStyle w:val="SubNumBold1"/>
      </w:pPr>
      <w:r w:rsidRPr="002526B6">
        <w:t>38A</w:t>
      </w:r>
      <w:r w:rsidRPr="002526B6">
        <w:tab/>
        <w:t>An entity shall present, as a minimum, two statements of financial position, two statements of profit or loss and other comprehensive income, two separate statements of profit or loss (if presented), two statements of cash flows and two statements of changes in equity, and related notes.</w:t>
      </w:r>
    </w:p>
    <w:p w:rsidR="0019579C" w:rsidRPr="002526B6" w:rsidRDefault="0019579C" w:rsidP="00ED1E57">
      <w:pPr>
        <w:pStyle w:val="SubNumPlain1"/>
      </w:pPr>
      <w:r w:rsidRPr="002526B6">
        <w:t>38B</w:t>
      </w:r>
      <w:r w:rsidRPr="002526B6">
        <w:tab/>
        <w:t>In some cases, narrative information provided in the financial statements for the preceding period(s) continues to be relevant in the current period.  For example, an entity discloses in the current period details of a legal dispute, the outcome of which was uncertain at the end of the preceding period and is yet to be resolved.  Users may benefit from the disclosure of information that the uncertainty existed at the end of the preceding period and from the disclosure of information about the steps that have been taken during the period to resolve the uncertainty.</w:t>
      </w:r>
    </w:p>
    <w:p w:rsidR="00CC54A2" w:rsidRPr="002526B6" w:rsidRDefault="00CC54A2" w:rsidP="00CC54A2">
      <w:pPr>
        <w:pStyle w:val="Heading5Indent1"/>
      </w:pPr>
      <w:r w:rsidRPr="002526B6">
        <w:t xml:space="preserve">Additional </w:t>
      </w:r>
      <w:r w:rsidR="00133F39" w:rsidRPr="002526B6">
        <w:t>C</w:t>
      </w:r>
      <w:r w:rsidRPr="002526B6">
        <w:t xml:space="preserve">omparative </w:t>
      </w:r>
      <w:r w:rsidR="00133F39" w:rsidRPr="002526B6">
        <w:t>I</w:t>
      </w:r>
      <w:r w:rsidRPr="002526B6">
        <w:t>nformation</w:t>
      </w:r>
    </w:p>
    <w:p w:rsidR="00CC54A2" w:rsidRPr="002526B6" w:rsidRDefault="00CC54A2" w:rsidP="00ED1E57">
      <w:pPr>
        <w:pStyle w:val="SubNumPlain1"/>
      </w:pPr>
      <w:r w:rsidRPr="002526B6">
        <w:t>38C</w:t>
      </w:r>
      <w:r w:rsidRPr="002526B6">
        <w:tab/>
        <w:t>An entity may present comparative information in addition to the minimum comparative financial statements required by Australian Accounting Standards, as long as that information is prepared in accordance with Australian Accounting Standards.  This comparative information may consist of one or more statements referred to in paragraph 10, but need not comprise a complete set of financial statements.  When this is the case, the entity shall present related note information for those additional statements.</w:t>
      </w:r>
    </w:p>
    <w:p w:rsidR="00CC54A2" w:rsidRPr="00EA54CB" w:rsidRDefault="00CC54A2" w:rsidP="00BE1262">
      <w:pPr>
        <w:pStyle w:val="SubNumPlain1"/>
      </w:pPr>
      <w:r w:rsidRPr="002526B6">
        <w:t>38D</w:t>
      </w:r>
      <w:r w:rsidRPr="002526B6">
        <w:tab/>
      </w:r>
      <w:r w:rsidRPr="00B94CAC">
        <w:t>For example, an entity may present a third statement of profit</w:t>
      </w:r>
      <w:r w:rsidR="001C3D81" w:rsidRPr="00B94CAC">
        <w:t xml:space="preserve"> </w:t>
      </w:r>
      <w:r w:rsidR="000C601D" w:rsidRPr="00B94CAC">
        <w:t xml:space="preserve">or </w:t>
      </w:r>
      <w:r w:rsidRPr="00B94CAC">
        <w:t>loss and other comprehensive income (thereby presenting the current period, the preceding period and one additional comparative period).  However, the entity is not required to present a third statement of financial position, a third statement of cash flows or a</w:t>
      </w:r>
      <w:r w:rsidRPr="00EA54CB">
        <w:t xml:space="preserve"> third statement of changes in equity (ie an additional financial statement comparative).  The entity is required to present, in the notes to the financial statements, the comparative information related to that additional statement of profit or loss and other comprehensive income.</w:t>
      </w:r>
    </w:p>
    <w:p w:rsidR="00D67CAF" w:rsidRPr="00BE1262" w:rsidRDefault="00CC54A2" w:rsidP="00BE1262">
      <w:pPr>
        <w:pStyle w:val="SubNumPlain1"/>
        <w:rPr>
          <w:strike/>
        </w:rPr>
      </w:pPr>
      <w:r w:rsidRPr="00350A8D">
        <w:t>39</w:t>
      </w:r>
      <w:r w:rsidRPr="00350A8D">
        <w:tab/>
        <w:t>[Deleted</w:t>
      </w:r>
      <w:r w:rsidR="008026D9">
        <w:t xml:space="preserve"> by </w:t>
      </w:r>
      <w:r w:rsidR="00A74330">
        <w:t>the IASB</w:t>
      </w:r>
      <w:r w:rsidRPr="00350A8D">
        <w:t>]</w:t>
      </w:r>
    </w:p>
    <w:p w:rsidR="00CC54A2" w:rsidRPr="00350A8D" w:rsidRDefault="00CC54A2" w:rsidP="003D5575">
      <w:pPr>
        <w:pStyle w:val="SubNumPlain1"/>
      </w:pPr>
      <w:r w:rsidRPr="00350A8D">
        <w:t>40</w:t>
      </w:r>
      <w:r w:rsidRPr="00350A8D">
        <w:tab/>
        <w:t>[Deleted</w:t>
      </w:r>
      <w:r w:rsidR="00A74330">
        <w:t xml:space="preserve"> by the IASB</w:t>
      </w:r>
      <w:r w:rsidRPr="00350A8D">
        <w:t>]</w:t>
      </w:r>
    </w:p>
    <w:p w:rsidR="00CC54A2" w:rsidRPr="00EA54CB" w:rsidRDefault="00CC54A2" w:rsidP="002F2067">
      <w:pPr>
        <w:pStyle w:val="Heading5Indent1"/>
      </w:pPr>
      <w:r w:rsidRPr="00A33AB6">
        <w:t xml:space="preserve">Change in </w:t>
      </w:r>
      <w:r w:rsidR="00A33AB6" w:rsidRPr="00A33AB6">
        <w:t>A</w:t>
      </w:r>
      <w:r w:rsidRPr="00A33AB6">
        <w:t xml:space="preserve">ccounting </w:t>
      </w:r>
      <w:r w:rsidR="00A33AB6" w:rsidRPr="00A33AB6">
        <w:t>P</w:t>
      </w:r>
      <w:r w:rsidRPr="00A33AB6">
        <w:t xml:space="preserve">olicy, </w:t>
      </w:r>
      <w:r w:rsidR="00A33AB6" w:rsidRPr="00A33AB6">
        <w:t>R</w:t>
      </w:r>
      <w:r w:rsidRPr="00A33AB6">
        <w:t xml:space="preserve">etrospective </w:t>
      </w:r>
      <w:r w:rsidR="00A33AB6" w:rsidRPr="00A33AB6">
        <w:t>R</w:t>
      </w:r>
      <w:r w:rsidRPr="00A33AB6">
        <w:t xml:space="preserve">estatement or </w:t>
      </w:r>
      <w:r w:rsidR="00A33AB6" w:rsidRPr="00A33AB6">
        <w:t>R</w:t>
      </w:r>
      <w:r w:rsidRPr="00A33AB6">
        <w:t>eclassification</w:t>
      </w:r>
    </w:p>
    <w:p w:rsidR="00CC54A2" w:rsidRPr="00EA54CB" w:rsidRDefault="00CC54A2" w:rsidP="003D5575">
      <w:pPr>
        <w:pStyle w:val="SubNumBold1"/>
      </w:pPr>
      <w:r w:rsidRPr="00EA54CB">
        <w:t>40A</w:t>
      </w:r>
      <w:r w:rsidRPr="00EA54CB">
        <w:tab/>
        <w:t>An entity shall present a third statement of financial position as at the beginning of the preceding period in addition to the minimum comparative financial statements required in paragraph 38A if:</w:t>
      </w:r>
    </w:p>
    <w:p w:rsidR="00CC54A2" w:rsidRPr="00EA54CB" w:rsidRDefault="00CC54A2" w:rsidP="001E031B">
      <w:pPr>
        <w:pStyle w:val="NumPlain2"/>
        <w:numPr>
          <w:ilvl w:val="0"/>
          <w:numId w:val="13"/>
        </w:numPr>
        <w:rPr>
          <w:b/>
        </w:rPr>
      </w:pPr>
      <w:r w:rsidRPr="00EA54CB">
        <w:rPr>
          <w:b/>
        </w:rPr>
        <w:t>it applies an accounting policy retrospectively, makes a retrospective restatement of items in its financial statements or reclassifies items in its financial statements; and</w:t>
      </w:r>
    </w:p>
    <w:p w:rsidR="00CC54A2" w:rsidRPr="00EA54CB" w:rsidRDefault="00CC54A2" w:rsidP="001E031B">
      <w:pPr>
        <w:pStyle w:val="NumPlain2"/>
        <w:numPr>
          <w:ilvl w:val="0"/>
          <w:numId w:val="13"/>
        </w:numPr>
        <w:rPr>
          <w:b/>
        </w:rPr>
      </w:pPr>
      <w:r w:rsidRPr="00EA54CB">
        <w:rPr>
          <w:b/>
        </w:rPr>
        <w:t>the retrospective application, retrospective restatement or the reclassification has a material effect on the information in the statement of financial position at the beginning of the preceding period.</w:t>
      </w:r>
    </w:p>
    <w:p w:rsidR="00CC54A2" w:rsidRPr="00EA54CB" w:rsidRDefault="00CC54A2" w:rsidP="003D5575">
      <w:pPr>
        <w:pStyle w:val="SubNumPlain1"/>
      </w:pPr>
      <w:r w:rsidRPr="00EA54CB">
        <w:t>40B</w:t>
      </w:r>
      <w:r w:rsidRPr="00EA54CB">
        <w:tab/>
        <w:t xml:space="preserve">In the circumstances described in paragraph 40A, an entity shall present three statements of financial position as at: </w:t>
      </w:r>
    </w:p>
    <w:p w:rsidR="00CC54A2" w:rsidRPr="00EA54CB" w:rsidRDefault="00CC54A2" w:rsidP="003D5575">
      <w:pPr>
        <w:pStyle w:val="SubNumPlain2"/>
      </w:pPr>
      <w:r w:rsidRPr="00EA54CB">
        <w:t>the end of the current period;</w:t>
      </w:r>
    </w:p>
    <w:p w:rsidR="00CC54A2" w:rsidRPr="00EA54CB" w:rsidRDefault="00CC54A2" w:rsidP="003D5575">
      <w:pPr>
        <w:pStyle w:val="SubNumPlain2"/>
      </w:pPr>
      <w:r w:rsidRPr="00EA54CB">
        <w:t>the end of the preceding period; and</w:t>
      </w:r>
    </w:p>
    <w:p w:rsidR="00CC54A2" w:rsidRPr="00EA54CB" w:rsidRDefault="00CC54A2" w:rsidP="003D5575">
      <w:pPr>
        <w:pStyle w:val="SubNumPlain2"/>
      </w:pPr>
      <w:r w:rsidRPr="00EA54CB">
        <w:t xml:space="preserve">the beginning of the preceding period.  </w:t>
      </w:r>
    </w:p>
    <w:p w:rsidR="00CC54A2" w:rsidRPr="00EA54CB" w:rsidRDefault="00CC54A2" w:rsidP="003D5575">
      <w:pPr>
        <w:pStyle w:val="SubNumPlain1"/>
      </w:pPr>
      <w:r w:rsidRPr="00EA54CB">
        <w:t>40C</w:t>
      </w:r>
      <w:r w:rsidRPr="00EA54CB">
        <w:tab/>
        <w:t xml:space="preserve">When an entity is required to present an additional statement of financial position in accordance with paragraph 40A, it must disclose the information required by </w:t>
      </w:r>
      <w:r w:rsidR="00B52145" w:rsidRPr="00EA54CB">
        <w:t>paragraphs</w:t>
      </w:r>
      <w:r w:rsidR="00B52145">
        <w:t> </w:t>
      </w:r>
      <w:r w:rsidRPr="00EA54CB">
        <w:t>41</w:t>
      </w:r>
      <w:r w:rsidR="00B52145">
        <w:t>-</w:t>
      </w:r>
      <w:r w:rsidRPr="00EA54CB">
        <w:t>44 and</w:t>
      </w:r>
      <w:r w:rsidR="00321FE3" w:rsidRPr="00EA54CB">
        <w:t xml:space="preserve"> </w:t>
      </w:r>
      <w:r w:rsidR="00B52145">
        <w:t>AASB </w:t>
      </w:r>
      <w:r w:rsidR="00321FE3" w:rsidRPr="00EA54CB">
        <w:t>108</w:t>
      </w:r>
      <w:r w:rsidRPr="00EA54CB">
        <w:t>.  However, it need not present the related notes to the opening statement of financial position as at the beginning of the preceding period.</w:t>
      </w:r>
    </w:p>
    <w:p w:rsidR="00CC54A2" w:rsidRPr="00EA54CB" w:rsidRDefault="00CC54A2" w:rsidP="003D5575">
      <w:pPr>
        <w:pStyle w:val="SubNumPlain1"/>
      </w:pPr>
      <w:r w:rsidRPr="00EA54CB">
        <w:t>40D</w:t>
      </w:r>
      <w:r w:rsidRPr="00EA54CB">
        <w:tab/>
        <w:t xml:space="preserve">The date of that opening statement of financial position shall be as at the beginning of the preceding period regardless of whether an entity’s financial statements present comparative information for earlier periods (as permitted in </w:t>
      </w:r>
      <w:r w:rsidR="00B52145" w:rsidRPr="00EA54CB">
        <w:t>paragraph</w:t>
      </w:r>
      <w:r w:rsidR="00B52145">
        <w:t> </w:t>
      </w:r>
      <w:r w:rsidRPr="00EA54CB">
        <w:t>38C).</w:t>
      </w:r>
    </w:p>
    <w:p w:rsidR="00CC54A2" w:rsidRPr="00350A8D" w:rsidRDefault="00CC54A2" w:rsidP="002F2067">
      <w:pPr>
        <w:pStyle w:val="SubNumBold1"/>
      </w:pPr>
      <w:r w:rsidRPr="00350A8D">
        <w:t>41</w:t>
      </w:r>
      <w:r w:rsidR="000F5AC9">
        <w:tab/>
      </w:r>
      <w:r w:rsidRPr="000F5AC9">
        <w:rPr>
          <w:strike/>
        </w:rPr>
        <w:t xml:space="preserve">When the </w:t>
      </w:r>
      <w:r w:rsidRPr="000F5AC9">
        <w:rPr>
          <w:u w:val="single"/>
        </w:rPr>
        <w:t>If an</w:t>
      </w:r>
      <w:r w:rsidRPr="00350A8D">
        <w:t xml:space="preserve"> entity changes the presentation or classification of items in its financial statements, </w:t>
      </w:r>
      <w:r w:rsidRPr="000F5AC9">
        <w:rPr>
          <w:strike/>
        </w:rPr>
        <w:t>the entity</w:t>
      </w:r>
      <w:r w:rsidRPr="00350A8D">
        <w:t xml:space="preserve"> </w:t>
      </w:r>
      <w:r w:rsidRPr="000F5AC9">
        <w:rPr>
          <w:u w:val="single"/>
        </w:rPr>
        <w:t>it</w:t>
      </w:r>
      <w:r w:rsidRPr="00350A8D">
        <w:t xml:space="preserve"> shall reclassify comparative amounts unless reclassification is impracticable.</w:t>
      </w:r>
      <w:r>
        <w:t xml:space="preserve">  </w:t>
      </w:r>
      <w:r w:rsidRPr="00350A8D">
        <w:t xml:space="preserve">When </w:t>
      </w:r>
      <w:r w:rsidRPr="000F5AC9">
        <w:rPr>
          <w:strike/>
        </w:rPr>
        <w:t>the</w:t>
      </w:r>
      <w:r w:rsidRPr="00350A8D">
        <w:t xml:space="preserve"> </w:t>
      </w:r>
      <w:r w:rsidRPr="000F5AC9">
        <w:rPr>
          <w:u w:val="single"/>
        </w:rPr>
        <w:t>an</w:t>
      </w:r>
      <w:r w:rsidRPr="00350A8D">
        <w:t xml:space="preserve"> entity reclassifies comparative amounts, </w:t>
      </w:r>
      <w:r w:rsidRPr="000F5AC9">
        <w:rPr>
          <w:strike/>
        </w:rPr>
        <w:t>the entity</w:t>
      </w:r>
      <w:r w:rsidRPr="00350A8D">
        <w:t xml:space="preserve"> </w:t>
      </w:r>
      <w:r w:rsidRPr="000F5AC9">
        <w:rPr>
          <w:u w:val="single"/>
        </w:rPr>
        <w:t>it</w:t>
      </w:r>
      <w:r w:rsidRPr="00350A8D">
        <w:t xml:space="preserve"> shall disclose </w:t>
      </w:r>
      <w:r w:rsidRPr="000F5AC9">
        <w:rPr>
          <w:u w:val="single"/>
        </w:rPr>
        <w:t>(including as at the beginning of the preceding period)</w:t>
      </w:r>
      <w:r w:rsidRPr="00350A8D">
        <w:t xml:space="preserve">: </w:t>
      </w:r>
    </w:p>
    <w:p w:rsidR="00CC54A2" w:rsidRPr="002F2067" w:rsidRDefault="005337B4" w:rsidP="000F5AC9">
      <w:pPr>
        <w:pStyle w:val="SubNumBold2"/>
      </w:pPr>
      <w:r>
        <w:t>…</w:t>
      </w:r>
    </w:p>
    <w:p w:rsidR="006C16BB" w:rsidRPr="005337B4" w:rsidRDefault="002F2067" w:rsidP="008026D9">
      <w:pPr>
        <w:pStyle w:val="SubNumPlain1"/>
      </w:pPr>
      <w:r w:rsidRPr="00EA54CB">
        <w:t>139L</w:t>
      </w:r>
      <w:r w:rsidRPr="00EA54CB">
        <w:tab/>
      </w:r>
      <w:r w:rsidR="008233F9" w:rsidRPr="00EA54CB">
        <w:t>AASB </w:t>
      </w:r>
      <w:r w:rsidR="008233F9" w:rsidRPr="00EA54CB">
        <w:fldChar w:fldCharType="begin" w:fldLock="1"/>
      </w:r>
      <w:r w:rsidR="008233F9" w:rsidRPr="00EA54CB">
        <w:instrText xml:space="preserve"> REF DocNo  \* charformat </w:instrText>
      </w:r>
      <w:r w:rsidR="000F5AC9" w:rsidRPr="00EA54CB">
        <w:instrText xml:space="preserve"> \* MERGEFORMAT </w:instrText>
      </w:r>
      <w:r w:rsidR="008233F9" w:rsidRPr="00EA54CB">
        <w:fldChar w:fldCharType="separate"/>
      </w:r>
      <w:r w:rsidR="00F46AB3">
        <w:t>2012-5</w:t>
      </w:r>
      <w:r w:rsidR="008233F9" w:rsidRPr="00EA54CB">
        <w:fldChar w:fldCharType="end"/>
      </w:r>
      <w:r w:rsidR="008233F9" w:rsidRPr="00EA54CB">
        <w:t xml:space="preserve"> </w:t>
      </w:r>
      <w:r w:rsidR="008233F9" w:rsidRPr="00EA54CB">
        <w:rPr>
          <w:i/>
        </w:rPr>
        <w:t xml:space="preserve">Amendments to Australian Accounting Standards arising from </w:t>
      </w:r>
      <w:r w:rsidR="008233F9" w:rsidRPr="00EA54CB">
        <w:rPr>
          <w:i/>
          <w:iCs/>
        </w:rPr>
        <w:fldChar w:fldCharType="begin" w:fldLock="1"/>
      </w:r>
      <w:r w:rsidR="008233F9" w:rsidRPr="00EA54CB">
        <w:rPr>
          <w:i/>
          <w:iCs/>
        </w:rPr>
        <w:instrText xml:space="preserve"> REF ArisingNo  \* charformat  \* MERGEFORMAT </w:instrText>
      </w:r>
      <w:r w:rsidR="008233F9" w:rsidRPr="00EA54CB">
        <w:rPr>
          <w:i/>
          <w:iCs/>
        </w:rPr>
        <w:fldChar w:fldCharType="separate"/>
      </w:r>
      <w:r w:rsidR="00F46AB3" w:rsidRPr="00F46AB3">
        <w:rPr>
          <w:i/>
          <w:iCs/>
        </w:rPr>
        <w:t>Annual Improvements 2009–2011 Cycle</w:t>
      </w:r>
      <w:r w:rsidR="008233F9" w:rsidRPr="00EA54CB">
        <w:rPr>
          <w:i/>
          <w:iCs/>
        </w:rPr>
        <w:fldChar w:fldCharType="end"/>
      </w:r>
      <w:r w:rsidRPr="00EA54CB">
        <w:t xml:space="preserve">, issued in </w:t>
      </w:r>
      <w:r w:rsidR="008233F9" w:rsidRPr="00EA54CB">
        <w:t xml:space="preserve">June </w:t>
      </w:r>
      <w:r w:rsidRPr="00EA54CB">
        <w:t xml:space="preserve">2012, amended paragraphs 10, 38 and 41, deleted </w:t>
      </w:r>
      <w:r w:rsidR="00B52145" w:rsidRPr="00EA54CB">
        <w:t>paragraphs</w:t>
      </w:r>
      <w:r w:rsidR="00B52145">
        <w:t> </w:t>
      </w:r>
      <w:r w:rsidRPr="00EA54CB">
        <w:t>39</w:t>
      </w:r>
      <w:r w:rsidR="00EE1E41">
        <w:t xml:space="preserve"> and </w:t>
      </w:r>
      <w:r w:rsidRPr="00EA54CB">
        <w:t>40 and added paragraphs</w:t>
      </w:r>
      <w:r w:rsidR="00456E3D">
        <w:t> </w:t>
      </w:r>
      <w:r w:rsidRPr="00EA54CB">
        <w:t>38A</w:t>
      </w:r>
      <w:r w:rsidR="00456E3D">
        <w:noBreakHyphen/>
      </w:r>
      <w:r w:rsidRPr="00EA54CB">
        <w:t>38D and 40</w:t>
      </w:r>
      <w:r w:rsidRPr="005337B4">
        <w:t>A</w:t>
      </w:r>
      <w:r w:rsidR="00456E3D">
        <w:noBreakHyphen/>
      </w:r>
      <w:r w:rsidRPr="005337B4">
        <w:t>40D.  An entity shall apply that amendment retrospectively in accordance with</w:t>
      </w:r>
      <w:r w:rsidR="008233F9" w:rsidRPr="005337B4">
        <w:t xml:space="preserve"> </w:t>
      </w:r>
      <w:r w:rsidR="00B52145">
        <w:t>AASB </w:t>
      </w:r>
      <w:r w:rsidR="008233F9" w:rsidRPr="005337B4">
        <w:t>108</w:t>
      </w:r>
      <w:r w:rsidRPr="005337B4">
        <w:t xml:space="preserve"> </w:t>
      </w:r>
      <w:r w:rsidRPr="005337B4">
        <w:rPr>
          <w:i/>
        </w:rPr>
        <w:t>Accounting</w:t>
      </w:r>
      <w:r w:rsidRPr="005337B4">
        <w:t xml:space="preserve"> </w:t>
      </w:r>
      <w:r w:rsidRPr="005337B4">
        <w:rPr>
          <w:i/>
        </w:rPr>
        <w:t>Policies</w:t>
      </w:r>
      <w:r w:rsidRPr="005337B4">
        <w:t xml:space="preserve">, </w:t>
      </w:r>
      <w:r w:rsidRPr="005337B4">
        <w:rPr>
          <w:i/>
        </w:rPr>
        <w:t>Changes</w:t>
      </w:r>
      <w:r w:rsidRPr="005337B4">
        <w:t xml:space="preserve"> </w:t>
      </w:r>
      <w:r w:rsidRPr="005337B4">
        <w:rPr>
          <w:i/>
        </w:rPr>
        <w:t>in</w:t>
      </w:r>
      <w:r w:rsidRPr="005337B4">
        <w:t xml:space="preserve"> </w:t>
      </w:r>
      <w:r w:rsidRPr="005337B4">
        <w:rPr>
          <w:i/>
        </w:rPr>
        <w:t>Accounting</w:t>
      </w:r>
      <w:r w:rsidRPr="005337B4">
        <w:t xml:space="preserve"> </w:t>
      </w:r>
      <w:r w:rsidRPr="005337B4">
        <w:rPr>
          <w:i/>
        </w:rPr>
        <w:t>Estimates</w:t>
      </w:r>
      <w:r w:rsidRPr="005337B4">
        <w:t xml:space="preserve"> </w:t>
      </w:r>
      <w:r w:rsidRPr="005337B4">
        <w:rPr>
          <w:i/>
        </w:rPr>
        <w:t>and</w:t>
      </w:r>
      <w:r w:rsidRPr="005337B4">
        <w:t xml:space="preserve"> </w:t>
      </w:r>
      <w:r w:rsidRPr="005337B4">
        <w:rPr>
          <w:i/>
        </w:rPr>
        <w:t>Errors</w:t>
      </w:r>
      <w:r w:rsidRPr="005337B4">
        <w:t xml:space="preserve"> for annual </w:t>
      </w:r>
      <w:r w:rsidR="002A1594">
        <w:t xml:space="preserve">reporting </w:t>
      </w:r>
      <w:r w:rsidRPr="005337B4">
        <w:t xml:space="preserve">periods beginning on or after </w:t>
      </w:r>
      <w:r w:rsidR="00EE1E41" w:rsidRPr="005337B4">
        <w:t>1</w:t>
      </w:r>
      <w:r w:rsidR="00EE1E41">
        <w:t> </w:t>
      </w:r>
      <w:r w:rsidRPr="005337B4">
        <w:t>January 2013.  Earlier application is permitted.  If an entity applies that amendment for an earlier period it shall disclose that fact.</w:t>
      </w:r>
    </w:p>
    <w:p w:rsidR="006C16BB" w:rsidRDefault="006C16BB">
      <w:pPr>
        <w:pStyle w:val="Heading2"/>
      </w:pPr>
      <w:r>
        <w:t>Amendments to AASB 116</w:t>
      </w:r>
    </w:p>
    <w:p w:rsidR="00AB217F" w:rsidRDefault="00EE1E41" w:rsidP="00D03401">
      <w:pPr>
        <w:pStyle w:val="NumPlain1"/>
        <w:keepNext/>
      </w:pPr>
      <w:r w:rsidRPr="009A0B5F">
        <w:t>Paragraph</w:t>
      </w:r>
      <w:r>
        <w:t> </w:t>
      </w:r>
      <w:r w:rsidR="00AB217F" w:rsidRPr="009A0B5F">
        <w:t>8 is amended</w:t>
      </w:r>
      <w:r w:rsidR="00145695">
        <w:t xml:space="preserve"> as follows</w:t>
      </w:r>
      <w:r w:rsidR="00AB217F" w:rsidRPr="009A0B5F">
        <w:t xml:space="preserve"> (new text is underlined and deleted text is struck through) and </w:t>
      </w:r>
      <w:r w:rsidRPr="009A0B5F">
        <w:t>paragraph</w:t>
      </w:r>
      <w:r>
        <w:t> </w:t>
      </w:r>
      <w:r w:rsidR="00AB217F" w:rsidRPr="009A0B5F">
        <w:t>81G is added</w:t>
      </w:r>
      <w:r w:rsidR="00145695">
        <w:t>:</w:t>
      </w:r>
    </w:p>
    <w:p w:rsidR="00490CDB" w:rsidRPr="00084A88" w:rsidRDefault="00AB217F" w:rsidP="006C0110">
      <w:pPr>
        <w:pStyle w:val="SubNumPlain1"/>
      </w:pPr>
      <w:r w:rsidRPr="00084A88">
        <w:t>8</w:t>
      </w:r>
      <w:r w:rsidRPr="00084A88">
        <w:tab/>
      </w:r>
      <w:r w:rsidR="006C0110" w:rsidRPr="000F5AC9">
        <w:rPr>
          <w:strike/>
        </w:rPr>
        <w:t>Spare</w:t>
      </w:r>
      <w:r w:rsidR="006C0110">
        <w:t xml:space="preserve"> </w:t>
      </w:r>
      <w:r w:rsidR="006C0110" w:rsidRPr="000F5AC9">
        <w:rPr>
          <w:u w:val="single"/>
        </w:rPr>
        <w:t>Items such as spare</w:t>
      </w:r>
      <w:r w:rsidR="006C0110" w:rsidRPr="00AC690C">
        <w:t xml:space="preserve"> </w:t>
      </w:r>
      <w:r w:rsidR="006C0110">
        <w:t>parts</w:t>
      </w:r>
      <w:r w:rsidR="006C0110" w:rsidRPr="000F5AC9">
        <w:rPr>
          <w:u w:val="single"/>
        </w:rPr>
        <w:t>, stand-by equipment</w:t>
      </w:r>
      <w:r w:rsidR="006C0110">
        <w:t xml:space="preserve"> and servicing equipment </w:t>
      </w:r>
      <w:r w:rsidR="006C0110" w:rsidRPr="000F5AC9">
        <w:rPr>
          <w:u w:val="single"/>
        </w:rPr>
        <w:t xml:space="preserve">are recognised in accordance with </w:t>
      </w:r>
      <w:r w:rsidR="006C0110" w:rsidRPr="00AC690C">
        <w:rPr>
          <w:u w:val="single"/>
        </w:rPr>
        <w:t xml:space="preserve">this </w:t>
      </w:r>
      <w:r w:rsidR="00FB5975" w:rsidRPr="00AC690C">
        <w:rPr>
          <w:u w:val="single"/>
        </w:rPr>
        <w:t>Standard</w:t>
      </w:r>
      <w:r w:rsidR="00FB5975">
        <w:t xml:space="preserve"> </w:t>
      </w:r>
      <w:r w:rsidR="006C0110" w:rsidRPr="000F5AC9">
        <w:rPr>
          <w:strike/>
        </w:rPr>
        <w:t>are usually carried as inventory and recognised in profit or loss as consumed</w:t>
      </w:r>
      <w:r w:rsidR="00BE1262" w:rsidRPr="000F5AC9">
        <w:rPr>
          <w:strike/>
        </w:rPr>
        <w:t xml:space="preserve">.  </w:t>
      </w:r>
      <w:r w:rsidR="006C0110" w:rsidRPr="000F5AC9">
        <w:rPr>
          <w:strike/>
        </w:rPr>
        <w:t>However, major spare parts and stand-by equipment qualify as property, plant and equipment</w:t>
      </w:r>
      <w:r w:rsidR="006C0110">
        <w:t xml:space="preserve"> when </w:t>
      </w:r>
      <w:r w:rsidR="00FB5975" w:rsidRPr="000F5AC9">
        <w:rPr>
          <w:u w:val="single"/>
        </w:rPr>
        <w:t>they meet the definition of property, plant and equipment</w:t>
      </w:r>
      <w:r w:rsidR="0036273B" w:rsidRPr="000F5AC9">
        <w:rPr>
          <w:u w:val="single"/>
        </w:rPr>
        <w:t xml:space="preserve">.  </w:t>
      </w:r>
      <w:r w:rsidR="00FB5975" w:rsidRPr="000F5AC9">
        <w:rPr>
          <w:u w:val="single"/>
        </w:rPr>
        <w:t>Otherwise, such items are classified as inventory</w:t>
      </w:r>
      <w:r w:rsidR="0036273B" w:rsidRPr="000F5AC9">
        <w:rPr>
          <w:u w:val="single"/>
        </w:rPr>
        <w:t>.</w:t>
      </w:r>
      <w:r w:rsidR="0036273B">
        <w:t xml:space="preserve">  </w:t>
      </w:r>
      <w:r w:rsidR="006C0110" w:rsidRPr="000F5AC9">
        <w:rPr>
          <w:strike/>
        </w:rPr>
        <w:t>an entity expects to use them during more than one period</w:t>
      </w:r>
      <w:r w:rsidR="00BE1262" w:rsidRPr="000F5AC9">
        <w:rPr>
          <w:strike/>
        </w:rPr>
        <w:t xml:space="preserve">.  </w:t>
      </w:r>
      <w:r w:rsidR="006C0110" w:rsidRPr="000F5AC9">
        <w:rPr>
          <w:strike/>
        </w:rPr>
        <w:t>Similarly, if the spare parts and servicing equipment can be used only in connection with an item of property, plant and equipment, they are accounted for as property, plant and equipment.</w:t>
      </w:r>
    </w:p>
    <w:p w:rsidR="00AB217F" w:rsidRPr="00EA54CB" w:rsidRDefault="00AB217F" w:rsidP="00490CDB">
      <w:pPr>
        <w:pStyle w:val="SubNumPlain1"/>
      </w:pPr>
      <w:r w:rsidRPr="00EA54CB">
        <w:t>81G</w:t>
      </w:r>
      <w:r w:rsidRPr="00EA54CB">
        <w:tab/>
        <w:t>AASB </w:t>
      </w:r>
      <w:r w:rsidRPr="00EA54CB">
        <w:fldChar w:fldCharType="begin" w:fldLock="1"/>
      </w:r>
      <w:r w:rsidRPr="00EA54CB">
        <w:instrText xml:space="preserve"> REF DocNo  \* charformat </w:instrText>
      </w:r>
      <w:r w:rsidR="00490CDB" w:rsidRPr="00EA54CB">
        <w:instrText xml:space="preserve"> \* MERGEFORMAT </w:instrText>
      </w:r>
      <w:r w:rsidRPr="00EA54CB">
        <w:fldChar w:fldCharType="separate"/>
      </w:r>
      <w:r w:rsidR="00F46AB3">
        <w:t>2012-5</w:t>
      </w:r>
      <w:r w:rsidRPr="00EA54CB">
        <w:fldChar w:fldCharType="end"/>
      </w:r>
      <w:r w:rsidRPr="00EA54CB">
        <w:t xml:space="preserve"> </w:t>
      </w:r>
      <w:r w:rsidRPr="00EA54CB">
        <w:rPr>
          <w:i/>
        </w:rPr>
        <w:t xml:space="preserve">Amendments to Australian Accounting Standards arising from </w:t>
      </w:r>
      <w:r w:rsidRPr="00EA54CB">
        <w:rPr>
          <w:i/>
          <w:iCs/>
        </w:rPr>
        <w:fldChar w:fldCharType="begin" w:fldLock="1"/>
      </w:r>
      <w:r w:rsidRPr="00EA54CB">
        <w:rPr>
          <w:i/>
          <w:iCs/>
        </w:rPr>
        <w:instrText xml:space="preserve"> REF ArisingNo  \* charformat  \* MERGEFORMAT </w:instrText>
      </w:r>
      <w:r w:rsidRPr="00EA54CB">
        <w:rPr>
          <w:i/>
          <w:iCs/>
        </w:rPr>
        <w:fldChar w:fldCharType="separate"/>
      </w:r>
      <w:r w:rsidR="00F46AB3" w:rsidRPr="00F46AB3">
        <w:rPr>
          <w:i/>
          <w:iCs/>
        </w:rPr>
        <w:t>Annual Improvements 2009–2011 Cycle</w:t>
      </w:r>
      <w:r w:rsidRPr="00EA54CB">
        <w:rPr>
          <w:i/>
          <w:iCs/>
        </w:rPr>
        <w:fldChar w:fldCharType="end"/>
      </w:r>
      <w:r w:rsidRPr="00EA54CB">
        <w:t xml:space="preserve">, issued in June 2012, amended </w:t>
      </w:r>
      <w:r w:rsidR="00EE1E41" w:rsidRPr="00EA54CB">
        <w:t>paragraph</w:t>
      </w:r>
      <w:r w:rsidR="00EE1E41">
        <w:t> </w:t>
      </w:r>
      <w:r w:rsidRPr="00EA54CB">
        <w:t>8.  An entity shall apply that amendment retrospectively in accordance with AASB</w:t>
      </w:r>
      <w:r w:rsidR="00796913" w:rsidRPr="00EA54CB">
        <w:t> </w:t>
      </w:r>
      <w:r w:rsidRPr="00EA54CB">
        <w:t xml:space="preserve">108 </w:t>
      </w:r>
      <w:r w:rsidRPr="00EA54CB">
        <w:rPr>
          <w:i/>
        </w:rPr>
        <w:t>Accounting</w:t>
      </w:r>
      <w:r w:rsidRPr="00EA54CB">
        <w:t xml:space="preserve"> </w:t>
      </w:r>
      <w:r w:rsidRPr="00EA54CB">
        <w:rPr>
          <w:i/>
        </w:rPr>
        <w:t>Policies</w:t>
      </w:r>
      <w:r w:rsidRPr="004E07B1">
        <w:t xml:space="preserve">, </w:t>
      </w:r>
      <w:r w:rsidRPr="004E07B1">
        <w:rPr>
          <w:i/>
        </w:rPr>
        <w:t>Changes</w:t>
      </w:r>
      <w:r w:rsidRPr="002526B6">
        <w:t xml:space="preserve"> </w:t>
      </w:r>
      <w:r w:rsidRPr="002526B6">
        <w:rPr>
          <w:i/>
        </w:rPr>
        <w:t>in</w:t>
      </w:r>
      <w:r w:rsidRPr="002526B6">
        <w:t xml:space="preserve"> </w:t>
      </w:r>
      <w:r w:rsidRPr="002526B6">
        <w:rPr>
          <w:i/>
        </w:rPr>
        <w:t>Accounting</w:t>
      </w:r>
      <w:r w:rsidRPr="002526B6">
        <w:t xml:space="preserve"> </w:t>
      </w:r>
      <w:r w:rsidRPr="002526B6">
        <w:rPr>
          <w:i/>
        </w:rPr>
        <w:t>Estimates</w:t>
      </w:r>
      <w:r w:rsidRPr="002526B6">
        <w:t xml:space="preserve"> </w:t>
      </w:r>
      <w:r w:rsidRPr="00EA54CB">
        <w:rPr>
          <w:i/>
        </w:rPr>
        <w:t>and</w:t>
      </w:r>
      <w:r w:rsidRPr="00EA54CB">
        <w:t xml:space="preserve"> </w:t>
      </w:r>
      <w:r w:rsidRPr="00EA54CB">
        <w:rPr>
          <w:i/>
        </w:rPr>
        <w:t>Errors</w:t>
      </w:r>
      <w:r w:rsidRPr="00EA54CB">
        <w:t xml:space="preserve"> for annual </w:t>
      </w:r>
      <w:r w:rsidR="002A1594" w:rsidRPr="00EA54CB">
        <w:t xml:space="preserve">reporting </w:t>
      </w:r>
      <w:r w:rsidRPr="00EA54CB">
        <w:t>periods beginning on or after 1</w:t>
      </w:r>
      <w:r w:rsidR="00796913" w:rsidRPr="00EA54CB">
        <w:t> </w:t>
      </w:r>
      <w:r w:rsidRPr="00EA54CB">
        <w:t>January 2013.  Earlier application is permitted.  If an entity applies that amendment for an earlier period it shall disclose that fact.</w:t>
      </w:r>
    </w:p>
    <w:p w:rsidR="006C16BB" w:rsidRDefault="006C16BB" w:rsidP="00D03401">
      <w:pPr>
        <w:pStyle w:val="Heading2"/>
      </w:pPr>
      <w:r>
        <w:t>Amendments to AASB 132</w:t>
      </w:r>
    </w:p>
    <w:p w:rsidR="006C16BB" w:rsidRDefault="00490CDB" w:rsidP="00D03401">
      <w:pPr>
        <w:pStyle w:val="NumPlain1"/>
        <w:keepNext/>
      </w:pPr>
      <w:r w:rsidRPr="00490CDB">
        <w:t xml:space="preserve">Paragraphs 35, 37 and 39 are amended </w:t>
      </w:r>
      <w:r w:rsidR="00B50BCE">
        <w:t xml:space="preserve">as follows </w:t>
      </w:r>
      <w:r w:rsidRPr="00490CDB">
        <w:t>(new text is underlined and deleted text is struck through) and paragraphs 35A and 97M are added</w:t>
      </w:r>
      <w:r w:rsidR="00B50BCE">
        <w:t>:</w:t>
      </w:r>
    </w:p>
    <w:p w:rsidR="00D707B5" w:rsidRDefault="00490CDB" w:rsidP="00490CDB">
      <w:pPr>
        <w:pStyle w:val="SubNumBold1"/>
      </w:pPr>
      <w:r>
        <w:t>35</w:t>
      </w:r>
      <w:r>
        <w:tab/>
      </w:r>
      <w:r w:rsidR="00D707B5" w:rsidRPr="00D707B5">
        <w:t>Interest, dividends, losses and gains relating to a financial instrument or a component that is a financial liability shall be recognised as income or expense in profit or loss</w:t>
      </w:r>
      <w:r w:rsidR="00BE1262" w:rsidRPr="00D707B5">
        <w:t xml:space="preserve">.  </w:t>
      </w:r>
      <w:r w:rsidR="00D707B5" w:rsidRPr="00D707B5">
        <w:t xml:space="preserve">Distributions to holders of an equity instrument shall be </w:t>
      </w:r>
      <w:r w:rsidR="00D707B5" w:rsidRPr="000F5AC9">
        <w:rPr>
          <w:u w:val="single"/>
        </w:rPr>
        <w:t>recognised</w:t>
      </w:r>
      <w:r w:rsidR="00D707B5">
        <w:t xml:space="preserve"> </w:t>
      </w:r>
      <w:r w:rsidR="00D707B5" w:rsidRPr="000F5AC9">
        <w:rPr>
          <w:strike/>
        </w:rPr>
        <w:t>debited</w:t>
      </w:r>
      <w:r w:rsidR="00D707B5" w:rsidRPr="00D707B5">
        <w:t xml:space="preserve"> by the entity directly </w:t>
      </w:r>
      <w:r w:rsidR="00D707B5" w:rsidRPr="000F5AC9">
        <w:rPr>
          <w:strike/>
        </w:rPr>
        <w:t>to</w:t>
      </w:r>
      <w:r w:rsidR="00D707B5">
        <w:t xml:space="preserve"> </w:t>
      </w:r>
      <w:r w:rsidR="00D707B5" w:rsidRPr="000F5AC9">
        <w:rPr>
          <w:u w:val="single"/>
        </w:rPr>
        <w:t>in</w:t>
      </w:r>
      <w:r w:rsidR="00D707B5" w:rsidRPr="00D707B5">
        <w:t xml:space="preserve"> equity</w:t>
      </w:r>
      <w:r w:rsidR="00D707B5" w:rsidRPr="000F5AC9">
        <w:rPr>
          <w:strike/>
        </w:rPr>
        <w:t>, net of any related income tax benefit</w:t>
      </w:r>
      <w:r w:rsidR="00BE1262" w:rsidRPr="00D707B5">
        <w:t xml:space="preserve">.  </w:t>
      </w:r>
      <w:r w:rsidR="00D707B5" w:rsidRPr="00D707B5">
        <w:t>Transaction costs of an equity transaction shall be accounted for as a deduction from equity</w:t>
      </w:r>
      <w:r w:rsidR="00D707B5" w:rsidRPr="000F5AC9">
        <w:rPr>
          <w:strike/>
        </w:rPr>
        <w:t>, net of any related income tax benefit</w:t>
      </w:r>
      <w:r w:rsidR="00D707B5" w:rsidRPr="00D707B5">
        <w:t>.</w:t>
      </w:r>
    </w:p>
    <w:p w:rsidR="00490CDB" w:rsidRPr="004E07B1" w:rsidRDefault="00490CDB" w:rsidP="00490CDB">
      <w:pPr>
        <w:pStyle w:val="SubNumPlain1"/>
      </w:pPr>
      <w:r w:rsidRPr="004E07B1">
        <w:t>35A</w:t>
      </w:r>
      <w:r w:rsidRPr="004E07B1">
        <w:tab/>
        <w:t xml:space="preserve">Income tax relating to distributions to holders of an equity instrument and to transaction costs of an equity transaction shall be accounted for in accordance with </w:t>
      </w:r>
      <w:r w:rsidR="00792B9B" w:rsidRPr="004E07B1">
        <w:t>AASB</w:t>
      </w:r>
      <w:r w:rsidR="00796913" w:rsidRPr="004E07B1">
        <w:t> </w:t>
      </w:r>
      <w:r w:rsidR="00792B9B" w:rsidRPr="004E07B1">
        <w:t xml:space="preserve">112 </w:t>
      </w:r>
      <w:r w:rsidRPr="004E07B1">
        <w:rPr>
          <w:i/>
        </w:rPr>
        <w:t>Income Taxes</w:t>
      </w:r>
      <w:r w:rsidRPr="004E07B1">
        <w:t xml:space="preserve">. </w:t>
      </w:r>
    </w:p>
    <w:p w:rsidR="00490CDB" w:rsidRDefault="00490CDB" w:rsidP="00490CDB">
      <w:pPr>
        <w:pStyle w:val="SubNumPlain1"/>
      </w:pPr>
      <w:r>
        <w:t>37</w:t>
      </w:r>
      <w:r>
        <w:tab/>
      </w:r>
      <w:r w:rsidR="005F6045" w:rsidRPr="005F6045">
        <w:t>An entity typically incurs various costs in issuing or acquiring its own equity instruments</w:t>
      </w:r>
      <w:r w:rsidR="00BE1262" w:rsidRPr="005F6045">
        <w:t xml:space="preserve">.  </w:t>
      </w:r>
      <w:r w:rsidR="005F6045" w:rsidRPr="005F6045">
        <w:t>Those costs might include registration and other regulatory fees, amounts paid to legal, accounting and other professional advisers, printing costs and stamp duties</w:t>
      </w:r>
      <w:r w:rsidR="00BE1262" w:rsidRPr="005F6045">
        <w:t xml:space="preserve">.  </w:t>
      </w:r>
      <w:r w:rsidR="005F6045" w:rsidRPr="005F6045">
        <w:t>The transaction costs of an equity transaction are accounted for as a deduction from equity</w:t>
      </w:r>
      <w:r w:rsidR="005F6045" w:rsidRPr="000F5AC9">
        <w:rPr>
          <w:strike/>
        </w:rPr>
        <w:t xml:space="preserve"> (net of any related income tax benefit)</w:t>
      </w:r>
      <w:r w:rsidR="005F6045" w:rsidRPr="005F6045">
        <w:t xml:space="preserve"> to the extent they are incremental costs directly attributable to the equity transaction that otherwise would have been avoided</w:t>
      </w:r>
      <w:r w:rsidR="00BE1262" w:rsidRPr="005F6045">
        <w:t xml:space="preserve">.  </w:t>
      </w:r>
      <w:r w:rsidR="005F6045" w:rsidRPr="005F6045">
        <w:t>The costs of an equity transaction that is abandoned are recognised as an expense.</w:t>
      </w:r>
    </w:p>
    <w:p w:rsidR="005F6045" w:rsidRDefault="00490CDB" w:rsidP="00490CDB">
      <w:pPr>
        <w:pStyle w:val="SubNumPlain1"/>
      </w:pPr>
      <w:r>
        <w:t>39</w:t>
      </w:r>
      <w:r>
        <w:tab/>
      </w:r>
      <w:r w:rsidR="005F6045" w:rsidRPr="005F6045">
        <w:t xml:space="preserve">The amount of transaction costs accounted for as a deduction from equity in the period is disclosed separately </w:t>
      </w:r>
      <w:r w:rsidR="005F6045" w:rsidRPr="000F5AC9">
        <w:rPr>
          <w:strike/>
        </w:rPr>
        <w:t>under</w:t>
      </w:r>
      <w:r w:rsidR="005F6045">
        <w:t xml:space="preserve"> </w:t>
      </w:r>
      <w:r w:rsidR="005F6045" w:rsidRPr="000F5AC9">
        <w:rPr>
          <w:u w:val="single"/>
        </w:rPr>
        <w:t>in accordance with</w:t>
      </w:r>
      <w:r w:rsidR="005F6045" w:rsidRPr="005F6045">
        <w:t xml:space="preserve"> </w:t>
      </w:r>
      <w:r w:rsidR="00456E3D">
        <w:t>AASB </w:t>
      </w:r>
      <w:r w:rsidR="005F6045" w:rsidRPr="005F6045">
        <w:t>101</w:t>
      </w:r>
      <w:r w:rsidR="00BE1262" w:rsidRPr="005F6045">
        <w:t xml:space="preserve">.  </w:t>
      </w:r>
      <w:r w:rsidR="005F6045" w:rsidRPr="000F5AC9">
        <w:rPr>
          <w:strike/>
        </w:rPr>
        <w:t xml:space="preserve">The related amount of income taxes recognised directly in equity is included in the aggregate amount of current and deferred income tax credited or charged to equity that is disclosed under </w:t>
      </w:r>
      <w:r w:rsidR="00456E3D">
        <w:rPr>
          <w:strike/>
        </w:rPr>
        <w:t>AASB </w:t>
      </w:r>
      <w:r w:rsidR="005F6045" w:rsidRPr="000F5AC9">
        <w:rPr>
          <w:strike/>
        </w:rPr>
        <w:t xml:space="preserve">112 </w:t>
      </w:r>
      <w:r w:rsidR="005F6045" w:rsidRPr="00796913">
        <w:rPr>
          <w:i/>
          <w:strike/>
        </w:rPr>
        <w:t>Income Taxes</w:t>
      </w:r>
      <w:r w:rsidR="005F6045" w:rsidRPr="000F5AC9">
        <w:rPr>
          <w:strike/>
        </w:rPr>
        <w:t>.</w:t>
      </w:r>
    </w:p>
    <w:p w:rsidR="00792B9B" w:rsidRPr="00EA54CB" w:rsidRDefault="00792B9B" w:rsidP="003D7B96">
      <w:pPr>
        <w:pStyle w:val="SubNumPlain1"/>
      </w:pPr>
      <w:r w:rsidRPr="00EA54CB">
        <w:t>97M</w:t>
      </w:r>
      <w:r w:rsidRPr="00EA54CB">
        <w:tab/>
        <w:t>AASB </w:t>
      </w:r>
      <w:r w:rsidRPr="00EA54CB">
        <w:fldChar w:fldCharType="begin" w:fldLock="1"/>
      </w:r>
      <w:r w:rsidRPr="00EA54CB">
        <w:instrText xml:space="preserve"> REF DocNo  \* charformat </w:instrText>
      </w:r>
      <w:r w:rsidR="000F5AC9" w:rsidRPr="00EA54CB">
        <w:instrText xml:space="preserve"> \* MERGEFORMAT </w:instrText>
      </w:r>
      <w:r w:rsidRPr="00EA54CB">
        <w:fldChar w:fldCharType="separate"/>
      </w:r>
      <w:r w:rsidR="00F46AB3">
        <w:t>2012-5</w:t>
      </w:r>
      <w:r w:rsidRPr="00EA54CB">
        <w:fldChar w:fldCharType="end"/>
      </w:r>
      <w:r w:rsidRPr="00EA54CB">
        <w:t xml:space="preserve"> </w:t>
      </w:r>
      <w:r w:rsidRPr="00EA54CB">
        <w:rPr>
          <w:i/>
        </w:rPr>
        <w:t xml:space="preserve">Amendments to Australian Accounting Standards arising from </w:t>
      </w:r>
      <w:r w:rsidRPr="00EA54CB">
        <w:rPr>
          <w:i/>
          <w:iCs/>
        </w:rPr>
        <w:fldChar w:fldCharType="begin" w:fldLock="1"/>
      </w:r>
      <w:r w:rsidRPr="00EA54CB">
        <w:rPr>
          <w:i/>
          <w:iCs/>
        </w:rPr>
        <w:instrText xml:space="preserve"> REF ArisingNo  \* charformat  \* MERGEFORMAT </w:instrText>
      </w:r>
      <w:r w:rsidRPr="00EA54CB">
        <w:rPr>
          <w:i/>
          <w:iCs/>
        </w:rPr>
        <w:fldChar w:fldCharType="separate"/>
      </w:r>
      <w:r w:rsidR="00F46AB3" w:rsidRPr="00F46AB3">
        <w:rPr>
          <w:i/>
          <w:iCs/>
        </w:rPr>
        <w:t>Annual Improvements 2009–2011 Cycle</w:t>
      </w:r>
      <w:r w:rsidRPr="00EA54CB">
        <w:rPr>
          <w:i/>
          <w:iCs/>
        </w:rPr>
        <w:fldChar w:fldCharType="end"/>
      </w:r>
      <w:r w:rsidRPr="00EA54CB">
        <w:t>, issued in June 2012, amended paragraphs</w:t>
      </w:r>
      <w:r w:rsidR="00985FDF">
        <w:t> </w:t>
      </w:r>
      <w:r w:rsidRPr="00EA54CB">
        <w:t>35, 37 and 39 and added paragraph</w:t>
      </w:r>
      <w:r w:rsidR="00985FDF">
        <w:t> </w:t>
      </w:r>
      <w:r w:rsidRPr="00EA54CB">
        <w:t xml:space="preserve">35A.  An entity shall apply that amendment retrospectively in accordance with </w:t>
      </w:r>
      <w:r w:rsidR="00985FDF">
        <w:t>AASB </w:t>
      </w:r>
      <w:r w:rsidRPr="00EA54CB">
        <w:t xml:space="preserve">108 </w:t>
      </w:r>
      <w:r w:rsidRPr="00EA54CB">
        <w:rPr>
          <w:i/>
        </w:rPr>
        <w:t>Accounting</w:t>
      </w:r>
      <w:r w:rsidRPr="00EA54CB">
        <w:t xml:space="preserve"> </w:t>
      </w:r>
      <w:r w:rsidRPr="00EA54CB">
        <w:rPr>
          <w:i/>
        </w:rPr>
        <w:t>Policies</w:t>
      </w:r>
      <w:r w:rsidRPr="00EA54CB">
        <w:t xml:space="preserve">, </w:t>
      </w:r>
      <w:r w:rsidRPr="00EA54CB">
        <w:rPr>
          <w:i/>
        </w:rPr>
        <w:t>Changes</w:t>
      </w:r>
      <w:r w:rsidRPr="00EA54CB">
        <w:t xml:space="preserve"> </w:t>
      </w:r>
      <w:r w:rsidRPr="00EA54CB">
        <w:rPr>
          <w:i/>
        </w:rPr>
        <w:t>in</w:t>
      </w:r>
      <w:r w:rsidRPr="00EA54CB">
        <w:t xml:space="preserve"> </w:t>
      </w:r>
      <w:r w:rsidRPr="00EA54CB">
        <w:rPr>
          <w:i/>
        </w:rPr>
        <w:t>Accounting</w:t>
      </w:r>
      <w:r w:rsidRPr="00EA54CB">
        <w:t xml:space="preserve"> </w:t>
      </w:r>
      <w:r w:rsidRPr="00EA54CB">
        <w:rPr>
          <w:i/>
        </w:rPr>
        <w:t>Estimates</w:t>
      </w:r>
      <w:r w:rsidRPr="00EA54CB">
        <w:t xml:space="preserve"> </w:t>
      </w:r>
      <w:r w:rsidRPr="00EA54CB">
        <w:rPr>
          <w:i/>
        </w:rPr>
        <w:t>and</w:t>
      </w:r>
      <w:r w:rsidRPr="00EA54CB">
        <w:t xml:space="preserve"> </w:t>
      </w:r>
      <w:r w:rsidRPr="00EA54CB">
        <w:rPr>
          <w:i/>
        </w:rPr>
        <w:t>Errors</w:t>
      </w:r>
      <w:r w:rsidRPr="00EA54CB">
        <w:t xml:space="preserve"> for annual </w:t>
      </w:r>
      <w:r w:rsidR="002A1594">
        <w:t xml:space="preserve">reporting </w:t>
      </w:r>
      <w:r w:rsidRPr="00EA54CB">
        <w:t>periods beginning on or after 1</w:t>
      </w:r>
      <w:r w:rsidR="00985FDF">
        <w:t> </w:t>
      </w:r>
      <w:r w:rsidRPr="00EA54CB">
        <w:t>January 2013.  Earlier application is permitted.  If an entity applies that amendment for an earlier period it shall disclose that fact.</w:t>
      </w:r>
    </w:p>
    <w:p w:rsidR="006C16BB" w:rsidRDefault="006C16BB">
      <w:pPr>
        <w:pStyle w:val="Heading2"/>
      </w:pPr>
      <w:r>
        <w:t xml:space="preserve">Amendments to </w:t>
      </w:r>
      <w:bookmarkStart w:id="19" w:name="StndNo2"/>
      <w:r>
        <w:t>AASB 134</w:t>
      </w:r>
      <w:bookmarkEnd w:id="19"/>
    </w:p>
    <w:p w:rsidR="002925EE" w:rsidRDefault="002925EE" w:rsidP="00D03401">
      <w:pPr>
        <w:pStyle w:val="NumPlain1"/>
        <w:keepNext/>
      </w:pPr>
      <w:r w:rsidRPr="008B5417">
        <w:t>Paragraph 5 is amended</w:t>
      </w:r>
      <w:r w:rsidR="00B50BCE">
        <w:t xml:space="preserve"> as follows </w:t>
      </w:r>
      <w:r w:rsidRPr="008B5417">
        <w:t>(new text is underlined and deleted text is struck thr</w:t>
      </w:r>
      <w:r>
        <w:t>ough) and paragraph 52 is added</w:t>
      </w:r>
      <w:r w:rsidR="00B50BCE">
        <w:t>:</w:t>
      </w:r>
    </w:p>
    <w:p w:rsidR="00A17A29" w:rsidRDefault="002925EE" w:rsidP="00A17A29">
      <w:pPr>
        <w:pStyle w:val="SubNumPlain1"/>
      </w:pPr>
      <w:r w:rsidRPr="00100E75">
        <w:t>5</w:t>
      </w:r>
      <w:r w:rsidRPr="00100E75">
        <w:tab/>
      </w:r>
      <w:r w:rsidR="00A17A29">
        <w:t>AASB 101</w:t>
      </w:r>
      <w:r w:rsidR="00A17A29" w:rsidRPr="009B095B">
        <w:t xml:space="preserve"> </w:t>
      </w:r>
      <w:r w:rsidR="00A17A29" w:rsidRPr="00142200">
        <w:rPr>
          <w:strike/>
        </w:rPr>
        <w:t>(as revised in 2007)</w:t>
      </w:r>
      <w:r w:rsidR="00A17A29">
        <w:t xml:space="preserve"> defines a complete set of financial statements as including the following components:</w:t>
      </w:r>
    </w:p>
    <w:p w:rsidR="00A17A29" w:rsidRDefault="00B50BCE" w:rsidP="00A17A29">
      <w:pPr>
        <w:pStyle w:val="SubNumPlain2"/>
      </w:pPr>
      <w:r>
        <w:t>…</w:t>
      </w:r>
    </w:p>
    <w:p w:rsidR="00A17A29" w:rsidRDefault="00A17A29" w:rsidP="00A17A29">
      <w:pPr>
        <w:pStyle w:val="SubNumPlain2"/>
      </w:pPr>
      <w:r>
        <w:t xml:space="preserve">a statement of </w:t>
      </w:r>
      <w:r w:rsidRPr="008522B8">
        <w:rPr>
          <w:u w:val="single"/>
        </w:rPr>
        <w:t>profit or loss and other</w:t>
      </w:r>
      <w:r w:rsidRPr="002925EE">
        <w:t xml:space="preserve"> </w:t>
      </w:r>
      <w:r>
        <w:t>comprehensive income for the period;</w:t>
      </w:r>
    </w:p>
    <w:p w:rsidR="00A17A29" w:rsidRDefault="00B50BCE" w:rsidP="00A17A29">
      <w:pPr>
        <w:pStyle w:val="SubNumPlain2"/>
      </w:pPr>
      <w:r>
        <w:t>…</w:t>
      </w:r>
    </w:p>
    <w:p w:rsidR="00A17A29" w:rsidRDefault="00B50BCE" w:rsidP="00EA54CB">
      <w:pPr>
        <w:pStyle w:val="PlainHanging2"/>
      </w:pPr>
      <w:r>
        <w:t>(e)</w:t>
      </w:r>
      <w:r>
        <w:tab/>
      </w:r>
      <w:r w:rsidR="00A17A29">
        <w:t xml:space="preserve">notes, comprising a summary of significant accounting policies and other explanatory information; </w:t>
      </w:r>
      <w:r w:rsidR="00A17A29" w:rsidRPr="00142200">
        <w:rPr>
          <w:strike/>
        </w:rPr>
        <w:t>and</w:t>
      </w:r>
    </w:p>
    <w:p w:rsidR="00A17A29" w:rsidRPr="00A17A29" w:rsidRDefault="00A17A29" w:rsidP="00A17A29">
      <w:pPr>
        <w:pStyle w:val="PlainHanging2"/>
        <w:rPr>
          <w:u w:val="single"/>
        </w:rPr>
      </w:pPr>
      <w:r w:rsidRPr="00A17A29">
        <w:rPr>
          <w:u w:val="single"/>
        </w:rPr>
        <w:t>(ea)</w:t>
      </w:r>
      <w:r w:rsidRPr="00534427">
        <w:tab/>
      </w:r>
      <w:r w:rsidRPr="00A17A29">
        <w:rPr>
          <w:u w:val="single"/>
        </w:rPr>
        <w:t xml:space="preserve">comparative information in respect of the preceding period as specified in </w:t>
      </w:r>
      <w:r w:rsidR="00EE1E41" w:rsidRPr="00A17A29">
        <w:rPr>
          <w:u w:val="single"/>
        </w:rPr>
        <w:t>paragraphs</w:t>
      </w:r>
      <w:r w:rsidR="00EE1E41">
        <w:rPr>
          <w:u w:val="single"/>
        </w:rPr>
        <w:t> </w:t>
      </w:r>
      <w:r w:rsidRPr="00A17A29">
        <w:rPr>
          <w:u w:val="single"/>
        </w:rPr>
        <w:t>38 and 38A of AASB</w:t>
      </w:r>
      <w:r w:rsidR="00796913">
        <w:rPr>
          <w:u w:val="single"/>
        </w:rPr>
        <w:t> </w:t>
      </w:r>
      <w:r w:rsidRPr="00A17A29">
        <w:rPr>
          <w:u w:val="single"/>
        </w:rPr>
        <w:t>101; and</w:t>
      </w:r>
    </w:p>
    <w:p w:rsidR="002925EE" w:rsidRPr="002925EE" w:rsidRDefault="00B50BCE" w:rsidP="00EA54CB">
      <w:pPr>
        <w:pStyle w:val="PlainHanging2"/>
      </w:pPr>
      <w:r>
        <w:t>(f)</w:t>
      </w:r>
      <w:r>
        <w:tab/>
      </w:r>
      <w:r w:rsidR="00A17A29">
        <w:t xml:space="preserve">a statement of financial position as at the beginning of the </w:t>
      </w:r>
      <w:r w:rsidR="00A17A29" w:rsidRPr="00142200">
        <w:rPr>
          <w:strike/>
        </w:rPr>
        <w:t>earliest comparative</w:t>
      </w:r>
      <w:r w:rsidR="00142200" w:rsidRPr="009B095B">
        <w:t xml:space="preserve"> </w:t>
      </w:r>
      <w:r w:rsidR="00142200" w:rsidRPr="004E1891">
        <w:rPr>
          <w:u w:val="single"/>
        </w:rPr>
        <w:t>preceding</w:t>
      </w:r>
      <w:r w:rsidR="00A17A29">
        <w:t xml:space="preserve"> period when an entity applies an accounting policy retrospectively or makes a retrospective restatement of items in its financial statements, or when it reclassifies items in its financial statements</w:t>
      </w:r>
      <w:r w:rsidR="00142200" w:rsidRPr="009B095B">
        <w:t xml:space="preserve"> </w:t>
      </w:r>
      <w:r w:rsidR="00142200" w:rsidRPr="004E1891">
        <w:rPr>
          <w:u w:val="single"/>
        </w:rPr>
        <w:t xml:space="preserve">in accordance with </w:t>
      </w:r>
      <w:r w:rsidR="00EE1E41" w:rsidRPr="004E1891">
        <w:rPr>
          <w:u w:val="single"/>
        </w:rPr>
        <w:t>paragraphs</w:t>
      </w:r>
      <w:r w:rsidR="00EE1E41">
        <w:rPr>
          <w:u w:val="single"/>
        </w:rPr>
        <w:t> </w:t>
      </w:r>
      <w:r w:rsidR="00142200" w:rsidRPr="004E1891">
        <w:rPr>
          <w:u w:val="single"/>
        </w:rPr>
        <w:t>40A</w:t>
      </w:r>
      <w:r w:rsidR="00456E3D">
        <w:rPr>
          <w:u w:val="single"/>
        </w:rPr>
        <w:noBreakHyphen/>
      </w:r>
      <w:r w:rsidR="00142200" w:rsidRPr="004E1891">
        <w:rPr>
          <w:u w:val="single"/>
        </w:rPr>
        <w:t>40D of</w:t>
      </w:r>
      <w:r w:rsidR="00142200">
        <w:rPr>
          <w:u w:val="single"/>
        </w:rPr>
        <w:t xml:space="preserve"> AASB</w:t>
      </w:r>
      <w:r w:rsidR="00796913">
        <w:rPr>
          <w:u w:val="single"/>
        </w:rPr>
        <w:t> </w:t>
      </w:r>
      <w:r w:rsidR="00142200">
        <w:rPr>
          <w:u w:val="single"/>
        </w:rPr>
        <w:t>101</w:t>
      </w:r>
      <w:r w:rsidR="00142200" w:rsidRPr="002925EE">
        <w:t>.</w:t>
      </w:r>
      <w:r w:rsidR="002925EE" w:rsidRPr="002925EE">
        <w:t xml:space="preserve"> </w:t>
      </w:r>
    </w:p>
    <w:p w:rsidR="002925EE" w:rsidRPr="004E1891" w:rsidRDefault="002925EE" w:rsidP="004E1891">
      <w:pPr>
        <w:pStyle w:val="NoNumPlain3"/>
        <w:rPr>
          <w:u w:val="single"/>
        </w:rPr>
      </w:pPr>
      <w:r w:rsidRPr="004E1891">
        <w:rPr>
          <w:u w:val="single"/>
        </w:rPr>
        <w:t>An entity may use titles for the statements other than those used in this Standard.  For example, an entity may use the title ‘statement of comprehensive income’ instead of ‘statement of profit or loss and other comprehensive income’.</w:t>
      </w:r>
    </w:p>
    <w:p w:rsidR="00CD1C3C" w:rsidRPr="00EA54CB" w:rsidRDefault="00C16A0A" w:rsidP="00CD1C3C">
      <w:pPr>
        <w:pStyle w:val="SubNumPlain1"/>
      </w:pPr>
      <w:r w:rsidRPr="00EA54CB">
        <w:t>52</w:t>
      </w:r>
      <w:r w:rsidRPr="00EA54CB">
        <w:tab/>
        <w:t>AASB </w:t>
      </w:r>
      <w:r w:rsidRPr="00EA54CB">
        <w:fldChar w:fldCharType="begin" w:fldLock="1"/>
      </w:r>
      <w:r w:rsidRPr="00EA54CB">
        <w:instrText xml:space="preserve"> REF DocNo  \* charformat </w:instrText>
      </w:r>
      <w:r w:rsidR="005F6045" w:rsidRPr="00EA54CB">
        <w:instrText xml:space="preserve"> \* MERGEFORMAT </w:instrText>
      </w:r>
      <w:r w:rsidRPr="00EA54CB">
        <w:fldChar w:fldCharType="separate"/>
      </w:r>
      <w:r w:rsidR="00F46AB3">
        <w:t>2012-5</w:t>
      </w:r>
      <w:r w:rsidRPr="00EA54CB">
        <w:fldChar w:fldCharType="end"/>
      </w:r>
      <w:r w:rsidRPr="00EA54CB">
        <w:t xml:space="preserve"> </w:t>
      </w:r>
      <w:r w:rsidRPr="00EA54CB">
        <w:rPr>
          <w:i/>
        </w:rPr>
        <w:t xml:space="preserve">Amendments to Australian Accounting Standards arising from </w:t>
      </w:r>
      <w:r w:rsidRPr="00EA54CB">
        <w:rPr>
          <w:i/>
          <w:iCs/>
        </w:rPr>
        <w:fldChar w:fldCharType="begin" w:fldLock="1"/>
      </w:r>
      <w:r w:rsidRPr="00EA54CB">
        <w:rPr>
          <w:i/>
          <w:iCs/>
        </w:rPr>
        <w:instrText xml:space="preserve"> REF ArisingNo  \* charformat  \* MERGEFORMAT </w:instrText>
      </w:r>
      <w:r w:rsidRPr="00EA54CB">
        <w:rPr>
          <w:i/>
          <w:iCs/>
        </w:rPr>
        <w:fldChar w:fldCharType="separate"/>
      </w:r>
      <w:r w:rsidR="00F46AB3" w:rsidRPr="00F46AB3">
        <w:rPr>
          <w:i/>
          <w:iCs/>
        </w:rPr>
        <w:t>Annual Improvements 2009–2011 Cycle</w:t>
      </w:r>
      <w:r w:rsidRPr="00EA54CB">
        <w:rPr>
          <w:i/>
          <w:iCs/>
        </w:rPr>
        <w:fldChar w:fldCharType="end"/>
      </w:r>
      <w:r w:rsidRPr="00EA54CB">
        <w:t xml:space="preserve">, issued in June 2012, amended </w:t>
      </w:r>
      <w:r w:rsidR="00EE1E41" w:rsidRPr="00EA54CB">
        <w:t>paragraph</w:t>
      </w:r>
      <w:r w:rsidR="00EE1E41">
        <w:t> </w:t>
      </w:r>
      <w:r w:rsidRPr="00EA54CB">
        <w:t>5.  An entity shall apply that amendment retrospectively in accordance with AASB</w:t>
      </w:r>
      <w:r w:rsidR="00D657B1" w:rsidRPr="00EA54CB">
        <w:t> </w:t>
      </w:r>
      <w:r w:rsidRPr="00EA54CB">
        <w:t xml:space="preserve">108 </w:t>
      </w:r>
      <w:r w:rsidRPr="00EA54CB">
        <w:rPr>
          <w:i/>
        </w:rPr>
        <w:t>Accounting</w:t>
      </w:r>
      <w:r w:rsidRPr="00EA54CB">
        <w:t xml:space="preserve"> </w:t>
      </w:r>
      <w:r w:rsidRPr="00EA54CB">
        <w:rPr>
          <w:i/>
        </w:rPr>
        <w:t>Policies</w:t>
      </w:r>
      <w:r w:rsidRPr="00EA54CB">
        <w:t xml:space="preserve">, </w:t>
      </w:r>
      <w:r w:rsidRPr="00EA54CB">
        <w:rPr>
          <w:i/>
        </w:rPr>
        <w:t>Changes</w:t>
      </w:r>
      <w:r w:rsidRPr="00EA54CB">
        <w:t xml:space="preserve"> </w:t>
      </w:r>
      <w:r w:rsidRPr="00EA54CB">
        <w:rPr>
          <w:i/>
        </w:rPr>
        <w:t>in</w:t>
      </w:r>
      <w:r w:rsidRPr="00EA54CB">
        <w:t xml:space="preserve"> </w:t>
      </w:r>
      <w:r w:rsidRPr="00EA54CB">
        <w:rPr>
          <w:i/>
        </w:rPr>
        <w:t>Accounting</w:t>
      </w:r>
      <w:r w:rsidRPr="00EA54CB">
        <w:t xml:space="preserve"> </w:t>
      </w:r>
      <w:r w:rsidRPr="00EA54CB">
        <w:rPr>
          <w:i/>
        </w:rPr>
        <w:t>Estimates</w:t>
      </w:r>
      <w:r w:rsidRPr="00EA54CB">
        <w:t xml:space="preserve"> </w:t>
      </w:r>
      <w:r w:rsidRPr="00EA54CB">
        <w:rPr>
          <w:i/>
        </w:rPr>
        <w:t>and</w:t>
      </w:r>
      <w:r w:rsidRPr="00EA54CB">
        <w:t xml:space="preserve"> </w:t>
      </w:r>
      <w:r w:rsidRPr="00EA54CB">
        <w:rPr>
          <w:i/>
        </w:rPr>
        <w:t>Errors</w:t>
      </w:r>
      <w:r w:rsidRPr="00EA54CB">
        <w:t xml:space="preserve"> for annual </w:t>
      </w:r>
      <w:r w:rsidR="002A1594" w:rsidRPr="00EA54CB">
        <w:t xml:space="preserve">reporting </w:t>
      </w:r>
      <w:r w:rsidRPr="00EA54CB">
        <w:t>periods beginning on or after 1</w:t>
      </w:r>
      <w:r w:rsidR="00D657B1" w:rsidRPr="00EA54CB">
        <w:t> </w:t>
      </w:r>
      <w:r w:rsidRPr="00EA54CB">
        <w:t>January</w:t>
      </w:r>
      <w:r w:rsidR="00D657B1" w:rsidRPr="00EA54CB">
        <w:t> </w:t>
      </w:r>
      <w:r w:rsidRPr="00EA54CB">
        <w:t>2013.  Earlier application is permitted.  If an entity applies that amendment for an earlier period it shall disclose that fact.</w:t>
      </w:r>
    </w:p>
    <w:p w:rsidR="00B66745" w:rsidRDefault="00B66745" w:rsidP="00D03401">
      <w:pPr>
        <w:pStyle w:val="NumPlain1"/>
        <w:keepNext/>
      </w:pPr>
      <w:r w:rsidRPr="00B66745">
        <w:t>Paragraph 16A is amended</w:t>
      </w:r>
      <w:r w:rsidR="00A4206D">
        <w:t xml:space="preserve"> as follows</w:t>
      </w:r>
      <w:r w:rsidRPr="00B66745">
        <w:t xml:space="preserve"> (new text is underlined and deleted text is struck through) and paragraph 53 is added</w:t>
      </w:r>
      <w:r w:rsidR="00A4206D">
        <w:t>:</w:t>
      </w:r>
    </w:p>
    <w:p w:rsidR="00B66745" w:rsidRDefault="00B66745" w:rsidP="00B66745">
      <w:pPr>
        <w:pStyle w:val="SubNumBold1"/>
      </w:pPr>
      <w:r>
        <w:t>16A</w:t>
      </w:r>
      <w:r>
        <w:tab/>
        <w:t>In addition to disclosing significant events and transactions in accordance with paragraphs 15</w:t>
      </w:r>
      <w:r w:rsidR="00456E3D">
        <w:noBreakHyphen/>
      </w:r>
      <w:r>
        <w:t>15C, an entity shall include the following information, in the notes to its interim financial statements, if not disclosed elsewhere in the interim financial report</w:t>
      </w:r>
      <w:r w:rsidR="00BE1262">
        <w:t xml:space="preserve">.  </w:t>
      </w:r>
      <w:r>
        <w:t>The information shall normally be reported on an annual reporting period-to-date basis.</w:t>
      </w:r>
    </w:p>
    <w:p w:rsidR="00B66745" w:rsidRDefault="00B669C1" w:rsidP="00B66745">
      <w:pPr>
        <w:pStyle w:val="SubNumBold2"/>
      </w:pPr>
      <w:r>
        <w:t>…</w:t>
      </w:r>
    </w:p>
    <w:p w:rsidR="00B66745" w:rsidRDefault="00B66745" w:rsidP="00B669C1">
      <w:pPr>
        <w:pStyle w:val="BoldHanging2"/>
      </w:pPr>
      <w:r>
        <w:t>(g)</w:t>
      </w:r>
      <w:r w:rsidR="00B669C1">
        <w:tab/>
      </w:r>
      <w:r>
        <w:t xml:space="preserve">the following segment information (disclosure of segment information is required in an entity’s interim financial report only if </w:t>
      </w:r>
      <w:r w:rsidR="00456E3D">
        <w:t>AASB </w:t>
      </w:r>
      <w:r>
        <w:t xml:space="preserve">8 </w:t>
      </w:r>
      <w:r w:rsidRPr="00B66745">
        <w:rPr>
          <w:i/>
        </w:rPr>
        <w:t>Operating Segments</w:t>
      </w:r>
      <w:r>
        <w:t xml:space="preserve"> requires that entity to disclose segment information in its annual financial statements):</w:t>
      </w:r>
    </w:p>
    <w:p w:rsidR="00B66745" w:rsidRDefault="00B669C1" w:rsidP="00B66745">
      <w:pPr>
        <w:pStyle w:val="SubNumBold3"/>
      </w:pPr>
      <w:r>
        <w:t>…</w:t>
      </w:r>
    </w:p>
    <w:p w:rsidR="00B66745" w:rsidRDefault="00B66745" w:rsidP="00B669C1">
      <w:pPr>
        <w:pStyle w:val="BoldHanging3"/>
      </w:pPr>
      <w:r>
        <w:t>(iv)</w:t>
      </w:r>
      <w:r w:rsidR="00B669C1">
        <w:tab/>
      </w:r>
      <w:r w:rsidR="00B669C1">
        <w:rPr>
          <w:u w:val="single"/>
        </w:rPr>
        <w:t>a measure of</w:t>
      </w:r>
      <w:r w:rsidR="00B669C1" w:rsidRPr="0013166B">
        <w:t xml:space="preserve"> </w:t>
      </w:r>
      <w:r>
        <w:t xml:space="preserve">total assets </w:t>
      </w:r>
      <w:r w:rsidR="00B669C1" w:rsidRPr="00B669C1">
        <w:rPr>
          <w:u w:val="single"/>
        </w:rPr>
        <w:t>and liabilities</w:t>
      </w:r>
      <w:r w:rsidR="00B669C1">
        <w:rPr>
          <w:u w:val="single"/>
        </w:rPr>
        <w:t xml:space="preserve"> for a particular reportable segment if such amounts are regularly provided to the chief operating decision maker and if</w:t>
      </w:r>
      <w:r w:rsidR="00B669C1">
        <w:t xml:space="preserve"> </w:t>
      </w:r>
      <w:r w:rsidRPr="00B669C1">
        <w:rPr>
          <w:strike/>
        </w:rPr>
        <w:t>for which</w:t>
      </w:r>
      <w:r>
        <w:t xml:space="preserve"> there has been a material change from the amount disclosed in the last annual financial statements</w:t>
      </w:r>
      <w:r w:rsidR="00B669C1">
        <w:t xml:space="preserve"> </w:t>
      </w:r>
      <w:r w:rsidR="00B669C1">
        <w:rPr>
          <w:u w:val="single"/>
        </w:rPr>
        <w:t>for that reportable segment</w:t>
      </w:r>
      <w:r>
        <w:t>;</w:t>
      </w:r>
    </w:p>
    <w:p w:rsidR="00B66745" w:rsidRDefault="00B66745" w:rsidP="00B669C1">
      <w:pPr>
        <w:pStyle w:val="BoldHanging3"/>
      </w:pPr>
      <w:r>
        <w:t>(v)</w:t>
      </w:r>
      <w:r w:rsidR="00B669C1">
        <w:tab/>
        <w:t>…</w:t>
      </w:r>
    </w:p>
    <w:p w:rsidR="00B66745" w:rsidRDefault="00B66745" w:rsidP="00B669C1">
      <w:pPr>
        <w:pStyle w:val="SubNumBold2"/>
        <w:numPr>
          <w:ilvl w:val="0"/>
          <w:numId w:val="0"/>
        </w:numPr>
        <w:ind w:left="1531" w:hanging="511"/>
      </w:pPr>
      <w:r>
        <w:t>(h)</w:t>
      </w:r>
      <w:r w:rsidR="00B669C1">
        <w:tab/>
        <w:t>…</w:t>
      </w:r>
    </w:p>
    <w:p w:rsidR="00FA7BD2" w:rsidRPr="004E07B1" w:rsidRDefault="00FA7BD2" w:rsidP="008026D9">
      <w:pPr>
        <w:pStyle w:val="SubNumPlain1"/>
      </w:pPr>
      <w:r w:rsidRPr="004E07B1">
        <w:t>53</w:t>
      </w:r>
      <w:r w:rsidRPr="004E07B1">
        <w:tab/>
        <w:t>AASB </w:t>
      </w:r>
      <w:fldSimple w:instr=" REF DocNo  \* charformat  \* MERGEFORMAT " w:fldLock="1">
        <w:r w:rsidR="00F46AB3">
          <w:t>2012-5</w:t>
        </w:r>
      </w:fldSimple>
      <w:r w:rsidRPr="004E07B1">
        <w:t xml:space="preserve"> </w:t>
      </w:r>
      <w:r w:rsidRPr="004E07B1">
        <w:rPr>
          <w:i/>
        </w:rPr>
        <w:t xml:space="preserve">Amendments to Australian Accounting Standards arising from </w:t>
      </w:r>
      <w:r w:rsidRPr="004E07B1">
        <w:rPr>
          <w:i/>
          <w:iCs/>
        </w:rPr>
        <w:fldChar w:fldCharType="begin" w:fldLock="1"/>
      </w:r>
      <w:r w:rsidRPr="004E07B1">
        <w:rPr>
          <w:i/>
          <w:iCs/>
        </w:rPr>
        <w:instrText xml:space="preserve"> REF ArisingNo  \* charformat  \* MERGEFORMAT </w:instrText>
      </w:r>
      <w:r w:rsidRPr="004E07B1">
        <w:rPr>
          <w:i/>
          <w:iCs/>
        </w:rPr>
        <w:fldChar w:fldCharType="separate"/>
      </w:r>
      <w:r w:rsidR="00F46AB3" w:rsidRPr="00F46AB3">
        <w:rPr>
          <w:i/>
          <w:iCs/>
        </w:rPr>
        <w:t>Annual Improvements 2009–2011 Cycle</w:t>
      </w:r>
      <w:r w:rsidRPr="004E07B1">
        <w:rPr>
          <w:i/>
          <w:iCs/>
        </w:rPr>
        <w:fldChar w:fldCharType="end"/>
      </w:r>
      <w:r w:rsidRPr="004E07B1">
        <w:t>, issued in June 2012, amended paragraph</w:t>
      </w:r>
      <w:r w:rsidR="002D2AE9">
        <w:t> </w:t>
      </w:r>
      <w:r w:rsidRPr="004E07B1">
        <w:t xml:space="preserve">16A.  An entity shall apply that amendment retrospectively in accordance with </w:t>
      </w:r>
      <w:r w:rsidR="00985FDF">
        <w:t>AASB </w:t>
      </w:r>
      <w:r w:rsidRPr="004E07B1">
        <w:t xml:space="preserve">108 </w:t>
      </w:r>
      <w:r w:rsidRPr="004E07B1">
        <w:rPr>
          <w:i/>
        </w:rPr>
        <w:t>Accounting</w:t>
      </w:r>
      <w:r w:rsidRPr="004E07B1">
        <w:t xml:space="preserve"> </w:t>
      </w:r>
      <w:r w:rsidRPr="004E07B1">
        <w:rPr>
          <w:i/>
        </w:rPr>
        <w:t>Policies</w:t>
      </w:r>
      <w:r w:rsidRPr="004E07B1">
        <w:t xml:space="preserve">, </w:t>
      </w:r>
      <w:r w:rsidRPr="004E07B1">
        <w:rPr>
          <w:i/>
        </w:rPr>
        <w:t>Changes</w:t>
      </w:r>
      <w:r w:rsidRPr="004E07B1">
        <w:t xml:space="preserve"> </w:t>
      </w:r>
      <w:r w:rsidRPr="004E07B1">
        <w:rPr>
          <w:i/>
        </w:rPr>
        <w:t>in</w:t>
      </w:r>
      <w:r w:rsidRPr="004E07B1">
        <w:t xml:space="preserve"> </w:t>
      </w:r>
      <w:r w:rsidRPr="004E07B1">
        <w:rPr>
          <w:i/>
        </w:rPr>
        <w:t>Accounting</w:t>
      </w:r>
      <w:r w:rsidRPr="004E07B1">
        <w:t xml:space="preserve"> </w:t>
      </w:r>
      <w:r w:rsidRPr="004E07B1">
        <w:rPr>
          <w:i/>
        </w:rPr>
        <w:t>Estimates</w:t>
      </w:r>
      <w:r w:rsidRPr="004E07B1">
        <w:t xml:space="preserve"> </w:t>
      </w:r>
      <w:r w:rsidRPr="004E07B1">
        <w:rPr>
          <w:i/>
        </w:rPr>
        <w:t>and</w:t>
      </w:r>
      <w:r w:rsidRPr="004E07B1">
        <w:t xml:space="preserve"> </w:t>
      </w:r>
      <w:r w:rsidRPr="004E07B1">
        <w:rPr>
          <w:i/>
        </w:rPr>
        <w:t>Errors</w:t>
      </w:r>
      <w:r w:rsidRPr="004E07B1">
        <w:t xml:space="preserve"> for annual </w:t>
      </w:r>
      <w:r w:rsidR="002A1594">
        <w:t xml:space="preserve">reporting </w:t>
      </w:r>
      <w:r w:rsidRPr="004E07B1">
        <w:t>periods beginning on or after 1</w:t>
      </w:r>
      <w:r w:rsidR="00985FDF">
        <w:t> </w:t>
      </w:r>
      <w:r w:rsidRPr="004E07B1">
        <w:t>January 2013.  Earlier application is permitted.  If an entity applies that amendment for an earlier period it shall disclose that fact.</w:t>
      </w:r>
    </w:p>
    <w:p w:rsidR="00CD1C3C" w:rsidRDefault="00CD1C3C" w:rsidP="00CD1C3C">
      <w:pPr>
        <w:pStyle w:val="Heading2"/>
      </w:pPr>
      <w:r>
        <w:t xml:space="preserve">Amendments to Interpretation </w:t>
      </w:r>
      <w:r w:rsidR="009B095B">
        <w:t>2</w:t>
      </w:r>
    </w:p>
    <w:p w:rsidR="00CD1C3C" w:rsidRDefault="00CD1C3C" w:rsidP="00D03401">
      <w:pPr>
        <w:pStyle w:val="NumPlain1"/>
        <w:keepNext/>
      </w:pPr>
      <w:r w:rsidRPr="008B5417">
        <w:t xml:space="preserve">Paragraph </w:t>
      </w:r>
      <w:r>
        <w:t>11</w:t>
      </w:r>
      <w:r w:rsidRPr="008B5417">
        <w:t xml:space="preserve"> is amended</w:t>
      </w:r>
      <w:r w:rsidR="00A4206D">
        <w:t xml:space="preserve"> as follows</w:t>
      </w:r>
      <w:r w:rsidRPr="008B5417">
        <w:t xml:space="preserve"> (new text is underlined and deleted text is struck thr</w:t>
      </w:r>
      <w:r>
        <w:t>ough) and paragraph 17 is added</w:t>
      </w:r>
      <w:r w:rsidR="00A4206D">
        <w:t>:</w:t>
      </w:r>
    </w:p>
    <w:p w:rsidR="00CD1C3C" w:rsidRPr="002925EE" w:rsidRDefault="00CD1C3C" w:rsidP="00CD1C3C">
      <w:pPr>
        <w:pStyle w:val="SubNumPlain1"/>
      </w:pPr>
      <w:r>
        <w:t>11</w:t>
      </w:r>
      <w:r>
        <w:tab/>
        <w:t xml:space="preserve">As required by paragraph 35 of </w:t>
      </w:r>
      <w:r w:rsidR="00456E3D">
        <w:t>AASB </w:t>
      </w:r>
      <w:r>
        <w:t>132, distributions to holders of equity instruments are recognised directly in equity</w:t>
      </w:r>
      <w:r w:rsidRPr="004F44B4">
        <w:rPr>
          <w:strike/>
        </w:rPr>
        <w:t>, net of any income tax benefits</w:t>
      </w:r>
      <w:r>
        <w:t>.  Interest, dividends and other returns relating to financial instruments classified as financial liabilities are expenses, regardless of whether those amounts paid are legally characterised as dividends, interest or otherwise.</w:t>
      </w:r>
    </w:p>
    <w:p w:rsidR="00CD1C3C" w:rsidRPr="004E07B1" w:rsidRDefault="00CD1C3C" w:rsidP="008026D9">
      <w:pPr>
        <w:pStyle w:val="SubNumPlain1"/>
      </w:pPr>
      <w:r w:rsidRPr="004E07B1">
        <w:t>17</w:t>
      </w:r>
      <w:r w:rsidRPr="004E07B1">
        <w:tab/>
        <w:t>AASB </w:t>
      </w:r>
      <w:fldSimple w:instr=" REF DocNo  \* charformat  \* MERGEFORMAT " w:fldLock="1">
        <w:r w:rsidR="00F46AB3">
          <w:t>2012-5</w:t>
        </w:r>
      </w:fldSimple>
      <w:r w:rsidRPr="004E07B1">
        <w:t xml:space="preserve"> </w:t>
      </w:r>
      <w:r w:rsidRPr="004E07B1">
        <w:rPr>
          <w:i/>
        </w:rPr>
        <w:t xml:space="preserve">Amendments to Australian Accounting Standards arising from </w:t>
      </w:r>
      <w:r w:rsidRPr="004E07B1">
        <w:rPr>
          <w:i/>
          <w:iCs/>
        </w:rPr>
        <w:fldChar w:fldCharType="begin" w:fldLock="1"/>
      </w:r>
      <w:r w:rsidRPr="004E07B1">
        <w:rPr>
          <w:i/>
          <w:iCs/>
        </w:rPr>
        <w:instrText xml:space="preserve"> REF ArisingNo  \* charformat  \* MERGEFORMAT </w:instrText>
      </w:r>
      <w:r w:rsidRPr="004E07B1">
        <w:rPr>
          <w:i/>
          <w:iCs/>
        </w:rPr>
        <w:fldChar w:fldCharType="separate"/>
      </w:r>
      <w:r w:rsidR="00F46AB3" w:rsidRPr="00F46AB3">
        <w:rPr>
          <w:i/>
          <w:iCs/>
        </w:rPr>
        <w:t>Annual Improvements 2009–2011 Cycle</w:t>
      </w:r>
      <w:r w:rsidRPr="004E07B1">
        <w:rPr>
          <w:i/>
          <w:iCs/>
        </w:rPr>
        <w:fldChar w:fldCharType="end"/>
      </w:r>
      <w:r w:rsidRPr="004E07B1">
        <w:t>, issued in June 2012, amended paragraph</w:t>
      </w:r>
      <w:r w:rsidR="00456E3D">
        <w:t> </w:t>
      </w:r>
      <w:r w:rsidRPr="004E07B1">
        <w:t>11.  An entity shall apply that amendment retrospectively in accordance with</w:t>
      </w:r>
      <w:r w:rsidR="00187169" w:rsidRPr="004E07B1">
        <w:t xml:space="preserve"> </w:t>
      </w:r>
      <w:r w:rsidR="00456E3D">
        <w:t>AASB </w:t>
      </w:r>
      <w:r w:rsidR="00187169" w:rsidRPr="004E07B1">
        <w:t>108</w:t>
      </w:r>
      <w:r w:rsidRPr="004E07B1">
        <w:t xml:space="preserve"> </w:t>
      </w:r>
      <w:r w:rsidRPr="004E07B1">
        <w:rPr>
          <w:i/>
        </w:rPr>
        <w:t>Accounting</w:t>
      </w:r>
      <w:r w:rsidRPr="004E07B1">
        <w:t xml:space="preserve"> </w:t>
      </w:r>
      <w:r w:rsidRPr="004E07B1">
        <w:rPr>
          <w:i/>
        </w:rPr>
        <w:t>Policies</w:t>
      </w:r>
      <w:r w:rsidRPr="004E07B1">
        <w:t xml:space="preserve">, </w:t>
      </w:r>
      <w:r w:rsidRPr="004E07B1">
        <w:rPr>
          <w:i/>
        </w:rPr>
        <w:t>Changes</w:t>
      </w:r>
      <w:r w:rsidRPr="004E07B1">
        <w:t xml:space="preserve"> </w:t>
      </w:r>
      <w:r w:rsidRPr="004E07B1">
        <w:rPr>
          <w:i/>
        </w:rPr>
        <w:t>in</w:t>
      </w:r>
      <w:r w:rsidRPr="004E07B1">
        <w:t xml:space="preserve"> </w:t>
      </w:r>
      <w:r w:rsidRPr="004E07B1">
        <w:rPr>
          <w:i/>
        </w:rPr>
        <w:t>Accounting</w:t>
      </w:r>
      <w:r w:rsidRPr="004E07B1">
        <w:t xml:space="preserve"> </w:t>
      </w:r>
      <w:r w:rsidRPr="004E07B1">
        <w:rPr>
          <w:i/>
        </w:rPr>
        <w:t>Estimates</w:t>
      </w:r>
      <w:r w:rsidRPr="004E07B1">
        <w:t xml:space="preserve"> </w:t>
      </w:r>
      <w:r w:rsidRPr="004E07B1">
        <w:rPr>
          <w:i/>
        </w:rPr>
        <w:t>and</w:t>
      </w:r>
      <w:r w:rsidRPr="004E07B1">
        <w:t xml:space="preserve"> </w:t>
      </w:r>
      <w:r w:rsidRPr="004E07B1">
        <w:rPr>
          <w:i/>
        </w:rPr>
        <w:t>Errors</w:t>
      </w:r>
      <w:r w:rsidRPr="004E07B1">
        <w:t xml:space="preserve"> for annual </w:t>
      </w:r>
      <w:r w:rsidR="002A1594" w:rsidRPr="004E07B1">
        <w:t xml:space="preserve">reporting </w:t>
      </w:r>
      <w:r w:rsidRPr="004E07B1">
        <w:t>periods beginning on or after 1</w:t>
      </w:r>
      <w:r w:rsidR="00456E3D">
        <w:t> </w:t>
      </w:r>
      <w:r w:rsidRPr="004E07B1">
        <w:t xml:space="preserve">January 2013.  If an entity applies </w:t>
      </w:r>
      <w:r w:rsidR="00F3133A">
        <w:t>the</w:t>
      </w:r>
      <w:r w:rsidRPr="004E07B1">
        <w:t xml:space="preserve"> amendment to</w:t>
      </w:r>
      <w:r w:rsidR="00187169" w:rsidRPr="004E07B1">
        <w:t xml:space="preserve"> </w:t>
      </w:r>
      <w:r w:rsidR="00456E3D">
        <w:t>AASB </w:t>
      </w:r>
      <w:r w:rsidR="00187169" w:rsidRPr="004E07B1">
        <w:t>132</w:t>
      </w:r>
      <w:r w:rsidRPr="004E07B1">
        <w:t xml:space="preserve"> as a part of </w:t>
      </w:r>
      <w:r w:rsidR="00187169" w:rsidRPr="004E07B1">
        <w:t>AASB </w:t>
      </w:r>
      <w:fldSimple w:instr=" REF DocNo  \* charformat  \* MERGEFORMAT " w:fldLock="1">
        <w:r w:rsidR="00F46AB3">
          <w:t>2012-5</w:t>
        </w:r>
      </w:fldSimple>
      <w:r w:rsidR="00187169" w:rsidRPr="004E07B1">
        <w:t xml:space="preserve"> </w:t>
      </w:r>
      <w:r w:rsidRPr="004E07B1">
        <w:t>for an earlier period, the amendment in paragraph</w:t>
      </w:r>
      <w:r w:rsidR="00456E3D">
        <w:t> </w:t>
      </w:r>
      <w:r w:rsidRPr="004E07B1">
        <w:t>11 shall be applied for that earlier period.</w:t>
      </w:r>
    </w:p>
    <w:sectPr w:rsidR="00CD1C3C" w:rsidRPr="004E07B1" w:rsidSect="00590051">
      <w:footerReference w:type="default" r:id="rId20"/>
      <w:headerReference w:type="first" r:id="rId21"/>
      <w:footerReference w:type="first" r:id="rId22"/>
      <w:pgSz w:w="11907" w:h="16840" w:code="9"/>
      <w:pgMar w:top="3686" w:right="2835" w:bottom="3686" w:left="2835" w:header="709" w:footer="3255" w:gutter="0"/>
      <w:paperSrc w:first="58" w:other="58"/>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07" w:rsidRDefault="00447007">
      <w:r>
        <w:separator/>
      </w:r>
    </w:p>
  </w:endnote>
  <w:endnote w:type="continuationSeparator" w:id="0">
    <w:p w:rsidR="00447007" w:rsidRDefault="0044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 LT Pro">
    <w:altName w:val="Times New Roman"/>
    <w:panose1 w:val="00000000000000000000"/>
    <w:charset w:val="00"/>
    <w:family w:val="modern"/>
    <w:notTrueType/>
    <w:pitch w:val="variable"/>
    <w:sig w:usb0="00000001" w:usb1="00000042" w:usb2="00000000" w:usb3="00000000" w:csb0="00000003" w:csb1="00000000"/>
  </w:font>
  <w:font w:name="Helvetica LT Std">
    <w:altName w:val="Arial"/>
    <w:panose1 w:val="00000000000000000000"/>
    <w:charset w:val="00"/>
    <w:family w:val="swiss"/>
    <w:notTrueType/>
    <w:pitch w:val="variable"/>
    <w:sig w:usb0="00000203" w:usb1="00000000" w:usb2="00000000" w:usb3="00000000" w:csb0="00000005" w:csb1="00000000"/>
  </w:font>
  <w:font w:name="Swift LT Pro Extra Bold">
    <w:altName w:val="Times New Roman"/>
    <w:panose1 w:val="00000000000000000000"/>
    <w:charset w:val="00"/>
    <w:family w:val="modern"/>
    <w:notTrueType/>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46AB3">
      <w:rPr>
        <w:b/>
      </w:rPr>
      <w:t>2012-5</w:t>
    </w:r>
    <w:r>
      <w:rPr>
        <w:b/>
      </w:rPr>
      <w:fldChar w:fldCharType="end"/>
    </w:r>
    <w:r>
      <w:rPr>
        <w:b/>
      </w:rPr>
      <w:tab/>
    </w:r>
    <w:r>
      <w:fldChar w:fldCharType="begin"/>
    </w:r>
    <w:r>
      <w:instrText>PAGE</w:instrText>
    </w:r>
    <w:r>
      <w:fldChar w:fldCharType="separate"/>
    </w:r>
    <w:r w:rsidR="006F3637">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46AB3">
      <w:rPr>
        <w:b/>
      </w:rPr>
      <w:t>2012-5</w:t>
    </w:r>
    <w:r>
      <w:rPr>
        <w:b/>
      </w:rPr>
      <w:fldChar w:fldCharType="end"/>
    </w:r>
    <w:r>
      <w:rPr>
        <w:b/>
      </w:rPr>
      <w:tab/>
    </w:r>
    <w:r>
      <w:fldChar w:fldCharType="begin"/>
    </w:r>
    <w:r>
      <w:instrText>PAGE</w:instrText>
    </w:r>
    <w:r>
      <w:fldChar w:fldCharType="separate"/>
    </w:r>
    <w:r w:rsidR="006F3637">
      <w:rPr>
        <w:noProof/>
      </w:rPr>
      <w:t>3</w:t>
    </w:r>
    <w:r>
      <w:fldChar w:fldCharType="end"/>
    </w:r>
    <w:r>
      <w:tab/>
    </w:r>
    <w:r>
      <w:rPr>
        <w:b/>
        <w:bCs/>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46AB3">
      <w:rPr>
        <w:b/>
      </w:rPr>
      <w:t>2012-5</w:t>
    </w:r>
    <w:r>
      <w:rPr>
        <w:b/>
      </w:rPr>
      <w:fldChar w:fldCharType="end"/>
    </w:r>
    <w:r>
      <w:rPr>
        <w:b/>
      </w:rPr>
      <w:tab/>
    </w:r>
    <w:r>
      <w:fldChar w:fldCharType="begin"/>
    </w:r>
    <w:r>
      <w:instrText>PAGE</w:instrText>
    </w:r>
    <w:r>
      <w:fldChar w:fldCharType="separate"/>
    </w:r>
    <w:r w:rsidR="006F3637">
      <w:rPr>
        <w:noProof/>
      </w:rPr>
      <w:t>4</w:t>
    </w:r>
    <w:r>
      <w:fldChar w:fldCharType="end"/>
    </w:r>
    <w:r>
      <w:tab/>
    </w:r>
    <w:r>
      <w:rPr>
        <w:b/>
        <w:bCs/>
      </w:rPr>
      <w:t>PREFACE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Pr="00F46AB3">
      <w:rPr>
        <w:b/>
      </w:rPr>
      <w:t>2012-5</w:t>
    </w:r>
    <w:r>
      <w:rPr>
        <w:b/>
      </w:rPr>
      <w:fldChar w:fldCharType="end"/>
    </w:r>
    <w:r>
      <w:rPr>
        <w:b/>
      </w:rPr>
      <w:tab/>
    </w:r>
    <w:r>
      <w:fldChar w:fldCharType="begin"/>
    </w:r>
    <w:r>
      <w:instrText>PAGE</w:instrText>
    </w:r>
    <w:r>
      <w:fldChar w:fldCharType="separate"/>
    </w:r>
    <w:r w:rsidR="006F3637">
      <w:rPr>
        <w:noProof/>
      </w:rPr>
      <w:t>6</w:t>
    </w:r>
    <w:r>
      <w:fldChar w:fldCharType="end"/>
    </w:r>
    <w:r>
      <w:tab/>
    </w:r>
    <w:r>
      <w:rPr>
        <w:b/>
        <w:bCs/>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07" w:rsidRDefault="00447007">
      <w:r>
        <w:separator/>
      </w:r>
    </w:p>
  </w:footnote>
  <w:footnote w:type="continuationSeparator" w:id="0">
    <w:p w:rsidR="00447007" w:rsidRDefault="0044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rsidP="00687AD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Pr="00F46AB3" w:rsidRDefault="00447007" w:rsidP="00F46A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7" w:rsidRDefault="00447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277"/>
        </w:tabs>
        <w:ind w:left="1788"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1B524B57"/>
    <w:multiLevelType w:val="multilevel"/>
    <w:tmpl w:val="FE4418CC"/>
    <w:styleLink w:val="a"/>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30852D84"/>
    <w:multiLevelType w:val="multilevel"/>
    <w:tmpl w:val="FE4418CC"/>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378B0583"/>
    <w:multiLevelType w:val="multilevel"/>
    <w:tmpl w:val="FE4418CC"/>
    <w:numStyleLink w:val="a"/>
  </w:abstractNum>
  <w:abstractNum w:abstractNumId="9">
    <w:nsid w:val="3C152066"/>
    <w:multiLevelType w:val="multilevel"/>
    <w:tmpl w:val="FE4418CC"/>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0">
    <w:nsid w:val="46514B95"/>
    <w:multiLevelType w:val="multilevel"/>
    <w:tmpl w:val="FE4418CC"/>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nsid w:val="51E032C2"/>
    <w:multiLevelType w:val="multilevel"/>
    <w:tmpl w:val="FE4418CC"/>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5D182D34"/>
    <w:multiLevelType w:val="multilevel"/>
    <w:tmpl w:val="FE4418CC"/>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nsid w:val="66F064EB"/>
    <w:multiLevelType w:val="multilevel"/>
    <w:tmpl w:val="FE4418CC"/>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6">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231958"/>
    <w:multiLevelType w:val="multilevel"/>
    <w:tmpl w:val="FE4418CC"/>
    <w:lvl w:ilvl="0">
      <w:start w:val="1"/>
      <w:numFmt w:val="lowerLetter"/>
      <w:lvlText w:val="(%1)"/>
      <w:lvlJc w:val="left"/>
      <w:pPr>
        <w:tabs>
          <w:tab w:val="num" w:pos="1021"/>
        </w:tabs>
        <w:ind w:left="1531"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4"/>
  </w:num>
  <w:num w:numId="6">
    <w:abstractNumId w:val="15"/>
  </w:num>
  <w:num w:numId="7">
    <w:abstractNumId w:val="5"/>
  </w:num>
  <w:num w:numId="8">
    <w:abstractNumId w:val="3"/>
  </w:num>
  <w:num w:numId="9">
    <w:abstractNumId w:val="8"/>
  </w:num>
  <w:num w:numId="10">
    <w:abstractNumId w:val="10"/>
  </w:num>
  <w:num w:numId="11">
    <w:abstractNumId w:val="14"/>
  </w:num>
  <w:num w:numId="12">
    <w:abstractNumId w:val="11"/>
  </w:num>
  <w:num w:numId="13">
    <w:abstractNumId w:val="12"/>
  </w:num>
  <w:num w:numId="14">
    <w:abstractNumId w:val="7"/>
  </w:num>
  <w:num w:numId="15">
    <w:abstractNumId w:val="9"/>
  </w:num>
  <w:num w:numId="16">
    <w:abstractNumId w:val="17"/>
  </w:num>
  <w:num w:numId="17">
    <w:abstractNumId w:val="6"/>
  </w:num>
  <w:num w:numId="18">
    <w:abstractNumId w:val="1"/>
    <w:lvlOverride w:ilvl="1">
      <w:lvl w:ilvl="1">
        <w:start w:val="1"/>
        <w:numFmt w:val="lowerLetter"/>
        <w:pStyle w:val="SubNumPlain2"/>
        <w:lvlText w:val="(%2)"/>
        <w:lvlJc w:val="left"/>
        <w:pPr>
          <w:ind w:left="1531" w:hanging="511"/>
        </w:pPr>
        <w:rPr>
          <w:rFonts w:hint="default"/>
          <w:u w:val="none"/>
        </w:rPr>
      </w:lvl>
    </w:lvlOverride>
  </w:num>
  <w:num w:numId="19">
    <w:abstractNumId w:val="0"/>
  </w:num>
  <w:num w:numId="20">
    <w:abstractNumId w:val="1"/>
    <w:lvlOverride w:ilvl="0">
      <w:startOverride w:val="1"/>
      <w:lvl w:ilvl="0">
        <w:start w:val="1"/>
        <w:numFmt w:val="decimal"/>
        <w:pStyle w:val="SubNumPlain1"/>
        <w:lvlText w:val=""/>
        <w:lvlJc w:val="left"/>
      </w:lvl>
    </w:lvlOverride>
    <w:lvlOverride w:ilvl="1">
      <w:startOverride w:val="1"/>
      <w:lvl w:ilvl="1">
        <w:start w:val="1"/>
        <w:numFmt w:val="lowerLetter"/>
        <w:pStyle w:val="SubNumPlain2"/>
        <w:lvlText w:val="(%2)"/>
        <w:lvlJc w:val="left"/>
        <w:pPr>
          <w:ind w:left="1531" w:hanging="511"/>
        </w:pPr>
        <w:rPr>
          <w:rFonts w:hint="default"/>
          <w:u w:val="none"/>
        </w:rPr>
      </w:lvl>
    </w:lvlOverride>
    <w:lvlOverride w:ilvl="2">
      <w:startOverride w:val="1"/>
      <w:lvl w:ilvl="2">
        <w:start w:val="1"/>
        <w:numFmt w:val="decimal"/>
        <w:pStyle w:val="SubNumPlain3"/>
        <w:lvlText w:val=""/>
        <w:lvlJc w:val="left"/>
      </w:lvl>
    </w:lvlOverride>
    <w:lvlOverride w:ilvl="3">
      <w:startOverride w:val="1"/>
      <w:lvl w:ilvl="3">
        <w:start w:val="1"/>
        <w:numFmt w:val="decimal"/>
        <w:pStyle w:val="SubNumPlain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252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BB"/>
    <w:rsid w:val="00001C81"/>
    <w:rsid w:val="0000292B"/>
    <w:rsid w:val="00027E8B"/>
    <w:rsid w:val="0004455B"/>
    <w:rsid w:val="00074133"/>
    <w:rsid w:val="00090A6F"/>
    <w:rsid w:val="00096027"/>
    <w:rsid w:val="000B5F0B"/>
    <w:rsid w:val="000B733C"/>
    <w:rsid w:val="000C3EB0"/>
    <w:rsid w:val="000C601D"/>
    <w:rsid w:val="000D3F2C"/>
    <w:rsid w:val="000D7B40"/>
    <w:rsid w:val="000F5AC9"/>
    <w:rsid w:val="000F64CC"/>
    <w:rsid w:val="00110B96"/>
    <w:rsid w:val="001162C5"/>
    <w:rsid w:val="001206CF"/>
    <w:rsid w:val="001306A6"/>
    <w:rsid w:val="0013166B"/>
    <w:rsid w:val="00133F39"/>
    <w:rsid w:val="00142200"/>
    <w:rsid w:val="00144748"/>
    <w:rsid w:val="00145695"/>
    <w:rsid w:val="00153C23"/>
    <w:rsid w:val="001662B8"/>
    <w:rsid w:val="00171F51"/>
    <w:rsid w:val="00172D03"/>
    <w:rsid w:val="001761C6"/>
    <w:rsid w:val="00187169"/>
    <w:rsid w:val="0019286F"/>
    <w:rsid w:val="0019579C"/>
    <w:rsid w:val="001B33A5"/>
    <w:rsid w:val="001C225F"/>
    <w:rsid w:val="001C3D81"/>
    <w:rsid w:val="001D6C9E"/>
    <w:rsid w:val="001E031B"/>
    <w:rsid w:val="001E57D2"/>
    <w:rsid w:val="001F78DF"/>
    <w:rsid w:val="0022022E"/>
    <w:rsid w:val="002244DA"/>
    <w:rsid w:val="002345D6"/>
    <w:rsid w:val="00236416"/>
    <w:rsid w:val="00240762"/>
    <w:rsid w:val="00240AA0"/>
    <w:rsid w:val="002526B6"/>
    <w:rsid w:val="00257FA1"/>
    <w:rsid w:val="0027343E"/>
    <w:rsid w:val="0028086D"/>
    <w:rsid w:val="00283482"/>
    <w:rsid w:val="002925EE"/>
    <w:rsid w:val="0029647E"/>
    <w:rsid w:val="002A1594"/>
    <w:rsid w:val="002A201D"/>
    <w:rsid w:val="002B7803"/>
    <w:rsid w:val="002C6810"/>
    <w:rsid w:val="002D2AE9"/>
    <w:rsid w:val="002D5D59"/>
    <w:rsid w:val="002F1CD0"/>
    <w:rsid w:val="002F2067"/>
    <w:rsid w:val="00301B95"/>
    <w:rsid w:val="00307F26"/>
    <w:rsid w:val="0031574B"/>
    <w:rsid w:val="00321FE3"/>
    <w:rsid w:val="003251D8"/>
    <w:rsid w:val="003252AD"/>
    <w:rsid w:val="0033581C"/>
    <w:rsid w:val="00340C00"/>
    <w:rsid w:val="0036273B"/>
    <w:rsid w:val="00364B30"/>
    <w:rsid w:val="00367DC9"/>
    <w:rsid w:val="00377B8D"/>
    <w:rsid w:val="00380DF0"/>
    <w:rsid w:val="00382796"/>
    <w:rsid w:val="00382D48"/>
    <w:rsid w:val="0039009E"/>
    <w:rsid w:val="003A488F"/>
    <w:rsid w:val="003B0CAA"/>
    <w:rsid w:val="003B0E71"/>
    <w:rsid w:val="003B23D0"/>
    <w:rsid w:val="003B6E05"/>
    <w:rsid w:val="003D1DD4"/>
    <w:rsid w:val="003D5575"/>
    <w:rsid w:val="003D6B58"/>
    <w:rsid w:val="003D7B96"/>
    <w:rsid w:val="003E0A68"/>
    <w:rsid w:val="003F3A7A"/>
    <w:rsid w:val="00401ECA"/>
    <w:rsid w:val="004150BD"/>
    <w:rsid w:val="00426876"/>
    <w:rsid w:val="00434D86"/>
    <w:rsid w:val="00436A2D"/>
    <w:rsid w:val="00447007"/>
    <w:rsid w:val="0044702C"/>
    <w:rsid w:val="00455C87"/>
    <w:rsid w:val="00456E3D"/>
    <w:rsid w:val="00460FBB"/>
    <w:rsid w:val="00470CE9"/>
    <w:rsid w:val="0047683E"/>
    <w:rsid w:val="00480499"/>
    <w:rsid w:val="0048155F"/>
    <w:rsid w:val="00487CF6"/>
    <w:rsid w:val="00490CDB"/>
    <w:rsid w:val="004961F8"/>
    <w:rsid w:val="004977CA"/>
    <w:rsid w:val="004A417F"/>
    <w:rsid w:val="004B038C"/>
    <w:rsid w:val="004B736C"/>
    <w:rsid w:val="004C5BDE"/>
    <w:rsid w:val="004D3809"/>
    <w:rsid w:val="004D4D1C"/>
    <w:rsid w:val="004E07B1"/>
    <w:rsid w:val="004E1891"/>
    <w:rsid w:val="004F44B4"/>
    <w:rsid w:val="004F55FE"/>
    <w:rsid w:val="004F5C40"/>
    <w:rsid w:val="00500E80"/>
    <w:rsid w:val="00511C34"/>
    <w:rsid w:val="005166B2"/>
    <w:rsid w:val="005337B4"/>
    <w:rsid w:val="00534427"/>
    <w:rsid w:val="0053452C"/>
    <w:rsid w:val="00535EC5"/>
    <w:rsid w:val="00536B58"/>
    <w:rsid w:val="00540FFD"/>
    <w:rsid w:val="00545153"/>
    <w:rsid w:val="00556E07"/>
    <w:rsid w:val="0056274D"/>
    <w:rsid w:val="00577065"/>
    <w:rsid w:val="0058004D"/>
    <w:rsid w:val="00590051"/>
    <w:rsid w:val="005A2514"/>
    <w:rsid w:val="005B146F"/>
    <w:rsid w:val="005E3388"/>
    <w:rsid w:val="005E6BE4"/>
    <w:rsid w:val="005F6045"/>
    <w:rsid w:val="00601105"/>
    <w:rsid w:val="00602261"/>
    <w:rsid w:val="00611DBA"/>
    <w:rsid w:val="00630789"/>
    <w:rsid w:val="00641282"/>
    <w:rsid w:val="00650235"/>
    <w:rsid w:val="00651A65"/>
    <w:rsid w:val="00652DF8"/>
    <w:rsid w:val="00667A5E"/>
    <w:rsid w:val="006769DD"/>
    <w:rsid w:val="00687AD7"/>
    <w:rsid w:val="006A330C"/>
    <w:rsid w:val="006A3AE9"/>
    <w:rsid w:val="006A40E5"/>
    <w:rsid w:val="006B0CD6"/>
    <w:rsid w:val="006C0110"/>
    <w:rsid w:val="006C16BB"/>
    <w:rsid w:val="006C2E37"/>
    <w:rsid w:val="006D055E"/>
    <w:rsid w:val="006D134A"/>
    <w:rsid w:val="006D4700"/>
    <w:rsid w:val="006D7679"/>
    <w:rsid w:val="006E2C39"/>
    <w:rsid w:val="006F3637"/>
    <w:rsid w:val="006F6DE1"/>
    <w:rsid w:val="00714340"/>
    <w:rsid w:val="00721414"/>
    <w:rsid w:val="007333C2"/>
    <w:rsid w:val="00737714"/>
    <w:rsid w:val="00742E4B"/>
    <w:rsid w:val="007455F0"/>
    <w:rsid w:val="00751F6A"/>
    <w:rsid w:val="00754402"/>
    <w:rsid w:val="007554ED"/>
    <w:rsid w:val="00755E40"/>
    <w:rsid w:val="00756FF6"/>
    <w:rsid w:val="0076127E"/>
    <w:rsid w:val="0078116B"/>
    <w:rsid w:val="00792B9B"/>
    <w:rsid w:val="00796913"/>
    <w:rsid w:val="007A6BC3"/>
    <w:rsid w:val="007F1D3D"/>
    <w:rsid w:val="007F6F17"/>
    <w:rsid w:val="008026D9"/>
    <w:rsid w:val="00812637"/>
    <w:rsid w:val="00813227"/>
    <w:rsid w:val="0081325E"/>
    <w:rsid w:val="00820794"/>
    <w:rsid w:val="008233F9"/>
    <w:rsid w:val="00823A87"/>
    <w:rsid w:val="0082726E"/>
    <w:rsid w:val="00831497"/>
    <w:rsid w:val="008459E8"/>
    <w:rsid w:val="00850B10"/>
    <w:rsid w:val="008522B8"/>
    <w:rsid w:val="00855043"/>
    <w:rsid w:val="00864ADE"/>
    <w:rsid w:val="00870228"/>
    <w:rsid w:val="00871A12"/>
    <w:rsid w:val="00881BBE"/>
    <w:rsid w:val="008A1849"/>
    <w:rsid w:val="008A4467"/>
    <w:rsid w:val="008A6182"/>
    <w:rsid w:val="008A7540"/>
    <w:rsid w:val="008B1D94"/>
    <w:rsid w:val="008B643A"/>
    <w:rsid w:val="008C60B1"/>
    <w:rsid w:val="008C6BD0"/>
    <w:rsid w:val="008D2EBD"/>
    <w:rsid w:val="008E7DC9"/>
    <w:rsid w:val="008F0A81"/>
    <w:rsid w:val="008F5963"/>
    <w:rsid w:val="00923261"/>
    <w:rsid w:val="009256B7"/>
    <w:rsid w:val="00927D36"/>
    <w:rsid w:val="00934C68"/>
    <w:rsid w:val="009367F2"/>
    <w:rsid w:val="00947B4F"/>
    <w:rsid w:val="009602D3"/>
    <w:rsid w:val="00966250"/>
    <w:rsid w:val="00970C7A"/>
    <w:rsid w:val="009721DB"/>
    <w:rsid w:val="00985FDF"/>
    <w:rsid w:val="00986BFE"/>
    <w:rsid w:val="009961EA"/>
    <w:rsid w:val="009B095B"/>
    <w:rsid w:val="009B6535"/>
    <w:rsid w:val="009C2479"/>
    <w:rsid w:val="009C5623"/>
    <w:rsid w:val="009D06F8"/>
    <w:rsid w:val="009D73F1"/>
    <w:rsid w:val="009E1D62"/>
    <w:rsid w:val="00A01F31"/>
    <w:rsid w:val="00A05041"/>
    <w:rsid w:val="00A13F82"/>
    <w:rsid w:val="00A16664"/>
    <w:rsid w:val="00A17A29"/>
    <w:rsid w:val="00A2278B"/>
    <w:rsid w:val="00A33AB6"/>
    <w:rsid w:val="00A41ED3"/>
    <w:rsid w:val="00A4206D"/>
    <w:rsid w:val="00A47FA2"/>
    <w:rsid w:val="00A666E6"/>
    <w:rsid w:val="00A74330"/>
    <w:rsid w:val="00A748BA"/>
    <w:rsid w:val="00A805D4"/>
    <w:rsid w:val="00A83862"/>
    <w:rsid w:val="00A8448B"/>
    <w:rsid w:val="00A8486C"/>
    <w:rsid w:val="00A9390C"/>
    <w:rsid w:val="00A97EB2"/>
    <w:rsid w:val="00AA14A9"/>
    <w:rsid w:val="00AB217F"/>
    <w:rsid w:val="00AB780A"/>
    <w:rsid w:val="00AC4315"/>
    <w:rsid w:val="00AC690C"/>
    <w:rsid w:val="00AD37EE"/>
    <w:rsid w:val="00AD42DA"/>
    <w:rsid w:val="00AF61B8"/>
    <w:rsid w:val="00AF7181"/>
    <w:rsid w:val="00B110AD"/>
    <w:rsid w:val="00B271BA"/>
    <w:rsid w:val="00B3429E"/>
    <w:rsid w:val="00B3628C"/>
    <w:rsid w:val="00B3772F"/>
    <w:rsid w:val="00B50BCE"/>
    <w:rsid w:val="00B52145"/>
    <w:rsid w:val="00B66745"/>
    <w:rsid w:val="00B669C1"/>
    <w:rsid w:val="00B6736F"/>
    <w:rsid w:val="00B74237"/>
    <w:rsid w:val="00B94CAC"/>
    <w:rsid w:val="00BA3AB4"/>
    <w:rsid w:val="00BA4622"/>
    <w:rsid w:val="00BB4C9F"/>
    <w:rsid w:val="00BC0794"/>
    <w:rsid w:val="00BC0D5D"/>
    <w:rsid w:val="00BC36CC"/>
    <w:rsid w:val="00BC5C28"/>
    <w:rsid w:val="00BE1262"/>
    <w:rsid w:val="00BE2F68"/>
    <w:rsid w:val="00BE38FC"/>
    <w:rsid w:val="00BF058A"/>
    <w:rsid w:val="00C03C51"/>
    <w:rsid w:val="00C03C7B"/>
    <w:rsid w:val="00C0715E"/>
    <w:rsid w:val="00C129E2"/>
    <w:rsid w:val="00C16A0A"/>
    <w:rsid w:val="00C34355"/>
    <w:rsid w:val="00C3493B"/>
    <w:rsid w:val="00C37458"/>
    <w:rsid w:val="00C438DD"/>
    <w:rsid w:val="00C43CD1"/>
    <w:rsid w:val="00C45020"/>
    <w:rsid w:val="00C475C0"/>
    <w:rsid w:val="00C5022C"/>
    <w:rsid w:val="00C5081E"/>
    <w:rsid w:val="00C552FD"/>
    <w:rsid w:val="00C63573"/>
    <w:rsid w:val="00C675B1"/>
    <w:rsid w:val="00C90266"/>
    <w:rsid w:val="00C95D8A"/>
    <w:rsid w:val="00C97E20"/>
    <w:rsid w:val="00CB719A"/>
    <w:rsid w:val="00CC54A2"/>
    <w:rsid w:val="00CC6CDE"/>
    <w:rsid w:val="00CC6FCD"/>
    <w:rsid w:val="00CD1C3C"/>
    <w:rsid w:val="00CD5D1C"/>
    <w:rsid w:val="00CE2F8C"/>
    <w:rsid w:val="00CE7DF2"/>
    <w:rsid w:val="00CF75CA"/>
    <w:rsid w:val="00CF7B67"/>
    <w:rsid w:val="00D00FD5"/>
    <w:rsid w:val="00D03401"/>
    <w:rsid w:val="00D12130"/>
    <w:rsid w:val="00D261FF"/>
    <w:rsid w:val="00D31993"/>
    <w:rsid w:val="00D52086"/>
    <w:rsid w:val="00D54F5C"/>
    <w:rsid w:val="00D657B1"/>
    <w:rsid w:val="00D67336"/>
    <w:rsid w:val="00D67CAF"/>
    <w:rsid w:val="00D707B5"/>
    <w:rsid w:val="00D74038"/>
    <w:rsid w:val="00D74DB5"/>
    <w:rsid w:val="00D942EB"/>
    <w:rsid w:val="00D96A64"/>
    <w:rsid w:val="00DA2A7B"/>
    <w:rsid w:val="00DC7659"/>
    <w:rsid w:val="00DC7E1B"/>
    <w:rsid w:val="00DD1DDC"/>
    <w:rsid w:val="00DD7E7A"/>
    <w:rsid w:val="00DF234F"/>
    <w:rsid w:val="00DF39E3"/>
    <w:rsid w:val="00E06C2F"/>
    <w:rsid w:val="00E24399"/>
    <w:rsid w:val="00E249F4"/>
    <w:rsid w:val="00E274C6"/>
    <w:rsid w:val="00E41399"/>
    <w:rsid w:val="00E42A5E"/>
    <w:rsid w:val="00E54DF2"/>
    <w:rsid w:val="00E55E2D"/>
    <w:rsid w:val="00E62C89"/>
    <w:rsid w:val="00E63279"/>
    <w:rsid w:val="00E66DB0"/>
    <w:rsid w:val="00E74BD5"/>
    <w:rsid w:val="00E7592A"/>
    <w:rsid w:val="00E839DA"/>
    <w:rsid w:val="00E90B4F"/>
    <w:rsid w:val="00E915E3"/>
    <w:rsid w:val="00E92B78"/>
    <w:rsid w:val="00E94DA2"/>
    <w:rsid w:val="00E97B4B"/>
    <w:rsid w:val="00EA54CB"/>
    <w:rsid w:val="00EB4197"/>
    <w:rsid w:val="00EB4756"/>
    <w:rsid w:val="00EC4AFD"/>
    <w:rsid w:val="00ED06E4"/>
    <w:rsid w:val="00ED1E57"/>
    <w:rsid w:val="00EE1E41"/>
    <w:rsid w:val="00EE2509"/>
    <w:rsid w:val="00EE27CA"/>
    <w:rsid w:val="00EE3D03"/>
    <w:rsid w:val="00EE740D"/>
    <w:rsid w:val="00F10896"/>
    <w:rsid w:val="00F14BDB"/>
    <w:rsid w:val="00F2677A"/>
    <w:rsid w:val="00F27D29"/>
    <w:rsid w:val="00F3133A"/>
    <w:rsid w:val="00F424C9"/>
    <w:rsid w:val="00F46AB3"/>
    <w:rsid w:val="00F65DCE"/>
    <w:rsid w:val="00F66B41"/>
    <w:rsid w:val="00F970FB"/>
    <w:rsid w:val="00FA7BD2"/>
    <w:rsid w:val="00FB39CB"/>
    <w:rsid w:val="00FB5975"/>
    <w:rsid w:val="00FC2254"/>
    <w:rsid w:val="00FC64EE"/>
    <w:rsid w:val="00FD1537"/>
    <w:rsid w:val="00FD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1325E"/>
    <w:pPr>
      <w:spacing w:line="200" w:lineRule="exact"/>
    </w:pPr>
    <w:rPr>
      <w:lang w:eastAsia="en-US"/>
    </w:rPr>
  </w:style>
  <w:style w:type="paragraph" w:styleId="Heading1">
    <w:name w:val="heading 1"/>
    <w:basedOn w:val="Normal"/>
    <w:next w:val="Normal"/>
    <w:qFormat/>
    <w:rsid w:val="0081325E"/>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81325E"/>
    <w:pPr>
      <w:jc w:val="left"/>
      <w:outlineLvl w:val="1"/>
    </w:pPr>
    <w:rPr>
      <w:bCs w:val="0"/>
      <w:iCs/>
      <w:caps w:val="0"/>
      <w:szCs w:val="28"/>
    </w:rPr>
  </w:style>
  <w:style w:type="paragraph" w:styleId="Heading3">
    <w:name w:val="heading 3"/>
    <w:basedOn w:val="Heading2"/>
    <w:next w:val="Normal"/>
    <w:qFormat/>
    <w:rsid w:val="0081325E"/>
    <w:pPr>
      <w:spacing w:line="240" w:lineRule="exact"/>
      <w:outlineLvl w:val="2"/>
    </w:pPr>
    <w:rPr>
      <w:bCs/>
      <w:sz w:val="24"/>
      <w:szCs w:val="26"/>
    </w:rPr>
  </w:style>
  <w:style w:type="paragraph" w:styleId="Heading4">
    <w:name w:val="heading 4"/>
    <w:basedOn w:val="Heading3"/>
    <w:next w:val="Normal"/>
    <w:qFormat/>
    <w:rsid w:val="0081325E"/>
    <w:pPr>
      <w:spacing w:line="200" w:lineRule="exact"/>
      <w:outlineLvl w:val="3"/>
    </w:pPr>
    <w:rPr>
      <w:bCs w:val="0"/>
      <w:sz w:val="20"/>
      <w:szCs w:val="28"/>
    </w:rPr>
  </w:style>
  <w:style w:type="paragraph" w:styleId="Heading5">
    <w:name w:val="heading 5"/>
    <w:basedOn w:val="Heading4"/>
    <w:next w:val="Normal"/>
    <w:qFormat/>
    <w:rsid w:val="0081325E"/>
    <w:pPr>
      <w:outlineLvl w:val="4"/>
    </w:pPr>
    <w:rPr>
      <w:bCs/>
      <w:i/>
      <w:iCs w:val="0"/>
      <w:szCs w:val="26"/>
    </w:rPr>
  </w:style>
  <w:style w:type="paragraph" w:styleId="Heading6">
    <w:name w:val="heading 6"/>
    <w:basedOn w:val="Heading5"/>
    <w:next w:val="Normal"/>
    <w:qFormat/>
    <w:rsid w:val="0081325E"/>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1325E"/>
    <w:pPr>
      <w:spacing w:line="160" w:lineRule="exact"/>
      <w:ind w:left="340" w:hanging="340"/>
    </w:pPr>
    <w:rPr>
      <w:sz w:val="16"/>
    </w:rPr>
  </w:style>
  <w:style w:type="paragraph" w:customStyle="1" w:styleId="Heading1Italic">
    <w:name w:val="Heading 1 Italic"/>
    <w:basedOn w:val="Heading1"/>
    <w:next w:val="Normal"/>
    <w:rsid w:val="0081325E"/>
    <w:rPr>
      <w:i/>
    </w:rPr>
  </w:style>
  <w:style w:type="paragraph" w:customStyle="1" w:styleId="Heading2Indent1">
    <w:name w:val="Heading 2 Indent1"/>
    <w:basedOn w:val="Heading2"/>
    <w:next w:val="Normal"/>
    <w:rsid w:val="0081325E"/>
    <w:pPr>
      <w:ind w:left="510"/>
    </w:pPr>
  </w:style>
  <w:style w:type="paragraph" w:customStyle="1" w:styleId="Heading3Indent1">
    <w:name w:val="Heading 3 Indent1"/>
    <w:basedOn w:val="Heading3"/>
    <w:next w:val="Normal"/>
    <w:rsid w:val="0081325E"/>
    <w:pPr>
      <w:ind w:left="510"/>
    </w:pPr>
  </w:style>
  <w:style w:type="paragraph" w:customStyle="1" w:styleId="Heading4Indent1">
    <w:name w:val="Heading 4 Indent1"/>
    <w:basedOn w:val="Heading4"/>
    <w:next w:val="Normal"/>
    <w:rsid w:val="0081325E"/>
    <w:pPr>
      <w:ind w:left="510"/>
    </w:pPr>
  </w:style>
  <w:style w:type="paragraph" w:customStyle="1" w:styleId="Heading5Indent1">
    <w:name w:val="Heading 5 Indent1"/>
    <w:basedOn w:val="Heading5"/>
    <w:next w:val="Normal"/>
    <w:rsid w:val="0081325E"/>
    <w:pPr>
      <w:ind w:left="510"/>
    </w:pPr>
  </w:style>
  <w:style w:type="paragraph" w:customStyle="1" w:styleId="Heading6Indent1">
    <w:name w:val="Heading 6 Indent1"/>
    <w:basedOn w:val="Heading6"/>
    <w:next w:val="Normal"/>
    <w:rsid w:val="0081325E"/>
    <w:pPr>
      <w:ind w:left="510"/>
    </w:pPr>
  </w:style>
  <w:style w:type="paragraph" w:styleId="Header">
    <w:name w:val="header"/>
    <w:basedOn w:val="Normal"/>
    <w:link w:val="HeaderChar"/>
    <w:rsid w:val="0081325E"/>
    <w:pPr>
      <w:tabs>
        <w:tab w:val="center" w:pos="3119"/>
        <w:tab w:val="right" w:pos="6237"/>
      </w:tabs>
    </w:pPr>
  </w:style>
  <w:style w:type="paragraph" w:styleId="Footer">
    <w:name w:val="footer"/>
    <w:basedOn w:val="Normal"/>
    <w:rsid w:val="0081325E"/>
    <w:pPr>
      <w:tabs>
        <w:tab w:val="center" w:pos="3119"/>
        <w:tab w:val="right" w:pos="6237"/>
      </w:tabs>
    </w:pPr>
  </w:style>
  <w:style w:type="paragraph" w:customStyle="1" w:styleId="CoverStandard">
    <w:name w:val="Cover Standard"/>
    <w:basedOn w:val="Normal"/>
    <w:next w:val="Normal"/>
    <w:rsid w:val="0081325E"/>
    <w:pPr>
      <w:spacing w:line="280" w:lineRule="exact"/>
    </w:pPr>
    <w:rPr>
      <w:b/>
      <w:sz w:val="28"/>
    </w:rPr>
  </w:style>
  <w:style w:type="paragraph" w:customStyle="1" w:styleId="CoverNumber">
    <w:name w:val="Cover Number"/>
    <w:basedOn w:val="Normal"/>
    <w:next w:val="Normal"/>
    <w:rsid w:val="0081325E"/>
    <w:pPr>
      <w:spacing w:line="320" w:lineRule="exact"/>
      <w:jc w:val="right"/>
    </w:pPr>
    <w:rPr>
      <w:b/>
      <w:caps/>
      <w:sz w:val="32"/>
    </w:rPr>
  </w:style>
  <w:style w:type="paragraph" w:customStyle="1" w:styleId="CoverRelease">
    <w:name w:val="Cover Release"/>
    <w:basedOn w:val="Normal"/>
    <w:next w:val="Normal"/>
    <w:rsid w:val="0081325E"/>
    <w:pPr>
      <w:spacing w:line="240" w:lineRule="exact"/>
    </w:pPr>
    <w:rPr>
      <w:sz w:val="24"/>
    </w:rPr>
  </w:style>
  <w:style w:type="paragraph" w:customStyle="1" w:styleId="CoverDate">
    <w:name w:val="Cover Date"/>
    <w:basedOn w:val="Normal"/>
    <w:next w:val="Normal"/>
    <w:rsid w:val="0081325E"/>
    <w:pPr>
      <w:spacing w:line="240" w:lineRule="exact"/>
      <w:jc w:val="right"/>
    </w:pPr>
    <w:rPr>
      <w:sz w:val="24"/>
    </w:rPr>
  </w:style>
  <w:style w:type="paragraph" w:customStyle="1" w:styleId="CoverTitle">
    <w:name w:val="Cover Title"/>
    <w:basedOn w:val="Normal"/>
    <w:rsid w:val="0081325E"/>
    <w:pPr>
      <w:spacing w:before="800" w:after="500" w:line="500" w:lineRule="exact"/>
    </w:pPr>
    <w:rPr>
      <w:b/>
      <w:sz w:val="50"/>
    </w:rPr>
  </w:style>
  <w:style w:type="paragraph" w:customStyle="1" w:styleId="CoverBox">
    <w:name w:val="Cover Box"/>
    <w:basedOn w:val="Normal"/>
    <w:rsid w:val="0081325E"/>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81325E"/>
    <w:pPr>
      <w:tabs>
        <w:tab w:val="left" w:pos="907"/>
      </w:tabs>
    </w:pPr>
  </w:style>
  <w:style w:type="paragraph" w:customStyle="1" w:styleId="CoverLeadPara">
    <w:name w:val="Cover LeadPara"/>
    <w:basedOn w:val="Normal"/>
    <w:next w:val="Normal"/>
    <w:rsid w:val="0081325E"/>
    <w:pPr>
      <w:spacing w:after="100"/>
    </w:pPr>
  </w:style>
  <w:style w:type="paragraph" w:customStyle="1" w:styleId="ContentsCapsPlainPg">
    <w:name w:val="Contents CapsPlainPg"/>
    <w:basedOn w:val="Normal"/>
    <w:next w:val="ContentsLevel1"/>
    <w:rsid w:val="0081325E"/>
    <w:pPr>
      <w:tabs>
        <w:tab w:val="right" w:pos="6237"/>
      </w:tabs>
      <w:spacing w:after="200"/>
      <w:ind w:left="170" w:right="1134" w:hanging="170"/>
    </w:pPr>
    <w:rPr>
      <w:caps/>
    </w:rPr>
  </w:style>
  <w:style w:type="paragraph" w:customStyle="1" w:styleId="ContentsLevel1">
    <w:name w:val="Contents Level1"/>
    <w:basedOn w:val="Normal"/>
    <w:rsid w:val="0081325E"/>
    <w:pPr>
      <w:tabs>
        <w:tab w:val="right" w:pos="6237"/>
      </w:tabs>
      <w:spacing w:after="60"/>
      <w:ind w:left="170" w:right="1134" w:hanging="170"/>
    </w:pPr>
  </w:style>
  <w:style w:type="paragraph" w:customStyle="1" w:styleId="ContentsCapsBoldPg">
    <w:name w:val="Contents CapsBoldPg"/>
    <w:basedOn w:val="ContentsCapsPlainPg"/>
    <w:next w:val="ContentsLevel1"/>
    <w:rsid w:val="0081325E"/>
    <w:rPr>
      <w:b/>
    </w:rPr>
  </w:style>
  <w:style w:type="paragraph" w:customStyle="1" w:styleId="ContentsLevel2">
    <w:name w:val="Contents Level2"/>
    <w:basedOn w:val="ContentsLevel1"/>
    <w:rsid w:val="0081325E"/>
    <w:pPr>
      <w:ind w:left="510"/>
    </w:pPr>
  </w:style>
  <w:style w:type="paragraph" w:customStyle="1" w:styleId="ContentsLevel3">
    <w:name w:val="Contents Level3"/>
    <w:basedOn w:val="ContentsLevel2"/>
    <w:rsid w:val="0081325E"/>
    <w:pPr>
      <w:ind w:left="850"/>
    </w:pPr>
  </w:style>
  <w:style w:type="paragraph" w:customStyle="1" w:styleId="ContentsLevel4">
    <w:name w:val="Contents Level4"/>
    <w:basedOn w:val="ContentsLevel3"/>
    <w:rsid w:val="0081325E"/>
    <w:pPr>
      <w:ind w:left="1191"/>
    </w:pPr>
  </w:style>
  <w:style w:type="paragraph" w:customStyle="1" w:styleId="ContentsBox">
    <w:name w:val="Contents Box"/>
    <w:basedOn w:val="Normal"/>
    <w:rsid w:val="0081325E"/>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81325E"/>
  </w:style>
  <w:style w:type="character" w:styleId="Hyperlink">
    <w:name w:val="Hyperlink"/>
    <w:basedOn w:val="DefaultParagraphFont"/>
    <w:rsid w:val="0081325E"/>
    <w:rPr>
      <w:color w:val="0000FF"/>
      <w:u w:val="single"/>
    </w:rPr>
  </w:style>
  <w:style w:type="paragraph" w:customStyle="1" w:styleId="NumPlainA">
    <w:name w:val="Num PlainA"/>
    <w:basedOn w:val="Normal"/>
    <w:qFormat/>
    <w:rsid w:val="0081325E"/>
    <w:pPr>
      <w:numPr>
        <w:numId w:val="7"/>
      </w:numPr>
      <w:spacing w:after="200"/>
    </w:pPr>
  </w:style>
  <w:style w:type="paragraph" w:customStyle="1" w:styleId="NoNumPlain1">
    <w:name w:val="NoNum Plain1"/>
    <w:basedOn w:val="Normal"/>
    <w:qFormat/>
    <w:rsid w:val="0081325E"/>
    <w:pPr>
      <w:spacing w:after="200"/>
    </w:pPr>
  </w:style>
  <w:style w:type="paragraph" w:customStyle="1" w:styleId="NoNumPlain2">
    <w:name w:val="NoNum Plain2"/>
    <w:basedOn w:val="NoNumPlain1"/>
    <w:rsid w:val="0081325E"/>
    <w:pPr>
      <w:ind w:left="510"/>
    </w:pPr>
  </w:style>
  <w:style w:type="paragraph" w:customStyle="1" w:styleId="NoNumPlain3">
    <w:name w:val="NoNum Plain3"/>
    <w:basedOn w:val="NoNumPlain2"/>
    <w:rsid w:val="0081325E"/>
    <w:pPr>
      <w:ind w:left="1021"/>
    </w:pPr>
  </w:style>
  <w:style w:type="paragraph" w:customStyle="1" w:styleId="NoNumPlain4">
    <w:name w:val="NoNum Plain4"/>
    <w:basedOn w:val="NoNumPlain3"/>
    <w:rsid w:val="0081325E"/>
    <w:pPr>
      <w:ind w:left="1531"/>
    </w:pPr>
  </w:style>
  <w:style w:type="paragraph" w:customStyle="1" w:styleId="NoNumBold1">
    <w:name w:val="NoNum Bold1"/>
    <w:basedOn w:val="Normal"/>
    <w:qFormat/>
    <w:rsid w:val="0081325E"/>
    <w:pPr>
      <w:spacing w:after="200"/>
    </w:pPr>
    <w:rPr>
      <w:b/>
    </w:rPr>
  </w:style>
  <w:style w:type="paragraph" w:customStyle="1" w:styleId="NoNumBold2">
    <w:name w:val="NoNum Bold2"/>
    <w:basedOn w:val="NoNumBold1"/>
    <w:rsid w:val="0081325E"/>
    <w:pPr>
      <w:ind w:left="510"/>
    </w:pPr>
  </w:style>
  <w:style w:type="paragraph" w:customStyle="1" w:styleId="NoNumBold3">
    <w:name w:val="NoNum Bold3"/>
    <w:basedOn w:val="NoNumBold2"/>
    <w:rsid w:val="0081325E"/>
    <w:pPr>
      <w:ind w:left="1021"/>
    </w:pPr>
  </w:style>
  <w:style w:type="paragraph" w:customStyle="1" w:styleId="NoNumBold4">
    <w:name w:val="NoNum Bold4"/>
    <w:basedOn w:val="NoNumBold3"/>
    <w:rsid w:val="0081325E"/>
    <w:pPr>
      <w:ind w:left="1531"/>
    </w:pPr>
  </w:style>
  <w:style w:type="paragraph" w:customStyle="1" w:styleId="NumPlain1">
    <w:name w:val="Num Plain1"/>
    <w:basedOn w:val="Normal"/>
    <w:link w:val="NumPlain1Char"/>
    <w:qFormat/>
    <w:rsid w:val="0081325E"/>
    <w:pPr>
      <w:numPr>
        <w:numId w:val="2"/>
      </w:numPr>
      <w:spacing w:after="200"/>
    </w:pPr>
  </w:style>
  <w:style w:type="paragraph" w:customStyle="1" w:styleId="NumPlain2">
    <w:name w:val="Num Plain2"/>
    <w:basedOn w:val="NumPlain1"/>
    <w:rsid w:val="0081325E"/>
    <w:pPr>
      <w:numPr>
        <w:ilvl w:val="1"/>
      </w:numPr>
    </w:pPr>
  </w:style>
  <w:style w:type="paragraph" w:customStyle="1" w:styleId="NumPlain3">
    <w:name w:val="Num Plain3"/>
    <w:basedOn w:val="NumPlain2"/>
    <w:rsid w:val="0081325E"/>
    <w:pPr>
      <w:numPr>
        <w:ilvl w:val="2"/>
      </w:numPr>
    </w:pPr>
  </w:style>
  <w:style w:type="paragraph" w:customStyle="1" w:styleId="NumPlain4">
    <w:name w:val="Num Plain4"/>
    <w:basedOn w:val="NumPlain3"/>
    <w:rsid w:val="0081325E"/>
    <w:pPr>
      <w:numPr>
        <w:ilvl w:val="3"/>
      </w:numPr>
    </w:pPr>
  </w:style>
  <w:style w:type="paragraph" w:customStyle="1" w:styleId="Bullet1">
    <w:name w:val="Bullet1"/>
    <w:basedOn w:val="Normal"/>
    <w:qFormat/>
    <w:rsid w:val="0081325E"/>
    <w:pPr>
      <w:numPr>
        <w:numId w:val="6"/>
      </w:numPr>
      <w:spacing w:after="200"/>
    </w:pPr>
  </w:style>
  <w:style w:type="paragraph" w:customStyle="1" w:styleId="Bullet2">
    <w:name w:val="Bullet2"/>
    <w:basedOn w:val="Normal"/>
    <w:rsid w:val="0081325E"/>
    <w:pPr>
      <w:numPr>
        <w:ilvl w:val="1"/>
        <w:numId w:val="6"/>
      </w:numPr>
      <w:spacing w:after="200"/>
    </w:pPr>
  </w:style>
  <w:style w:type="paragraph" w:customStyle="1" w:styleId="Bullet3">
    <w:name w:val="Bullet3"/>
    <w:basedOn w:val="Normal"/>
    <w:rsid w:val="0081325E"/>
    <w:pPr>
      <w:numPr>
        <w:ilvl w:val="2"/>
        <w:numId w:val="6"/>
      </w:numPr>
      <w:spacing w:after="200"/>
    </w:pPr>
  </w:style>
  <w:style w:type="paragraph" w:customStyle="1" w:styleId="CommentsPage">
    <w:name w:val="CommentsPage"/>
    <w:basedOn w:val="Normal"/>
    <w:next w:val="Normal"/>
    <w:rsid w:val="0081325E"/>
  </w:style>
  <w:style w:type="paragraph" w:customStyle="1" w:styleId="Bullet4">
    <w:name w:val="Bullet4"/>
    <w:basedOn w:val="Normal"/>
    <w:rsid w:val="0081325E"/>
    <w:pPr>
      <w:numPr>
        <w:ilvl w:val="3"/>
        <w:numId w:val="6"/>
      </w:numPr>
      <w:spacing w:after="200"/>
    </w:pPr>
  </w:style>
  <w:style w:type="paragraph" w:customStyle="1" w:styleId="ContentsCapsPlain">
    <w:name w:val="Contents CapsPlain"/>
    <w:basedOn w:val="Normal"/>
    <w:next w:val="ContentsLevel1"/>
    <w:rsid w:val="0081325E"/>
    <w:pPr>
      <w:spacing w:after="200"/>
    </w:pPr>
    <w:rPr>
      <w:caps/>
    </w:rPr>
  </w:style>
  <w:style w:type="paragraph" w:customStyle="1" w:styleId="ContentsCapsBold">
    <w:name w:val="Contents CapsBold"/>
    <w:basedOn w:val="ContentsCapsPlain"/>
    <w:next w:val="ContentsLevel1"/>
    <w:rsid w:val="0081325E"/>
    <w:pPr>
      <w:spacing w:after="0"/>
    </w:pPr>
    <w:rPr>
      <w:b/>
    </w:rPr>
  </w:style>
  <w:style w:type="paragraph" w:customStyle="1" w:styleId="ContentsParaHead">
    <w:name w:val="Contents ParaHead"/>
    <w:basedOn w:val="Normal"/>
    <w:next w:val="Normal"/>
    <w:rsid w:val="0081325E"/>
    <w:pPr>
      <w:spacing w:after="60"/>
      <w:jc w:val="right"/>
    </w:pPr>
    <w:rPr>
      <w:i/>
    </w:rPr>
  </w:style>
  <w:style w:type="paragraph" w:styleId="DocumentMap">
    <w:name w:val="Document Map"/>
    <w:basedOn w:val="Normal"/>
    <w:semiHidden/>
    <w:rsid w:val="0081325E"/>
    <w:pPr>
      <w:shd w:val="clear" w:color="auto" w:fill="000080"/>
    </w:pPr>
    <w:rPr>
      <w:rFonts w:ascii="Tahoma" w:hAnsi="Tahoma" w:cs="Tahoma"/>
    </w:rPr>
  </w:style>
  <w:style w:type="paragraph" w:customStyle="1" w:styleId="ContentsLevel1NoIndent">
    <w:name w:val="Contents Level1 NoIndent"/>
    <w:basedOn w:val="ContentsLevel1"/>
    <w:rsid w:val="0081325E"/>
    <w:pPr>
      <w:ind w:left="0" w:firstLine="0"/>
    </w:pPr>
  </w:style>
  <w:style w:type="paragraph" w:customStyle="1" w:styleId="AppendixNo">
    <w:name w:val="AppendixNo"/>
    <w:basedOn w:val="Normal"/>
    <w:next w:val="Normal"/>
    <w:rsid w:val="0081325E"/>
    <w:pPr>
      <w:keepNext/>
      <w:spacing w:after="200" w:line="280" w:lineRule="exact"/>
      <w:jc w:val="center"/>
      <w:outlineLvl w:val="0"/>
    </w:pPr>
    <w:rPr>
      <w:b/>
      <w:caps/>
      <w:sz w:val="28"/>
      <w:szCs w:val="28"/>
    </w:rPr>
  </w:style>
  <w:style w:type="paragraph" w:customStyle="1" w:styleId="BCHanging0">
    <w:name w:val="BC Hanging0"/>
    <w:basedOn w:val="NoNumPlain1"/>
    <w:qFormat/>
    <w:rsid w:val="0081325E"/>
    <w:pPr>
      <w:ind w:left="624" w:hanging="624"/>
    </w:pPr>
  </w:style>
  <w:style w:type="paragraph" w:customStyle="1" w:styleId="AppendixNote">
    <w:name w:val="AppendixNote"/>
    <w:basedOn w:val="Normal"/>
    <w:next w:val="Normal"/>
    <w:rsid w:val="0081325E"/>
    <w:pPr>
      <w:spacing w:after="200"/>
    </w:pPr>
    <w:rPr>
      <w:i/>
      <w:iCs/>
    </w:rPr>
  </w:style>
  <w:style w:type="paragraph" w:customStyle="1" w:styleId="AppendixText">
    <w:name w:val="AppendixText"/>
    <w:basedOn w:val="Normal"/>
    <w:rsid w:val="0081325E"/>
    <w:pPr>
      <w:spacing w:after="200"/>
    </w:pPr>
  </w:style>
  <w:style w:type="paragraph" w:customStyle="1" w:styleId="AppendixTitle">
    <w:name w:val="AppendixTitle"/>
    <w:basedOn w:val="Normal"/>
    <w:next w:val="AppendixNote"/>
    <w:rsid w:val="0081325E"/>
    <w:pPr>
      <w:keepNext/>
      <w:spacing w:after="200" w:line="280" w:lineRule="exact"/>
      <w:jc w:val="center"/>
      <w:outlineLvl w:val="0"/>
    </w:pPr>
    <w:rPr>
      <w:b/>
      <w:caps/>
      <w:sz w:val="28"/>
      <w:szCs w:val="28"/>
    </w:rPr>
  </w:style>
  <w:style w:type="paragraph" w:customStyle="1" w:styleId="NoNumBC2">
    <w:name w:val="NoNum BC2"/>
    <w:basedOn w:val="NoNumPlain1"/>
    <w:rsid w:val="0081325E"/>
    <w:pPr>
      <w:ind w:left="624"/>
    </w:pPr>
  </w:style>
  <w:style w:type="paragraph" w:customStyle="1" w:styleId="BCHanging1">
    <w:name w:val="BC Hanging1"/>
    <w:basedOn w:val="NoNumBC2"/>
    <w:rsid w:val="0081325E"/>
    <w:pPr>
      <w:ind w:left="1248" w:hanging="624"/>
    </w:pPr>
  </w:style>
  <w:style w:type="paragraph" w:customStyle="1" w:styleId="BCHanging2">
    <w:name w:val="BC Hanging2"/>
    <w:basedOn w:val="BCHanging1"/>
    <w:rsid w:val="0081325E"/>
    <w:pPr>
      <w:ind w:left="1871"/>
    </w:pPr>
  </w:style>
  <w:style w:type="paragraph" w:customStyle="1" w:styleId="BCHanging3">
    <w:name w:val="BC Hanging3"/>
    <w:basedOn w:val="BCHanging1"/>
    <w:rsid w:val="0081325E"/>
    <w:pPr>
      <w:ind w:left="2495"/>
    </w:pPr>
  </w:style>
  <w:style w:type="paragraph" w:customStyle="1" w:styleId="CoverSubtitle">
    <w:name w:val="Cover Subtitle"/>
    <w:basedOn w:val="CoverTitle"/>
    <w:rsid w:val="0081325E"/>
    <w:pPr>
      <w:spacing w:before="0" w:after="0"/>
    </w:pPr>
    <w:rPr>
      <w:sz w:val="40"/>
      <w:szCs w:val="40"/>
    </w:rPr>
  </w:style>
  <w:style w:type="paragraph" w:customStyle="1" w:styleId="NumberedList">
    <w:name w:val="NumberedList"/>
    <w:basedOn w:val="Normal"/>
    <w:qFormat/>
    <w:rsid w:val="0081325E"/>
    <w:pPr>
      <w:numPr>
        <w:numId w:val="3"/>
      </w:numPr>
      <w:spacing w:after="200"/>
    </w:pPr>
  </w:style>
  <w:style w:type="paragraph" w:customStyle="1" w:styleId="NumBold1">
    <w:name w:val="Num Bold1"/>
    <w:basedOn w:val="NumPlain1"/>
    <w:qFormat/>
    <w:rsid w:val="0081325E"/>
    <w:rPr>
      <w:b/>
    </w:rPr>
  </w:style>
  <w:style w:type="paragraph" w:customStyle="1" w:styleId="NumBold2">
    <w:name w:val="Num Bold2"/>
    <w:basedOn w:val="NumPlain2"/>
    <w:rsid w:val="0081325E"/>
    <w:rPr>
      <w:b/>
    </w:rPr>
  </w:style>
  <w:style w:type="paragraph" w:customStyle="1" w:styleId="NumBold3">
    <w:name w:val="Num Bold3"/>
    <w:basedOn w:val="NumPlain3"/>
    <w:rsid w:val="0081325E"/>
    <w:rPr>
      <w:b/>
    </w:rPr>
  </w:style>
  <w:style w:type="paragraph" w:customStyle="1" w:styleId="NumBold4">
    <w:name w:val="Num Bold4"/>
    <w:basedOn w:val="NumPlain4"/>
    <w:rsid w:val="0081325E"/>
    <w:rPr>
      <w:b/>
    </w:rPr>
  </w:style>
  <w:style w:type="paragraph" w:customStyle="1" w:styleId="PlainHanging1">
    <w:name w:val="Plain Hanging1"/>
    <w:basedOn w:val="NoNumPlain2"/>
    <w:rsid w:val="0081325E"/>
    <w:pPr>
      <w:ind w:left="1020" w:hanging="510"/>
    </w:pPr>
  </w:style>
  <w:style w:type="paragraph" w:customStyle="1" w:styleId="PlainHanging2">
    <w:name w:val="Plain Hanging2"/>
    <w:basedOn w:val="PlainHanging1"/>
    <w:rsid w:val="0081325E"/>
    <w:pPr>
      <w:ind w:left="1531"/>
    </w:pPr>
  </w:style>
  <w:style w:type="paragraph" w:customStyle="1" w:styleId="PlainHanging3">
    <w:name w:val="Plain Hanging3"/>
    <w:basedOn w:val="PlainHanging1"/>
    <w:rsid w:val="0081325E"/>
    <w:pPr>
      <w:ind w:left="2041"/>
    </w:pPr>
  </w:style>
  <w:style w:type="paragraph" w:customStyle="1" w:styleId="PlainHanging4">
    <w:name w:val="Plain Hanging4"/>
    <w:basedOn w:val="PlainHanging1"/>
    <w:rsid w:val="0081325E"/>
    <w:pPr>
      <w:ind w:left="2551"/>
    </w:pPr>
  </w:style>
  <w:style w:type="paragraph" w:customStyle="1" w:styleId="BoldHanging1">
    <w:name w:val="Bold Hanging1"/>
    <w:basedOn w:val="PlainHanging1"/>
    <w:rsid w:val="0081325E"/>
    <w:rPr>
      <w:b/>
    </w:rPr>
  </w:style>
  <w:style w:type="paragraph" w:customStyle="1" w:styleId="BoldHanging2">
    <w:name w:val="Bold Hanging2"/>
    <w:basedOn w:val="PlainHanging2"/>
    <w:rsid w:val="0081325E"/>
    <w:rPr>
      <w:b/>
    </w:rPr>
  </w:style>
  <w:style w:type="paragraph" w:customStyle="1" w:styleId="BoldHanging3">
    <w:name w:val="Bold Hanging3"/>
    <w:basedOn w:val="PlainHanging3"/>
    <w:rsid w:val="0081325E"/>
    <w:rPr>
      <w:b/>
    </w:rPr>
  </w:style>
  <w:style w:type="paragraph" w:customStyle="1" w:styleId="BoldHanging4">
    <w:name w:val="Bold Hanging4"/>
    <w:basedOn w:val="PlainHanging4"/>
    <w:rsid w:val="0081325E"/>
    <w:rPr>
      <w:b/>
    </w:rPr>
  </w:style>
  <w:style w:type="paragraph" w:customStyle="1" w:styleId="PlainHanging0">
    <w:name w:val="Plain Hanging0"/>
    <w:basedOn w:val="PlainHanging1"/>
    <w:qFormat/>
    <w:rsid w:val="0081325E"/>
    <w:pPr>
      <w:ind w:left="510"/>
    </w:pPr>
  </w:style>
  <w:style w:type="paragraph" w:customStyle="1" w:styleId="BoldHanging0">
    <w:name w:val="Bold Hanging0"/>
    <w:basedOn w:val="PlainHanging0"/>
    <w:qFormat/>
    <w:rsid w:val="0081325E"/>
    <w:rPr>
      <w:b/>
    </w:rPr>
  </w:style>
  <w:style w:type="paragraph" w:customStyle="1" w:styleId="BCHanging4">
    <w:name w:val="BC Hanging4"/>
    <w:basedOn w:val="BCHanging1"/>
    <w:rsid w:val="0081325E"/>
    <w:pPr>
      <w:ind w:left="3119"/>
    </w:pPr>
  </w:style>
  <w:style w:type="paragraph" w:customStyle="1" w:styleId="NoNumBC3">
    <w:name w:val="NoNum BC3"/>
    <w:basedOn w:val="NoNumBC2"/>
    <w:rsid w:val="0081325E"/>
    <w:pPr>
      <w:ind w:left="1247"/>
    </w:pPr>
  </w:style>
  <w:style w:type="paragraph" w:customStyle="1" w:styleId="NoNumBC4">
    <w:name w:val="NoNum BC4"/>
    <w:basedOn w:val="NoNumBC3"/>
    <w:rsid w:val="0081325E"/>
    <w:pPr>
      <w:ind w:left="1871"/>
    </w:pPr>
  </w:style>
  <w:style w:type="paragraph" w:customStyle="1" w:styleId="NumBC1">
    <w:name w:val="Num BC1"/>
    <w:basedOn w:val="Normal"/>
    <w:qFormat/>
    <w:rsid w:val="0081325E"/>
    <w:pPr>
      <w:numPr>
        <w:numId w:val="4"/>
      </w:numPr>
      <w:spacing w:after="200"/>
    </w:pPr>
  </w:style>
  <w:style w:type="paragraph" w:customStyle="1" w:styleId="NumBC2">
    <w:name w:val="Num BC2"/>
    <w:basedOn w:val="NumBC1"/>
    <w:rsid w:val="0081325E"/>
    <w:pPr>
      <w:numPr>
        <w:ilvl w:val="1"/>
      </w:numPr>
    </w:pPr>
  </w:style>
  <w:style w:type="paragraph" w:customStyle="1" w:styleId="NumBC3">
    <w:name w:val="Num BC3"/>
    <w:basedOn w:val="NumBC2"/>
    <w:rsid w:val="0081325E"/>
    <w:pPr>
      <w:numPr>
        <w:ilvl w:val="2"/>
      </w:numPr>
    </w:pPr>
  </w:style>
  <w:style w:type="paragraph" w:customStyle="1" w:styleId="NumBC4">
    <w:name w:val="Num BC4"/>
    <w:basedOn w:val="NumBC3"/>
    <w:rsid w:val="0081325E"/>
    <w:pPr>
      <w:numPr>
        <w:ilvl w:val="3"/>
      </w:numPr>
    </w:pPr>
  </w:style>
  <w:style w:type="numbering" w:customStyle="1" w:styleId="Bullets">
    <w:name w:val="Bullets"/>
    <w:uiPriority w:val="99"/>
    <w:rsid w:val="0081325E"/>
    <w:pPr>
      <w:numPr>
        <w:numId w:val="5"/>
      </w:numPr>
    </w:pPr>
  </w:style>
  <w:style w:type="paragraph" w:customStyle="1" w:styleId="NumPlainA2">
    <w:name w:val="Num PlainA2"/>
    <w:basedOn w:val="NumPlainA"/>
    <w:rsid w:val="0081325E"/>
    <w:pPr>
      <w:numPr>
        <w:ilvl w:val="1"/>
      </w:numPr>
      <w:outlineLvl w:val="1"/>
    </w:pPr>
  </w:style>
  <w:style w:type="table" w:styleId="TableGrid">
    <w:name w:val="Table Grid"/>
    <w:basedOn w:val="TableNormal"/>
    <w:rsid w:val="00813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Plain1Char">
    <w:name w:val="Num Plain1 Char"/>
    <w:basedOn w:val="DefaultParagraphFont"/>
    <w:link w:val="NumPlain1"/>
    <w:rsid w:val="006C16BB"/>
    <w:rPr>
      <w:lang w:eastAsia="en-US"/>
    </w:rPr>
  </w:style>
  <w:style w:type="paragraph" w:styleId="BalloonText">
    <w:name w:val="Balloon Text"/>
    <w:basedOn w:val="Normal"/>
    <w:link w:val="BalloonTextChar"/>
    <w:rsid w:val="003B6E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B6E05"/>
    <w:rPr>
      <w:rFonts w:ascii="Tahoma" w:hAnsi="Tahoma" w:cs="Tahoma"/>
      <w:sz w:val="16"/>
      <w:szCs w:val="16"/>
      <w:lang w:eastAsia="en-US"/>
    </w:rPr>
  </w:style>
  <w:style w:type="character" w:styleId="CommentReference">
    <w:name w:val="annotation reference"/>
    <w:basedOn w:val="DefaultParagraphFont"/>
    <w:rsid w:val="00630789"/>
    <w:rPr>
      <w:sz w:val="16"/>
      <w:szCs w:val="16"/>
    </w:rPr>
  </w:style>
  <w:style w:type="paragraph" w:styleId="CommentText">
    <w:name w:val="annotation text"/>
    <w:basedOn w:val="Normal"/>
    <w:link w:val="CommentTextChar"/>
    <w:rsid w:val="00630789"/>
    <w:pPr>
      <w:spacing w:line="240" w:lineRule="auto"/>
    </w:pPr>
  </w:style>
  <w:style w:type="character" w:customStyle="1" w:styleId="CommentTextChar">
    <w:name w:val="Comment Text Char"/>
    <w:basedOn w:val="DefaultParagraphFont"/>
    <w:link w:val="CommentText"/>
    <w:rsid w:val="00630789"/>
    <w:rPr>
      <w:lang w:eastAsia="en-US"/>
    </w:rPr>
  </w:style>
  <w:style w:type="paragraph" w:styleId="CommentSubject">
    <w:name w:val="annotation subject"/>
    <w:basedOn w:val="CommentText"/>
    <w:next w:val="CommentText"/>
    <w:link w:val="CommentSubjectChar"/>
    <w:rsid w:val="00630789"/>
    <w:rPr>
      <w:b/>
      <w:bCs/>
    </w:rPr>
  </w:style>
  <w:style w:type="character" w:customStyle="1" w:styleId="CommentSubjectChar">
    <w:name w:val="Comment Subject Char"/>
    <w:basedOn w:val="CommentTextChar"/>
    <w:link w:val="CommentSubject"/>
    <w:rsid w:val="00630789"/>
    <w:rPr>
      <w:b/>
      <w:bCs/>
      <w:lang w:eastAsia="en-US"/>
    </w:rPr>
  </w:style>
  <w:style w:type="paragraph" w:customStyle="1" w:styleId="npara">
    <w:name w:val="npara"/>
    <w:uiPriority w:val="99"/>
    <w:rsid w:val="00CE7DF2"/>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numbering" w:customStyle="1" w:styleId="a">
    <w:name w:val="(a)"/>
    <w:uiPriority w:val="99"/>
    <w:rsid w:val="00C0715E"/>
    <w:pPr>
      <w:numPr>
        <w:numId w:val="8"/>
      </w:numPr>
    </w:pPr>
  </w:style>
  <w:style w:type="paragraph" w:customStyle="1" w:styleId="SubNumPlain1">
    <w:name w:val="SubNum Plain1"/>
    <w:basedOn w:val="PlainHanging1"/>
    <w:qFormat/>
    <w:rsid w:val="0081325E"/>
    <w:pPr>
      <w:numPr>
        <w:numId w:val="18"/>
      </w:numPr>
    </w:pPr>
  </w:style>
  <w:style w:type="paragraph" w:customStyle="1" w:styleId="SubNumPlain2">
    <w:name w:val="SubNum Plain2"/>
    <w:basedOn w:val="PlainHanging2"/>
    <w:qFormat/>
    <w:rsid w:val="0081325E"/>
    <w:pPr>
      <w:numPr>
        <w:ilvl w:val="1"/>
        <w:numId w:val="18"/>
      </w:numPr>
    </w:pPr>
  </w:style>
  <w:style w:type="paragraph" w:customStyle="1" w:styleId="SubNumPlain3">
    <w:name w:val="SubNum Plain3"/>
    <w:basedOn w:val="PlainHanging3"/>
    <w:qFormat/>
    <w:rsid w:val="0081325E"/>
    <w:pPr>
      <w:numPr>
        <w:ilvl w:val="2"/>
        <w:numId w:val="18"/>
      </w:numPr>
    </w:pPr>
  </w:style>
  <w:style w:type="paragraph" w:customStyle="1" w:styleId="SubNumPlain4">
    <w:name w:val="SubNum Plain4"/>
    <w:basedOn w:val="PlainHanging4"/>
    <w:qFormat/>
    <w:rsid w:val="0081325E"/>
    <w:pPr>
      <w:numPr>
        <w:ilvl w:val="3"/>
        <w:numId w:val="18"/>
      </w:numPr>
    </w:pPr>
  </w:style>
  <w:style w:type="paragraph" w:customStyle="1" w:styleId="SubNumBold1">
    <w:name w:val="SubNum Bold1"/>
    <w:basedOn w:val="BoldHanging1"/>
    <w:qFormat/>
    <w:rsid w:val="0081325E"/>
    <w:pPr>
      <w:numPr>
        <w:numId w:val="19"/>
      </w:numPr>
    </w:pPr>
  </w:style>
  <w:style w:type="paragraph" w:customStyle="1" w:styleId="SubNumBold2">
    <w:name w:val="SubNum Bold2"/>
    <w:basedOn w:val="BoldHanging2"/>
    <w:qFormat/>
    <w:rsid w:val="0081325E"/>
    <w:pPr>
      <w:numPr>
        <w:ilvl w:val="1"/>
        <w:numId w:val="19"/>
      </w:numPr>
      <w:tabs>
        <w:tab w:val="clear" w:pos="1277"/>
        <w:tab w:val="num" w:pos="1020"/>
      </w:tabs>
      <w:ind w:left="1531"/>
    </w:pPr>
  </w:style>
  <w:style w:type="paragraph" w:customStyle="1" w:styleId="SubNumBold3">
    <w:name w:val="SubNum Bold3"/>
    <w:basedOn w:val="BoldHanging3"/>
    <w:qFormat/>
    <w:rsid w:val="0081325E"/>
    <w:pPr>
      <w:numPr>
        <w:ilvl w:val="2"/>
        <w:numId w:val="19"/>
      </w:numPr>
    </w:pPr>
  </w:style>
  <w:style w:type="paragraph" w:customStyle="1" w:styleId="SubNumBold4">
    <w:name w:val="SubNum Bold4"/>
    <w:basedOn w:val="BoldHanging4"/>
    <w:qFormat/>
    <w:rsid w:val="0081325E"/>
    <w:pPr>
      <w:numPr>
        <w:ilvl w:val="3"/>
        <w:numId w:val="19"/>
      </w:numPr>
    </w:pPr>
  </w:style>
  <w:style w:type="numbering" w:customStyle="1" w:styleId="AASBSubNumbers">
    <w:name w:val="AASB SubNumbers"/>
    <w:uiPriority w:val="99"/>
    <w:rsid w:val="0081325E"/>
    <w:pPr>
      <w:numPr>
        <w:numId w:val="17"/>
      </w:numPr>
    </w:pPr>
  </w:style>
  <w:style w:type="numbering" w:customStyle="1" w:styleId="AASBSubNumbersBold">
    <w:name w:val="AASB SubNumbers Bold"/>
    <w:uiPriority w:val="99"/>
    <w:rsid w:val="0081325E"/>
    <w:pPr>
      <w:numPr>
        <w:numId w:val="19"/>
      </w:numPr>
    </w:pPr>
  </w:style>
  <w:style w:type="paragraph" w:customStyle="1" w:styleId="Default">
    <w:name w:val="Default"/>
    <w:rsid w:val="00AF7181"/>
    <w:pPr>
      <w:autoSpaceDE w:val="0"/>
      <w:autoSpaceDN w:val="0"/>
      <w:adjustRightInd w:val="0"/>
    </w:pPr>
    <w:rPr>
      <w:color w:val="000000"/>
      <w:sz w:val="24"/>
      <w:szCs w:val="24"/>
    </w:rPr>
  </w:style>
  <w:style w:type="paragraph" w:customStyle="1" w:styleId="AusPlain2">
    <w:name w:val="Aus Plain2"/>
    <w:basedOn w:val="Default"/>
    <w:next w:val="Default"/>
    <w:uiPriority w:val="99"/>
    <w:rsid w:val="00AF7181"/>
    <w:rPr>
      <w:color w:val="auto"/>
    </w:rPr>
  </w:style>
  <w:style w:type="table" w:customStyle="1" w:styleId="IASBInsideTable">
    <w:name w:val="IASB Inside Table"/>
    <w:rsid w:val="00172D03"/>
    <w:tblPr>
      <w:tblOverlap w:val="never"/>
      <w:tblCellMar>
        <w:top w:w="10" w:type="dxa"/>
        <w:left w:w="50" w:type="dxa"/>
        <w:bottom w:w="5" w:type="dxa"/>
        <w:right w:w="50" w:type="dxa"/>
      </w:tblCellMar>
    </w:tblPr>
  </w:style>
  <w:style w:type="paragraph" w:customStyle="1" w:styleId="IASBNormalArial">
    <w:name w:val="IASB Normal Arial"/>
    <w:basedOn w:val="Normal"/>
    <w:rsid w:val="00172D03"/>
    <w:pPr>
      <w:spacing w:before="200" w:after="100" w:line="240" w:lineRule="auto"/>
      <w:jc w:val="both"/>
    </w:pPr>
    <w:rPr>
      <w:rFonts w:ascii="Arial" w:hAnsi="Arial" w:cs="Arial"/>
      <w:sz w:val="19"/>
      <w:lang w:val="en-US"/>
    </w:rPr>
  </w:style>
  <w:style w:type="paragraph" w:customStyle="1" w:styleId="CellBody">
    <w:name w:val="CellBody"/>
    <w:rsid w:val="00172D03"/>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US"/>
    </w:rPr>
  </w:style>
  <w:style w:type="paragraph" w:customStyle="1" w:styleId="nonelevel2bold">
    <w:name w:val="none_level2_bold"/>
    <w:rsid w:val="00172D03"/>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US"/>
    </w:rPr>
  </w:style>
  <w:style w:type="paragraph" w:customStyle="1" w:styleId="AASBNormalTable">
    <w:name w:val="AASB Normal Table"/>
    <w:basedOn w:val="IASBNormalArial"/>
    <w:qFormat/>
    <w:rsid w:val="00DF234F"/>
    <w:pPr>
      <w:spacing w:beforeLines="20" w:before="48" w:after="160"/>
      <w:jc w:val="left"/>
    </w:pPr>
    <w:rPr>
      <w:rFonts w:ascii="Times New Roman" w:hAnsi="Times New Roman" w:cs="Times New Roman"/>
      <w:sz w:val="20"/>
    </w:rPr>
  </w:style>
  <w:style w:type="character" w:customStyle="1" w:styleId="HeaderChar">
    <w:name w:val="Header Char"/>
    <w:basedOn w:val="DefaultParagraphFont"/>
    <w:link w:val="Header"/>
    <w:rsid w:val="00687AD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1325E"/>
    <w:pPr>
      <w:spacing w:line="200" w:lineRule="exact"/>
    </w:pPr>
    <w:rPr>
      <w:lang w:eastAsia="en-US"/>
    </w:rPr>
  </w:style>
  <w:style w:type="paragraph" w:styleId="Heading1">
    <w:name w:val="heading 1"/>
    <w:basedOn w:val="Normal"/>
    <w:next w:val="Normal"/>
    <w:qFormat/>
    <w:rsid w:val="0081325E"/>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81325E"/>
    <w:pPr>
      <w:jc w:val="left"/>
      <w:outlineLvl w:val="1"/>
    </w:pPr>
    <w:rPr>
      <w:bCs w:val="0"/>
      <w:iCs/>
      <w:caps w:val="0"/>
      <w:szCs w:val="28"/>
    </w:rPr>
  </w:style>
  <w:style w:type="paragraph" w:styleId="Heading3">
    <w:name w:val="heading 3"/>
    <w:basedOn w:val="Heading2"/>
    <w:next w:val="Normal"/>
    <w:qFormat/>
    <w:rsid w:val="0081325E"/>
    <w:pPr>
      <w:spacing w:line="240" w:lineRule="exact"/>
      <w:outlineLvl w:val="2"/>
    </w:pPr>
    <w:rPr>
      <w:bCs/>
      <w:sz w:val="24"/>
      <w:szCs w:val="26"/>
    </w:rPr>
  </w:style>
  <w:style w:type="paragraph" w:styleId="Heading4">
    <w:name w:val="heading 4"/>
    <w:basedOn w:val="Heading3"/>
    <w:next w:val="Normal"/>
    <w:qFormat/>
    <w:rsid w:val="0081325E"/>
    <w:pPr>
      <w:spacing w:line="200" w:lineRule="exact"/>
      <w:outlineLvl w:val="3"/>
    </w:pPr>
    <w:rPr>
      <w:bCs w:val="0"/>
      <w:sz w:val="20"/>
      <w:szCs w:val="28"/>
    </w:rPr>
  </w:style>
  <w:style w:type="paragraph" w:styleId="Heading5">
    <w:name w:val="heading 5"/>
    <w:basedOn w:val="Heading4"/>
    <w:next w:val="Normal"/>
    <w:qFormat/>
    <w:rsid w:val="0081325E"/>
    <w:pPr>
      <w:outlineLvl w:val="4"/>
    </w:pPr>
    <w:rPr>
      <w:bCs/>
      <w:i/>
      <w:iCs w:val="0"/>
      <w:szCs w:val="26"/>
    </w:rPr>
  </w:style>
  <w:style w:type="paragraph" w:styleId="Heading6">
    <w:name w:val="heading 6"/>
    <w:basedOn w:val="Heading5"/>
    <w:next w:val="Normal"/>
    <w:qFormat/>
    <w:rsid w:val="0081325E"/>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1325E"/>
    <w:pPr>
      <w:spacing w:line="160" w:lineRule="exact"/>
      <w:ind w:left="340" w:hanging="340"/>
    </w:pPr>
    <w:rPr>
      <w:sz w:val="16"/>
    </w:rPr>
  </w:style>
  <w:style w:type="paragraph" w:customStyle="1" w:styleId="Heading1Italic">
    <w:name w:val="Heading 1 Italic"/>
    <w:basedOn w:val="Heading1"/>
    <w:next w:val="Normal"/>
    <w:rsid w:val="0081325E"/>
    <w:rPr>
      <w:i/>
    </w:rPr>
  </w:style>
  <w:style w:type="paragraph" w:customStyle="1" w:styleId="Heading2Indent1">
    <w:name w:val="Heading 2 Indent1"/>
    <w:basedOn w:val="Heading2"/>
    <w:next w:val="Normal"/>
    <w:rsid w:val="0081325E"/>
    <w:pPr>
      <w:ind w:left="510"/>
    </w:pPr>
  </w:style>
  <w:style w:type="paragraph" w:customStyle="1" w:styleId="Heading3Indent1">
    <w:name w:val="Heading 3 Indent1"/>
    <w:basedOn w:val="Heading3"/>
    <w:next w:val="Normal"/>
    <w:rsid w:val="0081325E"/>
    <w:pPr>
      <w:ind w:left="510"/>
    </w:pPr>
  </w:style>
  <w:style w:type="paragraph" w:customStyle="1" w:styleId="Heading4Indent1">
    <w:name w:val="Heading 4 Indent1"/>
    <w:basedOn w:val="Heading4"/>
    <w:next w:val="Normal"/>
    <w:rsid w:val="0081325E"/>
    <w:pPr>
      <w:ind w:left="510"/>
    </w:pPr>
  </w:style>
  <w:style w:type="paragraph" w:customStyle="1" w:styleId="Heading5Indent1">
    <w:name w:val="Heading 5 Indent1"/>
    <w:basedOn w:val="Heading5"/>
    <w:next w:val="Normal"/>
    <w:rsid w:val="0081325E"/>
    <w:pPr>
      <w:ind w:left="510"/>
    </w:pPr>
  </w:style>
  <w:style w:type="paragraph" w:customStyle="1" w:styleId="Heading6Indent1">
    <w:name w:val="Heading 6 Indent1"/>
    <w:basedOn w:val="Heading6"/>
    <w:next w:val="Normal"/>
    <w:rsid w:val="0081325E"/>
    <w:pPr>
      <w:ind w:left="510"/>
    </w:pPr>
  </w:style>
  <w:style w:type="paragraph" w:styleId="Header">
    <w:name w:val="header"/>
    <w:basedOn w:val="Normal"/>
    <w:link w:val="HeaderChar"/>
    <w:rsid w:val="0081325E"/>
    <w:pPr>
      <w:tabs>
        <w:tab w:val="center" w:pos="3119"/>
        <w:tab w:val="right" w:pos="6237"/>
      </w:tabs>
    </w:pPr>
  </w:style>
  <w:style w:type="paragraph" w:styleId="Footer">
    <w:name w:val="footer"/>
    <w:basedOn w:val="Normal"/>
    <w:rsid w:val="0081325E"/>
    <w:pPr>
      <w:tabs>
        <w:tab w:val="center" w:pos="3119"/>
        <w:tab w:val="right" w:pos="6237"/>
      </w:tabs>
    </w:pPr>
  </w:style>
  <w:style w:type="paragraph" w:customStyle="1" w:styleId="CoverStandard">
    <w:name w:val="Cover Standard"/>
    <w:basedOn w:val="Normal"/>
    <w:next w:val="Normal"/>
    <w:rsid w:val="0081325E"/>
    <w:pPr>
      <w:spacing w:line="280" w:lineRule="exact"/>
    </w:pPr>
    <w:rPr>
      <w:b/>
      <w:sz w:val="28"/>
    </w:rPr>
  </w:style>
  <w:style w:type="paragraph" w:customStyle="1" w:styleId="CoverNumber">
    <w:name w:val="Cover Number"/>
    <w:basedOn w:val="Normal"/>
    <w:next w:val="Normal"/>
    <w:rsid w:val="0081325E"/>
    <w:pPr>
      <w:spacing w:line="320" w:lineRule="exact"/>
      <w:jc w:val="right"/>
    </w:pPr>
    <w:rPr>
      <w:b/>
      <w:caps/>
      <w:sz w:val="32"/>
    </w:rPr>
  </w:style>
  <w:style w:type="paragraph" w:customStyle="1" w:styleId="CoverRelease">
    <w:name w:val="Cover Release"/>
    <w:basedOn w:val="Normal"/>
    <w:next w:val="Normal"/>
    <w:rsid w:val="0081325E"/>
    <w:pPr>
      <w:spacing w:line="240" w:lineRule="exact"/>
    </w:pPr>
    <w:rPr>
      <w:sz w:val="24"/>
    </w:rPr>
  </w:style>
  <w:style w:type="paragraph" w:customStyle="1" w:styleId="CoverDate">
    <w:name w:val="Cover Date"/>
    <w:basedOn w:val="Normal"/>
    <w:next w:val="Normal"/>
    <w:rsid w:val="0081325E"/>
    <w:pPr>
      <w:spacing w:line="240" w:lineRule="exact"/>
      <w:jc w:val="right"/>
    </w:pPr>
    <w:rPr>
      <w:sz w:val="24"/>
    </w:rPr>
  </w:style>
  <w:style w:type="paragraph" w:customStyle="1" w:styleId="CoverTitle">
    <w:name w:val="Cover Title"/>
    <w:basedOn w:val="Normal"/>
    <w:rsid w:val="0081325E"/>
    <w:pPr>
      <w:spacing w:before="800" w:after="500" w:line="500" w:lineRule="exact"/>
    </w:pPr>
    <w:rPr>
      <w:b/>
      <w:sz w:val="50"/>
    </w:rPr>
  </w:style>
  <w:style w:type="paragraph" w:customStyle="1" w:styleId="CoverBox">
    <w:name w:val="Cover Box"/>
    <w:basedOn w:val="Normal"/>
    <w:rsid w:val="0081325E"/>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81325E"/>
    <w:pPr>
      <w:tabs>
        <w:tab w:val="left" w:pos="907"/>
      </w:tabs>
    </w:pPr>
  </w:style>
  <w:style w:type="paragraph" w:customStyle="1" w:styleId="CoverLeadPara">
    <w:name w:val="Cover LeadPara"/>
    <w:basedOn w:val="Normal"/>
    <w:next w:val="Normal"/>
    <w:rsid w:val="0081325E"/>
    <w:pPr>
      <w:spacing w:after="100"/>
    </w:pPr>
  </w:style>
  <w:style w:type="paragraph" w:customStyle="1" w:styleId="ContentsCapsPlainPg">
    <w:name w:val="Contents CapsPlainPg"/>
    <w:basedOn w:val="Normal"/>
    <w:next w:val="ContentsLevel1"/>
    <w:rsid w:val="0081325E"/>
    <w:pPr>
      <w:tabs>
        <w:tab w:val="right" w:pos="6237"/>
      </w:tabs>
      <w:spacing w:after="200"/>
      <w:ind w:left="170" w:right="1134" w:hanging="170"/>
    </w:pPr>
    <w:rPr>
      <w:caps/>
    </w:rPr>
  </w:style>
  <w:style w:type="paragraph" w:customStyle="1" w:styleId="ContentsLevel1">
    <w:name w:val="Contents Level1"/>
    <w:basedOn w:val="Normal"/>
    <w:rsid w:val="0081325E"/>
    <w:pPr>
      <w:tabs>
        <w:tab w:val="right" w:pos="6237"/>
      </w:tabs>
      <w:spacing w:after="60"/>
      <w:ind w:left="170" w:right="1134" w:hanging="170"/>
    </w:pPr>
  </w:style>
  <w:style w:type="paragraph" w:customStyle="1" w:styleId="ContentsCapsBoldPg">
    <w:name w:val="Contents CapsBoldPg"/>
    <w:basedOn w:val="ContentsCapsPlainPg"/>
    <w:next w:val="ContentsLevel1"/>
    <w:rsid w:val="0081325E"/>
    <w:rPr>
      <w:b/>
    </w:rPr>
  </w:style>
  <w:style w:type="paragraph" w:customStyle="1" w:styleId="ContentsLevel2">
    <w:name w:val="Contents Level2"/>
    <w:basedOn w:val="ContentsLevel1"/>
    <w:rsid w:val="0081325E"/>
    <w:pPr>
      <w:ind w:left="510"/>
    </w:pPr>
  </w:style>
  <w:style w:type="paragraph" w:customStyle="1" w:styleId="ContentsLevel3">
    <w:name w:val="Contents Level3"/>
    <w:basedOn w:val="ContentsLevel2"/>
    <w:rsid w:val="0081325E"/>
    <w:pPr>
      <w:ind w:left="850"/>
    </w:pPr>
  </w:style>
  <w:style w:type="paragraph" w:customStyle="1" w:styleId="ContentsLevel4">
    <w:name w:val="Contents Level4"/>
    <w:basedOn w:val="ContentsLevel3"/>
    <w:rsid w:val="0081325E"/>
    <w:pPr>
      <w:ind w:left="1191"/>
    </w:pPr>
  </w:style>
  <w:style w:type="paragraph" w:customStyle="1" w:styleId="ContentsBox">
    <w:name w:val="Contents Box"/>
    <w:basedOn w:val="Normal"/>
    <w:rsid w:val="0081325E"/>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81325E"/>
  </w:style>
  <w:style w:type="character" w:styleId="Hyperlink">
    <w:name w:val="Hyperlink"/>
    <w:basedOn w:val="DefaultParagraphFont"/>
    <w:rsid w:val="0081325E"/>
    <w:rPr>
      <w:color w:val="0000FF"/>
      <w:u w:val="single"/>
    </w:rPr>
  </w:style>
  <w:style w:type="paragraph" w:customStyle="1" w:styleId="NumPlainA">
    <w:name w:val="Num PlainA"/>
    <w:basedOn w:val="Normal"/>
    <w:qFormat/>
    <w:rsid w:val="0081325E"/>
    <w:pPr>
      <w:numPr>
        <w:numId w:val="7"/>
      </w:numPr>
      <w:spacing w:after="200"/>
    </w:pPr>
  </w:style>
  <w:style w:type="paragraph" w:customStyle="1" w:styleId="NoNumPlain1">
    <w:name w:val="NoNum Plain1"/>
    <w:basedOn w:val="Normal"/>
    <w:qFormat/>
    <w:rsid w:val="0081325E"/>
    <w:pPr>
      <w:spacing w:after="200"/>
    </w:pPr>
  </w:style>
  <w:style w:type="paragraph" w:customStyle="1" w:styleId="NoNumPlain2">
    <w:name w:val="NoNum Plain2"/>
    <w:basedOn w:val="NoNumPlain1"/>
    <w:rsid w:val="0081325E"/>
    <w:pPr>
      <w:ind w:left="510"/>
    </w:pPr>
  </w:style>
  <w:style w:type="paragraph" w:customStyle="1" w:styleId="NoNumPlain3">
    <w:name w:val="NoNum Plain3"/>
    <w:basedOn w:val="NoNumPlain2"/>
    <w:rsid w:val="0081325E"/>
    <w:pPr>
      <w:ind w:left="1021"/>
    </w:pPr>
  </w:style>
  <w:style w:type="paragraph" w:customStyle="1" w:styleId="NoNumPlain4">
    <w:name w:val="NoNum Plain4"/>
    <w:basedOn w:val="NoNumPlain3"/>
    <w:rsid w:val="0081325E"/>
    <w:pPr>
      <w:ind w:left="1531"/>
    </w:pPr>
  </w:style>
  <w:style w:type="paragraph" w:customStyle="1" w:styleId="NoNumBold1">
    <w:name w:val="NoNum Bold1"/>
    <w:basedOn w:val="Normal"/>
    <w:qFormat/>
    <w:rsid w:val="0081325E"/>
    <w:pPr>
      <w:spacing w:after="200"/>
    </w:pPr>
    <w:rPr>
      <w:b/>
    </w:rPr>
  </w:style>
  <w:style w:type="paragraph" w:customStyle="1" w:styleId="NoNumBold2">
    <w:name w:val="NoNum Bold2"/>
    <w:basedOn w:val="NoNumBold1"/>
    <w:rsid w:val="0081325E"/>
    <w:pPr>
      <w:ind w:left="510"/>
    </w:pPr>
  </w:style>
  <w:style w:type="paragraph" w:customStyle="1" w:styleId="NoNumBold3">
    <w:name w:val="NoNum Bold3"/>
    <w:basedOn w:val="NoNumBold2"/>
    <w:rsid w:val="0081325E"/>
    <w:pPr>
      <w:ind w:left="1021"/>
    </w:pPr>
  </w:style>
  <w:style w:type="paragraph" w:customStyle="1" w:styleId="NoNumBold4">
    <w:name w:val="NoNum Bold4"/>
    <w:basedOn w:val="NoNumBold3"/>
    <w:rsid w:val="0081325E"/>
    <w:pPr>
      <w:ind w:left="1531"/>
    </w:pPr>
  </w:style>
  <w:style w:type="paragraph" w:customStyle="1" w:styleId="NumPlain1">
    <w:name w:val="Num Plain1"/>
    <w:basedOn w:val="Normal"/>
    <w:link w:val="NumPlain1Char"/>
    <w:qFormat/>
    <w:rsid w:val="0081325E"/>
    <w:pPr>
      <w:numPr>
        <w:numId w:val="2"/>
      </w:numPr>
      <w:spacing w:after="200"/>
    </w:pPr>
  </w:style>
  <w:style w:type="paragraph" w:customStyle="1" w:styleId="NumPlain2">
    <w:name w:val="Num Plain2"/>
    <w:basedOn w:val="NumPlain1"/>
    <w:rsid w:val="0081325E"/>
    <w:pPr>
      <w:numPr>
        <w:ilvl w:val="1"/>
      </w:numPr>
    </w:pPr>
  </w:style>
  <w:style w:type="paragraph" w:customStyle="1" w:styleId="NumPlain3">
    <w:name w:val="Num Plain3"/>
    <w:basedOn w:val="NumPlain2"/>
    <w:rsid w:val="0081325E"/>
    <w:pPr>
      <w:numPr>
        <w:ilvl w:val="2"/>
      </w:numPr>
    </w:pPr>
  </w:style>
  <w:style w:type="paragraph" w:customStyle="1" w:styleId="NumPlain4">
    <w:name w:val="Num Plain4"/>
    <w:basedOn w:val="NumPlain3"/>
    <w:rsid w:val="0081325E"/>
    <w:pPr>
      <w:numPr>
        <w:ilvl w:val="3"/>
      </w:numPr>
    </w:pPr>
  </w:style>
  <w:style w:type="paragraph" w:customStyle="1" w:styleId="Bullet1">
    <w:name w:val="Bullet1"/>
    <w:basedOn w:val="Normal"/>
    <w:qFormat/>
    <w:rsid w:val="0081325E"/>
    <w:pPr>
      <w:numPr>
        <w:numId w:val="6"/>
      </w:numPr>
      <w:spacing w:after="200"/>
    </w:pPr>
  </w:style>
  <w:style w:type="paragraph" w:customStyle="1" w:styleId="Bullet2">
    <w:name w:val="Bullet2"/>
    <w:basedOn w:val="Normal"/>
    <w:rsid w:val="0081325E"/>
    <w:pPr>
      <w:numPr>
        <w:ilvl w:val="1"/>
        <w:numId w:val="6"/>
      </w:numPr>
      <w:spacing w:after="200"/>
    </w:pPr>
  </w:style>
  <w:style w:type="paragraph" w:customStyle="1" w:styleId="Bullet3">
    <w:name w:val="Bullet3"/>
    <w:basedOn w:val="Normal"/>
    <w:rsid w:val="0081325E"/>
    <w:pPr>
      <w:numPr>
        <w:ilvl w:val="2"/>
        <w:numId w:val="6"/>
      </w:numPr>
      <w:spacing w:after="200"/>
    </w:pPr>
  </w:style>
  <w:style w:type="paragraph" w:customStyle="1" w:styleId="CommentsPage">
    <w:name w:val="CommentsPage"/>
    <w:basedOn w:val="Normal"/>
    <w:next w:val="Normal"/>
    <w:rsid w:val="0081325E"/>
  </w:style>
  <w:style w:type="paragraph" w:customStyle="1" w:styleId="Bullet4">
    <w:name w:val="Bullet4"/>
    <w:basedOn w:val="Normal"/>
    <w:rsid w:val="0081325E"/>
    <w:pPr>
      <w:numPr>
        <w:ilvl w:val="3"/>
        <w:numId w:val="6"/>
      </w:numPr>
      <w:spacing w:after="200"/>
    </w:pPr>
  </w:style>
  <w:style w:type="paragraph" w:customStyle="1" w:styleId="ContentsCapsPlain">
    <w:name w:val="Contents CapsPlain"/>
    <w:basedOn w:val="Normal"/>
    <w:next w:val="ContentsLevel1"/>
    <w:rsid w:val="0081325E"/>
    <w:pPr>
      <w:spacing w:after="200"/>
    </w:pPr>
    <w:rPr>
      <w:caps/>
    </w:rPr>
  </w:style>
  <w:style w:type="paragraph" w:customStyle="1" w:styleId="ContentsCapsBold">
    <w:name w:val="Contents CapsBold"/>
    <w:basedOn w:val="ContentsCapsPlain"/>
    <w:next w:val="ContentsLevel1"/>
    <w:rsid w:val="0081325E"/>
    <w:pPr>
      <w:spacing w:after="0"/>
    </w:pPr>
    <w:rPr>
      <w:b/>
    </w:rPr>
  </w:style>
  <w:style w:type="paragraph" w:customStyle="1" w:styleId="ContentsParaHead">
    <w:name w:val="Contents ParaHead"/>
    <w:basedOn w:val="Normal"/>
    <w:next w:val="Normal"/>
    <w:rsid w:val="0081325E"/>
    <w:pPr>
      <w:spacing w:after="60"/>
      <w:jc w:val="right"/>
    </w:pPr>
    <w:rPr>
      <w:i/>
    </w:rPr>
  </w:style>
  <w:style w:type="paragraph" w:styleId="DocumentMap">
    <w:name w:val="Document Map"/>
    <w:basedOn w:val="Normal"/>
    <w:semiHidden/>
    <w:rsid w:val="0081325E"/>
    <w:pPr>
      <w:shd w:val="clear" w:color="auto" w:fill="000080"/>
    </w:pPr>
    <w:rPr>
      <w:rFonts w:ascii="Tahoma" w:hAnsi="Tahoma" w:cs="Tahoma"/>
    </w:rPr>
  </w:style>
  <w:style w:type="paragraph" w:customStyle="1" w:styleId="ContentsLevel1NoIndent">
    <w:name w:val="Contents Level1 NoIndent"/>
    <w:basedOn w:val="ContentsLevel1"/>
    <w:rsid w:val="0081325E"/>
    <w:pPr>
      <w:ind w:left="0" w:firstLine="0"/>
    </w:pPr>
  </w:style>
  <w:style w:type="paragraph" w:customStyle="1" w:styleId="AppendixNo">
    <w:name w:val="AppendixNo"/>
    <w:basedOn w:val="Normal"/>
    <w:next w:val="Normal"/>
    <w:rsid w:val="0081325E"/>
    <w:pPr>
      <w:keepNext/>
      <w:spacing w:after="200" w:line="280" w:lineRule="exact"/>
      <w:jc w:val="center"/>
      <w:outlineLvl w:val="0"/>
    </w:pPr>
    <w:rPr>
      <w:b/>
      <w:caps/>
      <w:sz w:val="28"/>
      <w:szCs w:val="28"/>
    </w:rPr>
  </w:style>
  <w:style w:type="paragraph" w:customStyle="1" w:styleId="BCHanging0">
    <w:name w:val="BC Hanging0"/>
    <w:basedOn w:val="NoNumPlain1"/>
    <w:qFormat/>
    <w:rsid w:val="0081325E"/>
    <w:pPr>
      <w:ind w:left="624" w:hanging="624"/>
    </w:pPr>
  </w:style>
  <w:style w:type="paragraph" w:customStyle="1" w:styleId="AppendixNote">
    <w:name w:val="AppendixNote"/>
    <w:basedOn w:val="Normal"/>
    <w:next w:val="Normal"/>
    <w:rsid w:val="0081325E"/>
    <w:pPr>
      <w:spacing w:after="200"/>
    </w:pPr>
    <w:rPr>
      <w:i/>
      <w:iCs/>
    </w:rPr>
  </w:style>
  <w:style w:type="paragraph" w:customStyle="1" w:styleId="AppendixText">
    <w:name w:val="AppendixText"/>
    <w:basedOn w:val="Normal"/>
    <w:rsid w:val="0081325E"/>
    <w:pPr>
      <w:spacing w:after="200"/>
    </w:pPr>
  </w:style>
  <w:style w:type="paragraph" w:customStyle="1" w:styleId="AppendixTitle">
    <w:name w:val="AppendixTitle"/>
    <w:basedOn w:val="Normal"/>
    <w:next w:val="AppendixNote"/>
    <w:rsid w:val="0081325E"/>
    <w:pPr>
      <w:keepNext/>
      <w:spacing w:after="200" w:line="280" w:lineRule="exact"/>
      <w:jc w:val="center"/>
      <w:outlineLvl w:val="0"/>
    </w:pPr>
    <w:rPr>
      <w:b/>
      <w:caps/>
      <w:sz w:val="28"/>
      <w:szCs w:val="28"/>
    </w:rPr>
  </w:style>
  <w:style w:type="paragraph" w:customStyle="1" w:styleId="NoNumBC2">
    <w:name w:val="NoNum BC2"/>
    <w:basedOn w:val="NoNumPlain1"/>
    <w:rsid w:val="0081325E"/>
    <w:pPr>
      <w:ind w:left="624"/>
    </w:pPr>
  </w:style>
  <w:style w:type="paragraph" w:customStyle="1" w:styleId="BCHanging1">
    <w:name w:val="BC Hanging1"/>
    <w:basedOn w:val="NoNumBC2"/>
    <w:rsid w:val="0081325E"/>
    <w:pPr>
      <w:ind w:left="1248" w:hanging="624"/>
    </w:pPr>
  </w:style>
  <w:style w:type="paragraph" w:customStyle="1" w:styleId="BCHanging2">
    <w:name w:val="BC Hanging2"/>
    <w:basedOn w:val="BCHanging1"/>
    <w:rsid w:val="0081325E"/>
    <w:pPr>
      <w:ind w:left="1871"/>
    </w:pPr>
  </w:style>
  <w:style w:type="paragraph" w:customStyle="1" w:styleId="BCHanging3">
    <w:name w:val="BC Hanging3"/>
    <w:basedOn w:val="BCHanging1"/>
    <w:rsid w:val="0081325E"/>
    <w:pPr>
      <w:ind w:left="2495"/>
    </w:pPr>
  </w:style>
  <w:style w:type="paragraph" w:customStyle="1" w:styleId="CoverSubtitle">
    <w:name w:val="Cover Subtitle"/>
    <w:basedOn w:val="CoverTitle"/>
    <w:rsid w:val="0081325E"/>
    <w:pPr>
      <w:spacing w:before="0" w:after="0"/>
    </w:pPr>
    <w:rPr>
      <w:sz w:val="40"/>
      <w:szCs w:val="40"/>
    </w:rPr>
  </w:style>
  <w:style w:type="paragraph" w:customStyle="1" w:styleId="NumberedList">
    <w:name w:val="NumberedList"/>
    <w:basedOn w:val="Normal"/>
    <w:qFormat/>
    <w:rsid w:val="0081325E"/>
    <w:pPr>
      <w:numPr>
        <w:numId w:val="3"/>
      </w:numPr>
      <w:spacing w:after="200"/>
    </w:pPr>
  </w:style>
  <w:style w:type="paragraph" w:customStyle="1" w:styleId="NumBold1">
    <w:name w:val="Num Bold1"/>
    <w:basedOn w:val="NumPlain1"/>
    <w:qFormat/>
    <w:rsid w:val="0081325E"/>
    <w:rPr>
      <w:b/>
    </w:rPr>
  </w:style>
  <w:style w:type="paragraph" w:customStyle="1" w:styleId="NumBold2">
    <w:name w:val="Num Bold2"/>
    <w:basedOn w:val="NumPlain2"/>
    <w:rsid w:val="0081325E"/>
    <w:rPr>
      <w:b/>
    </w:rPr>
  </w:style>
  <w:style w:type="paragraph" w:customStyle="1" w:styleId="NumBold3">
    <w:name w:val="Num Bold3"/>
    <w:basedOn w:val="NumPlain3"/>
    <w:rsid w:val="0081325E"/>
    <w:rPr>
      <w:b/>
    </w:rPr>
  </w:style>
  <w:style w:type="paragraph" w:customStyle="1" w:styleId="NumBold4">
    <w:name w:val="Num Bold4"/>
    <w:basedOn w:val="NumPlain4"/>
    <w:rsid w:val="0081325E"/>
    <w:rPr>
      <w:b/>
    </w:rPr>
  </w:style>
  <w:style w:type="paragraph" w:customStyle="1" w:styleId="PlainHanging1">
    <w:name w:val="Plain Hanging1"/>
    <w:basedOn w:val="NoNumPlain2"/>
    <w:rsid w:val="0081325E"/>
    <w:pPr>
      <w:ind w:left="1020" w:hanging="510"/>
    </w:pPr>
  </w:style>
  <w:style w:type="paragraph" w:customStyle="1" w:styleId="PlainHanging2">
    <w:name w:val="Plain Hanging2"/>
    <w:basedOn w:val="PlainHanging1"/>
    <w:rsid w:val="0081325E"/>
    <w:pPr>
      <w:ind w:left="1531"/>
    </w:pPr>
  </w:style>
  <w:style w:type="paragraph" w:customStyle="1" w:styleId="PlainHanging3">
    <w:name w:val="Plain Hanging3"/>
    <w:basedOn w:val="PlainHanging1"/>
    <w:rsid w:val="0081325E"/>
    <w:pPr>
      <w:ind w:left="2041"/>
    </w:pPr>
  </w:style>
  <w:style w:type="paragraph" w:customStyle="1" w:styleId="PlainHanging4">
    <w:name w:val="Plain Hanging4"/>
    <w:basedOn w:val="PlainHanging1"/>
    <w:rsid w:val="0081325E"/>
    <w:pPr>
      <w:ind w:left="2551"/>
    </w:pPr>
  </w:style>
  <w:style w:type="paragraph" w:customStyle="1" w:styleId="BoldHanging1">
    <w:name w:val="Bold Hanging1"/>
    <w:basedOn w:val="PlainHanging1"/>
    <w:rsid w:val="0081325E"/>
    <w:rPr>
      <w:b/>
    </w:rPr>
  </w:style>
  <w:style w:type="paragraph" w:customStyle="1" w:styleId="BoldHanging2">
    <w:name w:val="Bold Hanging2"/>
    <w:basedOn w:val="PlainHanging2"/>
    <w:rsid w:val="0081325E"/>
    <w:rPr>
      <w:b/>
    </w:rPr>
  </w:style>
  <w:style w:type="paragraph" w:customStyle="1" w:styleId="BoldHanging3">
    <w:name w:val="Bold Hanging3"/>
    <w:basedOn w:val="PlainHanging3"/>
    <w:rsid w:val="0081325E"/>
    <w:rPr>
      <w:b/>
    </w:rPr>
  </w:style>
  <w:style w:type="paragraph" w:customStyle="1" w:styleId="BoldHanging4">
    <w:name w:val="Bold Hanging4"/>
    <w:basedOn w:val="PlainHanging4"/>
    <w:rsid w:val="0081325E"/>
    <w:rPr>
      <w:b/>
    </w:rPr>
  </w:style>
  <w:style w:type="paragraph" w:customStyle="1" w:styleId="PlainHanging0">
    <w:name w:val="Plain Hanging0"/>
    <w:basedOn w:val="PlainHanging1"/>
    <w:qFormat/>
    <w:rsid w:val="0081325E"/>
    <w:pPr>
      <w:ind w:left="510"/>
    </w:pPr>
  </w:style>
  <w:style w:type="paragraph" w:customStyle="1" w:styleId="BoldHanging0">
    <w:name w:val="Bold Hanging0"/>
    <w:basedOn w:val="PlainHanging0"/>
    <w:qFormat/>
    <w:rsid w:val="0081325E"/>
    <w:rPr>
      <w:b/>
    </w:rPr>
  </w:style>
  <w:style w:type="paragraph" w:customStyle="1" w:styleId="BCHanging4">
    <w:name w:val="BC Hanging4"/>
    <w:basedOn w:val="BCHanging1"/>
    <w:rsid w:val="0081325E"/>
    <w:pPr>
      <w:ind w:left="3119"/>
    </w:pPr>
  </w:style>
  <w:style w:type="paragraph" w:customStyle="1" w:styleId="NoNumBC3">
    <w:name w:val="NoNum BC3"/>
    <w:basedOn w:val="NoNumBC2"/>
    <w:rsid w:val="0081325E"/>
    <w:pPr>
      <w:ind w:left="1247"/>
    </w:pPr>
  </w:style>
  <w:style w:type="paragraph" w:customStyle="1" w:styleId="NoNumBC4">
    <w:name w:val="NoNum BC4"/>
    <w:basedOn w:val="NoNumBC3"/>
    <w:rsid w:val="0081325E"/>
    <w:pPr>
      <w:ind w:left="1871"/>
    </w:pPr>
  </w:style>
  <w:style w:type="paragraph" w:customStyle="1" w:styleId="NumBC1">
    <w:name w:val="Num BC1"/>
    <w:basedOn w:val="Normal"/>
    <w:qFormat/>
    <w:rsid w:val="0081325E"/>
    <w:pPr>
      <w:numPr>
        <w:numId w:val="4"/>
      </w:numPr>
      <w:spacing w:after="200"/>
    </w:pPr>
  </w:style>
  <w:style w:type="paragraph" w:customStyle="1" w:styleId="NumBC2">
    <w:name w:val="Num BC2"/>
    <w:basedOn w:val="NumBC1"/>
    <w:rsid w:val="0081325E"/>
    <w:pPr>
      <w:numPr>
        <w:ilvl w:val="1"/>
      </w:numPr>
    </w:pPr>
  </w:style>
  <w:style w:type="paragraph" w:customStyle="1" w:styleId="NumBC3">
    <w:name w:val="Num BC3"/>
    <w:basedOn w:val="NumBC2"/>
    <w:rsid w:val="0081325E"/>
    <w:pPr>
      <w:numPr>
        <w:ilvl w:val="2"/>
      </w:numPr>
    </w:pPr>
  </w:style>
  <w:style w:type="paragraph" w:customStyle="1" w:styleId="NumBC4">
    <w:name w:val="Num BC4"/>
    <w:basedOn w:val="NumBC3"/>
    <w:rsid w:val="0081325E"/>
    <w:pPr>
      <w:numPr>
        <w:ilvl w:val="3"/>
      </w:numPr>
    </w:pPr>
  </w:style>
  <w:style w:type="numbering" w:customStyle="1" w:styleId="Bullets">
    <w:name w:val="Bullets"/>
    <w:uiPriority w:val="99"/>
    <w:rsid w:val="0081325E"/>
    <w:pPr>
      <w:numPr>
        <w:numId w:val="5"/>
      </w:numPr>
    </w:pPr>
  </w:style>
  <w:style w:type="paragraph" w:customStyle="1" w:styleId="NumPlainA2">
    <w:name w:val="Num PlainA2"/>
    <w:basedOn w:val="NumPlainA"/>
    <w:rsid w:val="0081325E"/>
    <w:pPr>
      <w:numPr>
        <w:ilvl w:val="1"/>
      </w:numPr>
      <w:outlineLvl w:val="1"/>
    </w:pPr>
  </w:style>
  <w:style w:type="table" w:styleId="TableGrid">
    <w:name w:val="Table Grid"/>
    <w:basedOn w:val="TableNormal"/>
    <w:rsid w:val="00813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Plain1Char">
    <w:name w:val="Num Plain1 Char"/>
    <w:basedOn w:val="DefaultParagraphFont"/>
    <w:link w:val="NumPlain1"/>
    <w:rsid w:val="006C16BB"/>
    <w:rPr>
      <w:lang w:eastAsia="en-US"/>
    </w:rPr>
  </w:style>
  <w:style w:type="paragraph" w:styleId="BalloonText">
    <w:name w:val="Balloon Text"/>
    <w:basedOn w:val="Normal"/>
    <w:link w:val="BalloonTextChar"/>
    <w:rsid w:val="003B6E0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B6E05"/>
    <w:rPr>
      <w:rFonts w:ascii="Tahoma" w:hAnsi="Tahoma" w:cs="Tahoma"/>
      <w:sz w:val="16"/>
      <w:szCs w:val="16"/>
      <w:lang w:eastAsia="en-US"/>
    </w:rPr>
  </w:style>
  <w:style w:type="character" w:styleId="CommentReference">
    <w:name w:val="annotation reference"/>
    <w:basedOn w:val="DefaultParagraphFont"/>
    <w:rsid w:val="00630789"/>
    <w:rPr>
      <w:sz w:val="16"/>
      <w:szCs w:val="16"/>
    </w:rPr>
  </w:style>
  <w:style w:type="paragraph" w:styleId="CommentText">
    <w:name w:val="annotation text"/>
    <w:basedOn w:val="Normal"/>
    <w:link w:val="CommentTextChar"/>
    <w:rsid w:val="00630789"/>
    <w:pPr>
      <w:spacing w:line="240" w:lineRule="auto"/>
    </w:pPr>
  </w:style>
  <w:style w:type="character" w:customStyle="1" w:styleId="CommentTextChar">
    <w:name w:val="Comment Text Char"/>
    <w:basedOn w:val="DefaultParagraphFont"/>
    <w:link w:val="CommentText"/>
    <w:rsid w:val="00630789"/>
    <w:rPr>
      <w:lang w:eastAsia="en-US"/>
    </w:rPr>
  </w:style>
  <w:style w:type="paragraph" w:styleId="CommentSubject">
    <w:name w:val="annotation subject"/>
    <w:basedOn w:val="CommentText"/>
    <w:next w:val="CommentText"/>
    <w:link w:val="CommentSubjectChar"/>
    <w:rsid w:val="00630789"/>
    <w:rPr>
      <w:b/>
      <w:bCs/>
    </w:rPr>
  </w:style>
  <w:style w:type="character" w:customStyle="1" w:styleId="CommentSubjectChar">
    <w:name w:val="Comment Subject Char"/>
    <w:basedOn w:val="CommentTextChar"/>
    <w:link w:val="CommentSubject"/>
    <w:rsid w:val="00630789"/>
    <w:rPr>
      <w:b/>
      <w:bCs/>
      <w:lang w:eastAsia="en-US"/>
    </w:rPr>
  </w:style>
  <w:style w:type="paragraph" w:customStyle="1" w:styleId="npara">
    <w:name w:val="npara"/>
    <w:uiPriority w:val="99"/>
    <w:rsid w:val="00CE7DF2"/>
    <w:pPr>
      <w:suppressAutoHyphens/>
      <w:autoSpaceDE w:val="0"/>
      <w:autoSpaceDN w:val="0"/>
      <w:adjustRightInd w:val="0"/>
      <w:spacing w:after="120" w:line="200" w:lineRule="atLeast"/>
      <w:jc w:val="both"/>
    </w:pPr>
    <w:rPr>
      <w:rFonts w:ascii="Swift LT Pro" w:hAnsi="Swift LT Pro" w:cs="Swift LT Pro"/>
      <w:color w:val="000000"/>
      <w:w w:val="0"/>
      <w:sz w:val="16"/>
      <w:szCs w:val="16"/>
      <w:lang w:val="en-GB" w:eastAsia="en-GB"/>
    </w:rPr>
  </w:style>
  <w:style w:type="numbering" w:customStyle="1" w:styleId="a">
    <w:name w:val="(a)"/>
    <w:uiPriority w:val="99"/>
    <w:rsid w:val="00C0715E"/>
    <w:pPr>
      <w:numPr>
        <w:numId w:val="8"/>
      </w:numPr>
    </w:pPr>
  </w:style>
  <w:style w:type="paragraph" w:customStyle="1" w:styleId="SubNumPlain1">
    <w:name w:val="SubNum Plain1"/>
    <w:basedOn w:val="PlainHanging1"/>
    <w:qFormat/>
    <w:rsid w:val="0081325E"/>
    <w:pPr>
      <w:numPr>
        <w:numId w:val="18"/>
      </w:numPr>
    </w:pPr>
  </w:style>
  <w:style w:type="paragraph" w:customStyle="1" w:styleId="SubNumPlain2">
    <w:name w:val="SubNum Plain2"/>
    <w:basedOn w:val="PlainHanging2"/>
    <w:qFormat/>
    <w:rsid w:val="0081325E"/>
    <w:pPr>
      <w:numPr>
        <w:ilvl w:val="1"/>
        <w:numId w:val="18"/>
      </w:numPr>
    </w:pPr>
  </w:style>
  <w:style w:type="paragraph" w:customStyle="1" w:styleId="SubNumPlain3">
    <w:name w:val="SubNum Plain3"/>
    <w:basedOn w:val="PlainHanging3"/>
    <w:qFormat/>
    <w:rsid w:val="0081325E"/>
    <w:pPr>
      <w:numPr>
        <w:ilvl w:val="2"/>
        <w:numId w:val="18"/>
      </w:numPr>
    </w:pPr>
  </w:style>
  <w:style w:type="paragraph" w:customStyle="1" w:styleId="SubNumPlain4">
    <w:name w:val="SubNum Plain4"/>
    <w:basedOn w:val="PlainHanging4"/>
    <w:qFormat/>
    <w:rsid w:val="0081325E"/>
    <w:pPr>
      <w:numPr>
        <w:ilvl w:val="3"/>
        <w:numId w:val="18"/>
      </w:numPr>
    </w:pPr>
  </w:style>
  <w:style w:type="paragraph" w:customStyle="1" w:styleId="SubNumBold1">
    <w:name w:val="SubNum Bold1"/>
    <w:basedOn w:val="BoldHanging1"/>
    <w:qFormat/>
    <w:rsid w:val="0081325E"/>
    <w:pPr>
      <w:numPr>
        <w:numId w:val="19"/>
      </w:numPr>
    </w:pPr>
  </w:style>
  <w:style w:type="paragraph" w:customStyle="1" w:styleId="SubNumBold2">
    <w:name w:val="SubNum Bold2"/>
    <w:basedOn w:val="BoldHanging2"/>
    <w:qFormat/>
    <w:rsid w:val="0081325E"/>
    <w:pPr>
      <w:numPr>
        <w:ilvl w:val="1"/>
        <w:numId w:val="19"/>
      </w:numPr>
      <w:tabs>
        <w:tab w:val="clear" w:pos="1277"/>
        <w:tab w:val="num" w:pos="1020"/>
      </w:tabs>
      <w:ind w:left="1531"/>
    </w:pPr>
  </w:style>
  <w:style w:type="paragraph" w:customStyle="1" w:styleId="SubNumBold3">
    <w:name w:val="SubNum Bold3"/>
    <w:basedOn w:val="BoldHanging3"/>
    <w:qFormat/>
    <w:rsid w:val="0081325E"/>
    <w:pPr>
      <w:numPr>
        <w:ilvl w:val="2"/>
        <w:numId w:val="19"/>
      </w:numPr>
    </w:pPr>
  </w:style>
  <w:style w:type="paragraph" w:customStyle="1" w:styleId="SubNumBold4">
    <w:name w:val="SubNum Bold4"/>
    <w:basedOn w:val="BoldHanging4"/>
    <w:qFormat/>
    <w:rsid w:val="0081325E"/>
    <w:pPr>
      <w:numPr>
        <w:ilvl w:val="3"/>
        <w:numId w:val="19"/>
      </w:numPr>
    </w:pPr>
  </w:style>
  <w:style w:type="numbering" w:customStyle="1" w:styleId="AASBSubNumbers">
    <w:name w:val="AASB SubNumbers"/>
    <w:uiPriority w:val="99"/>
    <w:rsid w:val="0081325E"/>
    <w:pPr>
      <w:numPr>
        <w:numId w:val="17"/>
      </w:numPr>
    </w:pPr>
  </w:style>
  <w:style w:type="numbering" w:customStyle="1" w:styleId="AASBSubNumbersBold">
    <w:name w:val="AASB SubNumbers Bold"/>
    <w:uiPriority w:val="99"/>
    <w:rsid w:val="0081325E"/>
    <w:pPr>
      <w:numPr>
        <w:numId w:val="19"/>
      </w:numPr>
    </w:pPr>
  </w:style>
  <w:style w:type="paragraph" w:customStyle="1" w:styleId="Default">
    <w:name w:val="Default"/>
    <w:rsid w:val="00AF7181"/>
    <w:pPr>
      <w:autoSpaceDE w:val="0"/>
      <w:autoSpaceDN w:val="0"/>
      <w:adjustRightInd w:val="0"/>
    </w:pPr>
    <w:rPr>
      <w:color w:val="000000"/>
      <w:sz w:val="24"/>
      <w:szCs w:val="24"/>
    </w:rPr>
  </w:style>
  <w:style w:type="paragraph" w:customStyle="1" w:styleId="AusPlain2">
    <w:name w:val="Aus Plain2"/>
    <w:basedOn w:val="Default"/>
    <w:next w:val="Default"/>
    <w:uiPriority w:val="99"/>
    <w:rsid w:val="00AF7181"/>
    <w:rPr>
      <w:color w:val="auto"/>
    </w:rPr>
  </w:style>
  <w:style w:type="table" w:customStyle="1" w:styleId="IASBInsideTable">
    <w:name w:val="IASB Inside Table"/>
    <w:rsid w:val="00172D03"/>
    <w:tblPr>
      <w:tblOverlap w:val="never"/>
      <w:tblCellMar>
        <w:top w:w="10" w:type="dxa"/>
        <w:left w:w="50" w:type="dxa"/>
        <w:bottom w:w="5" w:type="dxa"/>
        <w:right w:w="50" w:type="dxa"/>
      </w:tblCellMar>
    </w:tblPr>
  </w:style>
  <w:style w:type="paragraph" w:customStyle="1" w:styleId="IASBNormalArial">
    <w:name w:val="IASB Normal Arial"/>
    <w:basedOn w:val="Normal"/>
    <w:rsid w:val="00172D03"/>
    <w:pPr>
      <w:spacing w:before="200" w:after="100" w:line="240" w:lineRule="auto"/>
      <w:jc w:val="both"/>
    </w:pPr>
    <w:rPr>
      <w:rFonts w:ascii="Arial" w:hAnsi="Arial" w:cs="Arial"/>
      <w:sz w:val="19"/>
      <w:lang w:val="en-US"/>
    </w:rPr>
  </w:style>
  <w:style w:type="paragraph" w:customStyle="1" w:styleId="CellBody">
    <w:name w:val="CellBody"/>
    <w:rsid w:val="00172D03"/>
    <w:pPr>
      <w:suppressAutoHyphens/>
      <w:autoSpaceDE w:val="0"/>
      <w:autoSpaceDN w:val="0"/>
      <w:adjustRightInd w:val="0"/>
      <w:spacing w:line="180" w:lineRule="atLeast"/>
    </w:pPr>
    <w:rPr>
      <w:rFonts w:ascii="Helvetica LT Std" w:hAnsi="Helvetica LT Std" w:cs="Helvetica LT Std"/>
      <w:color w:val="000000"/>
      <w:w w:val="0"/>
      <w:sz w:val="16"/>
      <w:szCs w:val="16"/>
      <w:lang w:val="en-GB" w:eastAsia="en-US"/>
    </w:rPr>
  </w:style>
  <w:style w:type="paragraph" w:customStyle="1" w:styleId="nonelevel2bold">
    <w:name w:val="none_level2_bold"/>
    <w:rsid w:val="00172D03"/>
    <w:pPr>
      <w:tabs>
        <w:tab w:val="left" w:pos="420"/>
        <w:tab w:val="left" w:pos="840"/>
      </w:tabs>
      <w:suppressAutoHyphens/>
      <w:autoSpaceDE w:val="0"/>
      <w:autoSpaceDN w:val="0"/>
      <w:adjustRightInd w:val="0"/>
      <w:spacing w:after="120" w:line="220" w:lineRule="atLeast"/>
      <w:ind w:left="840" w:hanging="840"/>
      <w:jc w:val="both"/>
    </w:pPr>
    <w:rPr>
      <w:rFonts w:ascii="Swift LT Pro Extra Bold" w:hAnsi="Swift LT Pro Extra Bold" w:cs="Swift LT Pro Extra Bold"/>
      <w:color w:val="000000"/>
      <w:w w:val="0"/>
      <w:sz w:val="16"/>
      <w:szCs w:val="16"/>
      <w:lang w:val="en-GB" w:eastAsia="en-US"/>
    </w:rPr>
  </w:style>
  <w:style w:type="paragraph" w:customStyle="1" w:styleId="AASBNormalTable">
    <w:name w:val="AASB Normal Table"/>
    <w:basedOn w:val="IASBNormalArial"/>
    <w:qFormat/>
    <w:rsid w:val="00DF234F"/>
    <w:pPr>
      <w:spacing w:beforeLines="20" w:before="48" w:after="160"/>
      <w:jc w:val="left"/>
    </w:pPr>
    <w:rPr>
      <w:rFonts w:ascii="Times New Roman" w:hAnsi="Times New Roman" w:cs="Times New Roman"/>
      <w:sz w:val="20"/>
    </w:rPr>
  </w:style>
  <w:style w:type="character" w:customStyle="1" w:styleId="HeaderChar">
    <w:name w:val="Header Char"/>
    <w:basedOn w:val="DefaultParagraphFont"/>
    <w:link w:val="Header"/>
    <w:rsid w:val="00687A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6DD8-AC0D-4CC9-94A9-8A41B7F7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AmendingStandard.dotx</Template>
  <TotalTime>23</TotalTime>
  <Pages>17</Pages>
  <Words>3882</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Masha 22 May</dc:creator>
  <cp:lastModifiedBy>Masha 22 May</cp:lastModifiedBy>
  <cp:revision>6</cp:revision>
  <cp:lastPrinted>2009-11-13T00:56:00Z</cp:lastPrinted>
  <dcterms:created xsi:type="dcterms:W3CDTF">2012-07-05T00:35:00Z</dcterms:created>
  <dcterms:modified xsi:type="dcterms:W3CDTF">2012-07-05T05:50:00Z</dcterms:modified>
</cp:coreProperties>
</file>