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Default="00396BCD" w:rsidP="000D428B">
      <w:pPr>
        <w:pStyle w:val="CoverTitle"/>
        <w:spacing w:after="3000"/>
        <w:jc w:val="center"/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E507F8">
        <w:rPr>
          <w:sz w:val="36"/>
          <w:szCs w:val="36"/>
        </w:rPr>
        <w:t>2012-5</w:t>
      </w:r>
      <w:r w:rsidR="00347521">
        <w:rPr>
          <w:sz w:val="36"/>
          <w:szCs w:val="36"/>
        </w:rPr>
        <w:br/>
      </w:r>
      <w:r w:rsidR="00E507F8" w:rsidRPr="00E507F8">
        <w:rPr>
          <w:i/>
          <w:sz w:val="36"/>
          <w:szCs w:val="36"/>
        </w:rPr>
        <w:t>Amendments to Australian Accounting Standards arising from Annual Improvements 2009–2011 Cycle</w:t>
      </w:r>
    </w:p>
    <w:p w:rsidR="00414BC3" w:rsidRPr="00396BCD" w:rsidRDefault="004933DE" w:rsidP="000D428B">
      <w:pPr>
        <w:pStyle w:val="CoverDate"/>
        <w:tabs>
          <w:tab w:val="left" w:pos="3794"/>
          <w:tab w:val="left" w:pos="6232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C61FC9">
        <w:rPr>
          <w:b/>
          <w:sz w:val="28"/>
          <w:szCs w:val="28"/>
        </w:rPr>
        <w:t xml:space="preserve"> </w:t>
      </w:r>
      <w:r w:rsidR="00225101">
        <w:rPr>
          <w:b/>
          <w:sz w:val="28"/>
          <w:szCs w:val="28"/>
        </w:rPr>
        <w:t>20</w:t>
      </w:r>
      <w:r w:rsidR="00391DC5">
        <w:rPr>
          <w:b/>
          <w:sz w:val="28"/>
          <w:szCs w:val="28"/>
        </w:rPr>
        <w:t>1</w:t>
      </w:r>
      <w:r w:rsidR="0029669F">
        <w:rPr>
          <w:b/>
          <w:sz w:val="28"/>
          <w:szCs w:val="28"/>
        </w:rPr>
        <w:t>2</w:t>
      </w:r>
    </w:p>
    <w:p w:rsidR="00414BC3" w:rsidRDefault="00414BC3"/>
    <w:p w:rsidR="00414BC3" w:rsidRDefault="00414BC3"/>
    <w:p w:rsidR="00414BC3" w:rsidRDefault="008C516B">
      <w:pPr>
        <w:sectPr w:rsidR="00414BC3"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9" o:title=""/>
            <w10:wrap anchorx="page" anchory="page"/>
            <w10:anchorlock/>
          </v:shape>
          <o:OLEObject Type="Embed" ProgID="Word.Picture.8" ShapeID="_x0000_s1026" DrawAspect="Content" ObjectID="_1403077895" r:id="rId10"/>
        </w:pict>
      </w:r>
    </w:p>
    <w:p w:rsidR="00414BC3" w:rsidRDefault="00414BC3">
      <w:pPr>
        <w:pStyle w:val="Heading1"/>
      </w:pPr>
      <w:r>
        <w:lastRenderedPageBreak/>
        <w:t>EXPLANATORY STATEMENT</w:t>
      </w:r>
    </w:p>
    <w:p w:rsidR="00EF23B8" w:rsidRPr="0000292B" w:rsidRDefault="00EF23B8" w:rsidP="00EF23B8">
      <w:pPr>
        <w:pStyle w:val="Heading2"/>
      </w:pPr>
      <w:r>
        <w:t>Introduction</w:t>
      </w:r>
    </w:p>
    <w:p w:rsidR="009B795D" w:rsidRDefault="009B795D" w:rsidP="009B795D">
      <w:pPr>
        <w:pStyle w:val="NoNumPlain1"/>
      </w:pPr>
      <w:r>
        <w:t>This Standard makes amendments to the following Australian Accounting Standards and Interpretation:</w:t>
      </w:r>
      <w:r w:rsidRPr="005A2514">
        <w:t xml:space="preserve"> </w:t>
      </w:r>
    </w:p>
    <w:p w:rsidR="006D6E6E" w:rsidRDefault="006D6E6E" w:rsidP="006D6E6E">
      <w:pPr>
        <w:pStyle w:val="NumberedList"/>
      </w:pPr>
      <w:r>
        <w:t xml:space="preserve">AASB 1 </w:t>
      </w:r>
      <w:r w:rsidRPr="006D6E6E">
        <w:rPr>
          <w:i/>
        </w:rPr>
        <w:t>First-time Adoption of Australian Accounting Standards</w:t>
      </w:r>
      <w:r w:rsidRPr="00D74DB5">
        <w:t>;</w:t>
      </w:r>
    </w:p>
    <w:p w:rsidR="006D6E6E" w:rsidRPr="00D74DB5" w:rsidRDefault="006D6E6E" w:rsidP="006D6E6E">
      <w:pPr>
        <w:pStyle w:val="NumberedList"/>
      </w:pPr>
      <w:r>
        <w:t xml:space="preserve">AASB 101 </w:t>
      </w:r>
      <w:r w:rsidRPr="006D6E6E">
        <w:rPr>
          <w:i/>
        </w:rPr>
        <w:t>Presentation of Financial Statements</w:t>
      </w:r>
      <w:r w:rsidRPr="00D74DB5">
        <w:t>;</w:t>
      </w:r>
    </w:p>
    <w:p w:rsidR="006D6E6E" w:rsidRPr="00D74DB5" w:rsidRDefault="006D6E6E" w:rsidP="006D6E6E">
      <w:pPr>
        <w:pStyle w:val="NumberedList"/>
      </w:pPr>
      <w:r>
        <w:t xml:space="preserve">AASB 116 </w:t>
      </w:r>
      <w:r w:rsidRPr="006D6E6E">
        <w:rPr>
          <w:i/>
        </w:rPr>
        <w:t>Property, Plant and Equipment</w:t>
      </w:r>
      <w:r w:rsidRPr="00D74DB5">
        <w:t>;</w:t>
      </w:r>
    </w:p>
    <w:p w:rsidR="006D6E6E" w:rsidRDefault="006D6E6E" w:rsidP="006D6E6E">
      <w:pPr>
        <w:pStyle w:val="NumberedList"/>
      </w:pPr>
      <w:r>
        <w:t xml:space="preserve">AASB 132 </w:t>
      </w:r>
      <w:r w:rsidRPr="006D6E6E">
        <w:rPr>
          <w:i/>
        </w:rPr>
        <w:t>Financial Instruments: Presentation</w:t>
      </w:r>
      <w:r>
        <w:t>;</w:t>
      </w:r>
    </w:p>
    <w:p w:rsidR="006D6E6E" w:rsidRDefault="006D6E6E" w:rsidP="006D6E6E">
      <w:pPr>
        <w:pStyle w:val="NumberedList"/>
      </w:pPr>
      <w:r>
        <w:t xml:space="preserve">AASB 134 </w:t>
      </w:r>
      <w:r w:rsidRPr="006D6E6E">
        <w:rPr>
          <w:i/>
        </w:rPr>
        <w:t>Interim Financial Reporting</w:t>
      </w:r>
      <w:r w:rsidRPr="00D74DB5">
        <w:t>;</w:t>
      </w:r>
      <w:r>
        <w:t xml:space="preserve"> and</w:t>
      </w:r>
    </w:p>
    <w:p w:rsidR="006D6E6E" w:rsidRDefault="006D6E6E" w:rsidP="006D6E6E">
      <w:pPr>
        <w:pStyle w:val="NumberedList"/>
      </w:pPr>
      <w:r>
        <w:t xml:space="preserve">Interpretation 2 </w:t>
      </w:r>
      <w:r w:rsidRPr="006D6E6E">
        <w:rPr>
          <w:i/>
        </w:rPr>
        <w:t>Members’ Shares in Co-operative Entities and Similar Instruments</w:t>
      </w:r>
      <w:r>
        <w:t>.</w:t>
      </w:r>
    </w:p>
    <w:p w:rsidR="00EF23B8" w:rsidRDefault="00EF23B8" w:rsidP="00EF23B8">
      <w:pPr>
        <w:pStyle w:val="NoNumPlain1"/>
      </w:pPr>
      <w:r>
        <w:t xml:space="preserve">These amendments are a consequence of the annual improvements process, which provides </w:t>
      </w:r>
      <w:r>
        <w:rPr>
          <w:lang w:eastAsia="en-AU"/>
        </w:rPr>
        <w:t>a vehicle for making non-urgent but necessary amendments to Standards</w:t>
      </w:r>
      <w:r>
        <w:t xml:space="preserve">. </w:t>
      </w:r>
    </w:p>
    <w:p w:rsidR="00EF23B8" w:rsidRPr="0000292B" w:rsidRDefault="00EF23B8" w:rsidP="00EF23B8">
      <w:pPr>
        <w:pStyle w:val="NoNumPlain1"/>
        <w:rPr>
          <w:lang w:eastAsia="en-AU"/>
        </w:rPr>
      </w:pPr>
      <w:r w:rsidRPr="00B3772F">
        <w:t xml:space="preserve">These amendments result from proposals that were included in Exposure Draft ED 213 </w:t>
      </w:r>
      <w:r w:rsidRPr="00B3772F">
        <w:rPr>
          <w:i/>
        </w:rPr>
        <w:t>Improvements to IFRSs</w:t>
      </w:r>
      <w:r w:rsidRPr="00B3772F">
        <w:t xml:space="preserve"> published in </w:t>
      </w:r>
      <w:r>
        <w:t>July</w:t>
      </w:r>
      <w:r w:rsidRPr="00B3772F">
        <w:t xml:space="preserve"> </w:t>
      </w:r>
      <w:r>
        <w:t>2011</w:t>
      </w:r>
      <w:r w:rsidRPr="00B3772F">
        <w:t xml:space="preserve"> and follow the issuance of </w:t>
      </w:r>
      <w:r w:rsidRPr="00B3772F">
        <w:rPr>
          <w:i/>
        </w:rPr>
        <w:t>Annual Improvements to IFRSs 2009</w:t>
      </w:r>
      <w:r>
        <w:rPr>
          <w:i/>
        </w:rPr>
        <w:t>–</w:t>
      </w:r>
      <w:r w:rsidRPr="00B3772F">
        <w:rPr>
          <w:i/>
        </w:rPr>
        <w:t>2011 Cycle</w:t>
      </w:r>
      <w:r w:rsidRPr="00B3772F">
        <w:t xml:space="preserve"> </w:t>
      </w:r>
      <w:r>
        <w:t xml:space="preserve">issued by the International Accounting Standards Board </w:t>
      </w:r>
      <w:r w:rsidRPr="00B3772F">
        <w:t>in May 2012.</w:t>
      </w:r>
    </w:p>
    <w:p w:rsidR="00EF23B8" w:rsidRDefault="00EF23B8" w:rsidP="00EF23B8">
      <w:pPr>
        <w:pStyle w:val="Heading2"/>
      </w:pPr>
      <w:r>
        <w:t>Main Features of this Standard</w:t>
      </w:r>
    </w:p>
    <w:p w:rsidR="00EF23B8" w:rsidRPr="00B3772F" w:rsidRDefault="00EF23B8" w:rsidP="00EF23B8">
      <w:pPr>
        <w:pStyle w:val="Heading3"/>
      </w:pPr>
      <w:r w:rsidRPr="00B3772F">
        <w:t>Application Date</w:t>
      </w:r>
    </w:p>
    <w:p w:rsidR="00EF23B8" w:rsidRPr="00B3772F" w:rsidRDefault="00EF23B8" w:rsidP="00EF23B8">
      <w:pPr>
        <w:pStyle w:val="NoNumPlain1"/>
        <w:rPr>
          <w:lang w:eastAsia="en-AU"/>
        </w:rPr>
      </w:pPr>
      <w:r w:rsidRPr="00B3772F">
        <w:rPr>
          <w:lang w:eastAsia="en-AU"/>
        </w:rPr>
        <w:t>This Standard is applicable to annual reporting periods beginning on or after 1 January 2013.  Earl</w:t>
      </w:r>
      <w:r>
        <w:rPr>
          <w:lang w:eastAsia="en-AU"/>
        </w:rPr>
        <w:t>ier application</w:t>
      </w:r>
      <w:r w:rsidRPr="00B3772F">
        <w:rPr>
          <w:lang w:eastAsia="en-AU"/>
        </w:rPr>
        <w:t xml:space="preserve"> is permitted for annual reporting periods beginning on or after 1 January 2005 but before 1 January 2013.</w:t>
      </w:r>
    </w:p>
    <w:p w:rsidR="00EF23B8" w:rsidRDefault="00EF23B8" w:rsidP="00EF23B8">
      <w:pPr>
        <w:pStyle w:val="NoNumPlain1"/>
        <w:rPr>
          <w:lang w:eastAsia="en-AU"/>
        </w:rPr>
      </w:pPr>
      <w:r w:rsidRPr="00B3772F">
        <w:rPr>
          <w:lang w:eastAsia="en-AU"/>
        </w:rPr>
        <w:t xml:space="preserve">The insertion of early </w:t>
      </w:r>
      <w:r>
        <w:rPr>
          <w:lang w:eastAsia="en-AU"/>
        </w:rPr>
        <w:t>application</w:t>
      </w:r>
      <w:r w:rsidRPr="00B3772F">
        <w:rPr>
          <w:lang w:eastAsia="en-AU"/>
        </w:rPr>
        <w:t xml:space="preserve"> conditions in the individual Standards and Interpretation means that the amendments</w:t>
      </w:r>
      <w:r>
        <w:rPr>
          <w:lang w:eastAsia="en-AU"/>
        </w:rPr>
        <w:t xml:space="preserve"> (or sets of amendments)</w:t>
      </w:r>
      <w:r w:rsidRPr="00B3772F">
        <w:rPr>
          <w:lang w:eastAsia="en-AU"/>
        </w:rPr>
        <w:t xml:space="preserve"> to each of those Standards and Interpretation can be applied separately.</w:t>
      </w:r>
    </w:p>
    <w:p w:rsidR="00EF23B8" w:rsidRPr="00C97E20" w:rsidRDefault="00EF23B8" w:rsidP="00EF23B8">
      <w:pPr>
        <w:pStyle w:val="Heading3"/>
      </w:pPr>
      <w:r w:rsidRPr="00C97E20">
        <w:t>Main Requirements</w:t>
      </w:r>
    </w:p>
    <w:p w:rsidR="00EF23B8" w:rsidRPr="00C97E20" w:rsidRDefault="00EF23B8" w:rsidP="00EF23B8">
      <w:pPr>
        <w:pStyle w:val="NoNumPlain1"/>
        <w:rPr>
          <w:lang w:eastAsia="en-AU"/>
        </w:rPr>
      </w:pPr>
      <w:r w:rsidRPr="00C97E20">
        <w:rPr>
          <w:lang w:eastAsia="en-AU"/>
        </w:rPr>
        <w:t>The subjects of the principal amendments to the Standards and Interpretation are set out below:</w:t>
      </w:r>
    </w:p>
    <w:tbl>
      <w:tblPr>
        <w:tblStyle w:val="IASBInside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ubjects of the principal amendments to the Standards and Interpretation"/>
        <w:tblDescription w:val="This table provides the subject of the principal amendments made by this Standard and the title and number of the Standards and Interpretation that are amended."/>
      </w:tblPr>
      <w:tblGrid>
        <w:gridCol w:w="2885"/>
        <w:gridCol w:w="3402"/>
      </w:tblGrid>
      <w:tr w:rsidR="00EF23B8" w:rsidRPr="00C97E20" w:rsidTr="00EF23B8">
        <w:trPr>
          <w:trHeight w:val="675"/>
          <w:tblHeader/>
        </w:trPr>
        <w:tc>
          <w:tcPr>
            <w:tcW w:w="2885" w:type="dxa"/>
          </w:tcPr>
          <w:p w:rsidR="00EF23B8" w:rsidRPr="00C97E20" w:rsidRDefault="00EF23B8" w:rsidP="00EF23B8">
            <w:pPr>
              <w:pStyle w:val="AASBNormalTable"/>
              <w:rPr>
                <w:lang w:val="en-GB"/>
              </w:rPr>
            </w:pPr>
            <w:r w:rsidRPr="00C97E20">
              <w:rPr>
                <w:b/>
                <w:lang w:val="en-GB"/>
              </w:rPr>
              <w:t xml:space="preserve">Australian Accounting Standard or </w:t>
            </w:r>
            <w:r w:rsidRPr="00E55E2D">
              <w:rPr>
                <w:b/>
              </w:rPr>
              <w:t>Interpretation</w:t>
            </w:r>
          </w:p>
        </w:tc>
        <w:tc>
          <w:tcPr>
            <w:tcW w:w="3402" w:type="dxa"/>
          </w:tcPr>
          <w:p w:rsidR="00EF23B8" w:rsidRPr="00C97E20" w:rsidRDefault="00EF23B8" w:rsidP="00EF23B8">
            <w:pPr>
              <w:pStyle w:val="AASBNormalTable"/>
              <w:rPr>
                <w:lang w:val="en-GB"/>
              </w:rPr>
            </w:pPr>
            <w:r w:rsidRPr="00C97E20">
              <w:rPr>
                <w:b/>
                <w:lang w:val="en-GB"/>
              </w:rPr>
              <w:t xml:space="preserve">Subject </w:t>
            </w:r>
            <w:r w:rsidRPr="00E55E2D">
              <w:rPr>
                <w:b/>
              </w:rPr>
              <w:t>of</w:t>
            </w:r>
            <w:r w:rsidRPr="00C97E20">
              <w:rPr>
                <w:b/>
                <w:lang w:val="en-GB"/>
              </w:rPr>
              <w:t xml:space="preserve"> amendment</w:t>
            </w:r>
          </w:p>
        </w:tc>
      </w:tr>
      <w:tr w:rsidR="00EF23B8" w:rsidRPr="00C97E20" w:rsidTr="00EF23B8">
        <w:trPr>
          <w:trHeight w:val="412"/>
        </w:trPr>
        <w:tc>
          <w:tcPr>
            <w:tcW w:w="2885" w:type="dxa"/>
            <w:vMerge w:val="restart"/>
          </w:tcPr>
          <w:p w:rsidR="00EF23B8" w:rsidRPr="00C97E20" w:rsidRDefault="00EF23B8" w:rsidP="00EF23B8">
            <w:pPr>
              <w:pStyle w:val="AASBNormalTable"/>
              <w:rPr>
                <w:lang w:val="en-GB"/>
              </w:rPr>
            </w:pPr>
            <w:r w:rsidRPr="00C97E20">
              <w:t xml:space="preserve">AASB 1 </w:t>
            </w:r>
            <w:r w:rsidRPr="00C97E20">
              <w:rPr>
                <w:i/>
              </w:rPr>
              <w:t>First-time Adoption of  Australian Accounting Standards</w:t>
            </w:r>
          </w:p>
        </w:tc>
        <w:tc>
          <w:tcPr>
            <w:tcW w:w="3402" w:type="dxa"/>
          </w:tcPr>
          <w:p w:rsidR="00EF23B8" w:rsidRPr="00C97E20" w:rsidRDefault="00EF23B8" w:rsidP="00EF23B8">
            <w:pPr>
              <w:pStyle w:val="AASBNormalTable"/>
            </w:pPr>
            <w:r w:rsidRPr="00C97E20">
              <w:t>Repeated application of AASB 1</w:t>
            </w:r>
          </w:p>
        </w:tc>
      </w:tr>
      <w:tr w:rsidR="00EF23B8" w:rsidRPr="00C97E20" w:rsidTr="00EF23B8">
        <w:trPr>
          <w:trHeight w:val="427"/>
        </w:trPr>
        <w:tc>
          <w:tcPr>
            <w:tcW w:w="2885" w:type="dxa"/>
            <w:vMerge/>
          </w:tcPr>
          <w:p w:rsidR="00EF23B8" w:rsidRPr="00C97E20" w:rsidRDefault="00EF23B8" w:rsidP="00EF23B8">
            <w:pPr>
              <w:pStyle w:val="nonelevel2bold"/>
              <w:spacing w:beforeLines="20" w:before="48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F23B8" w:rsidRPr="00C97E20" w:rsidRDefault="00EF23B8" w:rsidP="00EF23B8">
            <w:pPr>
              <w:pStyle w:val="AASBNormalTable"/>
            </w:pPr>
            <w:r w:rsidRPr="00C97E20">
              <w:t>Borrowing costs</w:t>
            </w:r>
          </w:p>
        </w:tc>
      </w:tr>
      <w:tr w:rsidR="00EF23B8" w:rsidRPr="00C97E20" w:rsidTr="00EF23B8">
        <w:trPr>
          <w:trHeight w:val="675"/>
        </w:trPr>
        <w:tc>
          <w:tcPr>
            <w:tcW w:w="2885" w:type="dxa"/>
          </w:tcPr>
          <w:p w:rsidR="00EF23B8" w:rsidRPr="00C97E20" w:rsidRDefault="00EF23B8" w:rsidP="00EF23B8">
            <w:pPr>
              <w:pStyle w:val="AASBNormalTable"/>
            </w:pPr>
            <w:r w:rsidRPr="00C97E20">
              <w:t xml:space="preserve">AASB 101 </w:t>
            </w:r>
            <w:r w:rsidRPr="00C97E20">
              <w:rPr>
                <w:i/>
              </w:rPr>
              <w:t>Presentation of Financial Statements</w:t>
            </w:r>
          </w:p>
        </w:tc>
        <w:tc>
          <w:tcPr>
            <w:tcW w:w="3402" w:type="dxa"/>
          </w:tcPr>
          <w:p w:rsidR="00EF23B8" w:rsidRPr="00C97E20" w:rsidRDefault="00EF23B8" w:rsidP="00EF23B8">
            <w:pPr>
              <w:pStyle w:val="AASBNormalTable"/>
            </w:pPr>
            <w:r w:rsidRPr="00C97E20">
              <w:t>Clarification of the requirements for comparative information</w:t>
            </w:r>
          </w:p>
        </w:tc>
      </w:tr>
      <w:tr w:rsidR="00EF23B8" w:rsidRPr="00C97E20" w:rsidTr="00EF23B8">
        <w:trPr>
          <w:trHeight w:val="675"/>
        </w:trPr>
        <w:tc>
          <w:tcPr>
            <w:tcW w:w="2885" w:type="dxa"/>
          </w:tcPr>
          <w:p w:rsidR="00EF23B8" w:rsidRPr="00C97E20" w:rsidRDefault="00EF23B8" w:rsidP="00EF23B8">
            <w:pPr>
              <w:pStyle w:val="AASBNormalTable"/>
              <w:rPr>
                <w:i/>
              </w:rPr>
            </w:pPr>
            <w:r w:rsidRPr="00C97E20">
              <w:t xml:space="preserve">AASB 116 </w:t>
            </w:r>
            <w:r w:rsidRPr="00C97E20">
              <w:rPr>
                <w:i/>
              </w:rPr>
              <w:t>Property, Plant and Equipment</w:t>
            </w:r>
          </w:p>
        </w:tc>
        <w:tc>
          <w:tcPr>
            <w:tcW w:w="3402" w:type="dxa"/>
          </w:tcPr>
          <w:p w:rsidR="00EF23B8" w:rsidRPr="00C97E20" w:rsidRDefault="00EF23B8" w:rsidP="00EF23B8">
            <w:pPr>
              <w:pStyle w:val="AASBNormalTable"/>
              <w:rPr>
                <w:lang w:val="en-GB"/>
              </w:rPr>
            </w:pPr>
            <w:r w:rsidRPr="00C97E20">
              <w:t>Classification of servicing equipment</w:t>
            </w:r>
          </w:p>
        </w:tc>
      </w:tr>
      <w:tr w:rsidR="00EF23B8" w:rsidRPr="00C97E20" w:rsidTr="00EF23B8">
        <w:trPr>
          <w:trHeight w:val="675"/>
        </w:trPr>
        <w:tc>
          <w:tcPr>
            <w:tcW w:w="2885" w:type="dxa"/>
          </w:tcPr>
          <w:p w:rsidR="00EF23B8" w:rsidRPr="00540FFD" w:rsidRDefault="00EF23B8" w:rsidP="00EF23B8">
            <w:pPr>
              <w:pStyle w:val="AASBNormalTable"/>
            </w:pPr>
            <w:r w:rsidRPr="00C97E20">
              <w:t xml:space="preserve">AASB 132 </w:t>
            </w:r>
            <w:r w:rsidRPr="00C97E20">
              <w:rPr>
                <w:i/>
              </w:rPr>
              <w:t>Financial Instruments: Presentation</w:t>
            </w:r>
            <w:r>
              <w:t xml:space="preserve">; and </w:t>
            </w:r>
            <w:r>
              <w:br/>
            </w:r>
            <w:r w:rsidRPr="00C97E20">
              <w:t>Interpretation</w:t>
            </w:r>
            <w:r w:rsidRPr="00540FFD">
              <w:t xml:space="preserve"> 2 </w:t>
            </w:r>
            <w:r w:rsidRPr="00C97E20">
              <w:rPr>
                <w:i/>
              </w:rPr>
              <w:t>Members</w:t>
            </w:r>
            <w:r>
              <w:rPr>
                <w:i/>
              </w:rPr>
              <w:t>’</w:t>
            </w:r>
            <w:r w:rsidRPr="00C97E20">
              <w:rPr>
                <w:i/>
              </w:rPr>
              <w:t xml:space="preserve"> Shares in Co-operative Entities and Similar Instruments</w:t>
            </w:r>
          </w:p>
        </w:tc>
        <w:tc>
          <w:tcPr>
            <w:tcW w:w="3402" w:type="dxa"/>
          </w:tcPr>
          <w:p w:rsidR="00EF23B8" w:rsidRPr="00C97E20" w:rsidRDefault="00EF23B8" w:rsidP="00EF23B8">
            <w:pPr>
              <w:pStyle w:val="AASBNormalTable"/>
              <w:rPr>
                <w:lang w:val="en-GB"/>
              </w:rPr>
            </w:pPr>
            <w:r w:rsidRPr="00C97E20">
              <w:t>Tax effect of distribution to holders of equity instruments</w:t>
            </w:r>
          </w:p>
        </w:tc>
      </w:tr>
      <w:tr w:rsidR="00EF23B8" w:rsidRPr="00DC3293" w:rsidTr="00EF23B8">
        <w:trPr>
          <w:trHeight w:val="675"/>
        </w:trPr>
        <w:tc>
          <w:tcPr>
            <w:tcW w:w="2885" w:type="dxa"/>
          </w:tcPr>
          <w:p w:rsidR="00EF23B8" w:rsidRPr="00C97E20" w:rsidRDefault="00EF23B8" w:rsidP="00EF23B8">
            <w:pPr>
              <w:pStyle w:val="AASBNormalTable"/>
              <w:rPr>
                <w:i/>
              </w:rPr>
            </w:pPr>
            <w:r w:rsidRPr="00C97E20">
              <w:t xml:space="preserve">AASB 134 </w:t>
            </w:r>
            <w:r w:rsidRPr="00C97E20">
              <w:rPr>
                <w:i/>
              </w:rPr>
              <w:t>Interim Financial Reporting</w:t>
            </w:r>
          </w:p>
        </w:tc>
        <w:tc>
          <w:tcPr>
            <w:tcW w:w="3402" w:type="dxa"/>
          </w:tcPr>
          <w:p w:rsidR="00EF23B8" w:rsidRPr="008E26D1" w:rsidRDefault="00EF23B8" w:rsidP="00EF23B8">
            <w:pPr>
              <w:pStyle w:val="AASBNormalTable"/>
              <w:rPr>
                <w:lang w:val="en-GB"/>
              </w:rPr>
            </w:pPr>
            <w:r w:rsidRPr="00DF234F">
              <w:t>Interim</w:t>
            </w:r>
            <w:r w:rsidRPr="00C97E20">
              <w:rPr>
                <w:lang w:val="en-GB"/>
              </w:rPr>
              <w:t xml:space="preserve"> financial reporting and segment information for total assets and liabilities</w:t>
            </w:r>
          </w:p>
        </w:tc>
      </w:tr>
    </w:tbl>
    <w:p w:rsidR="00EF23B8" w:rsidRDefault="00EF23B8" w:rsidP="00EA0A87">
      <w:pPr>
        <w:pStyle w:val="Heading2"/>
      </w:pP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B97177" w:rsidRPr="00284FB2" w:rsidRDefault="00B97177" w:rsidP="008B741C">
      <w:pPr>
        <w:pStyle w:val="NoNumPlain1"/>
      </w:pPr>
      <w:r w:rsidRPr="001D1FFA">
        <w:t>The AASB issued</w:t>
      </w:r>
      <w:r w:rsidR="008B741C">
        <w:t xml:space="preserve"> </w:t>
      </w:r>
      <w:r w:rsidRPr="001D1FFA">
        <w:t xml:space="preserve">Exposure Draft ED </w:t>
      </w:r>
      <w:r>
        <w:t>213</w:t>
      </w:r>
      <w:r w:rsidRPr="001D1FFA">
        <w:t xml:space="preserve"> </w:t>
      </w:r>
      <w:r>
        <w:rPr>
          <w:i/>
        </w:rPr>
        <w:t>Improvements to IFRSs</w:t>
      </w:r>
      <w:r w:rsidRPr="005C743B">
        <w:t>,</w:t>
      </w:r>
      <w:r w:rsidRPr="001D1FFA">
        <w:t xml:space="preserve"> </w:t>
      </w:r>
      <w:r w:rsidR="00DD7760">
        <w:t>which incorporate</w:t>
      </w:r>
      <w:r w:rsidR="008C516B">
        <w:t>d</w:t>
      </w:r>
      <w:bookmarkStart w:id="0" w:name="_GoBack"/>
      <w:bookmarkEnd w:id="0"/>
      <w:r w:rsidRPr="001D1FFA">
        <w:t xml:space="preserve"> the IASB Exposure Draft</w:t>
      </w:r>
      <w:r w:rsidR="00753196">
        <w:t xml:space="preserve"> </w:t>
      </w:r>
      <w:r w:rsidR="00753196" w:rsidRPr="00753196">
        <w:t>ED/2009/2</w:t>
      </w:r>
      <w:r w:rsidR="00753196">
        <w:t xml:space="preserve"> </w:t>
      </w:r>
      <w:r w:rsidRPr="00753196">
        <w:rPr>
          <w:i/>
        </w:rPr>
        <w:t>Improvements to IFRSs</w:t>
      </w:r>
      <w:r w:rsidR="00753196">
        <w:rPr>
          <w:i/>
        </w:rPr>
        <w:t xml:space="preserve"> 2011</w:t>
      </w:r>
      <w:r w:rsidRPr="001D1FFA">
        <w:rPr>
          <w:iCs/>
        </w:rPr>
        <w:t>,</w:t>
      </w:r>
      <w:r w:rsidRPr="001D1FFA">
        <w:rPr>
          <w:i/>
          <w:iCs/>
        </w:rPr>
        <w:t xml:space="preserve"> </w:t>
      </w:r>
      <w:r w:rsidRPr="001D1FFA">
        <w:rPr>
          <w:iCs/>
        </w:rPr>
        <w:t xml:space="preserve">in </w:t>
      </w:r>
      <w:r w:rsidR="008B741C">
        <w:rPr>
          <w:iCs/>
        </w:rPr>
        <w:t xml:space="preserve">July 2011. </w:t>
      </w:r>
    </w:p>
    <w:p w:rsidR="00B97177" w:rsidRDefault="008B741C" w:rsidP="00B97177">
      <w:pPr>
        <w:pStyle w:val="NoNumPlain1"/>
      </w:pPr>
      <w:r>
        <w:t>Three</w:t>
      </w:r>
      <w:r w:rsidR="00B97177">
        <w:t xml:space="preserve"> submission</w:t>
      </w:r>
      <w:r>
        <w:t>s</w:t>
      </w:r>
      <w:r w:rsidR="00B97177">
        <w:t xml:space="preserve"> </w:t>
      </w:r>
      <w:r>
        <w:t xml:space="preserve">were </w:t>
      </w:r>
      <w:r w:rsidR="00B97177" w:rsidRPr="001D1FFA">
        <w:t>received</w:t>
      </w:r>
      <w:r w:rsidR="00DD7760">
        <w:t xml:space="preserve"> by the AASB</w:t>
      </w:r>
      <w:r w:rsidR="00B97177" w:rsidRPr="001D1FFA">
        <w:t xml:space="preserve"> in respect of the proposals in ED </w:t>
      </w:r>
      <w:r>
        <w:t>213</w:t>
      </w:r>
      <w:r w:rsidR="00B97177">
        <w:t xml:space="preserve"> </w:t>
      </w:r>
      <w:r w:rsidR="00B97177" w:rsidRPr="001D1FFA">
        <w:t>and there was</w:t>
      </w:r>
      <w:r w:rsidR="00DD7760">
        <w:t xml:space="preserve"> general</w:t>
      </w:r>
      <w:r w:rsidR="00B97177" w:rsidRPr="001D1FFA">
        <w:t xml:space="preserve"> support for adopting </w:t>
      </w:r>
      <w:r w:rsidR="00B97177">
        <w:t>the proposed IASB revision</w:t>
      </w:r>
      <w:r>
        <w:t>s</w:t>
      </w:r>
      <w:r w:rsidR="00B97177">
        <w:t xml:space="preserve"> in Australian Accounting Standards. </w:t>
      </w:r>
    </w:p>
    <w:p w:rsidR="00B97177" w:rsidRDefault="00B97177" w:rsidP="00B97177">
      <w:pPr>
        <w:pStyle w:val="NoNumPlain1"/>
      </w:pPr>
      <w:r>
        <w:t>A Regulatory Impact Statement has not been prepared in connection with the issue of this Standard as the amendments made do not have a substantial direct or indirect impact on business or competition, are of a minor or machinery nature or clarify existing requirements.</w:t>
      </w:r>
    </w:p>
    <w:p w:rsidR="000C34F1" w:rsidRDefault="000C34F1" w:rsidP="000C34F1">
      <w:pPr>
        <w:pStyle w:val="Heading2"/>
      </w:pPr>
      <w:r>
        <w:t>Statement of Compatibility with Human Rights</w:t>
      </w:r>
    </w:p>
    <w:p w:rsidR="000C34F1" w:rsidRDefault="000C34F1" w:rsidP="000C34F1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E4135E">
        <w:t>.</w:t>
      </w:r>
    </w:p>
    <w:p w:rsidR="000C34F1" w:rsidRDefault="000C34F1" w:rsidP="000C34F1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</w:t>
      </w:r>
      <w:r>
        <w:t xml:space="preserve">is issued by the AASB in furtherance of the objective of facilitating the Australian economy.  It </w:t>
      </w:r>
      <w:r w:rsidRPr="00E4135E">
        <w:t xml:space="preserve">does not </w:t>
      </w:r>
      <w:r>
        <w:t xml:space="preserve">diminish or limit </w:t>
      </w:r>
      <w:r w:rsidRPr="00E4135E">
        <w:t xml:space="preserve">any of the applicable </w:t>
      </w:r>
      <w:r>
        <w:t xml:space="preserve">human </w:t>
      </w:r>
      <w:r w:rsidRPr="00E4135E">
        <w:t>rights or freedoms</w:t>
      </w:r>
      <w:r>
        <w:t>, and thus does not raise any human rights issues</w:t>
      </w:r>
      <w:r w:rsidRPr="00E4135E">
        <w:t>.</w:t>
      </w:r>
    </w:p>
    <w:sectPr w:rsidR="000C34F1" w:rsidSect="00B50A3C">
      <w:headerReference w:type="even" r:id="rId11"/>
      <w:footerReference w:type="default" r:id="rId12"/>
      <w:pgSz w:w="11907" w:h="16840" w:code="9"/>
      <w:pgMar w:top="3686" w:right="2835" w:bottom="3686" w:left="2835" w:header="709" w:footer="3255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77" w:rsidRDefault="00B97177">
      <w:r>
        <w:separator/>
      </w:r>
    </w:p>
  </w:endnote>
  <w:endnote w:type="continuationSeparator" w:id="0">
    <w:p w:rsidR="00B97177" w:rsidRDefault="00B9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 LT Pro Extra 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77" w:rsidRDefault="00B97177">
    <w:pPr>
      <w:pStyle w:val="Footer"/>
      <w:rPr>
        <w:b/>
      </w:rPr>
    </w:pPr>
    <w:r>
      <w:rPr>
        <w:b/>
      </w:rPr>
      <w:t xml:space="preserve">AASB </w:t>
    </w:r>
    <w:r w:rsidR="00E507F8">
      <w:rPr>
        <w:b/>
      </w:rPr>
      <w:t>2012-5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8C516B">
      <w:rPr>
        <w:noProof/>
      </w:rPr>
      <w:t>3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77" w:rsidRDefault="00B97177">
      <w:r>
        <w:separator/>
      </w:r>
    </w:p>
  </w:footnote>
  <w:footnote w:type="continuationSeparator" w:id="0">
    <w:p w:rsidR="00B97177" w:rsidRDefault="00B9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77" w:rsidRDefault="00B97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84921"/>
    <w:multiLevelType w:val="hybridMultilevel"/>
    <w:tmpl w:val="86C82C5C"/>
    <w:lvl w:ilvl="0" w:tplc="9604980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45920"/>
    <w:multiLevelType w:val="hybridMultilevel"/>
    <w:tmpl w:val="C74C3FFA"/>
    <w:lvl w:ilvl="0" w:tplc="71624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4B57"/>
    <w:multiLevelType w:val="multilevel"/>
    <w:tmpl w:val="FE4418CC"/>
    <w:styleLink w:val="a"/>
    <w:lvl w:ilvl="0">
      <w:start w:val="1"/>
      <w:numFmt w:val="lowerLetter"/>
      <w:lvlText w:val="(%1)"/>
      <w:lvlJc w:val="left"/>
      <w:pPr>
        <w:tabs>
          <w:tab w:val="num" w:pos="1021"/>
        </w:tabs>
        <w:ind w:left="1531" w:hanging="51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4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5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42243"/>
    <w:multiLevelType w:val="multilevel"/>
    <w:tmpl w:val="BDF015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1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4439B"/>
    <w:rsid w:val="00055755"/>
    <w:rsid w:val="000623C8"/>
    <w:rsid w:val="00075626"/>
    <w:rsid w:val="00080331"/>
    <w:rsid w:val="0008234F"/>
    <w:rsid w:val="0008242C"/>
    <w:rsid w:val="00085B62"/>
    <w:rsid w:val="00090D77"/>
    <w:rsid w:val="000936C7"/>
    <w:rsid w:val="000A2A30"/>
    <w:rsid w:val="000C34F1"/>
    <w:rsid w:val="000D41A4"/>
    <w:rsid w:val="000D428B"/>
    <w:rsid w:val="000E6E09"/>
    <w:rsid w:val="000E7F81"/>
    <w:rsid w:val="000F2911"/>
    <w:rsid w:val="000F4C2A"/>
    <w:rsid w:val="00111680"/>
    <w:rsid w:val="001218DE"/>
    <w:rsid w:val="00121C54"/>
    <w:rsid w:val="0012730F"/>
    <w:rsid w:val="00131465"/>
    <w:rsid w:val="00144CC0"/>
    <w:rsid w:val="0015670A"/>
    <w:rsid w:val="001639EB"/>
    <w:rsid w:val="001962E2"/>
    <w:rsid w:val="001A3A3D"/>
    <w:rsid w:val="001D1FFA"/>
    <w:rsid w:val="001D7DA0"/>
    <w:rsid w:val="001E0872"/>
    <w:rsid w:val="001E0EA2"/>
    <w:rsid w:val="001E4107"/>
    <w:rsid w:val="001F3ED4"/>
    <w:rsid w:val="00200047"/>
    <w:rsid w:val="0020218F"/>
    <w:rsid w:val="0020261B"/>
    <w:rsid w:val="00206A47"/>
    <w:rsid w:val="00225101"/>
    <w:rsid w:val="00230E6D"/>
    <w:rsid w:val="0023104C"/>
    <w:rsid w:val="00243728"/>
    <w:rsid w:val="00267D86"/>
    <w:rsid w:val="00270E02"/>
    <w:rsid w:val="00284D8D"/>
    <w:rsid w:val="0029669F"/>
    <w:rsid w:val="002A41CB"/>
    <w:rsid w:val="002D6D7A"/>
    <w:rsid w:val="002F724F"/>
    <w:rsid w:val="0032467B"/>
    <w:rsid w:val="003329B8"/>
    <w:rsid w:val="00347521"/>
    <w:rsid w:val="0038343F"/>
    <w:rsid w:val="00384832"/>
    <w:rsid w:val="00385E62"/>
    <w:rsid w:val="0039164A"/>
    <w:rsid w:val="00391DC5"/>
    <w:rsid w:val="00396BCD"/>
    <w:rsid w:val="003A5EC1"/>
    <w:rsid w:val="00404247"/>
    <w:rsid w:val="00414BC3"/>
    <w:rsid w:val="00416FE6"/>
    <w:rsid w:val="004179BF"/>
    <w:rsid w:val="004209B2"/>
    <w:rsid w:val="004372FE"/>
    <w:rsid w:val="00442527"/>
    <w:rsid w:val="00457DCC"/>
    <w:rsid w:val="004749F8"/>
    <w:rsid w:val="004933DE"/>
    <w:rsid w:val="00493DD4"/>
    <w:rsid w:val="004C1746"/>
    <w:rsid w:val="004C62D2"/>
    <w:rsid w:val="004D2B9B"/>
    <w:rsid w:val="004D2BDB"/>
    <w:rsid w:val="00507FCB"/>
    <w:rsid w:val="00512F90"/>
    <w:rsid w:val="00526DA0"/>
    <w:rsid w:val="00540E70"/>
    <w:rsid w:val="00565477"/>
    <w:rsid w:val="005B238F"/>
    <w:rsid w:val="005B7BB7"/>
    <w:rsid w:val="005E2BBE"/>
    <w:rsid w:val="005F0581"/>
    <w:rsid w:val="005F1173"/>
    <w:rsid w:val="005F3AA4"/>
    <w:rsid w:val="005F4451"/>
    <w:rsid w:val="006104FA"/>
    <w:rsid w:val="00616B47"/>
    <w:rsid w:val="00626AC2"/>
    <w:rsid w:val="00635FA2"/>
    <w:rsid w:val="00666164"/>
    <w:rsid w:val="0067195B"/>
    <w:rsid w:val="00672100"/>
    <w:rsid w:val="00684668"/>
    <w:rsid w:val="006A01D2"/>
    <w:rsid w:val="006A0C7C"/>
    <w:rsid w:val="006A2A04"/>
    <w:rsid w:val="006A56D8"/>
    <w:rsid w:val="006C34F1"/>
    <w:rsid w:val="006C39D1"/>
    <w:rsid w:val="006C5EB8"/>
    <w:rsid w:val="006D5858"/>
    <w:rsid w:val="006D6B35"/>
    <w:rsid w:val="006D6E6E"/>
    <w:rsid w:val="006F217C"/>
    <w:rsid w:val="006F46DE"/>
    <w:rsid w:val="007034D5"/>
    <w:rsid w:val="00703F7E"/>
    <w:rsid w:val="00711664"/>
    <w:rsid w:val="00717627"/>
    <w:rsid w:val="007231BD"/>
    <w:rsid w:val="007261ED"/>
    <w:rsid w:val="007322D6"/>
    <w:rsid w:val="007328C0"/>
    <w:rsid w:val="00741AD2"/>
    <w:rsid w:val="00753196"/>
    <w:rsid w:val="00755B4C"/>
    <w:rsid w:val="00755D8C"/>
    <w:rsid w:val="00781C08"/>
    <w:rsid w:val="00782E7C"/>
    <w:rsid w:val="00783BEC"/>
    <w:rsid w:val="00787825"/>
    <w:rsid w:val="00791279"/>
    <w:rsid w:val="007B3132"/>
    <w:rsid w:val="007B323F"/>
    <w:rsid w:val="007B539D"/>
    <w:rsid w:val="007C13D0"/>
    <w:rsid w:val="007C1E39"/>
    <w:rsid w:val="007C2A76"/>
    <w:rsid w:val="007C2B04"/>
    <w:rsid w:val="007E10CA"/>
    <w:rsid w:val="007E548A"/>
    <w:rsid w:val="007F4E20"/>
    <w:rsid w:val="00802C2B"/>
    <w:rsid w:val="00822659"/>
    <w:rsid w:val="0082668C"/>
    <w:rsid w:val="00826FE1"/>
    <w:rsid w:val="008377FF"/>
    <w:rsid w:val="00843BF6"/>
    <w:rsid w:val="00854BCD"/>
    <w:rsid w:val="00861618"/>
    <w:rsid w:val="00896AE0"/>
    <w:rsid w:val="008B63BA"/>
    <w:rsid w:val="008B66C2"/>
    <w:rsid w:val="008B741C"/>
    <w:rsid w:val="008C516B"/>
    <w:rsid w:val="008C5B82"/>
    <w:rsid w:val="008D101A"/>
    <w:rsid w:val="008D3E1A"/>
    <w:rsid w:val="008E4294"/>
    <w:rsid w:val="008F344A"/>
    <w:rsid w:val="0090623E"/>
    <w:rsid w:val="00916B64"/>
    <w:rsid w:val="00930915"/>
    <w:rsid w:val="00936AD7"/>
    <w:rsid w:val="009839D3"/>
    <w:rsid w:val="00984995"/>
    <w:rsid w:val="009B795D"/>
    <w:rsid w:val="009C5C89"/>
    <w:rsid w:val="009D6119"/>
    <w:rsid w:val="00A068F6"/>
    <w:rsid w:val="00A07B58"/>
    <w:rsid w:val="00A14C37"/>
    <w:rsid w:val="00A33757"/>
    <w:rsid w:val="00A41EF3"/>
    <w:rsid w:val="00A46379"/>
    <w:rsid w:val="00A61CB2"/>
    <w:rsid w:val="00A8344C"/>
    <w:rsid w:val="00A86C2A"/>
    <w:rsid w:val="00A90590"/>
    <w:rsid w:val="00A9284E"/>
    <w:rsid w:val="00A92FFA"/>
    <w:rsid w:val="00A9484D"/>
    <w:rsid w:val="00A97B77"/>
    <w:rsid w:val="00AB61AB"/>
    <w:rsid w:val="00AC2063"/>
    <w:rsid w:val="00AC2CA9"/>
    <w:rsid w:val="00AC5268"/>
    <w:rsid w:val="00AD44F9"/>
    <w:rsid w:val="00AE1F8A"/>
    <w:rsid w:val="00B00C1B"/>
    <w:rsid w:val="00B10AB1"/>
    <w:rsid w:val="00B127B5"/>
    <w:rsid w:val="00B259A2"/>
    <w:rsid w:val="00B43A34"/>
    <w:rsid w:val="00B44EFA"/>
    <w:rsid w:val="00B50A3C"/>
    <w:rsid w:val="00B5196B"/>
    <w:rsid w:val="00B67434"/>
    <w:rsid w:val="00B81972"/>
    <w:rsid w:val="00B85DBC"/>
    <w:rsid w:val="00B97177"/>
    <w:rsid w:val="00BB2459"/>
    <w:rsid w:val="00BD0B5B"/>
    <w:rsid w:val="00BE66D4"/>
    <w:rsid w:val="00C119CC"/>
    <w:rsid w:val="00C14CCB"/>
    <w:rsid w:val="00C21F45"/>
    <w:rsid w:val="00C35A20"/>
    <w:rsid w:val="00C470A1"/>
    <w:rsid w:val="00C546C0"/>
    <w:rsid w:val="00C61FC9"/>
    <w:rsid w:val="00C634BB"/>
    <w:rsid w:val="00C661A8"/>
    <w:rsid w:val="00C80CE0"/>
    <w:rsid w:val="00C82A8C"/>
    <w:rsid w:val="00C93E2F"/>
    <w:rsid w:val="00CA20FA"/>
    <w:rsid w:val="00CA518E"/>
    <w:rsid w:val="00CB74B0"/>
    <w:rsid w:val="00CC546B"/>
    <w:rsid w:val="00CD3FAF"/>
    <w:rsid w:val="00CD50A4"/>
    <w:rsid w:val="00CF4D2F"/>
    <w:rsid w:val="00CF72F6"/>
    <w:rsid w:val="00D03547"/>
    <w:rsid w:val="00D17C25"/>
    <w:rsid w:val="00D24634"/>
    <w:rsid w:val="00D27E14"/>
    <w:rsid w:val="00D40502"/>
    <w:rsid w:val="00D429C8"/>
    <w:rsid w:val="00D5323B"/>
    <w:rsid w:val="00D67C43"/>
    <w:rsid w:val="00D71916"/>
    <w:rsid w:val="00D71B35"/>
    <w:rsid w:val="00D850DE"/>
    <w:rsid w:val="00D869E4"/>
    <w:rsid w:val="00DA2E07"/>
    <w:rsid w:val="00DB5798"/>
    <w:rsid w:val="00DD1167"/>
    <w:rsid w:val="00DD7760"/>
    <w:rsid w:val="00DE2BF2"/>
    <w:rsid w:val="00E00D64"/>
    <w:rsid w:val="00E079C1"/>
    <w:rsid w:val="00E11F07"/>
    <w:rsid w:val="00E1658F"/>
    <w:rsid w:val="00E34411"/>
    <w:rsid w:val="00E41E4F"/>
    <w:rsid w:val="00E4487C"/>
    <w:rsid w:val="00E507F8"/>
    <w:rsid w:val="00E7777B"/>
    <w:rsid w:val="00EA0A87"/>
    <w:rsid w:val="00EA56FD"/>
    <w:rsid w:val="00EE19F4"/>
    <w:rsid w:val="00EE3350"/>
    <w:rsid w:val="00EF23B8"/>
    <w:rsid w:val="00F041AA"/>
    <w:rsid w:val="00F04EBC"/>
    <w:rsid w:val="00F12DF8"/>
    <w:rsid w:val="00F23FEF"/>
    <w:rsid w:val="00F32757"/>
    <w:rsid w:val="00F47703"/>
    <w:rsid w:val="00F63F3B"/>
    <w:rsid w:val="00F71510"/>
    <w:rsid w:val="00F818F3"/>
    <w:rsid w:val="00F81F26"/>
    <w:rsid w:val="00FA30CB"/>
    <w:rsid w:val="00FA7C5C"/>
    <w:rsid w:val="00FB0CFC"/>
    <w:rsid w:val="00FC6232"/>
    <w:rsid w:val="00FD4C0C"/>
    <w:rsid w:val="00FF048C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a">
    <w:name w:val="(a)"/>
    <w:uiPriority w:val="99"/>
    <w:rsid w:val="00EF23B8"/>
    <w:pPr>
      <w:numPr>
        <w:numId w:val="11"/>
      </w:numPr>
    </w:pPr>
  </w:style>
  <w:style w:type="table" w:customStyle="1" w:styleId="IASBInsideTable">
    <w:name w:val="IASB Inside Table"/>
    <w:rsid w:val="00EF23B8"/>
    <w:tblPr>
      <w:tblOverlap w:val="never"/>
      <w:tblCellMar>
        <w:top w:w="10" w:type="dxa"/>
        <w:left w:w="50" w:type="dxa"/>
        <w:bottom w:w="5" w:type="dxa"/>
        <w:right w:w="50" w:type="dxa"/>
      </w:tblCellMar>
    </w:tblPr>
  </w:style>
  <w:style w:type="paragraph" w:customStyle="1" w:styleId="nonelevel2bold">
    <w:name w:val="none_level2_bold"/>
    <w:rsid w:val="00EF23B8"/>
    <w:pPr>
      <w:tabs>
        <w:tab w:val="left" w:pos="420"/>
        <w:tab w:val="left" w:pos="840"/>
      </w:tabs>
      <w:suppressAutoHyphens/>
      <w:autoSpaceDE w:val="0"/>
      <w:autoSpaceDN w:val="0"/>
      <w:adjustRightInd w:val="0"/>
      <w:spacing w:after="120" w:line="220" w:lineRule="atLeast"/>
      <w:ind w:left="840" w:hanging="840"/>
      <w:jc w:val="both"/>
    </w:pPr>
    <w:rPr>
      <w:rFonts w:ascii="Swift LT Pro Extra Bold" w:hAnsi="Swift LT Pro Extra Bold" w:cs="Swift LT Pro Extra Bold"/>
      <w:color w:val="000000"/>
      <w:w w:val="0"/>
      <w:sz w:val="16"/>
      <w:szCs w:val="16"/>
      <w:lang w:val="en-GB" w:eastAsia="en-US"/>
    </w:rPr>
  </w:style>
  <w:style w:type="paragraph" w:customStyle="1" w:styleId="AASBNormalTable">
    <w:name w:val="AASB Normal Table"/>
    <w:basedOn w:val="Normal"/>
    <w:qFormat/>
    <w:rsid w:val="00EF23B8"/>
    <w:pPr>
      <w:spacing w:beforeLines="20" w:before="48" w:after="160" w:line="240" w:lineRule="auto"/>
    </w:pPr>
    <w:rPr>
      <w:lang w:val="en-US"/>
    </w:rPr>
  </w:style>
  <w:style w:type="paragraph" w:customStyle="1" w:styleId="NumberedList">
    <w:name w:val="NumberedList"/>
    <w:basedOn w:val="Normal"/>
    <w:qFormat/>
    <w:rsid w:val="009B795D"/>
    <w:pPr>
      <w:numPr>
        <w:numId w:val="12"/>
      </w:numPr>
      <w:spacing w:after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a">
    <w:name w:val="(a)"/>
    <w:uiPriority w:val="99"/>
    <w:rsid w:val="00EF23B8"/>
    <w:pPr>
      <w:numPr>
        <w:numId w:val="11"/>
      </w:numPr>
    </w:pPr>
  </w:style>
  <w:style w:type="table" w:customStyle="1" w:styleId="IASBInsideTable">
    <w:name w:val="IASB Inside Table"/>
    <w:rsid w:val="00EF23B8"/>
    <w:tblPr>
      <w:tblOverlap w:val="never"/>
      <w:tblCellMar>
        <w:top w:w="10" w:type="dxa"/>
        <w:left w:w="50" w:type="dxa"/>
        <w:bottom w:w="5" w:type="dxa"/>
        <w:right w:w="50" w:type="dxa"/>
      </w:tblCellMar>
    </w:tblPr>
  </w:style>
  <w:style w:type="paragraph" w:customStyle="1" w:styleId="nonelevel2bold">
    <w:name w:val="none_level2_bold"/>
    <w:rsid w:val="00EF23B8"/>
    <w:pPr>
      <w:tabs>
        <w:tab w:val="left" w:pos="420"/>
        <w:tab w:val="left" w:pos="840"/>
      </w:tabs>
      <w:suppressAutoHyphens/>
      <w:autoSpaceDE w:val="0"/>
      <w:autoSpaceDN w:val="0"/>
      <w:adjustRightInd w:val="0"/>
      <w:spacing w:after="120" w:line="220" w:lineRule="atLeast"/>
      <w:ind w:left="840" w:hanging="840"/>
      <w:jc w:val="both"/>
    </w:pPr>
    <w:rPr>
      <w:rFonts w:ascii="Swift LT Pro Extra Bold" w:hAnsi="Swift LT Pro Extra Bold" w:cs="Swift LT Pro Extra Bold"/>
      <w:color w:val="000000"/>
      <w:w w:val="0"/>
      <w:sz w:val="16"/>
      <w:szCs w:val="16"/>
      <w:lang w:val="en-GB" w:eastAsia="en-US"/>
    </w:rPr>
  </w:style>
  <w:style w:type="paragraph" w:customStyle="1" w:styleId="AASBNormalTable">
    <w:name w:val="AASB Normal Table"/>
    <w:basedOn w:val="Normal"/>
    <w:qFormat/>
    <w:rsid w:val="00EF23B8"/>
    <w:pPr>
      <w:spacing w:beforeLines="20" w:before="48" w:after="160" w:line="240" w:lineRule="auto"/>
    </w:pPr>
    <w:rPr>
      <w:lang w:val="en-US"/>
    </w:rPr>
  </w:style>
  <w:style w:type="paragraph" w:customStyle="1" w:styleId="NumberedList">
    <w:name w:val="NumberedList"/>
    <w:basedOn w:val="Normal"/>
    <w:qFormat/>
    <w:rsid w:val="009B795D"/>
    <w:pPr>
      <w:numPr>
        <w:numId w:val="12"/>
      </w:num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2414-AC27-46B6-B34E-DF58E32B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Masha 22 May</cp:lastModifiedBy>
  <cp:revision>3</cp:revision>
  <cp:lastPrinted>2012-07-06T01:04:00Z</cp:lastPrinted>
  <dcterms:created xsi:type="dcterms:W3CDTF">2012-07-05T06:45:00Z</dcterms:created>
  <dcterms:modified xsi:type="dcterms:W3CDTF">2012-07-06T01:05:00Z</dcterms:modified>
</cp:coreProperties>
</file>