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Caption w:val="Cover page header for AASB amending Standard"/>
        <w:tblDescription w:val="Identification that the pronoucement is an AASB Standard, the Standard number, and the month of issue of the AASB amending Standard"/>
      </w:tblPr>
      <w:tblGrid>
        <w:gridCol w:w="3794"/>
        <w:gridCol w:w="2438"/>
      </w:tblGrid>
      <w:tr w:rsidR="00090A6F" w:rsidRPr="0000292B">
        <w:tc>
          <w:tcPr>
            <w:tcW w:w="3794" w:type="dxa"/>
          </w:tcPr>
          <w:p w:rsidR="00090A6F" w:rsidRPr="0000292B" w:rsidRDefault="00364B30">
            <w:pPr>
              <w:pStyle w:val="CoverStandard"/>
            </w:pPr>
            <w:r>
              <w:t>AASB</w:t>
            </w:r>
            <w:r w:rsidR="00831497">
              <w:t xml:space="preserve"> Standard</w:t>
            </w:r>
          </w:p>
        </w:tc>
        <w:tc>
          <w:tcPr>
            <w:tcW w:w="2438" w:type="dxa"/>
          </w:tcPr>
          <w:p w:rsidR="00090A6F" w:rsidRPr="0000292B" w:rsidRDefault="00831497">
            <w:pPr>
              <w:pStyle w:val="CoverNumber"/>
            </w:pPr>
            <w:r>
              <w:t>AASB</w:t>
            </w:r>
            <w:r w:rsidR="00090A6F" w:rsidRPr="0000292B">
              <w:t xml:space="preserve"> </w:t>
            </w:r>
            <w:bookmarkStart w:id="0" w:name="DocNo"/>
            <w:r w:rsidR="00C75BF6">
              <w:t>2012-</w:t>
            </w:r>
            <w:bookmarkEnd w:id="0"/>
            <w:r w:rsidR="00B61F93">
              <w:t>3</w:t>
            </w:r>
          </w:p>
          <w:p w:rsidR="00090A6F" w:rsidRPr="0000292B" w:rsidRDefault="003B0568">
            <w:pPr>
              <w:pStyle w:val="CoverDate"/>
            </w:pPr>
            <w:bookmarkStart w:id="1" w:name="DocDate"/>
            <w:r>
              <w:t>June</w:t>
            </w:r>
            <w:r w:rsidR="00C647A6">
              <w:t xml:space="preserve"> 2012</w:t>
            </w:r>
            <w:bookmarkEnd w:id="1"/>
          </w:p>
        </w:tc>
      </w:tr>
    </w:tbl>
    <w:p w:rsidR="00090A6F" w:rsidRPr="0000292B" w:rsidRDefault="00831497">
      <w:pPr>
        <w:pStyle w:val="CoverTitle"/>
      </w:pPr>
      <w:r>
        <w:t xml:space="preserve">Amendments to Australian </w:t>
      </w:r>
      <w:r w:rsidR="006D1EC7">
        <w:t>Accounting</w:t>
      </w:r>
      <w:r w:rsidR="00C75BF6">
        <w:t xml:space="preserve"> Standards – </w:t>
      </w:r>
      <w:bookmarkStart w:id="2" w:name="ArisingNo"/>
      <w:r w:rsidR="00C75BF6">
        <w:t>Offsetting Financial Assets and Financial Liabilities</w:t>
      </w:r>
      <w:bookmarkEnd w:id="2"/>
    </w:p>
    <w:p w:rsidR="00C5022C" w:rsidRPr="00C5022C" w:rsidRDefault="002B7803" w:rsidP="00C5022C">
      <w:pPr>
        <w:pStyle w:val="CoverSubtitle"/>
      </w:pPr>
      <w:r>
        <w:t>[</w:t>
      </w:r>
      <w:bookmarkStart w:id="3" w:name="AmendingNos"/>
      <w:r w:rsidR="00C647A6">
        <w:t>AASB 132</w:t>
      </w:r>
      <w:bookmarkEnd w:id="3"/>
      <w:r>
        <w:t>]</w:t>
      </w:r>
    </w:p>
    <w:p w:rsidR="00737714" w:rsidRPr="0000292B" w:rsidRDefault="00737714" w:rsidP="00737714"/>
    <w:p w:rsidR="00090A6F" w:rsidRPr="0000292B" w:rsidRDefault="008B643A">
      <w:pPr>
        <w:sectPr w:rsidR="00090A6F" w:rsidRPr="0000292B" w:rsidSect="0071508F">
          <w:pgSz w:w="11907" w:h="16840" w:code="9"/>
          <w:pgMar w:top="3686" w:right="2835" w:bottom="3686" w:left="2835" w:header="720" w:footer="3255" w:gutter="0"/>
          <w:paperSrc w:first="1025" w:other="1025"/>
          <w:cols w:space="720"/>
        </w:sectPr>
      </w:pPr>
      <w:r>
        <w:rPr>
          <w:noProof/>
          <w:lang w:eastAsia="en-AU"/>
        </w:rPr>
        <w:drawing>
          <wp:anchor distT="0" distB="0" distL="114300" distR="114300" simplePos="0" relativeHeight="251657728" behindDoc="0" locked="1" layoutInCell="1" allowOverlap="1" wp14:anchorId="71719986" wp14:editId="2E1B920E">
            <wp:simplePos x="0" y="0"/>
            <wp:positionH relativeFrom="page">
              <wp:posOffset>1764030</wp:posOffset>
            </wp:positionH>
            <wp:positionV relativeFrom="page">
              <wp:posOffset>7272655</wp:posOffset>
            </wp:positionV>
            <wp:extent cx="1676400" cy="1333500"/>
            <wp:effectExtent l="0" t="0" r="0" b="0"/>
            <wp:wrapNone/>
            <wp:docPr id="5" name="Picture 5" descr="Australian crest, with text naming the Australian Government and the Australian Accounting Standards Board" title="Logo of the Australian Accounting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SB_stack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714" w:rsidRPr="0000292B" w:rsidRDefault="00737714" w:rsidP="00737714">
      <w:pPr>
        <w:pStyle w:val="Heading2"/>
      </w:pPr>
      <w:r w:rsidRPr="0000292B">
        <w:lastRenderedPageBreak/>
        <w:t xml:space="preserve">Obtaining a Copy of this </w:t>
      </w:r>
      <w:r w:rsidR="00C5022C">
        <w:t>Accounting Standard</w:t>
      </w:r>
    </w:p>
    <w:p w:rsidR="00737714" w:rsidRPr="0000292B" w:rsidRDefault="00737714" w:rsidP="00737714">
      <w:pPr>
        <w:pStyle w:val="CommentsPage"/>
      </w:pPr>
      <w:r w:rsidRPr="0000292B">
        <w:t xml:space="preserve">This </w:t>
      </w:r>
      <w:r w:rsidR="00C5022C">
        <w:t>Standard</w:t>
      </w:r>
      <w:r w:rsidRPr="0000292B">
        <w:t xml:space="preserve"> is available o</w:t>
      </w:r>
      <w:r w:rsidR="00923261">
        <w:t>n the AASB website: www.aasb.gov</w:t>
      </w:r>
      <w:r w:rsidRPr="0000292B">
        <w:t>.au.</w:t>
      </w:r>
    </w:p>
    <w:p w:rsidR="00737714" w:rsidRPr="0000292B" w:rsidRDefault="00737714" w:rsidP="003E0A68">
      <w:pPr>
        <w:pStyle w:val="CommentsPage"/>
        <w:ind w:right="-146"/>
      </w:pPr>
      <w:r w:rsidRPr="0000292B">
        <w:t xml:space="preserve">Alternatively, printed copies of this </w:t>
      </w:r>
      <w:r w:rsidR="00C5022C">
        <w:t>Standard</w:t>
      </w:r>
      <w:r w:rsidR="003E0A68" w:rsidRPr="0000292B">
        <w:t xml:space="preserve"> are available </w:t>
      </w:r>
      <w:r w:rsidR="00C5022C">
        <w:t xml:space="preserve">for purchase </w:t>
      </w:r>
      <w:r w:rsidR="003E0A68" w:rsidRPr="0000292B">
        <w:t>by contacting:</w:t>
      </w:r>
    </w:p>
    <w:p w:rsidR="00737714" w:rsidRPr="0000292B" w:rsidRDefault="00737714" w:rsidP="00737714"/>
    <w:tbl>
      <w:tblPr>
        <w:tblW w:w="0" w:type="auto"/>
        <w:tblLook w:val="0000" w:firstRow="0" w:lastRow="0" w:firstColumn="0" w:lastColumn="0" w:noHBand="0" w:noVBand="0"/>
        <w:tblCaption w:val="AASB contact details"/>
        <w:tblDescription w:val="Street address, postal address and other contact details for the AASB"/>
      </w:tblPr>
      <w:tblGrid>
        <w:gridCol w:w="3856"/>
        <w:gridCol w:w="1928"/>
      </w:tblGrid>
      <w:tr w:rsidR="00737714" w:rsidRPr="0000292B" w:rsidTr="001C225F">
        <w:trPr>
          <w:cantSplit/>
        </w:trPr>
        <w:tc>
          <w:tcPr>
            <w:tcW w:w="3856" w:type="dxa"/>
          </w:tcPr>
          <w:p w:rsidR="00737714" w:rsidRPr="0000292B" w:rsidRDefault="00737714" w:rsidP="00E24399">
            <w:r w:rsidRPr="0000292B">
              <w:t xml:space="preserve">The </w:t>
            </w:r>
            <w:r w:rsidR="003E0A68" w:rsidRPr="0000292B">
              <w:t>Customer Service Officer</w:t>
            </w:r>
          </w:p>
          <w:p w:rsidR="00737714" w:rsidRPr="0000292B" w:rsidRDefault="00737714" w:rsidP="00E24399">
            <w:r w:rsidRPr="0000292B">
              <w:t>Australian Accounting Standards Board</w:t>
            </w:r>
          </w:p>
          <w:p w:rsidR="00737714" w:rsidRPr="0000292B" w:rsidRDefault="003E0A68" w:rsidP="00E24399">
            <w:r w:rsidRPr="0000292B">
              <w:t>Level 7</w:t>
            </w:r>
          </w:p>
          <w:p w:rsidR="00737714" w:rsidRPr="0000292B" w:rsidRDefault="003E0A68" w:rsidP="00E24399">
            <w:r w:rsidRPr="0000292B">
              <w:t>600 Bourke Street</w:t>
            </w:r>
          </w:p>
          <w:p w:rsidR="003E0A68" w:rsidRPr="0000292B" w:rsidRDefault="007455F0" w:rsidP="00E24399">
            <w:r>
              <w:t>Melbourne   Victoria</w:t>
            </w:r>
          </w:p>
          <w:p w:rsidR="00737714" w:rsidRDefault="00737714" w:rsidP="00E24399">
            <w:r w:rsidRPr="0000292B">
              <w:t>AUSTRALIA</w:t>
            </w:r>
          </w:p>
          <w:p w:rsidR="00C5022C" w:rsidRPr="0000292B" w:rsidRDefault="00C5022C" w:rsidP="00E24399"/>
        </w:tc>
        <w:tc>
          <w:tcPr>
            <w:tcW w:w="1928" w:type="dxa"/>
            <w:tcMar>
              <w:left w:w="108" w:type="dxa"/>
              <w:right w:w="108" w:type="dxa"/>
            </w:tcMar>
          </w:tcPr>
          <w:p w:rsidR="00C5022C" w:rsidRDefault="00C5022C" w:rsidP="00C5022C"/>
          <w:p w:rsidR="00C5022C" w:rsidRPr="00C5022C" w:rsidRDefault="00C5022C" w:rsidP="00C5022C">
            <w:pPr>
              <w:rPr>
                <w:b/>
              </w:rPr>
            </w:pPr>
            <w:r w:rsidRPr="00C5022C">
              <w:rPr>
                <w:b/>
              </w:rPr>
              <w:t>Postal address:</w:t>
            </w:r>
          </w:p>
          <w:p w:rsidR="00E06C2F" w:rsidRDefault="00C5022C" w:rsidP="00C5022C">
            <w:r w:rsidRPr="00C5022C">
              <w:t>PO Box 204</w:t>
            </w:r>
          </w:p>
          <w:p w:rsidR="00B271BA" w:rsidRDefault="00C5022C" w:rsidP="00C5022C">
            <w:r w:rsidRPr="00C5022C">
              <w:t>Collins St</w:t>
            </w:r>
            <w:r w:rsidR="00AD42DA">
              <w:t>reet</w:t>
            </w:r>
            <w:r w:rsidRPr="00C5022C">
              <w:t xml:space="preserve"> West</w:t>
            </w:r>
          </w:p>
          <w:p w:rsidR="003E0A68" w:rsidRDefault="00C5022C" w:rsidP="00C5022C">
            <w:r w:rsidRPr="00C5022C">
              <w:t>Vic</w:t>
            </w:r>
            <w:r>
              <w:t>toria</w:t>
            </w:r>
            <w:r w:rsidRPr="00C5022C">
              <w:t xml:space="preserve">   8007</w:t>
            </w:r>
          </w:p>
          <w:p w:rsidR="00C5022C" w:rsidRPr="0000292B" w:rsidRDefault="00C5022C" w:rsidP="00C5022C">
            <w:r>
              <w:t>AUSTRALIA</w:t>
            </w:r>
          </w:p>
        </w:tc>
      </w:tr>
      <w:tr w:rsidR="00C5022C" w:rsidRPr="0000292B" w:rsidTr="001C225F">
        <w:trPr>
          <w:cantSplit/>
        </w:trPr>
        <w:tc>
          <w:tcPr>
            <w:tcW w:w="3856" w:type="dxa"/>
          </w:tcPr>
          <w:p w:rsidR="00C5022C" w:rsidRPr="00C5022C" w:rsidRDefault="00C5022C" w:rsidP="00C5022C">
            <w:pPr>
              <w:tabs>
                <w:tab w:val="left" w:pos="907"/>
              </w:tabs>
            </w:pPr>
            <w:r w:rsidRPr="00C5022C">
              <w:t>Phone:</w:t>
            </w:r>
            <w:r w:rsidRPr="00C5022C">
              <w:tab/>
              <w:t>(03) 9617 7637</w:t>
            </w:r>
          </w:p>
          <w:p w:rsidR="00C5022C" w:rsidRPr="00C5022C" w:rsidRDefault="00C5022C" w:rsidP="00C5022C">
            <w:pPr>
              <w:tabs>
                <w:tab w:val="left" w:pos="907"/>
              </w:tabs>
            </w:pPr>
            <w:r w:rsidRPr="00C5022C">
              <w:t>Fax:</w:t>
            </w:r>
            <w:r w:rsidRPr="00C5022C">
              <w:tab/>
              <w:t>(03) 9617 7608</w:t>
            </w:r>
          </w:p>
          <w:p w:rsidR="00C5022C" w:rsidRDefault="00923261" w:rsidP="00C5022C">
            <w:pPr>
              <w:tabs>
                <w:tab w:val="left" w:pos="907"/>
              </w:tabs>
            </w:pPr>
            <w:r>
              <w:t>E-mail:</w:t>
            </w:r>
            <w:r>
              <w:tab/>
              <w:t>publications@aasb.gov</w:t>
            </w:r>
            <w:r w:rsidR="00C5022C" w:rsidRPr="00C5022C">
              <w:t>.au</w:t>
            </w:r>
          </w:p>
          <w:p w:rsidR="00C5022C" w:rsidRPr="00C5022C" w:rsidRDefault="00923261" w:rsidP="00C5022C">
            <w:pPr>
              <w:tabs>
                <w:tab w:val="left" w:pos="907"/>
              </w:tabs>
            </w:pPr>
            <w:r>
              <w:t>Website:</w:t>
            </w:r>
            <w:r>
              <w:tab/>
              <w:t>www.aasb.gov</w:t>
            </w:r>
            <w:r w:rsidR="00C5022C">
              <w:t>.au</w:t>
            </w:r>
          </w:p>
          <w:p w:rsidR="00C5022C" w:rsidRPr="00C5022C" w:rsidRDefault="00C5022C" w:rsidP="00C5022C"/>
        </w:tc>
        <w:tc>
          <w:tcPr>
            <w:tcW w:w="1928" w:type="dxa"/>
            <w:tcMar>
              <w:left w:w="0" w:type="dxa"/>
              <w:right w:w="0" w:type="dxa"/>
            </w:tcMar>
          </w:tcPr>
          <w:p w:rsidR="00C5022C" w:rsidRPr="007455F0" w:rsidRDefault="00C5022C" w:rsidP="007455F0">
            <w:pPr>
              <w:tabs>
                <w:tab w:val="left" w:pos="802"/>
              </w:tabs>
              <w:ind w:left="77"/>
              <w:rPr>
                <w:b/>
              </w:rPr>
            </w:pPr>
          </w:p>
        </w:tc>
      </w:tr>
    </w:tbl>
    <w:p w:rsidR="00737714" w:rsidRPr="0000292B" w:rsidRDefault="00737714" w:rsidP="00737714"/>
    <w:p w:rsidR="00090A6F" w:rsidRPr="0000292B" w:rsidRDefault="00090A6F">
      <w:pPr>
        <w:pStyle w:val="Heading2"/>
      </w:pPr>
      <w:r w:rsidRPr="0000292B">
        <w:t xml:space="preserve">Other </w:t>
      </w:r>
      <w:r w:rsidR="003E0A68" w:rsidRPr="0000292B">
        <w:t>Enquiries</w:t>
      </w:r>
    </w:p>
    <w:p w:rsidR="00090A6F" w:rsidRPr="0000292B" w:rsidRDefault="00090A6F">
      <w:pPr>
        <w:pStyle w:val="CoverContact"/>
      </w:pPr>
      <w:r w:rsidRPr="0000292B">
        <w:t>Phone:</w:t>
      </w:r>
      <w:r w:rsidRPr="0000292B">
        <w:tab/>
        <w:t>(03) 9617 7600</w:t>
      </w:r>
    </w:p>
    <w:p w:rsidR="00090A6F" w:rsidRPr="0000292B" w:rsidRDefault="00090A6F">
      <w:pPr>
        <w:pStyle w:val="CoverContact"/>
      </w:pPr>
      <w:r w:rsidRPr="0000292B">
        <w:t>Fax:</w:t>
      </w:r>
      <w:r w:rsidRPr="0000292B">
        <w:tab/>
        <w:t>(03) 9617 7608</w:t>
      </w:r>
    </w:p>
    <w:p w:rsidR="00090A6F" w:rsidRPr="0000292B" w:rsidRDefault="00923261">
      <w:pPr>
        <w:pStyle w:val="CoverContact"/>
      </w:pPr>
      <w:r>
        <w:t>E-mail:</w:t>
      </w:r>
      <w:r>
        <w:tab/>
        <w:t>standard@aasb.gov</w:t>
      </w:r>
      <w:r w:rsidR="00090A6F" w:rsidRPr="0000292B">
        <w:t>.au</w:t>
      </w:r>
    </w:p>
    <w:p w:rsidR="00C647A6" w:rsidRDefault="00C647A6" w:rsidP="006D4700">
      <w:pPr>
        <w:spacing w:before="600"/>
      </w:pPr>
      <w:bookmarkStart w:id="4" w:name="CopyrightText"/>
      <w:r>
        <w:t>COPYRIGHT</w:t>
      </w:r>
    </w:p>
    <w:p w:rsidR="00C647A6" w:rsidRDefault="00C647A6" w:rsidP="006D4700"/>
    <w:p w:rsidR="00C647A6" w:rsidRDefault="00C647A6" w:rsidP="006D4700">
      <w:r>
        <w:t xml:space="preserve">© Commonwealth of Australia </w:t>
      </w:r>
      <w:bookmarkStart w:id="5" w:name="Year"/>
      <w:r>
        <w:t>2012</w:t>
      </w:r>
      <w:bookmarkEnd w:id="5"/>
    </w:p>
    <w:p w:rsidR="00C647A6" w:rsidRDefault="00C647A6" w:rsidP="006D4700"/>
    <w:p w:rsidR="00C647A6" w:rsidRPr="00DE4E67" w:rsidRDefault="00C647A6">
      <w:pPr>
        <w:pStyle w:val="CoverLeadPara"/>
      </w:pPr>
      <w:r w:rsidRPr="00DE4E67">
        <w:t xml:space="preserve">This AASB </w:t>
      </w:r>
      <w:bookmarkStart w:id="6" w:name="IASBCopyright"/>
      <w:bookmarkEnd w:id="6"/>
      <w:r w:rsidRPr="00DE4E67">
        <w:t xml:space="preserve">Standard contains </w:t>
      </w:r>
      <w:r>
        <w:t>IFRS</w:t>
      </w:r>
      <w:r w:rsidRPr="00DE4E67">
        <w:t xml:space="preserve"> Foundation copyright material.  Reproduction within Australia in unaltered form (retaining this notice) is permitted for personal and non-commercial use subject to the inclusion of an acknowledgment of the source.  Requests and enquiries concerning reproduction and rights for commercial purposes within Australia should be addressed to The Director</w:t>
      </w:r>
      <w:r>
        <w:t xml:space="preserve"> of Finance and Administration</w:t>
      </w:r>
      <w:r w:rsidRPr="00DE4E67">
        <w:t>, Australian Accounting Standards Board, PO Box 204, Collins Street West, Victoria 8007.</w:t>
      </w:r>
    </w:p>
    <w:p w:rsidR="00C647A6" w:rsidRPr="00DE4E67" w:rsidRDefault="00C647A6">
      <w:r w:rsidRPr="00DE4E67">
        <w:t>All existing rights in this material are reserved outside Australia.</w:t>
      </w:r>
    </w:p>
    <w:p w:rsidR="00C647A6" w:rsidRPr="00DE4E67" w:rsidRDefault="00C647A6">
      <w:r w:rsidRPr="00DE4E67">
        <w:t xml:space="preserve">Reproduction outside Australia in unaltered form (retaining this notice) is permitted for personal and non-commercial use only.  Further information and requests for authorisation to reproduce for commercial purposes outside Australia should be addressed to the </w:t>
      </w:r>
      <w:r>
        <w:t>IFRS</w:t>
      </w:r>
      <w:r w:rsidRPr="00DE4E67">
        <w:t xml:space="preserve"> Foundation at www.</w:t>
      </w:r>
      <w:r>
        <w:t>ifrs</w:t>
      </w:r>
      <w:r w:rsidRPr="00DE4E67">
        <w:t>.org.</w:t>
      </w:r>
    </w:p>
    <w:bookmarkEnd w:id="4"/>
    <w:p w:rsidR="006D4700" w:rsidRDefault="006D4700" w:rsidP="006D4700"/>
    <w:p w:rsidR="007455F0" w:rsidRPr="0000292B" w:rsidRDefault="006D4700" w:rsidP="006D4700">
      <w:r>
        <w:t xml:space="preserve">ISSN </w:t>
      </w:r>
      <w:bookmarkStart w:id="7" w:name="ISSN"/>
      <w:r w:rsidR="00C647A6">
        <w:t>1036-4803</w:t>
      </w:r>
      <w:bookmarkEnd w:id="7"/>
    </w:p>
    <w:p w:rsidR="00090A6F" w:rsidRPr="0000292B" w:rsidRDefault="00090A6F">
      <w:pPr>
        <w:sectPr w:rsidR="00090A6F" w:rsidRPr="0000292B">
          <w:headerReference w:type="default" r:id="rId10"/>
          <w:footerReference w:type="default" r:id="rId11"/>
          <w:pgSz w:w="11907" w:h="16840"/>
          <w:pgMar w:top="3686" w:right="2837" w:bottom="3686" w:left="2837" w:header="706" w:footer="3254" w:gutter="0"/>
          <w:paperSrc w:first="58" w:other="58"/>
          <w:cols w:space="720"/>
        </w:sectPr>
      </w:pPr>
    </w:p>
    <w:p w:rsidR="00090A6F" w:rsidRPr="0000292B" w:rsidRDefault="00090A6F">
      <w:pPr>
        <w:pStyle w:val="Heading1"/>
      </w:pPr>
      <w:r w:rsidRPr="0000292B">
        <w:lastRenderedPageBreak/>
        <w:t>CONTENTS</w:t>
      </w:r>
    </w:p>
    <w:p w:rsidR="00090A6F" w:rsidRPr="0000292B" w:rsidRDefault="00090A6F">
      <w:pPr>
        <w:pStyle w:val="ContentsCapsPlain"/>
      </w:pPr>
      <w:r w:rsidRPr="0000292B">
        <w:t>Preface</w:t>
      </w:r>
    </w:p>
    <w:p w:rsidR="00036F1B" w:rsidRDefault="00090A6F">
      <w:pPr>
        <w:pStyle w:val="ContentsCapsBold"/>
      </w:pPr>
      <w:r w:rsidRPr="0000292B">
        <w:t>Accounting Standard</w:t>
      </w:r>
    </w:p>
    <w:p w:rsidR="00090A6F" w:rsidRDefault="00090A6F">
      <w:pPr>
        <w:pStyle w:val="ContentsCapsBold"/>
        <w:rPr>
          <w:i/>
          <w:iCs/>
        </w:rPr>
      </w:pPr>
      <w:r w:rsidRPr="0000292B">
        <w:t xml:space="preserve">AASB </w:t>
      </w:r>
      <w:r w:rsidR="00B61F93">
        <w:t>2012-</w:t>
      </w:r>
      <w:r w:rsidR="00B61F93">
        <w:rPr>
          <w:iCs/>
        </w:rPr>
        <w:t>3</w:t>
      </w:r>
      <w:r w:rsidRPr="0000292B">
        <w:t xml:space="preserve"> </w:t>
      </w:r>
      <w:r w:rsidR="009C2479" w:rsidRPr="009C2479">
        <w:rPr>
          <w:i/>
        </w:rPr>
        <w:t xml:space="preserve">AmenDMENTS TO aUSTRALIAN aCCOUNTING sTANDARDS </w:t>
      </w:r>
      <w:r w:rsidR="00AD3780">
        <w:t xml:space="preserve">– </w:t>
      </w:r>
      <w:r w:rsidR="009C2479" w:rsidRPr="009C2479">
        <w:rPr>
          <w:i/>
          <w:iCs/>
        </w:rPr>
        <w:fldChar w:fldCharType="begin" w:fldLock="1"/>
      </w:r>
      <w:r w:rsidR="009C2479" w:rsidRPr="009C2479">
        <w:rPr>
          <w:i/>
          <w:iCs/>
        </w:rPr>
        <w:instrText xml:space="preserve"> REF aRISINGNo \* charformat</w:instrText>
      </w:r>
      <w:r w:rsidR="009C2479">
        <w:rPr>
          <w:i/>
          <w:iCs/>
        </w:rPr>
        <w:instrText xml:space="preserve"> </w:instrText>
      </w:r>
      <w:r w:rsidR="009C2479" w:rsidRPr="009C2479">
        <w:rPr>
          <w:i/>
          <w:iCs/>
        </w:rPr>
        <w:fldChar w:fldCharType="separate"/>
      </w:r>
      <w:r w:rsidR="00C75BF6" w:rsidRPr="00C75BF6">
        <w:rPr>
          <w:i/>
          <w:iCs/>
        </w:rPr>
        <w:t>Offsetting Financial Assets and Financial Liabilities</w:t>
      </w:r>
      <w:r w:rsidR="009C2479" w:rsidRPr="009C2479">
        <w:rPr>
          <w:i/>
          <w:iCs/>
        </w:rPr>
        <w:fldChar w:fldCharType="end"/>
      </w:r>
    </w:p>
    <w:p w:rsidR="002B7803" w:rsidRPr="002B7803" w:rsidRDefault="002B7803" w:rsidP="002B7803"/>
    <w:p w:rsidR="00090A6F" w:rsidRPr="0000292B" w:rsidRDefault="00090A6F">
      <w:pPr>
        <w:pStyle w:val="ContentsParaHead"/>
      </w:pPr>
      <w:r w:rsidRPr="0000292B">
        <w:t>Paragraphs</w:t>
      </w:r>
    </w:p>
    <w:p w:rsidR="00090A6F" w:rsidRPr="0000292B" w:rsidRDefault="00090A6F">
      <w:pPr>
        <w:pStyle w:val="ContentsLevel1"/>
      </w:pPr>
      <w:bookmarkStart w:id="8" w:name="TOCRange"/>
      <w:r w:rsidRPr="0000292B">
        <w:t>Objective</w:t>
      </w:r>
      <w:r w:rsidRPr="0000292B">
        <w:tab/>
      </w:r>
      <w:r w:rsidR="00607087">
        <w:t>1</w:t>
      </w:r>
    </w:p>
    <w:p w:rsidR="00090A6F" w:rsidRDefault="00090A6F">
      <w:pPr>
        <w:pStyle w:val="ContentsLevel1"/>
      </w:pPr>
      <w:r w:rsidRPr="0000292B">
        <w:t>Application</w:t>
      </w:r>
      <w:r w:rsidRPr="0000292B">
        <w:tab/>
      </w:r>
      <w:r w:rsidR="00607087">
        <w:t xml:space="preserve">2 </w:t>
      </w:r>
      <w:r w:rsidR="003B0568">
        <w:t>–</w:t>
      </w:r>
      <w:r w:rsidR="00C23D8A">
        <w:t xml:space="preserve"> </w:t>
      </w:r>
      <w:r w:rsidR="00F934A4">
        <w:t>4</w:t>
      </w:r>
    </w:p>
    <w:p w:rsidR="00C647A6" w:rsidRDefault="00C647A6" w:rsidP="009A289A">
      <w:pPr>
        <w:pStyle w:val="ContentsLevel1"/>
        <w:spacing w:after="0"/>
      </w:pPr>
      <w:r>
        <w:t>Amendments to AASB 132</w:t>
      </w:r>
      <w:r>
        <w:tab/>
      </w:r>
      <w:r w:rsidR="00F934A4">
        <w:t>5</w:t>
      </w:r>
      <w:r w:rsidR="00C23D8A">
        <w:t xml:space="preserve"> </w:t>
      </w:r>
      <w:r w:rsidR="003B0568">
        <w:t>–</w:t>
      </w:r>
      <w:r w:rsidR="00C23D8A">
        <w:t xml:space="preserve"> </w:t>
      </w:r>
      <w:r w:rsidR="00F934A4">
        <w:t>7</w:t>
      </w:r>
    </w:p>
    <w:p w:rsidR="00077DAE" w:rsidRDefault="00077DAE" w:rsidP="00077DAE"/>
    <w:p w:rsidR="00607087" w:rsidRDefault="00607087" w:rsidP="007D5CFB">
      <w:pPr>
        <w:pStyle w:val="ContentsLevel1"/>
        <w:spacing w:after="0"/>
      </w:pPr>
      <w:bookmarkStart w:id="9" w:name="ContentsMarker"/>
      <w:bookmarkEnd w:id="9"/>
      <w:r>
        <w:t>IASB BAS</w:t>
      </w:r>
      <w:r w:rsidR="003B0568">
        <w:t>I</w:t>
      </w:r>
      <w:r>
        <w:t>S FOR CONCLUSIONS – AMENDMENTS</w:t>
      </w:r>
      <w:r>
        <w:tab/>
      </w:r>
    </w:p>
    <w:p w:rsidR="00077DAE" w:rsidRDefault="00607087" w:rsidP="00F934A4">
      <w:r>
        <w:t>(available on the AASB website)</w:t>
      </w:r>
      <w:r w:rsidR="00077DAE" w:rsidRPr="00077DAE">
        <w:t xml:space="preserve"> </w:t>
      </w:r>
    </w:p>
    <w:p w:rsidR="00077DAE" w:rsidRDefault="00077DAE" w:rsidP="00077DAE"/>
    <w:bookmarkEnd w:id="8"/>
    <w:p w:rsidR="00090A6F" w:rsidRPr="0000292B" w:rsidRDefault="00090A6F">
      <w:pPr>
        <w:pStyle w:val="ContentsBox"/>
      </w:pPr>
      <w:r w:rsidRPr="0000292B">
        <w:t xml:space="preserve">Australian Accounting Standard AASB </w:t>
      </w:r>
      <w:r w:rsidR="00B61F93">
        <w:t>2012-</w:t>
      </w:r>
      <w:r w:rsidR="00B61F93">
        <w:rPr>
          <w:iCs/>
        </w:rPr>
        <w:t>3</w:t>
      </w:r>
      <w:r w:rsidRPr="0000292B">
        <w:t xml:space="preserve"> </w:t>
      </w:r>
      <w:r w:rsidR="009C2479" w:rsidRPr="009C2479">
        <w:rPr>
          <w:i/>
        </w:rPr>
        <w:t xml:space="preserve">Amendments to Australian Accounting Standards </w:t>
      </w:r>
      <w:r w:rsidR="00AD3780">
        <w:t xml:space="preserve">– </w:t>
      </w:r>
      <w:r w:rsidRPr="0000292B">
        <w:rPr>
          <w:i/>
          <w:iCs/>
        </w:rPr>
        <w:fldChar w:fldCharType="begin" w:fldLock="1"/>
      </w:r>
      <w:r w:rsidRPr="0000292B">
        <w:rPr>
          <w:i/>
          <w:iCs/>
        </w:rPr>
        <w:instrText xml:space="preserve"> REF </w:instrText>
      </w:r>
      <w:r w:rsidR="009C2479">
        <w:rPr>
          <w:i/>
          <w:iCs/>
        </w:rPr>
        <w:instrText>ArisingNo</w:instrText>
      </w:r>
      <w:r w:rsidRPr="0000292B">
        <w:rPr>
          <w:i/>
          <w:iCs/>
        </w:rPr>
        <w:instrText xml:space="preserve"> \* charformat </w:instrText>
      </w:r>
      <w:r w:rsidRPr="0000292B">
        <w:rPr>
          <w:i/>
          <w:iCs/>
        </w:rPr>
        <w:fldChar w:fldCharType="separate"/>
      </w:r>
      <w:r w:rsidR="00C75BF6" w:rsidRPr="00C75BF6">
        <w:rPr>
          <w:i/>
          <w:iCs/>
        </w:rPr>
        <w:t>Offsetting Financial Assets and Financial Liabilities</w:t>
      </w:r>
      <w:r w:rsidRPr="0000292B">
        <w:rPr>
          <w:i/>
          <w:iCs/>
        </w:rPr>
        <w:fldChar w:fldCharType="end"/>
      </w:r>
      <w:r w:rsidRPr="0000292B">
        <w:rPr>
          <w:i/>
          <w:iCs/>
        </w:rPr>
        <w:t xml:space="preserve"> </w:t>
      </w:r>
      <w:r w:rsidRPr="0000292B">
        <w:t xml:space="preserve">is set out in </w:t>
      </w:r>
      <w:r w:rsidRPr="00392D79">
        <w:t xml:space="preserve">paragraphs </w:t>
      </w:r>
      <w:r w:rsidR="00392D79">
        <w:t xml:space="preserve">1 – </w:t>
      </w:r>
      <w:r w:rsidR="00F934A4">
        <w:t>7</w:t>
      </w:r>
      <w:r w:rsidRPr="00392D79">
        <w:t>.</w:t>
      </w:r>
      <w:r w:rsidRPr="0000292B">
        <w:t xml:space="preserve"> All the pa</w:t>
      </w:r>
      <w:r w:rsidR="009C2479">
        <w:t>ragraphs have equal authority.</w:t>
      </w:r>
    </w:p>
    <w:p w:rsidR="00090A6F" w:rsidRPr="0000292B" w:rsidRDefault="00090A6F">
      <w:pPr>
        <w:pStyle w:val="ContentsBox"/>
        <w:pBdr>
          <w:top w:val="none" w:sz="0" w:space="0" w:color="auto"/>
          <w:left w:val="none" w:sz="0" w:space="0" w:color="auto"/>
          <w:bottom w:val="none" w:sz="0" w:space="0" w:color="auto"/>
          <w:right w:val="none" w:sz="0" w:space="0" w:color="auto"/>
        </w:pBdr>
      </w:pPr>
    </w:p>
    <w:p w:rsidR="00090A6F" w:rsidRPr="0000292B" w:rsidRDefault="00090A6F">
      <w:pPr>
        <w:sectPr w:rsidR="00090A6F" w:rsidRPr="0000292B">
          <w:footerReference w:type="default" r:id="rId12"/>
          <w:pgSz w:w="11907" w:h="16840"/>
          <w:pgMar w:top="3686" w:right="2837" w:bottom="3686" w:left="2837" w:header="706" w:footer="3254" w:gutter="0"/>
          <w:paperSrc w:first="58" w:other="58"/>
          <w:cols w:space="720"/>
        </w:sectPr>
      </w:pPr>
    </w:p>
    <w:p w:rsidR="00090A6F" w:rsidRPr="0000292B" w:rsidRDefault="00090A6F">
      <w:pPr>
        <w:pStyle w:val="Heading1"/>
      </w:pPr>
      <w:r w:rsidRPr="0000292B">
        <w:lastRenderedPageBreak/>
        <w:t>Preface</w:t>
      </w:r>
    </w:p>
    <w:p w:rsidR="000F64CC" w:rsidRPr="0000292B" w:rsidRDefault="00C75BF6">
      <w:pPr>
        <w:pStyle w:val="Heading2"/>
      </w:pPr>
      <w:r>
        <w:t>Introduction</w:t>
      </w:r>
    </w:p>
    <w:p w:rsidR="00C647A6" w:rsidRPr="00717807" w:rsidRDefault="009C2479" w:rsidP="00607087">
      <w:pPr>
        <w:pStyle w:val="NoNumPlain1"/>
      </w:pPr>
      <w:r>
        <w:t>Th</w:t>
      </w:r>
      <w:bookmarkStart w:id="10" w:name="PrefaceNos"/>
      <w:bookmarkEnd w:id="10"/>
      <w:r>
        <w:t xml:space="preserve">is Standard makes amendments to </w:t>
      </w:r>
      <w:r w:rsidR="00607087">
        <w:t xml:space="preserve">Australian Accounting Standard </w:t>
      </w:r>
      <w:r w:rsidR="00C647A6">
        <w:t>AASB</w:t>
      </w:r>
      <w:r w:rsidR="009A289A">
        <w:t> </w:t>
      </w:r>
      <w:r w:rsidR="00C647A6">
        <w:t xml:space="preserve">132 </w:t>
      </w:r>
      <w:r w:rsidR="00C647A6" w:rsidRPr="00C647A6">
        <w:rPr>
          <w:i/>
        </w:rPr>
        <w:t>Financial Instruments: Presentation</w:t>
      </w:r>
      <w:r w:rsidR="00717807">
        <w:t>.</w:t>
      </w:r>
    </w:p>
    <w:p w:rsidR="00607087" w:rsidRDefault="00401ECA" w:rsidP="00401ECA">
      <w:pPr>
        <w:pStyle w:val="NoNumPlain1"/>
      </w:pPr>
      <w:r>
        <w:t xml:space="preserve">These </w:t>
      </w:r>
      <w:r w:rsidR="00460FBB">
        <w:t>a</w:t>
      </w:r>
      <w:r>
        <w:t>mendments arise from</w:t>
      </w:r>
      <w:r w:rsidR="00D00FD5">
        <w:t xml:space="preserve"> the issuance of </w:t>
      </w:r>
      <w:r w:rsidR="00607087" w:rsidRPr="00607087">
        <w:rPr>
          <w:i/>
        </w:rPr>
        <w:t xml:space="preserve">Offsetting Financial </w:t>
      </w:r>
      <w:r w:rsidR="00AD3780">
        <w:rPr>
          <w:i/>
        </w:rPr>
        <w:t>Asse</w:t>
      </w:r>
      <w:r w:rsidR="00607087" w:rsidRPr="00607087">
        <w:rPr>
          <w:i/>
        </w:rPr>
        <w:t>ts and Financial Liabilities</w:t>
      </w:r>
      <w:r w:rsidR="00607087">
        <w:t xml:space="preserve"> (Amendments to IAS 32)</w:t>
      </w:r>
      <w:r w:rsidR="00D00FD5">
        <w:t xml:space="preserve"> </w:t>
      </w:r>
      <w:r w:rsidR="00607087">
        <w:t>by the International Accounting Standards Board in December 2011.</w:t>
      </w:r>
    </w:p>
    <w:p w:rsidR="00607087" w:rsidRDefault="00607087" w:rsidP="00607087">
      <w:pPr>
        <w:pStyle w:val="Heading2"/>
      </w:pPr>
      <w:r>
        <w:t>Main Features of this Standard</w:t>
      </w:r>
    </w:p>
    <w:p w:rsidR="00607087" w:rsidRDefault="00607087" w:rsidP="00607087">
      <w:pPr>
        <w:pStyle w:val="Heading3"/>
      </w:pPr>
      <w:r>
        <w:t>Application Date</w:t>
      </w:r>
    </w:p>
    <w:p w:rsidR="00607087" w:rsidRPr="009A289A" w:rsidRDefault="00607087" w:rsidP="00607087">
      <w:pPr>
        <w:pStyle w:val="NoNumPlain1"/>
        <w:rPr>
          <w:i/>
        </w:rPr>
      </w:pPr>
      <w:r>
        <w:t>This Standard applies to annual reporting periods beginning on or after 1 </w:t>
      </w:r>
      <w:r w:rsidR="006D5C5E">
        <w:t>January</w:t>
      </w:r>
      <w:r>
        <w:t xml:space="preserve"> 2014.  Earl</w:t>
      </w:r>
      <w:r w:rsidR="00036F1B">
        <w:t>ier</w:t>
      </w:r>
      <w:r>
        <w:t xml:space="preserve"> application is permitted for annual reporting periods beginning on or after 1</w:t>
      </w:r>
      <w:r w:rsidR="00AD3780">
        <w:t> </w:t>
      </w:r>
      <w:r w:rsidR="006D5C5E">
        <w:t>January</w:t>
      </w:r>
      <w:r>
        <w:t xml:space="preserve"> 2005 but before 1 </w:t>
      </w:r>
      <w:r w:rsidR="006D5C5E">
        <w:t>January</w:t>
      </w:r>
      <w:r>
        <w:t xml:space="preserve"> 2014</w:t>
      </w:r>
      <w:r w:rsidR="003B0568">
        <w:t>, provided that</w:t>
      </w:r>
      <w:r>
        <w:t xml:space="preserve"> </w:t>
      </w:r>
      <w:r w:rsidR="00B61F93">
        <w:t>AASB 2012-2</w:t>
      </w:r>
      <w:r w:rsidR="00AD3780">
        <w:t xml:space="preserve"> </w:t>
      </w:r>
      <w:r w:rsidR="00AD3780">
        <w:rPr>
          <w:i/>
        </w:rPr>
        <w:t xml:space="preserve">Amendments to Australian Accounting Standards </w:t>
      </w:r>
      <w:r w:rsidR="000A091E">
        <w:t xml:space="preserve">– </w:t>
      </w:r>
      <w:r w:rsidR="00AD3780" w:rsidRPr="00CF13C9">
        <w:rPr>
          <w:i/>
        </w:rPr>
        <w:t xml:space="preserve">Disclosures </w:t>
      </w:r>
      <w:r w:rsidR="00CF13C9" w:rsidRPr="009A289A">
        <w:rPr>
          <w:i/>
        </w:rPr>
        <w:t xml:space="preserve">– </w:t>
      </w:r>
      <w:r w:rsidR="003B0568">
        <w:rPr>
          <w:i/>
        </w:rPr>
        <w:t xml:space="preserve">Offsetting </w:t>
      </w:r>
      <w:r w:rsidR="00CF13C9" w:rsidRPr="009A289A">
        <w:rPr>
          <w:i/>
        </w:rPr>
        <w:t>Financial Assets and Financial Liabilities</w:t>
      </w:r>
      <w:r w:rsidR="003B0568">
        <w:t xml:space="preserve"> is also applied.</w:t>
      </w:r>
    </w:p>
    <w:p w:rsidR="00607087" w:rsidRDefault="00607087" w:rsidP="00607087">
      <w:pPr>
        <w:pStyle w:val="Heading2"/>
      </w:pPr>
      <w:r>
        <w:t>Main Requirements</w:t>
      </w:r>
    </w:p>
    <w:p w:rsidR="00607087" w:rsidRDefault="00607087" w:rsidP="00607087">
      <w:pPr>
        <w:pStyle w:val="NoNumPlain1"/>
      </w:pPr>
      <w:r w:rsidRPr="00392D79">
        <w:t xml:space="preserve">This </w:t>
      </w:r>
      <w:r w:rsidR="00392D79" w:rsidRPr="00392D79">
        <w:t>Standard adds</w:t>
      </w:r>
      <w:r w:rsidR="00F5303D" w:rsidRPr="00392D79">
        <w:t xml:space="preserve"> application guidance to AASB</w:t>
      </w:r>
      <w:r w:rsidR="009A289A">
        <w:t> </w:t>
      </w:r>
      <w:r w:rsidR="00F5303D" w:rsidRPr="00392D79">
        <w:t>132 to address inconsistencies identified in applying some of the offsetting criteria of AASB</w:t>
      </w:r>
      <w:r w:rsidR="006D5C5E">
        <w:t> </w:t>
      </w:r>
      <w:r w:rsidR="00F5303D" w:rsidRPr="00392D79">
        <w:t>132, including clarifying the meaning of “currently has a legally enforceable right of set-off</w:t>
      </w:r>
      <w:r w:rsidR="003B0568">
        <w:t>”</w:t>
      </w:r>
      <w:r w:rsidR="00F5303D" w:rsidRPr="00392D79">
        <w:t xml:space="preserve"> and that some gross settlement systems may be considered equivalent to net settlement.</w:t>
      </w:r>
    </w:p>
    <w:p w:rsidR="00090A6F" w:rsidRPr="0000292B" w:rsidRDefault="00090A6F"/>
    <w:p w:rsidR="00090A6F" w:rsidRPr="0000292B" w:rsidRDefault="00090A6F">
      <w:pPr>
        <w:sectPr w:rsidR="00090A6F" w:rsidRPr="0000292B">
          <w:footerReference w:type="default" r:id="rId13"/>
          <w:pgSz w:w="11907" w:h="16840"/>
          <w:pgMar w:top="3686" w:right="2837" w:bottom="3686" w:left="2837" w:header="706" w:footer="3254" w:gutter="0"/>
          <w:paperSrc w:first="58" w:other="58"/>
          <w:cols w:space="720"/>
        </w:sectPr>
      </w:pPr>
    </w:p>
    <w:p w:rsidR="001662B8" w:rsidRPr="0000292B" w:rsidRDefault="001662B8" w:rsidP="001662B8">
      <w:pPr>
        <w:pStyle w:val="Heading1"/>
      </w:pPr>
      <w:r w:rsidRPr="0000292B">
        <w:lastRenderedPageBreak/>
        <w:t xml:space="preserve">aCCOUNTING STANDARD AASB </w:t>
      </w:r>
      <w:r w:rsidR="00B61F93">
        <w:t>2012-</w:t>
      </w:r>
      <w:r w:rsidR="00B61F93">
        <w:rPr>
          <w:iCs/>
        </w:rPr>
        <w:t>3</w:t>
      </w:r>
    </w:p>
    <w:p w:rsidR="001662B8" w:rsidRDefault="001662B8" w:rsidP="001662B8">
      <w:r>
        <w:t>The Australian Accounting Standards Board makes Accounting Standard AASB </w:t>
      </w:r>
      <w:r w:rsidR="00E6435D">
        <w:t>2012-3</w:t>
      </w:r>
      <w:r>
        <w:t xml:space="preserve"> </w:t>
      </w:r>
      <w:r w:rsidRPr="001662B8">
        <w:rPr>
          <w:i/>
        </w:rPr>
        <w:t>Amendments to Australian Ac</w:t>
      </w:r>
      <w:r w:rsidR="00607087">
        <w:rPr>
          <w:i/>
        </w:rPr>
        <w:t xml:space="preserve">counting Standards </w:t>
      </w:r>
      <w:r w:rsidR="00607087">
        <w:t>–</w:t>
      </w:r>
      <w:r w:rsidR="00607087">
        <w:rPr>
          <w:i/>
        </w:rPr>
        <w:t xml:space="preserve"> </w:t>
      </w:r>
      <w:r w:rsidRPr="001662B8">
        <w:rPr>
          <w:i/>
          <w:iCs/>
        </w:rPr>
        <w:fldChar w:fldCharType="begin" w:fldLock="1"/>
      </w:r>
      <w:r w:rsidRPr="001662B8">
        <w:rPr>
          <w:i/>
          <w:iCs/>
        </w:rPr>
        <w:instrText xml:space="preserve"> REF ArisingNo  \* charformat </w:instrText>
      </w:r>
      <w:r w:rsidRPr="001662B8">
        <w:rPr>
          <w:i/>
          <w:iCs/>
        </w:rPr>
        <w:fldChar w:fldCharType="separate"/>
      </w:r>
      <w:r w:rsidR="00C75BF6" w:rsidRPr="00C75BF6">
        <w:rPr>
          <w:i/>
          <w:iCs/>
        </w:rPr>
        <w:t>Offsetting Financial Assets and Financial Liabilities</w:t>
      </w:r>
      <w:r w:rsidRPr="001662B8">
        <w:rPr>
          <w:i/>
          <w:iCs/>
        </w:rPr>
        <w:fldChar w:fldCharType="end"/>
      </w:r>
      <w:r w:rsidR="002B7803">
        <w:rPr>
          <w:i/>
          <w:iCs/>
        </w:rPr>
        <w:t xml:space="preserve"> </w:t>
      </w:r>
      <w:r>
        <w:t xml:space="preserve">under section 334 of the </w:t>
      </w:r>
      <w:r>
        <w:rPr>
          <w:i/>
          <w:iCs/>
        </w:rPr>
        <w:t>Corporations Act 2001</w:t>
      </w:r>
      <w:r>
        <w:t>.</w:t>
      </w:r>
    </w:p>
    <w:p w:rsidR="00C03C7B" w:rsidRDefault="00C03C7B" w:rsidP="00C03C7B"/>
    <w:tbl>
      <w:tblPr>
        <w:tblW w:w="0" w:type="auto"/>
        <w:tblLook w:val="0000" w:firstRow="0" w:lastRow="0" w:firstColumn="0" w:lastColumn="0" w:noHBand="0" w:noVBand="0"/>
        <w:tblCaption w:val="Authorisation of the statement that the AASB has made the Standard"/>
        <w:tblDescription w:val="Date when the Standard was made by the AASB, the name of the AASB Chair, and the statement of that position"/>
      </w:tblPr>
      <w:tblGrid>
        <w:gridCol w:w="3226"/>
        <w:gridCol w:w="3227"/>
      </w:tblGrid>
      <w:tr w:rsidR="00C03C7B" w:rsidTr="0048155F">
        <w:tc>
          <w:tcPr>
            <w:tcW w:w="3226" w:type="dxa"/>
          </w:tcPr>
          <w:p w:rsidR="00C03C7B" w:rsidRDefault="00C03C7B" w:rsidP="0048155F"/>
        </w:tc>
        <w:tc>
          <w:tcPr>
            <w:tcW w:w="3227" w:type="dxa"/>
          </w:tcPr>
          <w:p w:rsidR="00C03C7B" w:rsidRDefault="00C03C7B" w:rsidP="0048155F">
            <w:pPr>
              <w:jc w:val="right"/>
            </w:pPr>
            <w:r>
              <w:t xml:space="preserve">Kevin </w:t>
            </w:r>
            <w:r w:rsidR="000B733C">
              <w:t xml:space="preserve">M. </w:t>
            </w:r>
            <w:r>
              <w:t>Stevenson</w:t>
            </w:r>
          </w:p>
        </w:tc>
      </w:tr>
      <w:tr w:rsidR="00C03C7B" w:rsidTr="0048155F">
        <w:tc>
          <w:tcPr>
            <w:tcW w:w="3226" w:type="dxa"/>
          </w:tcPr>
          <w:p w:rsidR="00C03C7B" w:rsidRDefault="00C03C7B" w:rsidP="0048155F">
            <w:r>
              <w:t xml:space="preserve">Dated </w:t>
            </w:r>
            <w:bookmarkStart w:id="11" w:name="DateSigned"/>
            <w:r w:rsidR="00B61F93">
              <w:t>29</w:t>
            </w:r>
            <w:r w:rsidR="00C75BF6">
              <w:t xml:space="preserve"> June 2012</w:t>
            </w:r>
            <w:bookmarkEnd w:id="11"/>
          </w:p>
        </w:tc>
        <w:tc>
          <w:tcPr>
            <w:tcW w:w="3227" w:type="dxa"/>
          </w:tcPr>
          <w:p w:rsidR="00C03C7B" w:rsidRDefault="00C03C7B" w:rsidP="0048155F">
            <w:pPr>
              <w:jc w:val="right"/>
            </w:pPr>
            <w:r>
              <w:t>Chair – AASB</w:t>
            </w:r>
          </w:p>
        </w:tc>
      </w:tr>
    </w:tbl>
    <w:p w:rsidR="00C03C7B" w:rsidRDefault="00C03C7B" w:rsidP="00C03C7B"/>
    <w:p w:rsidR="00C03C7B" w:rsidRDefault="00C03C7B" w:rsidP="00C03C7B"/>
    <w:p w:rsidR="00090A6F" w:rsidRPr="0000292B" w:rsidRDefault="00090A6F">
      <w:pPr>
        <w:pStyle w:val="Heading1"/>
      </w:pPr>
      <w:r w:rsidRPr="0000292B">
        <w:t xml:space="preserve">aCCOUNTING STANDARD AASB </w:t>
      </w:r>
      <w:r w:rsidR="00B61F93">
        <w:t>2012-</w:t>
      </w:r>
      <w:r w:rsidR="00B61F93">
        <w:rPr>
          <w:iCs/>
        </w:rPr>
        <w:t>3</w:t>
      </w:r>
    </w:p>
    <w:p w:rsidR="00090A6F" w:rsidRDefault="001662B8">
      <w:pPr>
        <w:pStyle w:val="Heading1Italic"/>
      </w:pPr>
      <w:r>
        <w:t xml:space="preserve">AMENDMENTS TO AUSTRALIAN ACCOUNTING STANDARDS </w:t>
      </w:r>
      <w:r w:rsidR="00CF13C9">
        <w:t>–</w:t>
      </w:r>
      <w:r>
        <w:t xml:space="preserve"> </w:t>
      </w:r>
      <w:r w:rsidR="00090A6F" w:rsidRPr="0000292B">
        <w:fldChar w:fldCharType="begin" w:fldLock="1"/>
      </w:r>
      <w:r w:rsidR="00090A6F" w:rsidRPr="0000292B">
        <w:instrText xml:space="preserve"> REF </w:instrText>
      </w:r>
      <w:r>
        <w:instrText>ArisingNo</w:instrText>
      </w:r>
      <w:r w:rsidR="00090A6F" w:rsidRPr="0000292B">
        <w:instrText xml:space="preserve">  \* charformat </w:instrText>
      </w:r>
      <w:r w:rsidR="00090A6F" w:rsidRPr="0000292B">
        <w:fldChar w:fldCharType="separate"/>
      </w:r>
      <w:r w:rsidR="00C75BF6">
        <w:t>Offsetting Financial Assets and Financial Liabilities</w:t>
      </w:r>
      <w:r w:rsidR="00090A6F" w:rsidRPr="0000292B">
        <w:fldChar w:fldCharType="end"/>
      </w:r>
    </w:p>
    <w:p w:rsidR="00090A6F" w:rsidRPr="0000292B" w:rsidRDefault="00090A6F">
      <w:pPr>
        <w:pStyle w:val="Heading2"/>
      </w:pPr>
      <w:bookmarkStart w:id="12" w:name="TOCStart"/>
      <w:bookmarkEnd w:id="12"/>
      <w:r w:rsidRPr="0000292B">
        <w:t>Objective</w:t>
      </w:r>
    </w:p>
    <w:p w:rsidR="001662B8" w:rsidRPr="00607087" w:rsidRDefault="001662B8" w:rsidP="00C23D8A">
      <w:pPr>
        <w:pStyle w:val="NumPlain1"/>
        <w:numPr>
          <w:ilvl w:val="0"/>
          <w:numId w:val="2"/>
        </w:numPr>
      </w:pPr>
      <w:r>
        <w:t xml:space="preserve">The </w:t>
      </w:r>
      <w:r w:rsidR="00460FBB">
        <w:t>o</w:t>
      </w:r>
      <w:r>
        <w:t>bjective of this St</w:t>
      </w:r>
      <w:r w:rsidR="00607087">
        <w:t xml:space="preserve">andard is to make amendments to </w:t>
      </w:r>
      <w:r w:rsidR="00C647A6">
        <w:t>AASB</w:t>
      </w:r>
      <w:r w:rsidR="00C94458">
        <w:t> </w:t>
      </w:r>
      <w:r w:rsidR="00C647A6">
        <w:t xml:space="preserve">132 </w:t>
      </w:r>
      <w:r w:rsidR="00C647A6" w:rsidRPr="00607087">
        <w:rPr>
          <w:i/>
        </w:rPr>
        <w:t>Financial Instruments: Presentation</w:t>
      </w:r>
      <w:r w:rsidR="00607087">
        <w:rPr>
          <w:i/>
        </w:rPr>
        <w:t xml:space="preserve"> </w:t>
      </w:r>
      <w:r>
        <w:t>a</w:t>
      </w:r>
      <w:bookmarkStart w:id="13" w:name="StndObj"/>
      <w:bookmarkEnd w:id="13"/>
      <w:r>
        <w:t xml:space="preserve">s a consequence of the issuance of </w:t>
      </w:r>
      <w:r w:rsidR="00607087">
        <w:t xml:space="preserve">International Financial Reporting Standard </w:t>
      </w:r>
      <w:r w:rsidRPr="00607087">
        <w:rPr>
          <w:i/>
        </w:rPr>
        <w:fldChar w:fldCharType="begin" w:fldLock="1"/>
      </w:r>
      <w:r w:rsidRPr="00607087">
        <w:rPr>
          <w:i/>
        </w:rPr>
        <w:instrText xml:space="preserve"> REF ArisingNo  \* charformat </w:instrText>
      </w:r>
      <w:r w:rsidR="00607087">
        <w:rPr>
          <w:i/>
        </w:rPr>
        <w:instrText xml:space="preserve"> \* MERGEFORMAT </w:instrText>
      </w:r>
      <w:r w:rsidRPr="00607087">
        <w:rPr>
          <w:i/>
        </w:rPr>
        <w:fldChar w:fldCharType="separate"/>
      </w:r>
      <w:r w:rsidR="00C75BF6" w:rsidRPr="00C75BF6">
        <w:rPr>
          <w:i/>
        </w:rPr>
        <w:t>Offsetting Financial Assets and Financial Liabilities</w:t>
      </w:r>
      <w:r w:rsidRPr="00607087">
        <w:rPr>
          <w:i/>
        </w:rPr>
        <w:fldChar w:fldCharType="end"/>
      </w:r>
      <w:bookmarkStart w:id="14" w:name="ArisingTitle"/>
      <w:bookmarkEnd w:id="14"/>
      <w:r w:rsidR="00607087">
        <w:rPr>
          <w:i/>
        </w:rPr>
        <w:t xml:space="preserve"> </w:t>
      </w:r>
      <w:r w:rsidR="00607087" w:rsidRPr="00607087">
        <w:t>(Amendments to IAS 32)</w:t>
      </w:r>
      <w:r w:rsidRPr="00607087">
        <w:rPr>
          <w:i/>
        </w:rPr>
        <w:t xml:space="preserve"> </w:t>
      </w:r>
      <w:r w:rsidR="00DD759E">
        <w:t xml:space="preserve">by the International Accounting Standards Board </w:t>
      </w:r>
      <w:r w:rsidRPr="00607087">
        <w:t>in</w:t>
      </w:r>
      <w:r w:rsidR="00742E4B" w:rsidRPr="00607087">
        <w:t xml:space="preserve"> </w:t>
      </w:r>
      <w:bookmarkStart w:id="15" w:name="ArisingDate"/>
      <w:r w:rsidR="00607087" w:rsidRPr="00607087">
        <w:t>December 2011</w:t>
      </w:r>
      <w:bookmarkEnd w:id="15"/>
      <w:r w:rsidRPr="00607087">
        <w:t>.</w:t>
      </w:r>
    </w:p>
    <w:p w:rsidR="00090A6F" w:rsidRPr="0000292B" w:rsidRDefault="00090A6F">
      <w:pPr>
        <w:pStyle w:val="Heading2"/>
      </w:pPr>
      <w:r w:rsidRPr="0000292B">
        <w:t>Application</w:t>
      </w:r>
    </w:p>
    <w:p w:rsidR="00511C34" w:rsidRDefault="00AA4681" w:rsidP="00027E8B">
      <w:pPr>
        <w:pStyle w:val="NumBold1"/>
      </w:pPr>
      <w:r>
        <w:t>T</w:t>
      </w:r>
      <w:r w:rsidR="00511C34">
        <w:t>his Standard applies to:</w:t>
      </w:r>
    </w:p>
    <w:p w:rsidR="00511C34" w:rsidRDefault="00511C34" w:rsidP="00511C34">
      <w:pPr>
        <w:pStyle w:val="NumBold2"/>
      </w:pPr>
      <w:r>
        <w:t xml:space="preserve">each entity that is required to prepare financial reports in accordance with Part 2M.3 of the </w:t>
      </w:r>
      <w:r w:rsidRPr="00D74038">
        <w:t>Corporations Act</w:t>
      </w:r>
      <w:r>
        <w:t xml:space="preserve"> and that is a reporting entity;</w:t>
      </w:r>
    </w:p>
    <w:p w:rsidR="00511C34" w:rsidRDefault="00511C34" w:rsidP="00511C34">
      <w:pPr>
        <w:pStyle w:val="NumBold2"/>
      </w:pPr>
      <w:r>
        <w:t>general purpose financial statements of each other reporting entity; and</w:t>
      </w:r>
    </w:p>
    <w:p w:rsidR="00511C34" w:rsidRDefault="00511C34" w:rsidP="00511C34">
      <w:pPr>
        <w:pStyle w:val="NumBold2"/>
      </w:pPr>
      <w:proofErr w:type="gramStart"/>
      <w:r>
        <w:t>financial</w:t>
      </w:r>
      <w:proofErr w:type="gramEnd"/>
      <w:r>
        <w:t xml:space="preserve"> statements that are, or are held out to be, general purpose financial statements.</w:t>
      </w:r>
      <w:bookmarkStart w:id="16" w:name="_GoBack"/>
      <w:bookmarkEnd w:id="16"/>
    </w:p>
    <w:p w:rsidR="00F934A4" w:rsidRDefault="00090A6F">
      <w:pPr>
        <w:pStyle w:val="NumBold1"/>
      </w:pPr>
      <w:r w:rsidRPr="00027E8B">
        <w:t xml:space="preserve">This Standard applies to annual reporting periods </w:t>
      </w:r>
      <w:bookmarkStart w:id="17" w:name="ApplyText"/>
      <w:r w:rsidRPr="00027E8B">
        <w:t>beginning</w:t>
      </w:r>
      <w:bookmarkEnd w:id="17"/>
      <w:r w:rsidRPr="00027E8B">
        <w:t xml:space="preserve"> on or after </w:t>
      </w:r>
      <w:bookmarkStart w:id="18" w:name="ApplyDate"/>
      <w:r w:rsidR="00C647A6">
        <w:t>1 </w:t>
      </w:r>
      <w:r w:rsidR="006D5C5E">
        <w:t>Jan</w:t>
      </w:r>
      <w:r w:rsidR="00DD759E">
        <w:t>uary</w:t>
      </w:r>
      <w:r w:rsidR="00C647A6">
        <w:t> 2014</w:t>
      </w:r>
      <w:bookmarkEnd w:id="18"/>
      <w:r w:rsidRPr="00027E8B">
        <w:t>.</w:t>
      </w:r>
      <w:bookmarkStart w:id="19" w:name="EarlyYesPara"/>
    </w:p>
    <w:p w:rsidR="00F934A4" w:rsidRDefault="00090A6F">
      <w:pPr>
        <w:pStyle w:val="NumBold1"/>
      </w:pPr>
      <w:r w:rsidRPr="00392D79">
        <w:t xml:space="preserve">This Standard may be applied to annual reporting periods </w:t>
      </w:r>
      <w:bookmarkStart w:id="20" w:name="EarlyText"/>
      <w:r w:rsidR="00E839DA" w:rsidRPr="00392D79">
        <w:t>beginning</w:t>
      </w:r>
      <w:bookmarkEnd w:id="20"/>
      <w:r w:rsidRPr="00392D79">
        <w:t xml:space="preserve"> on or after </w:t>
      </w:r>
      <w:bookmarkStart w:id="21" w:name="EarlyDate"/>
      <w:r w:rsidR="00C647A6" w:rsidRPr="00392D79">
        <w:t>1 </w:t>
      </w:r>
      <w:r w:rsidR="006D5C5E">
        <w:t>Jan</w:t>
      </w:r>
      <w:r w:rsidR="00DD759E">
        <w:t>uary</w:t>
      </w:r>
      <w:r w:rsidR="00C647A6" w:rsidRPr="00392D79">
        <w:t> 2005</w:t>
      </w:r>
      <w:bookmarkEnd w:id="21"/>
      <w:r w:rsidR="0078116B" w:rsidRPr="00392D79">
        <w:t xml:space="preserve"> </w:t>
      </w:r>
      <w:bookmarkStart w:id="22" w:name="EarlyWord"/>
      <w:r w:rsidR="0078116B" w:rsidRPr="00392D79">
        <w:t>but</w:t>
      </w:r>
      <w:bookmarkEnd w:id="22"/>
      <w:r w:rsidR="0078116B" w:rsidRPr="00392D79">
        <w:t xml:space="preserve"> before </w:t>
      </w:r>
      <w:r w:rsidR="009F44CA" w:rsidRPr="00392D79">
        <w:fldChar w:fldCharType="begin" w:fldLock="1"/>
      </w:r>
      <w:r w:rsidR="009F44CA" w:rsidRPr="00392D79">
        <w:instrText xml:space="preserve"> REF ApplyDate  \* charformat  </w:instrText>
      </w:r>
      <w:r w:rsidR="00AA4681" w:rsidRPr="00392D79">
        <w:instrText xml:space="preserve"> \* MERGEFORMAT </w:instrText>
      </w:r>
      <w:r w:rsidR="009F44CA" w:rsidRPr="00392D79">
        <w:fldChar w:fldCharType="separate"/>
      </w:r>
      <w:r w:rsidR="00C75BF6">
        <w:t>1 January 2014</w:t>
      </w:r>
      <w:r w:rsidR="009F44CA" w:rsidRPr="00392D79">
        <w:fldChar w:fldCharType="end"/>
      </w:r>
      <w:r w:rsidR="00F934A4">
        <w:t xml:space="preserve">.  </w:t>
      </w:r>
      <w:r w:rsidR="00F934A4" w:rsidRPr="00392D79">
        <w:lastRenderedPageBreak/>
        <w:t xml:space="preserve">When an entity applies this Standard to such an annual reporting period, it shall disclose that fact and shall also make the disclosures required by </w:t>
      </w:r>
      <w:r w:rsidR="00F934A4">
        <w:t>AASB 2012-</w:t>
      </w:r>
      <w:r w:rsidR="00B61F93">
        <w:t>2</w:t>
      </w:r>
      <w:r w:rsidR="00F934A4">
        <w:t xml:space="preserve"> </w:t>
      </w:r>
      <w:r w:rsidR="00F934A4" w:rsidRPr="00F934A4">
        <w:rPr>
          <w:i/>
        </w:rPr>
        <w:t xml:space="preserve">Amendments to Australian Accounting Standards </w:t>
      </w:r>
      <w:r w:rsidR="00F934A4">
        <w:t xml:space="preserve">– </w:t>
      </w:r>
      <w:r w:rsidR="00F934A4" w:rsidRPr="00F934A4">
        <w:rPr>
          <w:i/>
        </w:rPr>
        <w:t xml:space="preserve">Disclosures </w:t>
      </w:r>
      <w:r w:rsidR="00F934A4">
        <w:t xml:space="preserve">– </w:t>
      </w:r>
      <w:r w:rsidR="00F934A4" w:rsidRPr="00F934A4">
        <w:rPr>
          <w:i/>
        </w:rPr>
        <w:t>Offsetting Financial Assets and Financial Liabilities</w:t>
      </w:r>
      <w:r w:rsidR="00F934A4" w:rsidRPr="00392D79">
        <w:t xml:space="preserve"> </w:t>
      </w:r>
      <w:r w:rsidR="00F934A4" w:rsidRPr="009A289A">
        <w:t xml:space="preserve">issued in </w:t>
      </w:r>
      <w:r w:rsidR="00F934A4">
        <w:t>June </w:t>
      </w:r>
      <w:r w:rsidR="00F934A4" w:rsidRPr="009A289A">
        <w:t>2012.</w:t>
      </w:r>
    </w:p>
    <w:bookmarkEnd w:id="19"/>
    <w:p w:rsidR="00F9158D" w:rsidRPr="00F9158D" w:rsidRDefault="00C647A6" w:rsidP="00F9158D">
      <w:pPr>
        <w:pStyle w:val="Heading2"/>
      </w:pPr>
      <w:r>
        <w:t>Amendments</w:t>
      </w:r>
      <w:r w:rsidR="006D5C5E">
        <w:t xml:space="preserve"> </w:t>
      </w:r>
      <w:r>
        <w:t xml:space="preserve">to </w:t>
      </w:r>
      <w:bookmarkStart w:id="23" w:name="StndNo2"/>
      <w:r>
        <w:t>AASB 132</w:t>
      </w:r>
      <w:bookmarkEnd w:id="23"/>
    </w:p>
    <w:p w:rsidR="00F9158D" w:rsidRPr="00F9158D" w:rsidRDefault="00F9158D" w:rsidP="000A0221">
      <w:pPr>
        <w:pStyle w:val="NumPlain1"/>
      </w:pPr>
      <w:r>
        <w:t>Paragraph 97L is added as follows</w:t>
      </w:r>
      <w:r w:rsidR="00B1719D">
        <w:t>:</w:t>
      </w:r>
    </w:p>
    <w:p w:rsidR="00F9158D" w:rsidRPr="00F9158D" w:rsidRDefault="00DD759E" w:rsidP="009A289A">
      <w:pPr>
        <w:pStyle w:val="NumBold1"/>
        <w:numPr>
          <w:ilvl w:val="0"/>
          <w:numId w:val="0"/>
        </w:numPr>
        <w:ind w:left="1020" w:hanging="510"/>
        <w:rPr>
          <w:b w:val="0"/>
        </w:rPr>
      </w:pPr>
      <w:r w:rsidRPr="009A289A">
        <w:rPr>
          <w:b w:val="0"/>
        </w:rPr>
        <w:t>97</w:t>
      </w:r>
      <w:r>
        <w:rPr>
          <w:b w:val="0"/>
        </w:rPr>
        <w:t>L</w:t>
      </w:r>
      <w:r w:rsidRPr="009A289A">
        <w:rPr>
          <w:b w:val="0"/>
        </w:rPr>
        <w:tab/>
      </w:r>
      <w:r w:rsidR="00B61F93">
        <w:rPr>
          <w:b w:val="0"/>
        </w:rPr>
        <w:t>AASB 2012-3</w:t>
      </w:r>
      <w:r w:rsidR="006D5C5E">
        <w:rPr>
          <w:b w:val="0"/>
        </w:rPr>
        <w:t xml:space="preserve"> </w:t>
      </w:r>
      <w:r w:rsidR="00627348" w:rsidRPr="009A289A">
        <w:rPr>
          <w:b w:val="0"/>
          <w:i/>
        </w:rPr>
        <w:t xml:space="preserve">Amendments to Australian Accounting Standards </w:t>
      </w:r>
      <w:r w:rsidR="00627348" w:rsidRPr="009A289A">
        <w:rPr>
          <w:i/>
        </w:rPr>
        <w:t xml:space="preserve">– </w:t>
      </w:r>
      <w:r w:rsidR="00F9158D" w:rsidRPr="00627348">
        <w:rPr>
          <w:b w:val="0"/>
          <w:i/>
        </w:rPr>
        <w:t>Offsetting Financial Assets and Financial Liabilities</w:t>
      </w:r>
      <w:r w:rsidR="00103E88">
        <w:rPr>
          <w:b w:val="0"/>
        </w:rPr>
        <w:t>,</w:t>
      </w:r>
      <w:r w:rsidR="00F9158D" w:rsidRPr="00F9158D">
        <w:rPr>
          <w:b w:val="0"/>
        </w:rPr>
        <w:t xml:space="preserve"> </w:t>
      </w:r>
      <w:r w:rsidR="00F934A4">
        <w:rPr>
          <w:b w:val="0"/>
        </w:rPr>
        <w:t>issued in June 2012</w:t>
      </w:r>
      <w:r w:rsidR="00103E88">
        <w:rPr>
          <w:b w:val="0"/>
        </w:rPr>
        <w:t>,</w:t>
      </w:r>
      <w:r w:rsidR="00F934A4">
        <w:rPr>
          <w:b w:val="0"/>
        </w:rPr>
        <w:t xml:space="preserve"> </w:t>
      </w:r>
      <w:r w:rsidR="00F9158D" w:rsidRPr="00F9158D">
        <w:rPr>
          <w:b w:val="0"/>
        </w:rPr>
        <w:t>deleted paragraph</w:t>
      </w:r>
      <w:r w:rsidR="0082211F">
        <w:rPr>
          <w:b w:val="0"/>
        </w:rPr>
        <w:t> </w:t>
      </w:r>
      <w:r w:rsidR="00F9158D" w:rsidRPr="00F9158D">
        <w:rPr>
          <w:b w:val="0"/>
        </w:rPr>
        <w:t>AG38 and added paragraphs</w:t>
      </w:r>
      <w:r w:rsidR="0082211F">
        <w:rPr>
          <w:b w:val="0"/>
        </w:rPr>
        <w:t> </w:t>
      </w:r>
      <w:r w:rsidR="00F9158D" w:rsidRPr="00F9158D">
        <w:rPr>
          <w:b w:val="0"/>
        </w:rPr>
        <w:t>AG38A</w:t>
      </w:r>
      <w:r w:rsidR="00A11344">
        <w:rPr>
          <w:b w:val="0"/>
        </w:rPr>
        <w:t>-</w:t>
      </w:r>
      <w:r w:rsidR="00F9158D" w:rsidRPr="00F9158D">
        <w:rPr>
          <w:b w:val="0"/>
        </w:rPr>
        <w:t xml:space="preserve">AG38F.  An entity shall apply those amendments for annual </w:t>
      </w:r>
      <w:r w:rsidR="00144271">
        <w:rPr>
          <w:b w:val="0"/>
        </w:rPr>
        <w:t xml:space="preserve">reporting </w:t>
      </w:r>
      <w:r w:rsidR="00F9158D" w:rsidRPr="00F9158D">
        <w:rPr>
          <w:b w:val="0"/>
        </w:rPr>
        <w:t>periods beginning on or after 1</w:t>
      </w:r>
      <w:r w:rsidR="000A091E">
        <w:rPr>
          <w:b w:val="0"/>
        </w:rPr>
        <w:t> </w:t>
      </w:r>
      <w:r w:rsidR="006D5C5E">
        <w:rPr>
          <w:b w:val="0"/>
        </w:rPr>
        <w:t>Jan</w:t>
      </w:r>
      <w:r>
        <w:rPr>
          <w:b w:val="0"/>
        </w:rPr>
        <w:t>uary</w:t>
      </w:r>
      <w:r w:rsidR="000A091E">
        <w:rPr>
          <w:b w:val="0"/>
        </w:rPr>
        <w:t> </w:t>
      </w:r>
      <w:r w:rsidR="00F9158D" w:rsidRPr="00F9158D">
        <w:rPr>
          <w:b w:val="0"/>
        </w:rPr>
        <w:t xml:space="preserve">2014.  An entity shall apply those amendments retrospectively.  Earlier application is permitted.  If an entity applies those amendments from an earlier date, it shall disclose that fact and shall also make the disclosures required by </w:t>
      </w:r>
      <w:r w:rsidR="00F9158D">
        <w:rPr>
          <w:b w:val="0"/>
        </w:rPr>
        <w:t>AASB</w:t>
      </w:r>
      <w:r w:rsidR="00103E88">
        <w:rPr>
          <w:b w:val="0"/>
        </w:rPr>
        <w:t> </w:t>
      </w:r>
      <w:r w:rsidR="00F9158D">
        <w:rPr>
          <w:b w:val="0"/>
        </w:rPr>
        <w:t>2012-</w:t>
      </w:r>
      <w:r w:rsidR="00B61F93">
        <w:rPr>
          <w:b w:val="0"/>
        </w:rPr>
        <w:t>2</w:t>
      </w:r>
      <w:r w:rsidR="00A11344">
        <w:rPr>
          <w:b w:val="0"/>
        </w:rPr>
        <w:t xml:space="preserve"> </w:t>
      </w:r>
      <w:r w:rsidR="00A11344" w:rsidRPr="00605228">
        <w:rPr>
          <w:b w:val="0"/>
          <w:i/>
        </w:rPr>
        <w:t>Amendments to Australian Accounting Standards</w:t>
      </w:r>
      <w:r w:rsidR="000A091E">
        <w:rPr>
          <w:b w:val="0"/>
          <w:i/>
        </w:rPr>
        <w:t xml:space="preserve"> </w:t>
      </w:r>
      <w:r w:rsidR="000A091E">
        <w:t xml:space="preserve">– </w:t>
      </w:r>
      <w:r w:rsidR="00F9158D" w:rsidRPr="00F9158D">
        <w:rPr>
          <w:b w:val="0"/>
          <w:i/>
        </w:rPr>
        <w:t>Disclosures</w:t>
      </w:r>
      <w:r w:rsidR="000A091E">
        <w:rPr>
          <w:b w:val="0"/>
          <w:i/>
        </w:rPr>
        <w:t xml:space="preserve"> </w:t>
      </w:r>
      <w:r w:rsidR="000A091E">
        <w:t>–</w:t>
      </w:r>
      <w:r w:rsidR="00D46BFC">
        <w:t xml:space="preserve"> </w:t>
      </w:r>
      <w:r w:rsidR="00F9158D" w:rsidRPr="00F9158D">
        <w:rPr>
          <w:b w:val="0"/>
          <w:i/>
        </w:rPr>
        <w:t>Offsetting Financial Assets and Financial Liabilities</w:t>
      </w:r>
      <w:r w:rsidR="0082211F">
        <w:rPr>
          <w:b w:val="0"/>
        </w:rPr>
        <w:t xml:space="preserve"> issued in </w:t>
      </w:r>
      <w:r w:rsidR="00F934A4">
        <w:rPr>
          <w:b w:val="0"/>
        </w:rPr>
        <w:t>June</w:t>
      </w:r>
      <w:r w:rsidR="0082211F">
        <w:rPr>
          <w:b w:val="0"/>
        </w:rPr>
        <w:t xml:space="preserve"> 2012</w:t>
      </w:r>
      <w:r w:rsidR="00F9158D" w:rsidRPr="00627348">
        <w:rPr>
          <w:b w:val="0"/>
        </w:rPr>
        <w:t>.</w:t>
      </w:r>
      <w:r w:rsidR="00F9158D" w:rsidRPr="00F9158D">
        <w:rPr>
          <w:b w:val="0"/>
        </w:rPr>
        <w:t xml:space="preserve">  </w:t>
      </w:r>
    </w:p>
    <w:p w:rsidR="00103E88" w:rsidRDefault="00F934A4" w:rsidP="000A0221">
      <w:pPr>
        <w:pStyle w:val="NumPlain1"/>
      </w:pPr>
      <w:r>
        <w:t>P</w:t>
      </w:r>
      <w:r w:rsidR="000A0221">
        <w:t>aragraph AG38 is deleted</w:t>
      </w:r>
      <w:r w:rsidR="00103E88">
        <w:t xml:space="preserve"> and a note added as follows:</w:t>
      </w:r>
    </w:p>
    <w:p w:rsidR="000A0221" w:rsidRDefault="00103E88" w:rsidP="000B60FE">
      <w:pPr>
        <w:pStyle w:val="NumPlain1"/>
        <w:numPr>
          <w:ilvl w:val="0"/>
          <w:numId w:val="0"/>
        </w:numPr>
        <w:ind w:left="1020" w:hanging="510"/>
      </w:pPr>
      <w:r>
        <w:t>AG38 [Deleted by the IASB]</w:t>
      </w:r>
    </w:p>
    <w:p w:rsidR="000A0221" w:rsidRDefault="00F934A4" w:rsidP="000A0221">
      <w:pPr>
        <w:pStyle w:val="NumPlain1"/>
      </w:pPr>
      <w:r>
        <w:t>P</w:t>
      </w:r>
      <w:r w:rsidR="000A0221">
        <w:t>aragraphs AG38A</w:t>
      </w:r>
      <w:r>
        <w:t>-</w:t>
      </w:r>
      <w:r w:rsidR="000A0221">
        <w:t xml:space="preserve">AG38F </w:t>
      </w:r>
      <w:r w:rsidR="00103E88">
        <w:t xml:space="preserve">and related headings </w:t>
      </w:r>
      <w:r w:rsidR="000A0221">
        <w:t xml:space="preserve">are added as follows: </w:t>
      </w:r>
    </w:p>
    <w:p w:rsidR="00102247" w:rsidRPr="00102247" w:rsidRDefault="000A0221" w:rsidP="00102247">
      <w:pPr>
        <w:pStyle w:val="Heading4"/>
        <w:ind w:left="510"/>
      </w:pPr>
      <w:r w:rsidRPr="00102247">
        <w:t>Criterion that an entity ‘currently has a legally enforceable right to set off the recognised amounts’ (paragraph 42(a))</w:t>
      </w:r>
    </w:p>
    <w:p w:rsidR="000A0221" w:rsidRPr="000A0221" w:rsidRDefault="000A0221" w:rsidP="00C23D8A">
      <w:pPr>
        <w:pStyle w:val="NoNumPlain1"/>
        <w:ind w:left="1020" w:hanging="510"/>
      </w:pPr>
      <w:r w:rsidRPr="000A0221">
        <w:t>AG38A</w:t>
      </w:r>
      <w:r w:rsidRPr="000A0221">
        <w:tab/>
        <w:t xml:space="preserve">A right of set-off may be currently available or it may be contingent on a future event (for example, the right may be triggered or exercisable only on the occurrence of some future event, such as the default, insolvency or bankruptcy of one of the counterparties).  Even if the right of set-off is not contingent on a future event, it may only be legally enforceable in the normal course of business, or in the event of default, or in the event of insolvency or bankruptcy, of one or all of the counterparties.  </w:t>
      </w:r>
    </w:p>
    <w:p w:rsidR="000A0221" w:rsidRPr="000A0221" w:rsidRDefault="000A0221" w:rsidP="00C23D8A">
      <w:pPr>
        <w:pStyle w:val="NoNumPlain1"/>
        <w:ind w:left="1020" w:hanging="510"/>
      </w:pPr>
      <w:r w:rsidRPr="000A0221">
        <w:t>AG38B</w:t>
      </w:r>
      <w:r w:rsidRPr="000A0221">
        <w:tab/>
        <w:t xml:space="preserve">To meet the criterion in paragraph 42(a), an entity must currently have a legally enforceable right of set-off.  This means that the right of set-off: </w:t>
      </w:r>
    </w:p>
    <w:p w:rsidR="00C23D8A" w:rsidRDefault="000A0221" w:rsidP="00C23D8A">
      <w:pPr>
        <w:pStyle w:val="NumPlain2"/>
        <w:ind w:left="1531" w:hanging="510"/>
      </w:pPr>
      <w:r w:rsidRPr="000A0221">
        <w:t xml:space="preserve">must not be contingent on a future event; and </w:t>
      </w:r>
    </w:p>
    <w:p w:rsidR="000A0221" w:rsidRPr="000A0221" w:rsidRDefault="000A0221" w:rsidP="00C23D8A">
      <w:pPr>
        <w:pStyle w:val="NumPlain2"/>
        <w:ind w:left="1531" w:hanging="510"/>
      </w:pPr>
      <w:r w:rsidRPr="000A0221">
        <w:lastRenderedPageBreak/>
        <w:t>must be legally enforceable in all of the following circumstances:</w:t>
      </w:r>
    </w:p>
    <w:p w:rsidR="00C23D8A" w:rsidRDefault="000A0221" w:rsidP="00C23D8A">
      <w:pPr>
        <w:pStyle w:val="NumPlain3"/>
        <w:ind w:left="2041"/>
      </w:pPr>
      <w:r w:rsidRPr="000A0221">
        <w:t xml:space="preserve">the normal course of business; </w:t>
      </w:r>
    </w:p>
    <w:p w:rsidR="00C23D8A" w:rsidRDefault="00C23D8A" w:rsidP="00C23D8A">
      <w:pPr>
        <w:pStyle w:val="NumPlain3"/>
        <w:ind w:left="2041"/>
      </w:pPr>
      <w:r>
        <w:t>the event of default; and</w:t>
      </w:r>
    </w:p>
    <w:p w:rsidR="00C23D8A" w:rsidRDefault="000A0221" w:rsidP="00C23D8A">
      <w:pPr>
        <w:pStyle w:val="NumPlain3"/>
        <w:ind w:left="2041"/>
      </w:pPr>
      <w:r w:rsidRPr="000A0221">
        <w:t>the ev</w:t>
      </w:r>
      <w:r w:rsidR="00C23D8A">
        <w:t>ent of insolvency or bankruptcy</w:t>
      </w:r>
    </w:p>
    <w:p w:rsidR="000A0221" w:rsidRPr="000A0221" w:rsidRDefault="000A0221" w:rsidP="00C23D8A">
      <w:pPr>
        <w:pStyle w:val="NumPlain3"/>
        <w:numPr>
          <w:ilvl w:val="0"/>
          <w:numId w:val="0"/>
        </w:numPr>
        <w:ind w:left="1531"/>
      </w:pPr>
      <w:proofErr w:type="gramStart"/>
      <w:r w:rsidRPr="000A0221">
        <w:t>of</w:t>
      </w:r>
      <w:proofErr w:type="gramEnd"/>
      <w:r w:rsidRPr="000A0221">
        <w:t xml:space="preserve"> the entity and all of the counterparties.  </w:t>
      </w:r>
    </w:p>
    <w:p w:rsidR="000A0221" w:rsidRPr="000A0221" w:rsidRDefault="00C23D8A" w:rsidP="00C23D8A">
      <w:pPr>
        <w:pStyle w:val="NoNumPlain1"/>
        <w:ind w:left="1020" w:hanging="510"/>
      </w:pPr>
      <w:r>
        <w:t>AG38C</w:t>
      </w:r>
      <w:r>
        <w:tab/>
      </w:r>
      <w:r w:rsidR="000A0221" w:rsidRPr="000A0221">
        <w:t xml:space="preserve">The nature and extent of the right of set-off, including any conditions attached to its exercise and whether it would remain in the event of default or insolvency or bankruptcy, may vary from one legal jurisdiction to another.  Consequently, it cannot be assumed that the right of set-off is automatically available outside of the normal course of business.  For example, the bankruptcy or insolvency laws of a jurisdiction may prohibit, or restrict, the right of set-off in the event of bankruptcy or insolvency in some circumstances.  </w:t>
      </w:r>
    </w:p>
    <w:p w:rsidR="000A0221" w:rsidRPr="000A0221" w:rsidRDefault="000A0221" w:rsidP="00C23D8A">
      <w:pPr>
        <w:pStyle w:val="NoNumPlain1"/>
        <w:ind w:left="1020" w:hanging="510"/>
      </w:pPr>
      <w:r w:rsidRPr="000A0221">
        <w:t>AG38D</w:t>
      </w:r>
      <w:r w:rsidRPr="000A0221">
        <w:tab/>
        <w:t xml:space="preserve">The laws applicable to the relationships between the parties (for example, contractual provisions, the laws governing the contract, or the default, insolvency or bankruptcy laws applicable to the parties) need to be considered to ascertain whether the right of set-off is enforceable in the normal course of business, in an event of default, and in the event of insolvency or bankruptcy, of the entity and all of the counterparties (as specified in paragraph </w:t>
      </w:r>
      <w:proofErr w:type="gramStart"/>
      <w:r w:rsidRPr="000A0221">
        <w:t>AG38B(</w:t>
      </w:r>
      <w:proofErr w:type="gramEnd"/>
      <w:r w:rsidRPr="000A0221">
        <w:t>b)).</w:t>
      </w:r>
    </w:p>
    <w:p w:rsidR="000A0221" w:rsidRPr="000A0221" w:rsidRDefault="000A0221" w:rsidP="00102247">
      <w:pPr>
        <w:pStyle w:val="Heading4"/>
        <w:ind w:left="510"/>
      </w:pPr>
      <w:r w:rsidRPr="00C23D8A">
        <w:t>Criterion that an entity ‘intends either to settle on a net basis, or to realise the asset and settle the liability simultaneously’</w:t>
      </w:r>
      <w:r w:rsidRPr="000A0221">
        <w:t xml:space="preserve"> (paragraph</w:t>
      </w:r>
      <w:r w:rsidR="00B1719D">
        <w:t> </w:t>
      </w:r>
      <w:r w:rsidRPr="000A0221">
        <w:t>42(b))</w:t>
      </w:r>
    </w:p>
    <w:p w:rsidR="000A0221" w:rsidRPr="000A0221" w:rsidRDefault="000A0221" w:rsidP="00C23D8A">
      <w:pPr>
        <w:pStyle w:val="NoNumPlain1"/>
        <w:ind w:left="1020" w:hanging="510"/>
      </w:pPr>
      <w:r w:rsidRPr="000A0221">
        <w:t>AG38E</w:t>
      </w:r>
      <w:r w:rsidRPr="000A0221">
        <w:tab/>
        <w:t>To meet the criterion in paragraph 42(b) an entity must intend either to settle on a net basis or to realise the asset and settle the liability simultaneously.  Although the entity may have a right to settle net, it may still realise the asset and se</w:t>
      </w:r>
      <w:r w:rsidR="006D1EC7">
        <w:t>ttle the liability separately.</w:t>
      </w:r>
    </w:p>
    <w:p w:rsidR="000A0221" w:rsidRPr="000A0221" w:rsidRDefault="000A0221" w:rsidP="00C23D8A">
      <w:pPr>
        <w:pStyle w:val="NoNumPlain1"/>
        <w:ind w:left="1020" w:hanging="510"/>
      </w:pPr>
      <w:r w:rsidRPr="000A0221">
        <w:t>AG38F</w:t>
      </w:r>
      <w:r w:rsidRPr="000A0221">
        <w:tab/>
        <w:t xml:space="preserve">If an entity can settle amounts in a manner such that the outcome is, in effect, equivalent to net settlement, the entity will meet the net settlement criterion in paragraph 42(b).  This will occur if, and only if, the gross settlement mechanism has features that eliminate or result in insignificant credit and liquidity risk, and that will process receivables and payables in a single settlement process or cycle.  For example, a gross </w:t>
      </w:r>
      <w:r w:rsidRPr="000A0221">
        <w:lastRenderedPageBreak/>
        <w:t>settlement system that has all of the following characteristics would meet the net settlement criterion in paragraph 42(b):</w:t>
      </w:r>
    </w:p>
    <w:p w:rsidR="000A0221" w:rsidRPr="000A0221" w:rsidRDefault="000A0221" w:rsidP="000D14A7">
      <w:pPr>
        <w:pStyle w:val="NumPlain2"/>
        <w:numPr>
          <w:ilvl w:val="1"/>
          <w:numId w:val="8"/>
        </w:numPr>
        <w:ind w:left="1531" w:hanging="510"/>
      </w:pPr>
      <w:r w:rsidRPr="000A0221">
        <w:t>financial assets and financial liabilities eligible for set-off are submitted at the same point in time for processing;</w:t>
      </w:r>
    </w:p>
    <w:p w:rsidR="000A0221" w:rsidRPr="000A0221" w:rsidRDefault="000A0221" w:rsidP="000D14A7">
      <w:pPr>
        <w:pStyle w:val="NumPlain2"/>
        <w:numPr>
          <w:ilvl w:val="1"/>
          <w:numId w:val="8"/>
        </w:numPr>
        <w:ind w:left="1531" w:hanging="510"/>
      </w:pPr>
      <w:r w:rsidRPr="000A0221">
        <w:t>once the financial assets and financial liabilities are submitted for processing, the parties are committed to fulfil the settlement obligation;</w:t>
      </w:r>
    </w:p>
    <w:p w:rsidR="000A0221" w:rsidRPr="000A0221" w:rsidRDefault="000A0221" w:rsidP="000D14A7">
      <w:pPr>
        <w:pStyle w:val="NumPlain2"/>
        <w:numPr>
          <w:ilvl w:val="1"/>
          <w:numId w:val="8"/>
        </w:numPr>
        <w:ind w:left="1531" w:hanging="510"/>
      </w:pPr>
      <w:r w:rsidRPr="000A0221">
        <w:t>there is no potential for the cash flows arising from the assets and liabilities to change once they have been submitted for processing (unless the processing fails</w:t>
      </w:r>
      <w:r w:rsidR="0082211F">
        <w:t xml:space="preserve"> – </w:t>
      </w:r>
      <w:r w:rsidRPr="000A0221">
        <w:t>see (d) below);</w:t>
      </w:r>
    </w:p>
    <w:p w:rsidR="000A0221" w:rsidRPr="000A0221" w:rsidRDefault="000A0221" w:rsidP="000D14A7">
      <w:pPr>
        <w:pStyle w:val="NumPlain2"/>
        <w:numPr>
          <w:ilvl w:val="1"/>
          <w:numId w:val="8"/>
        </w:numPr>
        <w:ind w:left="1531" w:hanging="510"/>
      </w:pPr>
      <w:r w:rsidRPr="000A0221">
        <w:t>assets and liabilities that are collateralised with securities will be settled on a securities transfer or similar system (for example, delivery versus payment), so that if the transfer of securities fails, the processing of the related receivable or payable for which the securities are collateral will also fail (and vice versa);</w:t>
      </w:r>
    </w:p>
    <w:p w:rsidR="000A0221" w:rsidRPr="000A0221" w:rsidRDefault="000A0221" w:rsidP="000D14A7">
      <w:pPr>
        <w:pStyle w:val="NumPlain2"/>
        <w:numPr>
          <w:ilvl w:val="1"/>
          <w:numId w:val="8"/>
        </w:numPr>
        <w:ind w:left="1531" w:hanging="510"/>
      </w:pPr>
      <w:r w:rsidRPr="000A0221">
        <w:t>any transactions that fail, as outlined in (d), will be re-entered for processing until they are settled;</w:t>
      </w:r>
    </w:p>
    <w:p w:rsidR="000A0221" w:rsidRPr="000A0221" w:rsidRDefault="000A0221" w:rsidP="000D14A7">
      <w:pPr>
        <w:pStyle w:val="NumPlain2"/>
        <w:numPr>
          <w:ilvl w:val="1"/>
          <w:numId w:val="8"/>
        </w:numPr>
        <w:ind w:left="1531" w:hanging="510"/>
      </w:pPr>
      <w:r w:rsidRPr="000A0221">
        <w:t>settlement is carried out through the same settlement institution (for example, a settlement bank, a central bank or a central securities depository); and</w:t>
      </w:r>
    </w:p>
    <w:p w:rsidR="000A0221" w:rsidRDefault="000A0221" w:rsidP="000D14A7">
      <w:pPr>
        <w:pStyle w:val="NumPlain2"/>
        <w:numPr>
          <w:ilvl w:val="1"/>
          <w:numId w:val="8"/>
        </w:numPr>
        <w:ind w:left="1531" w:hanging="510"/>
      </w:pPr>
      <w:proofErr w:type="gramStart"/>
      <w:r w:rsidRPr="000A0221">
        <w:t>an</w:t>
      </w:r>
      <w:proofErr w:type="gramEnd"/>
      <w:r w:rsidRPr="000A0221">
        <w:t xml:space="preserve"> intraday credit facility is in place that will provide sufficient overdraft amounts to enable the processing of payments at the settlement date for each of the parties, and it is virtually certain that the intraday credit facility will be honoured if called upon.</w:t>
      </w:r>
    </w:p>
    <w:p w:rsidR="00C647A6" w:rsidRPr="00BC0794" w:rsidRDefault="00C647A6" w:rsidP="000C1694">
      <w:pPr>
        <w:pStyle w:val="NoNumPlain1"/>
      </w:pPr>
    </w:p>
    <w:sectPr w:rsidR="00C647A6" w:rsidRPr="00BC0794" w:rsidSect="00590051">
      <w:footerReference w:type="default" r:id="rId14"/>
      <w:headerReference w:type="first" r:id="rId15"/>
      <w:footerReference w:type="first" r:id="rId16"/>
      <w:pgSz w:w="11907" w:h="16840" w:code="9"/>
      <w:pgMar w:top="3686" w:right="2835" w:bottom="3686" w:left="2835" w:header="709" w:footer="3255" w:gutter="0"/>
      <w:paperSrc w:first="58" w:other="58"/>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BF6" w:rsidRDefault="00C75BF6">
      <w:r>
        <w:separator/>
      </w:r>
    </w:p>
  </w:endnote>
  <w:endnote w:type="continuationSeparator" w:id="0">
    <w:p w:rsidR="00C75BF6" w:rsidRDefault="00C7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variable"/>
    <w:sig w:usb0="00000203" w:usb1="00000000" w:usb2="00000000" w:usb3="00000000" w:csb0="00000005" w:csb1="00000000"/>
  </w:font>
  <w:font w:name="Swift LT Pro">
    <w:altName w:val="Times New Roman"/>
    <w:panose1 w:val="00000000000000000000"/>
    <w:charset w:val="00"/>
    <w:family w:val="modern"/>
    <w:notTrueType/>
    <w:pitch w:val="variable"/>
    <w:sig w:usb0="00000001" w:usb1="00000042"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F6" w:rsidRDefault="00C75BF6">
    <w:pPr>
      <w:pStyle w:val="Footer"/>
      <w:rPr>
        <w:b/>
      </w:rPr>
    </w:pPr>
    <w:r>
      <w:rPr>
        <w:b/>
      </w:rPr>
      <w:t xml:space="preserve">AASB </w:t>
    </w:r>
    <w:r w:rsidR="00B61F93">
      <w:rPr>
        <w:b/>
      </w:rPr>
      <w:t>2012-3</w:t>
    </w:r>
    <w:r>
      <w:rPr>
        <w:b/>
      </w:rPr>
      <w:tab/>
    </w:r>
    <w:r>
      <w:fldChar w:fldCharType="begin"/>
    </w:r>
    <w:r>
      <w:instrText>PAGE</w:instrText>
    </w:r>
    <w:r>
      <w:fldChar w:fldCharType="separate"/>
    </w:r>
    <w:r w:rsidR="00F92D92">
      <w:rPr>
        <w:noProof/>
      </w:rPr>
      <w:t>2</w:t>
    </w:r>
    <w:r>
      <w:fldChar w:fldCharType="end"/>
    </w:r>
    <w:r>
      <w:tab/>
    </w:r>
    <w:r>
      <w:rPr>
        <w:b/>
        <w:bCs/>
      </w:rPr>
      <w:t>COPYRIGHT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F6" w:rsidRDefault="00C75BF6">
    <w:pPr>
      <w:pStyle w:val="Footer"/>
      <w:rPr>
        <w:b/>
      </w:rPr>
    </w:pPr>
    <w:r>
      <w:rPr>
        <w:b/>
      </w:rPr>
      <w:t xml:space="preserve">AASB </w:t>
    </w:r>
    <w:r w:rsidR="00B61F93">
      <w:rPr>
        <w:b/>
      </w:rPr>
      <w:t>2012-3</w:t>
    </w:r>
    <w:r>
      <w:rPr>
        <w:b/>
      </w:rPr>
      <w:tab/>
    </w:r>
    <w:r>
      <w:fldChar w:fldCharType="begin"/>
    </w:r>
    <w:r>
      <w:instrText>PAGE</w:instrText>
    </w:r>
    <w:r>
      <w:fldChar w:fldCharType="separate"/>
    </w:r>
    <w:r w:rsidR="00F92D92">
      <w:rPr>
        <w:noProof/>
      </w:rPr>
      <w:t>3</w:t>
    </w:r>
    <w:r>
      <w:fldChar w:fldCharType="end"/>
    </w:r>
    <w:r>
      <w:tab/>
    </w:r>
    <w:r>
      <w:rPr>
        <w:b/>
        <w:bCs/>
      </w:rPr>
      <w:t>CONTENTS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F6" w:rsidRDefault="00C75BF6">
    <w:pPr>
      <w:pStyle w:val="Footer"/>
      <w:rPr>
        <w:b/>
      </w:rPr>
    </w:pPr>
    <w:r>
      <w:rPr>
        <w:b/>
      </w:rPr>
      <w:t xml:space="preserve">AASB </w:t>
    </w:r>
    <w:r w:rsidR="00B61F93">
      <w:rPr>
        <w:b/>
      </w:rPr>
      <w:t>2012-3</w:t>
    </w:r>
    <w:r>
      <w:rPr>
        <w:b/>
      </w:rPr>
      <w:tab/>
    </w:r>
    <w:r>
      <w:fldChar w:fldCharType="begin"/>
    </w:r>
    <w:r>
      <w:instrText>PAGE</w:instrText>
    </w:r>
    <w:r>
      <w:fldChar w:fldCharType="separate"/>
    </w:r>
    <w:r w:rsidR="00F92D92">
      <w:rPr>
        <w:noProof/>
      </w:rPr>
      <w:t>4</w:t>
    </w:r>
    <w:r>
      <w:fldChar w:fldCharType="end"/>
    </w:r>
    <w:r>
      <w:tab/>
    </w:r>
    <w:r>
      <w:rPr>
        <w:b/>
        <w:bCs/>
      </w:rPr>
      <w:t>PREFACE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F6" w:rsidRDefault="00C75BF6">
    <w:pPr>
      <w:pStyle w:val="Footer"/>
      <w:rPr>
        <w:b/>
      </w:rPr>
    </w:pPr>
    <w:r>
      <w:rPr>
        <w:b/>
      </w:rPr>
      <w:t xml:space="preserve">AASB </w:t>
    </w:r>
    <w:r w:rsidR="00B61F93">
      <w:rPr>
        <w:b/>
      </w:rPr>
      <w:t>2012-3</w:t>
    </w:r>
    <w:r>
      <w:rPr>
        <w:b/>
      </w:rPr>
      <w:tab/>
    </w:r>
    <w:r>
      <w:fldChar w:fldCharType="begin"/>
    </w:r>
    <w:r>
      <w:instrText>PAGE</w:instrText>
    </w:r>
    <w:r>
      <w:fldChar w:fldCharType="separate"/>
    </w:r>
    <w:r w:rsidR="00F92D92">
      <w:rPr>
        <w:noProof/>
      </w:rPr>
      <w:t>5</w:t>
    </w:r>
    <w:r>
      <w:fldChar w:fldCharType="end"/>
    </w:r>
    <w:r>
      <w:tab/>
    </w:r>
    <w:r>
      <w:rPr>
        <w:b/>
        <w:bCs/>
      </w:rPr>
      <w:t>STANDARD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F6" w:rsidRDefault="00C75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BF6" w:rsidRDefault="00C75BF6">
      <w:r>
        <w:separator/>
      </w:r>
    </w:p>
  </w:footnote>
  <w:footnote w:type="continuationSeparator" w:id="0">
    <w:p w:rsidR="00C75BF6" w:rsidRDefault="00C75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F6" w:rsidRPr="00B61F93" w:rsidRDefault="00C75BF6" w:rsidP="00B61F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F6" w:rsidRDefault="00C75B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035C2"/>
    <w:multiLevelType w:val="multilevel"/>
    <w:tmpl w:val="95A2D1B2"/>
    <w:lvl w:ilvl="0">
      <w:start w:val="1"/>
      <w:numFmt w:val="decimal"/>
      <w:pStyle w:val="NumBC1"/>
      <w:lvlText w:val="BC%1"/>
      <w:lvlJc w:val="left"/>
      <w:pPr>
        <w:tabs>
          <w:tab w:val="num" w:pos="624"/>
        </w:tabs>
        <w:ind w:left="624" w:hanging="624"/>
      </w:pPr>
      <w:rPr>
        <w:rFonts w:hint="default"/>
        <w:b w:val="0"/>
        <w:bCs w:val="0"/>
        <w:u w:val="none"/>
      </w:rPr>
    </w:lvl>
    <w:lvl w:ilvl="1">
      <w:start w:val="1"/>
      <w:numFmt w:val="lowerLetter"/>
      <w:pStyle w:val="NumBC2"/>
      <w:lvlText w:val="(%2)"/>
      <w:lvlJc w:val="left"/>
      <w:pPr>
        <w:tabs>
          <w:tab w:val="num" w:pos="1247"/>
        </w:tabs>
        <w:ind w:left="1247" w:hanging="623"/>
      </w:pPr>
      <w:rPr>
        <w:rFonts w:hint="default"/>
        <w:b w:val="0"/>
        <w:bCs w:val="0"/>
        <w:u w:val="none"/>
      </w:rPr>
    </w:lvl>
    <w:lvl w:ilvl="2">
      <w:start w:val="1"/>
      <w:numFmt w:val="lowerRoman"/>
      <w:pStyle w:val="NumBC3"/>
      <w:lvlText w:val="(%3)"/>
      <w:lvlJc w:val="left"/>
      <w:pPr>
        <w:tabs>
          <w:tab w:val="num" w:pos="1871"/>
        </w:tabs>
        <w:ind w:left="1871" w:hanging="624"/>
      </w:pPr>
      <w:rPr>
        <w:rFonts w:hint="default"/>
        <w:b w:val="0"/>
        <w:bCs w:val="0"/>
        <w:u w:val="none"/>
      </w:rPr>
    </w:lvl>
    <w:lvl w:ilvl="3">
      <w:start w:val="1"/>
      <w:numFmt w:val="upperLetter"/>
      <w:pStyle w:val="NumBC4"/>
      <w:lvlText w:val="(%4)"/>
      <w:lvlJc w:val="left"/>
      <w:pPr>
        <w:tabs>
          <w:tab w:val="num" w:pos="2495"/>
        </w:tabs>
        <w:ind w:left="2495" w:hanging="624"/>
      </w:pPr>
      <w:rPr>
        <w:rFonts w:hint="default"/>
        <w:b w:val="0"/>
        <w:bCs w:val="0"/>
        <w:u w:val="none"/>
      </w:rPr>
    </w:lvl>
    <w:lvl w:ilvl="4">
      <w:start w:val="1"/>
      <w:numFmt w:val="upperRoman"/>
      <w:lvlText w:val="%5"/>
      <w:lvlJc w:val="left"/>
      <w:pPr>
        <w:tabs>
          <w:tab w:val="num" w:pos="3543"/>
        </w:tabs>
        <w:ind w:left="3543" w:hanging="708"/>
      </w:pPr>
      <w:rPr>
        <w:rFonts w:hint="default"/>
        <w:b w:val="0"/>
        <w:bCs w:val="0"/>
        <w:u w:val="none"/>
      </w:rPr>
    </w:lvl>
    <w:lvl w:ilvl="5">
      <w:start w:val="1"/>
      <w:numFmt w:val="decimal"/>
      <w:lvlText w:val="%6"/>
      <w:lvlJc w:val="left"/>
      <w:pPr>
        <w:tabs>
          <w:tab w:val="num" w:pos="4253"/>
        </w:tabs>
        <w:ind w:left="4253" w:hanging="709"/>
      </w:pPr>
      <w:rPr>
        <w:rFonts w:hint="default"/>
      </w:rPr>
    </w:lvl>
    <w:lvl w:ilvl="6">
      <w:start w:val="1"/>
      <w:numFmt w:val="lowerLetter"/>
      <w:lvlText w:val="%7)"/>
      <w:lvlJc w:val="left"/>
      <w:pPr>
        <w:tabs>
          <w:tab w:val="num" w:pos="4961"/>
        </w:tabs>
        <w:ind w:left="4961" w:hanging="708"/>
      </w:pPr>
      <w:rPr>
        <w:rFonts w:hint="default"/>
      </w:rPr>
    </w:lvl>
    <w:lvl w:ilvl="7">
      <w:start w:val="1"/>
      <w:numFmt w:val="lowerRoman"/>
      <w:lvlText w:val="%8)"/>
      <w:lvlJc w:val="left"/>
      <w:pPr>
        <w:tabs>
          <w:tab w:val="num" w:pos="5670"/>
        </w:tabs>
        <w:ind w:left="5670" w:hanging="709"/>
      </w:pPr>
      <w:rPr>
        <w:rFonts w:hint="default"/>
      </w:rPr>
    </w:lvl>
    <w:lvl w:ilvl="8">
      <w:start w:val="1"/>
      <w:numFmt w:val="lowerRoman"/>
      <w:lvlText w:val="%9)"/>
      <w:lvlJc w:val="left"/>
      <w:pPr>
        <w:tabs>
          <w:tab w:val="num" w:pos="6379"/>
        </w:tabs>
        <w:ind w:left="6379" w:hanging="709"/>
      </w:pPr>
      <w:rPr>
        <w:rFonts w:hint="default"/>
      </w:rPr>
    </w:lvl>
  </w:abstractNum>
  <w:abstractNum w:abstractNumId="1">
    <w:nsid w:val="22217511"/>
    <w:multiLevelType w:val="multilevel"/>
    <w:tmpl w:val="017AF28C"/>
    <w:styleLink w:val="Bullets"/>
    <w:lvl w:ilvl="0">
      <w:start w:val="1"/>
      <w:numFmt w:val="bullet"/>
      <w:lvlText w:val=""/>
      <w:lvlJc w:val="left"/>
      <w:pPr>
        <w:ind w:left="504" w:hanging="504"/>
      </w:pPr>
      <w:rPr>
        <w:rFonts w:ascii="Symbol" w:hAnsi="Symbol" w:hint="default"/>
        <w:color w:val="auto"/>
      </w:rPr>
    </w:lvl>
    <w:lvl w:ilvl="1">
      <w:start w:val="1"/>
      <w:numFmt w:val="bullet"/>
      <w:lvlText w:val=""/>
      <w:lvlJc w:val="left"/>
      <w:pPr>
        <w:ind w:left="1008" w:hanging="504"/>
      </w:pPr>
      <w:rPr>
        <w:rFonts w:ascii="Symbol" w:hAnsi="Symbol" w:hint="default"/>
        <w:color w:val="auto"/>
      </w:rPr>
    </w:lvl>
    <w:lvl w:ilvl="2">
      <w:start w:val="1"/>
      <w:numFmt w:val="bullet"/>
      <w:lvlText w:val=""/>
      <w:lvlJc w:val="left"/>
      <w:pPr>
        <w:ind w:left="1512" w:hanging="504"/>
      </w:pPr>
      <w:rPr>
        <w:rFonts w:ascii="Symbol" w:hAnsi="Symbol" w:hint="default"/>
        <w:color w:val="auto"/>
      </w:rPr>
    </w:lvl>
    <w:lvl w:ilvl="3">
      <w:start w:val="1"/>
      <w:numFmt w:val="bullet"/>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2">
    <w:nsid w:val="2576465B"/>
    <w:multiLevelType w:val="multilevel"/>
    <w:tmpl w:val="D9F888A8"/>
    <w:lvl w:ilvl="0">
      <w:start w:val="1"/>
      <w:numFmt w:val="lowerLetter"/>
      <w:pStyle w:val="NumPlainA"/>
      <w:lvlText w:val="(%1)"/>
      <w:lvlJc w:val="left"/>
      <w:pPr>
        <w:tabs>
          <w:tab w:val="num" w:pos="510"/>
        </w:tabs>
        <w:ind w:left="510" w:hanging="510"/>
      </w:pPr>
      <w:rPr>
        <w:rFonts w:hint="default"/>
      </w:rPr>
    </w:lvl>
    <w:lvl w:ilvl="1">
      <w:start w:val="1"/>
      <w:numFmt w:val="lowerRoman"/>
      <w:pStyle w:val="NumPlainA2"/>
      <w:lvlText w:val="(%2)"/>
      <w:lvlJc w:val="left"/>
      <w:pPr>
        <w:tabs>
          <w:tab w:val="num" w:pos="1021"/>
        </w:tabs>
        <w:ind w:left="1021" w:hanging="51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61542243"/>
    <w:multiLevelType w:val="multilevel"/>
    <w:tmpl w:val="BDF015A6"/>
    <w:lvl w:ilvl="0">
      <w:start w:val="1"/>
      <w:numFmt w:val="decimal"/>
      <w:pStyle w:val="NumPlain1"/>
      <w:lvlText w:val="%1"/>
      <w:lvlJc w:val="left"/>
      <w:pPr>
        <w:tabs>
          <w:tab w:val="num" w:pos="510"/>
        </w:tabs>
        <w:ind w:left="510" w:hanging="510"/>
      </w:pPr>
      <w:rPr>
        <w:rFonts w:hint="default"/>
      </w:rPr>
    </w:lvl>
    <w:lvl w:ilvl="1">
      <w:start w:val="1"/>
      <w:numFmt w:val="lowerLetter"/>
      <w:pStyle w:val="NumPlain2"/>
      <w:lvlText w:val="(%2)"/>
      <w:lvlJc w:val="left"/>
      <w:pPr>
        <w:tabs>
          <w:tab w:val="num" w:pos="1021"/>
        </w:tabs>
        <w:ind w:left="1021" w:hanging="511"/>
      </w:pPr>
      <w:rPr>
        <w:rFonts w:hint="default"/>
      </w:rPr>
    </w:lvl>
    <w:lvl w:ilvl="2">
      <w:start w:val="1"/>
      <w:numFmt w:val="lowerRoman"/>
      <w:pStyle w:val="NumPlain3"/>
      <w:lvlText w:val="(%3)"/>
      <w:lvlJc w:val="left"/>
      <w:pPr>
        <w:tabs>
          <w:tab w:val="num" w:pos="1531"/>
        </w:tabs>
        <w:ind w:left="1531" w:hanging="510"/>
      </w:pPr>
      <w:rPr>
        <w:rFonts w:hint="default"/>
      </w:rPr>
    </w:lvl>
    <w:lvl w:ilvl="3">
      <w:start w:val="1"/>
      <w:numFmt w:val="upperLetter"/>
      <w:pStyle w:val="NumPlain4"/>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4">
    <w:nsid w:val="6D2B46A3"/>
    <w:multiLevelType w:val="multilevel"/>
    <w:tmpl w:val="A80ECEA6"/>
    <w:lvl w:ilvl="0">
      <w:start w:val="1"/>
      <w:numFmt w:val="bullet"/>
      <w:pStyle w:val="Bullet1"/>
      <w:lvlText w:val=""/>
      <w:lvlJc w:val="left"/>
      <w:pPr>
        <w:ind w:left="504" w:hanging="504"/>
      </w:pPr>
      <w:rPr>
        <w:rFonts w:ascii="Symbol" w:hAnsi="Symbol" w:hint="default"/>
        <w:color w:val="auto"/>
      </w:rPr>
    </w:lvl>
    <w:lvl w:ilvl="1">
      <w:start w:val="1"/>
      <w:numFmt w:val="bullet"/>
      <w:pStyle w:val="Bullet2"/>
      <w:lvlText w:val=""/>
      <w:lvlJc w:val="left"/>
      <w:pPr>
        <w:ind w:left="1008" w:hanging="504"/>
      </w:pPr>
      <w:rPr>
        <w:rFonts w:ascii="Symbol" w:hAnsi="Symbol" w:hint="default"/>
        <w:color w:val="auto"/>
      </w:rPr>
    </w:lvl>
    <w:lvl w:ilvl="2">
      <w:start w:val="1"/>
      <w:numFmt w:val="bullet"/>
      <w:pStyle w:val="Bullet3"/>
      <w:lvlText w:val=""/>
      <w:lvlJc w:val="left"/>
      <w:pPr>
        <w:ind w:left="1512" w:hanging="504"/>
      </w:pPr>
      <w:rPr>
        <w:rFonts w:ascii="Symbol" w:hAnsi="Symbol" w:hint="default"/>
        <w:color w:val="auto"/>
      </w:rPr>
    </w:lvl>
    <w:lvl w:ilvl="3">
      <w:start w:val="1"/>
      <w:numFmt w:val="bullet"/>
      <w:pStyle w:val="Bullet4"/>
      <w:lvlText w:val=""/>
      <w:lvlJc w:val="left"/>
      <w:pPr>
        <w:ind w:left="2016" w:hanging="504"/>
      </w:pPr>
      <w:rPr>
        <w:rFonts w:ascii="Symbol" w:hAnsi="Symbol" w:hint="default"/>
        <w:color w:val="auto"/>
      </w:rPr>
    </w:lvl>
    <w:lvl w:ilvl="4">
      <w:start w:val="1"/>
      <w:numFmt w:val="none"/>
      <w:lvlText w:val=""/>
      <w:lvlJc w:val="left"/>
      <w:pPr>
        <w:ind w:left="2520" w:hanging="504"/>
      </w:pPr>
      <w:rPr>
        <w:rFonts w:hint="default"/>
      </w:rPr>
    </w:lvl>
    <w:lvl w:ilvl="5">
      <w:start w:val="1"/>
      <w:numFmt w:val="none"/>
      <w:lvlText w:val=""/>
      <w:lvlJc w:val="left"/>
      <w:pPr>
        <w:ind w:left="3024" w:hanging="504"/>
      </w:pPr>
      <w:rPr>
        <w:rFonts w:hint="default"/>
      </w:rPr>
    </w:lvl>
    <w:lvl w:ilvl="6">
      <w:start w:val="1"/>
      <w:numFmt w:val="none"/>
      <w:lvlText w:val=""/>
      <w:lvlJc w:val="left"/>
      <w:pPr>
        <w:ind w:left="3528" w:hanging="504"/>
      </w:pPr>
      <w:rPr>
        <w:rFonts w:hint="default"/>
      </w:rPr>
    </w:lvl>
    <w:lvl w:ilvl="7">
      <w:start w:val="1"/>
      <w:numFmt w:val="none"/>
      <w:lvlText w:val=""/>
      <w:lvlJc w:val="left"/>
      <w:pPr>
        <w:ind w:left="4032" w:hanging="504"/>
      </w:pPr>
      <w:rPr>
        <w:rFonts w:hint="default"/>
      </w:rPr>
    </w:lvl>
    <w:lvl w:ilvl="8">
      <w:start w:val="1"/>
      <w:numFmt w:val="none"/>
      <w:lvlText w:val=""/>
      <w:lvlJc w:val="left"/>
      <w:pPr>
        <w:ind w:left="4536" w:hanging="504"/>
      </w:pPr>
      <w:rPr>
        <w:rFonts w:hint="default"/>
      </w:rPr>
    </w:lvl>
  </w:abstractNum>
  <w:abstractNum w:abstractNumId="5">
    <w:nsid w:val="7034512C"/>
    <w:multiLevelType w:val="hybridMultilevel"/>
    <w:tmpl w:val="87A659DC"/>
    <w:lvl w:ilvl="0" w:tplc="0D1C2E8A">
      <w:start w:val="1"/>
      <w:numFmt w:val="decimal"/>
      <w:lvlRestart w:val="0"/>
      <w:pStyle w:val="NumberedList"/>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num>
  <w:num w:numId="6">
    <w:abstractNumId w:val="4"/>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24"/>
  <w:displayHorizontalDrawingGridEvery w:val="0"/>
  <w:displayVerticalDrawingGridEvery w:val="0"/>
  <w:doNotShadeFormData/>
  <w:noPunctuationKerning/>
  <w:characterSpacingControl w:val="doNotCompress"/>
  <w:hdrShapeDefaults>
    <o:shapedefaults v:ext="edit" spidmax="34817">
      <o:colormru v:ext="edit" colors="#ddd,silver,#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A6"/>
    <w:rsid w:val="0000292B"/>
    <w:rsid w:val="00027E8B"/>
    <w:rsid w:val="00036F1B"/>
    <w:rsid w:val="0004455B"/>
    <w:rsid w:val="00074133"/>
    <w:rsid w:val="00077DAE"/>
    <w:rsid w:val="00090A6F"/>
    <w:rsid w:val="00096027"/>
    <w:rsid w:val="000A0221"/>
    <w:rsid w:val="000A091E"/>
    <w:rsid w:val="000B5FC5"/>
    <w:rsid w:val="000B60FE"/>
    <w:rsid w:val="000B733C"/>
    <w:rsid w:val="000C1694"/>
    <w:rsid w:val="000C3EB0"/>
    <w:rsid w:val="000D14A7"/>
    <w:rsid w:val="000D7B40"/>
    <w:rsid w:val="000F64CC"/>
    <w:rsid w:val="00102247"/>
    <w:rsid w:val="00103E88"/>
    <w:rsid w:val="00110B96"/>
    <w:rsid w:val="001162C5"/>
    <w:rsid w:val="001206CF"/>
    <w:rsid w:val="00144271"/>
    <w:rsid w:val="001662B8"/>
    <w:rsid w:val="00171F51"/>
    <w:rsid w:val="001761C6"/>
    <w:rsid w:val="0019286F"/>
    <w:rsid w:val="001B33A5"/>
    <w:rsid w:val="001C225F"/>
    <w:rsid w:val="001F78DF"/>
    <w:rsid w:val="0022022E"/>
    <w:rsid w:val="0028086D"/>
    <w:rsid w:val="00283482"/>
    <w:rsid w:val="0029647E"/>
    <w:rsid w:val="002A201D"/>
    <w:rsid w:val="002B7803"/>
    <w:rsid w:val="002F1CD0"/>
    <w:rsid w:val="00307F26"/>
    <w:rsid w:val="003251D8"/>
    <w:rsid w:val="0033581C"/>
    <w:rsid w:val="00364B30"/>
    <w:rsid w:val="00367DC9"/>
    <w:rsid w:val="00377B8D"/>
    <w:rsid w:val="00382796"/>
    <w:rsid w:val="0039009E"/>
    <w:rsid w:val="00392D79"/>
    <w:rsid w:val="003A488F"/>
    <w:rsid w:val="003B0568"/>
    <w:rsid w:val="003B0CAA"/>
    <w:rsid w:val="003B0E71"/>
    <w:rsid w:val="003D1DD4"/>
    <w:rsid w:val="003E0A68"/>
    <w:rsid w:val="00401ECA"/>
    <w:rsid w:val="004150BD"/>
    <w:rsid w:val="00426876"/>
    <w:rsid w:val="00434D86"/>
    <w:rsid w:val="00436A2D"/>
    <w:rsid w:val="0044702C"/>
    <w:rsid w:val="00460FBB"/>
    <w:rsid w:val="00470CE9"/>
    <w:rsid w:val="0047683E"/>
    <w:rsid w:val="0048155F"/>
    <w:rsid w:val="00487CF6"/>
    <w:rsid w:val="004961F8"/>
    <w:rsid w:val="004A417F"/>
    <w:rsid w:val="004B038C"/>
    <w:rsid w:val="004B736C"/>
    <w:rsid w:val="004C5BDE"/>
    <w:rsid w:val="004D3809"/>
    <w:rsid w:val="004D4D1C"/>
    <w:rsid w:val="004D65FA"/>
    <w:rsid w:val="004F55FE"/>
    <w:rsid w:val="00500E80"/>
    <w:rsid w:val="00511C34"/>
    <w:rsid w:val="005166B2"/>
    <w:rsid w:val="0053452C"/>
    <w:rsid w:val="00535EC5"/>
    <w:rsid w:val="0056274D"/>
    <w:rsid w:val="00577065"/>
    <w:rsid w:val="0058004D"/>
    <w:rsid w:val="00590051"/>
    <w:rsid w:val="005B146F"/>
    <w:rsid w:val="005D7DE1"/>
    <w:rsid w:val="005E6BE4"/>
    <w:rsid w:val="00602261"/>
    <w:rsid w:val="00607087"/>
    <w:rsid w:val="00627348"/>
    <w:rsid w:val="00641282"/>
    <w:rsid w:val="00652DF8"/>
    <w:rsid w:val="006A3AE9"/>
    <w:rsid w:val="006A40E5"/>
    <w:rsid w:val="006B0CD6"/>
    <w:rsid w:val="006C2E37"/>
    <w:rsid w:val="006D055E"/>
    <w:rsid w:val="006D134A"/>
    <w:rsid w:val="006D1EC7"/>
    <w:rsid w:val="006D4700"/>
    <w:rsid w:val="006D5C5E"/>
    <w:rsid w:val="006D7679"/>
    <w:rsid w:val="006E2C39"/>
    <w:rsid w:val="006E774C"/>
    <w:rsid w:val="00714340"/>
    <w:rsid w:val="0071508F"/>
    <w:rsid w:val="00717807"/>
    <w:rsid w:val="007333C2"/>
    <w:rsid w:val="00737714"/>
    <w:rsid w:val="00742E4B"/>
    <w:rsid w:val="007455F0"/>
    <w:rsid w:val="00751F6A"/>
    <w:rsid w:val="007554ED"/>
    <w:rsid w:val="00755E40"/>
    <w:rsid w:val="00756FF6"/>
    <w:rsid w:val="0076127E"/>
    <w:rsid w:val="0078116B"/>
    <w:rsid w:val="007A6BC3"/>
    <w:rsid w:val="007D5CFB"/>
    <w:rsid w:val="007F1D3D"/>
    <w:rsid w:val="00812637"/>
    <w:rsid w:val="00813227"/>
    <w:rsid w:val="00820794"/>
    <w:rsid w:val="0082211F"/>
    <w:rsid w:val="00831497"/>
    <w:rsid w:val="008459E8"/>
    <w:rsid w:val="00864ADE"/>
    <w:rsid w:val="00871A12"/>
    <w:rsid w:val="00881BBE"/>
    <w:rsid w:val="008A6182"/>
    <w:rsid w:val="008B1D94"/>
    <w:rsid w:val="008B643A"/>
    <w:rsid w:val="008C5E84"/>
    <w:rsid w:val="008C60B1"/>
    <w:rsid w:val="008C6BD0"/>
    <w:rsid w:val="008D2EBD"/>
    <w:rsid w:val="008F0A81"/>
    <w:rsid w:val="008F5963"/>
    <w:rsid w:val="00923261"/>
    <w:rsid w:val="009256B7"/>
    <w:rsid w:val="00970C7A"/>
    <w:rsid w:val="009721DB"/>
    <w:rsid w:val="009A289A"/>
    <w:rsid w:val="009B6535"/>
    <w:rsid w:val="009C2479"/>
    <w:rsid w:val="009D06F8"/>
    <w:rsid w:val="009D73F1"/>
    <w:rsid w:val="009F44CA"/>
    <w:rsid w:val="00A05041"/>
    <w:rsid w:val="00A11344"/>
    <w:rsid w:val="00A13F82"/>
    <w:rsid w:val="00A16664"/>
    <w:rsid w:val="00A41ED3"/>
    <w:rsid w:val="00A47FA2"/>
    <w:rsid w:val="00A748BA"/>
    <w:rsid w:val="00A83862"/>
    <w:rsid w:val="00A8486C"/>
    <w:rsid w:val="00A97EB2"/>
    <w:rsid w:val="00AA14A9"/>
    <w:rsid w:val="00AA4681"/>
    <w:rsid w:val="00AB780A"/>
    <w:rsid w:val="00AC4315"/>
    <w:rsid w:val="00AD3780"/>
    <w:rsid w:val="00AD42DA"/>
    <w:rsid w:val="00AF61B8"/>
    <w:rsid w:val="00B110AD"/>
    <w:rsid w:val="00B1719D"/>
    <w:rsid w:val="00B271BA"/>
    <w:rsid w:val="00B3429E"/>
    <w:rsid w:val="00B61F93"/>
    <w:rsid w:val="00B74237"/>
    <w:rsid w:val="00BA3AB4"/>
    <w:rsid w:val="00BA4622"/>
    <w:rsid w:val="00BB4C9F"/>
    <w:rsid w:val="00BC0794"/>
    <w:rsid w:val="00BC0D5D"/>
    <w:rsid w:val="00BE2F68"/>
    <w:rsid w:val="00BE38FC"/>
    <w:rsid w:val="00C03C7B"/>
    <w:rsid w:val="00C23D8A"/>
    <w:rsid w:val="00C3493B"/>
    <w:rsid w:val="00C37458"/>
    <w:rsid w:val="00C438DD"/>
    <w:rsid w:val="00C43CD1"/>
    <w:rsid w:val="00C45020"/>
    <w:rsid w:val="00C5022C"/>
    <w:rsid w:val="00C552FD"/>
    <w:rsid w:val="00C63573"/>
    <w:rsid w:val="00C647A6"/>
    <w:rsid w:val="00C75BF6"/>
    <w:rsid w:val="00C94458"/>
    <w:rsid w:val="00C95D8A"/>
    <w:rsid w:val="00CB719A"/>
    <w:rsid w:val="00CC6FCD"/>
    <w:rsid w:val="00CD5D1C"/>
    <w:rsid w:val="00CE2F8C"/>
    <w:rsid w:val="00CF13C9"/>
    <w:rsid w:val="00CF75CA"/>
    <w:rsid w:val="00CF7B67"/>
    <w:rsid w:val="00D00FD5"/>
    <w:rsid w:val="00D46BFC"/>
    <w:rsid w:val="00D52086"/>
    <w:rsid w:val="00D54F5C"/>
    <w:rsid w:val="00D67336"/>
    <w:rsid w:val="00D74038"/>
    <w:rsid w:val="00D942EB"/>
    <w:rsid w:val="00D96A64"/>
    <w:rsid w:val="00DA2A7B"/>
    <w:rsid w:val="00DA2F8F"/>
    <w:rsid w:val="00DC7E1B"/>
    <w:rsid w:val="00DD1DDC"/>
    <w:rsid w:val="00DD759E"/>
    <w:rsid w:val="00DD7E7A"/>
    <w:rsid w:val="00DF39E3"/>
    <w:rsid w:val="00E06C2F"/>
    <w:rsid w:val="00E21854"/>
    <w:rsid w:val="00E24399"/>
    <w:rsid w:val="00E274C6"/>
    <w:rsid w:val="00E41399"/>
    <w:rsid w:val="00E63279"/>
    <w:rsid w:val="00E6435D"/>
    <w:rsid w:val="00E74BD5"/>
    <w:rsid w:val="00E7592A"/>
    <w:rsid w:val="00E839DA"/>
    <w:rsid w:val="00E90B4F"/>
    <w:rsid w:val="00E915E3"/>
    <w:rsid w:val="00E94DA2"/>
    <w:rsid w:val="00E97B4B"/>
    <w:rsid w:val="00EB4197"/>
    <w:rsid w:val="00EB4756"/>
    <w:rsid w:val="00EC4AFD"/>
    <w:rsid w:val="00ED06E4"/>
    <w:rsid w:val="00EE2509"/>
    <w:rsid w:val="00EE3D03"/>
    <w:rsid w:val="00EE740D"/>
    <w:rsid w:val="00F14BDB"/>
    <w:rsid w:val="00F2677A"/>
    <w:rsid w:val="00F27D29"/>
    <w:rsid w:val="00F424C9"/>
    <w:rsid w:val="00F5303D"/>
    <w:rsid w:val="00F66B41"/>
    <w:rsid w:val="00F9158D"/>
    <w:rsid w:val="00F92D92"/>
    <w:rsid w:val="00F934A4"/>
    <w:rsid w:val="00F970FB"/>
    <w:rsid w:val="00FB39CB"/>
    <w:rsid w:val="00FC2254"/>
    <w:rsid w:val="00FC64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ddd,silver,#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3429E"/>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link w:val="Heading2Char"/>
    <w:qFormat/>
    <w:pPr>
      <w:jc w:val="left"/>
      <w:outlineLvl w:val="1"/>
    </w:pPr>
    <w:rPr>
      <w:bCs w:val="0"/>
      <w:iCs/>
      <w:caps w:val="0"/>
      <w:szCs w:val="28"/>
    </w:rPr>
  </w:style>
  <w:style w:type="paragraph" w:styleId="Heading3">
    <w:name w:val="heading 3"/>
    <w:basedOn w:val="Heading2"/>
    <w:next w:val="Normal"/>
    <w:link w:val="Heading3Char"/>
    <w:qFormat/>
    <w:pPr>
      <w:spacing w:line="240" w:lineRule="exact"/>
      <w:outlineLvl w:val="2"/>
    </w:pPr>
    <w:rPr>
      <w:bCs/>
      <w:sz w:val="24"/>
      <w:szCs w:val="26"/>
    </w:rPr>
  </w:style>
  <w:style w:type="paragraph" w:styleId="Heading4">
    <w:name w:val="heading 4"/>
    <w:basedOn w:val="Heading3"/>
    <w:next w:val="Normal"/>
    <w:link w:val="Heading4Char"/>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3Indent1">
    <w:name w:val="Heading 3 Indent1"/>
    <w:basedOn w:val="Heading3"/>
    <w:next w:val="Normal"/>
    <w:pPr>
      <w:ind w:left="510"/>
    </w:pPr>
  </w:style>
  <w:style w:type="paragraph" w:customStyle="1" w:styleId="Heading4Indent1">
    <w:name w:val="Heading 4 Indent1"/>
    <w:basedOn w:val="Heading4"/>
    <w:next w:val="Normal"/>
    <w:pPr>
      <w:ind w:left="510"/>
    </w:pPr>
  </w:style>
  <w:style w:type="paragraph" w:customStyle="1" w:styleId="Heading5Indent1">
    <w:name w:val="Heading 5 Indent1"/>
    <w:basedOn w:val="Heading5"/>
    <w:next w:val="Normal"/>
    <w:pPr>
      <w:ind w:left="510"/>
    </w:pPr>
  </w:style>
  <w:style w:type="paragraph" w:customStyle="1" w:styleId="Heading6Indent1">
    <w:name w:val="Heading 6 Indent1"/>
    <w:basedOn w:val="Heading6"/>
    <w:next w:val="Normal"/>
    <w:pPr>
      <w:ind w:left="510"/>
    </w:pPr>
  </w:style>
  <w:style w:type="paragraph" w:styleId="Header">
    <w:name w:val="header"/>
    <w:basedOn w:val="Normal"/>
    <w:link w:val="HeaderChar"/>
    <w:uiPriority w:val="99"/>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rsid w:val="00500E80"/>
    <w:pPr>
      <w:spacing w:before="800" w:after="500"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6237"/>
      </w:tabs>
      <w:spacing w:after="200"/>
      <w:ind w:left="170" w:right="1134" w:hanging="170"/>
    </w:pPr>
    <w:rPr>
      <w:caps/>
    </w:rPr>
  </w:style>
  <w:style w:type="paragraph" w:customStyle="1" w:styleId="ContentsLevel1">
    <w:name w:val="Contents Level1"/>
    <w:basedOn w:val="Normal"/>
    <w:pPr>
      <w:tabs>
        <w:tab w:val="right" w:pos="6237"/>
      </w:tabs>
      <w:spacing w:after="60"/>
      <w:ind w:left="170" w:right="1134" w:hanging="170"/>
    </w:pPr>
  </w:style>
  <w:style w:type="paragraph" w:customStyle="1" w:styleId="ContentsCapsBoldPg">
    <w:name w:val="Contents CapsBoldPg"/>
    <w:basedOn w:val="ContentsCapsPlainPg"/>
    <w:next w:val="ContentsLevel1"/>
    <w:rPr>
      <w:b/>
    </w:r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styleId="TOC1">
    <w:name w:val="toc 1"/>
    <w:basedOn w:val="Normal"/>
    <w:next w:val="Normal"/>
    <w:autoRedefine/>
    <w:semiHidden/>
    <w:rsid w:val="00AC4315"/>
  </w:style>
  <w:style w:type="character" w:styleId="Hyperlink">
    <w:name w:val="Hyperlink"/>
    <w:basedOn w:val="DefaultParagraphFont"/>
    <w:rsid w:val="00737714"/>
    <w:rPr>
      <w:color w:val="0000FF"/>
      <w:u w:val="single"/>
    </w:rPr>
  </w:style>
  <w:style w:type="paragraph" w:customStyle="1" w:styleId="NumPlainA">
    <w:name w:val="Num PlainA"/>
    <w:basedOn w:val="Normal"/>
    <w:qFormat/>
    <w:rsid w:val="003B0CAA"/>
    <w:pPr>
      <w:numPr>
        <w:numId w:val="7"/>
      </w:numPr>
      <w:spacing w:after="200"/>
    </w:pPr>
  </w:style>
  <w:style w:type="paragraph" w:customStyle="1" w:styleId="NoNumPlain1">
    <w:name w:val="NoNum Plain1"/>
    <w:basedOn w:val="Normal"/>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qFormat/>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qFormat/>
    <w:rsid w:val="00426876"/>
    <w:pPr>
      <w:numPr>
        <w:numId w:val="1"/>
      </w:numPr>
      <w:spacing w:after="200"/>
    </w:pPr>
  </w:style>
  <w:style w:type="paragraph" w:customStyle="1" w:styleId="NumPlain2">
    <w:name w:val="Num Plain2"/>
    <w:basedOn w:val="NumPlain1"/>
    <w:qFormat/>
    <w:rsid w:val="00426876"/>
    <w:pPr>
      <w:numPr>
        <w:ilvl w:val="1"/>
      </w:numPr>
    </w:pPr>
  </w:style>
  <w:style w:type="paragraph" w:customStyle="1" w:styleId="NumPlain3">
    <w:name w:val="Num Plain3"/>
    <w:basedOn w:val="NumPlain2"/>
    <w:qFormat/>
    <w:rsid w:val="00426876"/>
    <w:pPr>
      <w:numPr>
        <w:ilvl w:val="2"/>
      </w:numPr>
    </w:pPr>
  </w:style>
  <w:style w:type="paragraph" w:customStyle="1" w:styleId="NumPlain4">
    <w:name w:val="Num Plain4"/>
    <w:basedOn w:val="NumPlain3"/>
    <w:rsid w:val="00426876"/>
    <w:pPr>
      <w:numPr>
        <w:ilvl w:val="3"/>
      </w:numPr>
    </w:pPr>
  </w:style>
  <w:style w:type="paragraph" w:customStyle="1" w:styleId="Bullet1">
    <w:name w:val="Bullet1"/>
    <w:basedOn w:val="Normal"/>
    <w:qFormat/>
    <w:rsid w:val="00F27D29"/>
    <w:pPr>
      <w:numPr>
        <w:numId w:val="6"/>
      </w:numPr>
      <w:spacing w:after="200"/>
    </w:pPr>
  </w:style>
  <w:style w:type="paragraph" w:customStyle="1" w:styleId="Bullet2">
    <w:name w:val="Bullet2"/>
    <w:basedOn w:val="Normal"/>
    <w:rsid w:val="00F27D29"/>
    <w:pPr>
      <w:numPr>
        <w:ilvl w:val="1"/>
        <w:numId w:val="6"/>
      </w:numPr>
      <w:spacing w:after="200"/>
    </w:pPr>
  </w:style>
  <w:style w:type="paragraph" w:customStyle="1" w:styleId="Bullet3">
    <w:name w:val="Bullet3"/>
    <w:basedOn w:val="Normal"/>
    <w:rsid w:val="00F27D29"/>
    <w:pPr>
      <w:numPr>
        <w:ilvl w:val="2"/>
        <w:numId w:val="6"/>
      </w:numPr>
      <w:spacing w:after="200"/>
    </w:pPr>
  </w:style>
  <w:style w:type="paragraph" w:customStyle="1" w:styleId="CommentsPage">
    <w:name w:val="CommentsPage"/>
    <w:basedOn w:val="Normal"/>
    <w:next w:val="Normal"/>
  </w:style>
  <w:style w:type="paragraph" w:customStyle="1" w:styleId="Bullet4">
    <w:name w:val="Bullet4"/>
    <w:basedOn w:val="Normal"/>
    <w:rsid w:val="00F27D29"/>
    <w:pPr>
      <w:numPr>
        <w:ilvl w:val="3"/>
        <w:numId w:val="6"/>
      </w:numPr>
      <w:spacing w:after="200"/>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ContentsLevel1NoIndent">
    <w:name w:val="Contents Level1 NoIndent"/>
    <w:basedOn w:val="ContentsLevel1"/>
    <w:pPr>
      <w:ind w:left="0" w:firstLine="0"/>
    </w:pPr>
  </w:style>
  <w:style w:type="paragraph" w:customStyle="1" w:styleId="AppendixNo">
    <w:name w:val="AppendixNo"/>
    <w:basedOn w:val="Normal"/>
    <w:next w:val="Normal"/>
    <w:rsid w:val="0058004D"/>
    <w:pPr>
      <w:keepNext/>
      <w:spacing w:after="200" w:line="280" w:lineRule="exact"/>
      <w:jc w:val="center"/>
      <w:outlineLvl w:val="0"/>
    </w:pPr>
    <w:rPr>
      <w:b/>
      <w:caps/>
      <w:sz w:val="28"/>
      <w:szCs w:val="28"/>
    </w:rPr>
  </w:style>
  <w:style w:type="paragraph" w:customStyle="1" w:styleId="BCHanging0">
    <w:name w:val="BC Hanging0"/>
    <w:basedOn w:val="NoNumPlain1"/>
    <w:qFormat/>
    <w:rsid w:val="0058004D"/>
    <w:pPr>
      <w:ind w:left="624" w:hanging="624"/>
    </w:pPr>
  </w:style>
  <w:style w:type="paragraph" w:customStyle="1" w:styleId="AppendixNote">
    <w:name w:val="AppendixNote"/>
    <w:basedOn w:val="Normal"/>
    <w:next w:val="Normal"/>
    <w:rsid w:val="002A201D"/>
    <w:pPr>
      <w:spacing w:after="200"/>
    </w:pPr>
    <w:rPr>
      <w:i/>
      <w:iCs/>
    </w:rPr>
  </w:style>
  <w:style w:type="paragraph" w:customStyle="1" w:styleId="AppendixText">
    <w:name w:val="AppendixText"/>
    <w:basedOn w:val="Normal"/>
    <w:rsid w:val="002A201D"/>
    <w:pPr>
      <w:spacing w:after="200"/>
    </w:pPr>
  </w:style>
  <w:style w:type="paragraph" w:customStyle="1" w:styleId="AppendixTitle">
    <w:name w:val="AppendixTitle"/>
    <w:basedOn w:val="Normal"/>
    <w:next w:val="AppendixNote"/>
    <w:rsid w:val="002A201D"/>
    <w:pPr>
      <w:keepNext/>
      <w:spacing w:after="200" w:line="280" w:lineRule="exact"/>
      <w:jc w:val="center"/>
      <w:outlineLvl w:val="0"/>
    </w:pPr>
    <w:rPr>
      <w:b/>
      <w:caps/>
      <w:sz w:val="28"/>
      <w:szCs w:val="28"/>
    </w:rPr>
  </w:style>
  <w:style w:type="paragraph" w:customStyle="1" w:styleId="NoNumBC2">
    <w:name w:val="NoNum BC2"/>
    <w:basedOn w:val="NoNumPlain1"/>
    <w:rsid w:val="0058004D"/>
    <w:pPr>
      <w:ind w:left="624"/>
    </w:pPr>
  </w:style>
  <w:style w:type="paragraph" w:customStyle="1" w:styleId="BCHanging1">
    <w:name w:val="BC Hanging1"/>
    <w:basedOn w:val="NoNumBC2"/>
    <w:rsid w:val="0058004D"/>
    <w:pPr>
      <w:ind w:left="1248" w:hanging="624"/>
    </w:pPr>
  </w:style>
  <w:style w:type="paragraph" w:customStyle="1" w:styleId="BCHanging2">
    <w:name w:val="BC Hanging2"/>
    <w:basedOn w:val="BCHanging1"/>
    <w:rsid w:val="0058004D"/>
    <w:pPr>
      <w:ind w:left="1871"/>
    </w:pPr>
  </w:style>
  <w:style w:type="paragraph" w:customStyle="1" w:styleId="BCHanging3">
    <w:name w:val="BC Hanging3"/>
    <w:basedOn w:val="BCHanging1"/>
    <w:rsid w:val="0058004D"/>
    <w:pPr>
      <w:ind w:left="2495"/>
    </w:pPr>
  </w:style>
  <w:style w:type="paragraph" w:customStyle="1" w:styleId="CoverSubtitle">
    <w:name w:val="Cover Subtitle"/>
    <w:basedOn w:val="CoverTitle"/>
    <w:rsid w:val="00500E80"/>
    <w:pPr>
      <w:spacing w:before="0" w:after="0"/>
    </w:pPr>
    <w:rPr>
      <w:sz w:val="40"/>
      <w:szCs w:val="40"/>
    </w:rPr>
  </w:style>
  <w:style w:type="paragraph" w:customStyle="1" w:styleId="NumberedList">
    <w:name w:val="NumberedList"/>
    <w:basedOn w:val="Normal"/>
    <w:qFormat/>
    <w:rsid w:val="00401ECA"/>
    <w:pPr>
      <w:numPr>
        <w:numId w:val="3"/>
      </w:numPr>
      <w:spacing w:after="200"/>
    </w:pPr>
  </w:style>
  <w:style w:type="paragraph" w:customStyle="1" w:styleId="NumBold1">
    <w:name w:val="Num Bold1"/>
    <w:basedOn w:val="NumPlain1"/>
    <w:qFormat/>
    <w:rsid w:val="00027E8B"/>
    <w:rPr>
      <w:b/>
    </w:rPr>
  </w:style>
  <w:style w:type="paragraph" w:customStyle="1" w:styleId="NumBold2">
    <w:name w:val="Num Bold2"/>
    <w:basedOn w:val="NumPlain2"/>
    <w:rsid w:val="00027E8B"/>
    <w:rPr>
      <w:b/>
    </w:rPr>
  </w:style>
  <w:style w:type="paragraph" w:customStyle="1" w:styleId="NumBold3">
    <w:name w:val="Num Bold3"/>
    <w:basedOn w:val="NumPlain3"/>
    <w:rsid w:val="00027E8B"/>
    <w:rPr>
      <w:b/>
    </w:rPr>
  </w:style>
  <w:style w:type="paragraph" w:customStyle="1" w:styleId="NumBold4">
    <w:name w:val="Num Bold4"/>
    <w:basedOn w:val="NumPlain4"/>
    <w:rsid w:val="00027E8B"/>
    <w:rPr>
      <w:b/>
    </w:rPr>
  </w:style>
  <w:style w:type="paragraph" w:customStyle="1" w:styleId="PlainHanging1">
    <w:name w:val="Plain Hanging1"/>
    <w:basedOn w:val="NoNumPlain2"/>
    <w:rsid w:val="0039009E"/>
    <w:pPr>
      <w:ind w:left="1020" w:hanging="510"/>
    </w:pPr>
  </w:style>
  <w:style w:type="paragraph" w:customStyle="1" w:styleId="PlainHanging2">
    <w:name w:val="Plain Hanging2"/>
    <w:basedOn w:val="PlainHanging1"/>
    <w:rsid w:val="0039009E"/>
    <w:pPr>
      <w:ind w:left="1531"/>
    </w:pPr>
  </w:style>
  <w:style w:type="paragraph" w:customStyle="1" w:styleId="PlainHanging3">
    <w:name w:val="Plain Hanging3"/>
    <w:basedOn w:val="PlainHanging1"/>
    <w:rsid w:val="0039009E"/>
    <w:pPr>
      <w:ind w:left="2041"/>
    </w:pPr>
  </w:style>
  <w:style w:type="paragraph" w:customStyle="1" w:styleId="PlainHanging4">
    <w:name w:val="Plain Hanging4"/>
    <w:basedOn w:val="PlainHanging1"/>
    <w:rsid w:val="0039009E"/>
    <w:pPr>
      <w:ind w:left="2551"/>
    </w:pPr>
  </w:style>
  <w:style w:type="paragraph" w:customStyle="1" w:styleId="BoldHanging1">
    <w:name w:val="Bold Hanging1"/>
    <w:basedOn w:val="PlainHanging1"/>
    <w:rsid w:val="0039009E"/>
    <w:rPr>
      <w:b/>
    </w:rPr>
  </w:style>
  <w:style w:type="paragraph" w:customStyle="1" w:styleId="BoldHanging2">
    <w:name w:val="Bold Hanging2"/>
    <w:basedOn w:val="PlainHanging2"/>
    <w:rsid w:val="0039009E"/>
    <w:rPr>
      <w:b/>
    </w:rPr>
  </w:style>
  <w:style w:type="paragraph" w:customStyle="1" w:styleId="BoldHanging3">
    <w:name w:val="Bold Hanging3"/>
    <w:basedOn w:val="PlainHanging3"/>
    <w:rsid w:val="0039009E"/>
    <w:rPr>
      <w:b/>
    </w:rPr>
  </w:style>
  <w:style w:type="paragraph" w:customStyle="1" w:styleId="BoldHanging4">
    <w:name w:val="Bold Hanging4"/>
    <w:basedOn w:val="PlainHanging4"/>
    <w:rsid w:val="0039009E"/>
    <w:rPr>
      <w:b/>
    </w:rPr>
  </w:style>
  <w:style w:type="paragraph" w:customStyle="1" w:styleId="PlainHanging0">
    <w:name w:val="Plain Hanging0"/>
    <w:basedOn w:val="PlainHanging1"/>
    <w:qFormat/>
    <w:rsid w:val="003A488F"/>
    <w:pPr>
      <w:ind w:left="510"/>
    </w:pPr>
  </w:style>
  <w:style w:type="paragraph" w:customStyle="1" w:styleId="BoldHanging0">
    <w:name w:val="Bold Hanging0"/>
    <w:basedOn w:val="PlainHanging0"/>
    <w:qFormat/>
    <w:rsid w:val="003A488F"/>
    <w:rPr>
      <w:b/>
    </w:rPr>
  </w:style>
  <w:style w:type="paragraph" w:customStyle="1" w:styleId="BCHanging4">
    <w:name w:val="BC Hanging4"/>
    <w:basedOn w:val="BCHanging1"/>
    <w:rsid w:val="0058004D"/>
    <w:pPr>
      <w:ind w:left="3119"/>
    </w:pPr>
  </w:style>
  <w:style w:type="paragraph" w:customStyle="1" w:styleId="NoNumBC3">
    <w:name w:val="NoNum BC3"/>
    <w:basedOn w:val="NoNumBC2"/>
    <w:rsid w:val="0058004D"/>
    <w:pPr>
      <w:ind w:left="1247"/>
    </w:pPr>
  </w:style>
  <w:style w:type="paragraph" w:customStyle="1" w:styleId="NoNumBC4">
    <w:name w:val="NoNum BC4"/>
    <w:basedOn w:val="NoNumBC3"/>
    <w:rsid w:val="0058004D"/>
    <w:pPr>
      <w:ind w:left="1871"/>
    </w:pPr>
  </w:style>
  <w:style w:type="paragraph" w:customStyle="1" w:styleId="NumBC1">
    <w:name w:val="Num BC1"/>
    <w:basedOn w:val="Normal"/>
    <w:qFormat/>
    <w:rsid w:val="00426876"/>
    <w:pPr>
      <w:numPr>
        <w:numId w:val="4"/>
      </w:numPr>
      <w:spacing w:after="200"/>
    </w:pPr>
  </w:style>
  <w:style w:type="paragraph" w:customStyle="1" w:styleId="NumBC2">
    <w:name w:val="Num BC2"/>
    <w:basedOn w:val="NumBC1"/>
    <w:rsid w:val="00426876"/>
    <w:pPr>
      <w:numPr>
        <w:ilvl w:val="1"/>
      </w:numPr>
    </w:pPr>
  </w:style>
  <w:style w:type="paragraph" w:customStyle="1" w:styleId="NumBC3">
    <w:name w:val="Num BC3"/>
    <w:basedOn w:val="NumBC2"/>
    <w:rsid w:val="00426876"/>
    <w:pPr>
      <w:numPr>
        <w:ilvl w:val="2"/>
      </w:numPr>
    </w:pPr>
  </w:style>
  <w:style w:type="paragraph" w:customStyle="1" w:styleId="NumBC4">
    <w:name w:val="Num BC4"/>
    <w:basedOn w:val="NumBC3"/>
    <w:rsid w:val="00426876"/>
    <w:pPr>
      <w:numPr>
        <w:ilvl w:val="3"/>
      </w:numPr>
    </w:pPr>
  </w:style>
  <w:style w:type="numbering" w:customStyle="1" w:styleId="Bullets">
    <w:name w:val="Bullets"/>
    <w:uiPriority w:val="99"/>
    <w:rsid w:val="00F27D29"/>
    <w:pPr>
      <w:numPr>
        <w:numId w:val="5"/>
      </w:numPr>
    </w:pPr>
  </w:style>
  <w:style w:type="paragraph" w:customStyle="1" w:styleId="NumPlainA2">
    <w:name w:val="Num PlainA2"/>
    <w:basedOn w:val="NumPlainA"/>
    <w:rsid w:val="00171F51"/>
    <w:pPr>
      <w:numPr>
        <w:ilvl w:val="1"/>
      </w:numPr>
      <w:outlineLvl w:val="1"/>
    </w:pPr>
  </w:style>
  <w:style w:type="table" w:styleId="TableGrid">
    <w:name w:val="Table Grid"/>
    <w:basedOn w:val="TableNormal"/>
    <w:rsid w:val="00C03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Plain1Char">
    <w:name w:val="Num Plain1 Char"/>
    <w:basedOn w:val="DefaultParagraphFont"/>
    <w:link w:val="NumPlain1"/>
    <w:rsid w:val="00C647A6"/>
    <w:rPr>
      <w:lang w:eastAsia="en-US"/>
    </w:rPr>
  </w:style>
  <w:style w:type="character" w:customStyle="1" w:styleId="HeaderChar">
    <w:name w:val="Header Char"/>
    <w:basedOn w:val="DefaultParagraphFont"/>
    <w:link w:val="Header"/>
    <w:uiPriority w:val="99"/>
    <w:rsid w:val="009F44CA"/>
    <w:rPr>
      <w:lang w:eastAsia="en-US"/>
    </w:rPr>
  </w:style>
  <w:style w:type="paragraph" w:styleId="BalloonText">
    <w:name w:val="Balloon Text"/>
    <w:basedOn w:val="Normal"/>
    <w:link w:val="BalloonTextChar"/>
    <w:rsid w:val="009F44C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F44CA"/>
    <w:rPr>
      <w:rFonts w:ascii="Tahoma" w:hAnsi="Tahoma" w:cs="Tahoma"/>
      <w:sz w:val="16"/>
      <w:szCs w:val="16"/>
      <w:lang w:eastAsia="en-US"/>
    </w:rPr>
  </w:style>
  <w:style w:type="character" w:customStyle="1" w:styleId="Heading2Char">
    <w:name w:val="Heading 2 Char"/>
    <w:basedOn w:val="DefaultParagraphFont"/>
    <w:link w:val="Heading2"/>
    <w:rsid w:val="00607087"/>
    <w:rPr>
      <w:rFonts w:cs="Arial"/>
      <w:b/>
      <w:iCs/>
      <w:sz w:val="28"/>
      <w:szCs w:val="28"/>
      <w:lang w:eastAsia="en-US"/>
    </w:rPr>
  </w:style>
  <w:style w:type="character" w:customStyle="1" w:styleId="Heading3Char">
    <w:name w:val="Heading 3 Char"/>
    <w:basedOn w:val="DefaultParagraphFont"/>
    <w:link w:val="Heading3"/>
    <w:rsid w:val="00607087"/>
    <w:rPr>
      <w:rFonts w:cs="Arial"/>
      <w:b/>
      <w:bCs/>
      <w:iCs/>
      <w:sz w:val="24"/>
      <w:szCs w:val="26"/>
      <w:lang w:eastAsia="en-US"/>
    </w:rPr>
  </w:style>
  <w:style w:type="paragraph" w:customStyle="1" w:styleId="CellBody">
    <w:name w:val="CellBody"/>
    <w:uiPriority w:val="99"/>
    <w:rsid w:val="000A0221"/>
    <w:pPr>
      <w:suppressAutoHyphens/>
      <w:autoSpaceDE w:val="0"/>
      <w:autoSpaceDN w:val="0"/>
      <w:adjustRightInd w:val="0"/>
      <w:spacing w:line="180" w:lineRule="atLeast"/>
    </w:pPr>
    <w:rPr>
      <w:rFonts w:ascii="Helvetica LT Std" w:hAnsi="Helvetica LT Std" w:cs="Helvetica LT Std"/>
      <w:color w:val="000000"/>
      <w:w w:val="1"/>
      <w:sz w:val="16"/>
      <w:szCs w:val="16"/>
      <w:lang w:val="en-GB" w:eastAsia="en-GB"/>
    </w:rPr>
  </w:style>
  <w:style w:type="paragraph" w:customStyle="1" w:styleId="npara">
    <w:name w:val="npara"/>
    <w:uiPriority w:val="99"/>
    <w:rsid w:val="000A0221"/>
    <w:pPr>
      <w:suppressAutoHyphens/>
      <w:autoSpaceDE w:val="0"/>
      <w:autoSpaceDN w:val="0"/>
      <w:adjustRightInd w:val="0"/>
      <w:spacing w:after="120" w:line="200" w:lineRule="atLeast"/>
      <w:jc w:val="both"/>
    </w:pPr>
    <w:rPr>
      <w:rFonts w:ascii="Swift LT Pro" w:hAnsi="Swift LT Pro" w:cs="Swift LT Pro"/>
      <w:color w:val="000000"/>
      <w:w w:val="1"/>
      <w:sz w:val="16"/>
      <w:szCs w:val="16"/>
      <w:lang w:val="en-GB" w:eastAsia="en-GB"/>
    </w:rPr>
  </w:style>
  <w:style w:type="paragraph" w:customStyle="1" w:styleId="Subheading">
    <w:name w:val="Sub_heading"/>
    <w:uiPriority w:val="99"/>
    <w:rsid w:val="000A0221"/>
    <w:pPr>
      <w:keepNext/>
      <w:suppressAutoHyphens/>
      <w:autoSpaceDE w:val="0"/>
      <w:autoSpaceDN w:val="0"/>
      <w:adjustRightInd w:val="0"/>
      <w:spacing w:before="200" w:after="160" w:line="260" w:lineRule="atLeast"/>
    </w:pPr>
    <w:rPr>
      <w:rFonts w:ascii="Helvetica LT Std" w:hAnsi="Helvetica LT Std" w:cs="Helvetica LT Std"/>
      <w:b/>
      <w:bCs/>
      <w:color w:val="000000"/>
      <w:w w:val="1"/>
      <w:sz w:val="22"/>
      <w:szCs w:val="22"/>
      <w:lang w:val="en-GB" w:eastAsia="en-GB"/>
    </w:rPr>
  </w:style>
  <w:style w:type="paragraph" w:customStyle="1" w:styleId="Subsubheading">
    <w:name w:val="Sub_sub_heading"/>
    <w:uiPriority w:val="99"/>
    <w:rsid w:val="000A0221"/>
    <w:pPr>
      <w:keepNext/>
      <w:suppressAutoHyphens/>
      <w:autoSpaceDE w:val="0"/>
      <w:autoSpaceDN w:val="0"/>
      <w:adjustRightInd w:val="0"/>
      <w:spacing w:before="200" w:after="160" w:line="220" w:lineRule="atLeast"/>
    </w:pPr>
    <w:rPr>
      <w:rFonts w:ascii="Helvetica LT Std" w:hAnsi="Helvetica LT Std" w:cs="Helvetica LT Std"/>
      <w:b/>
      <w:bCs/>
      <w:color w:val="000000"/>
      <w:w w:val="1"/>
      <w:sz w:val="18"/>
      <w:szCs w:val="18"/>
      <w:lang w:val="en-GB" w:eastAsia="en-GB"/>
    </w:rPr>
  </w:style>
  <w:style w:type="paragraph" w:customStyle="1" w:styleId="loweralpha1level1">
    <w:name w:val="lower_alpha1_level1"/>
    <w:uiPriority w:val="99"/>
    <w:rsid w:val="000A0221"/>
    <w:pPr>
      <w:tabs>
        <w:tab w:val="left" w:pos="420"/>
      </w:tabs>
      <w:suppressAutoHyphens/>
      <w:autoSpaceDE w:val="0"/>
      <w:autoSpaceDN w:val="0"/>
      <w:adjustRightInd w:val="0"/>
      <w:spacing w:after="120" w:line="200" w:lineRule="atLeast"/>
      <w:ind w:left="420" w:hanging="420"/>
      <w:jc w:val="both"/>
    </w:pPr>
    <w:rPr>
      <w:rFonts w:ascii="Swift LT Pro" w:hAnsi="Swift LT Pro" w:cs="Swift LT Pro"/>
      <w:color w:val="000000"/>
      <w:w w:val="1"/>
      <w:sz w:val="16"/>
      <w:szCs w:val="16"/>
      <w:lang w:val="en-GB" w:eastAsia="en-GB"/>
    </w:rPr>
  </w:style>
  <w:style w:type="paragraph" w:customStyle="1" w:styleId="lowerroman1level2">
    <w:name w:val="lower_roman1_level2"/>
    <w:uiPriority w:val="99"/>
    <w:rsid w:val="000A0221"/>
    <w:pPr>
      <w:tabs>
        <w:tab w:val="left" w:pos="420"/>
        <w:tab w:val="left" w:pos="840"/>
      </w:tabs>
      <w:suppressAutoHyphens/>
      <w:autoSpaceDE w:val="0"/>
      <w:autoSpaceDN w:val="0"/>
      <w:adjustRightInd w:val="0"/>
      <w:spacing w:after="120" w:line="200" w:lineRule="atLeast"/>
      <w:ind w:left="840" w:hanging="840"/>
      <w:jc w:val="both"/>
    </w:pPr>
    <w:rPr>
      <w:rFonts w:ascii="Swift LT Pro" w:hAnsi="Swift LT Pro" w:cs="Swift LT Pro"/>
      <w:color w:val="000000"/>
      <w:w w:val="1"/>
      <w:sz w:val="16"/>
      <w:szCs w:val="16"/>
      <w:lang w:val="en-GB" w:eastAsia="en-GB"/>
    </w:rPr>
  </w:style>
  <w:style w:type="paragraph" w:customStyle="1" w:styleId="nonelevel1">
    <w:name w:val="none_level1"/>
    <w:uiPriority w:val="99"/>
    <w:rsid w:val="000A0221"/>
    <w:pPr>
      <w:tabs>
        <w:tab w:val="left" w:pos="420"/>
      </w:tabs>
      <w:suppressAutoHyphens/>
      <w:autoSpaceDE w:val="0"/>
      <w:autoSpaceDN w:val="0"/>
      <w:adjustRightInd w:val="0"/>
      <w:spacing w:after="120" w:line="200" w:lineRule="atLeast"/>
      <w:ind w:left="420" w:hanging="420"/>
      <w:jc w:val="both"/>
    </w:pPr>
    <w:rPr>
      <w:rFonts w:ascii="Swift LT Pro" w:hAnsi="Swift LT Pro" w:cs="Swift LT Pro"/>
      <w:color w:val="000000"/>
      <w:w w:val="1"/>
      <w:sz w:val="16"/>
      <w:szCs w:val="16"/>
      <w:lang w:val="en-GB" w:eastAsia="en-GB"/>
    </w:rPr>
  </w:style>
  <w:style w:type="paragraph" w:customStyle="1" w:styleId="loweralphalevel1">
    <w:name w:val="lower_alpha_level1"/>
    <w:uiPriority w:val="99"/>
    <w:rsid w:val="000A0221"/>
    <w:pPr>
      <w:tabs>
        <w:tab w:val="left" w:pos="420"/>
      </w:tabs>
      <w:suppressAutoHyphens/>
      <w:autoSpaceDE w:val="0"/>
      <w:autoSpaceDN w:val="0"/>
      <w:adjustRightInd w:val="0"/>
      <w:spacing w:after="120" w:line="200" w:lineRule="atLeast"/>
      <w:ind w:left="420" w:hanging="420"/>
      <w:jc w:val="both"/>
    </w:pPr>
    <w:rPr>
      <w:rFonts w:ascii="Swift LT Pro" w:hAnsi="Swift LT Pro" w:cs="Swift LT Pro"/>
      <w:color w:val="000000"/>
      <w:w w:val="1"/>
      <w:sz w:val="16"/>
      <w:szCs w:val="16"/>
      <w:lang w:val="en-GB" w:eastAsia="en-GB"/>
    </w:rPr>
  </w:style>
  <w:style w:type="paragraph" w:customStyle="1" w:styleId="lowerromanlevel2">
    <w:name w:val="lower_roman_level2"/>
    <w:uiPriority w:val="99"/>
    <w:rsid w:val="000A0221"/>
    <w:pPr>
      <w:tabs>
        <w:tab w:val="left" w:pos="420"/>
        <w:tab w:val="left" w:pos="840"/>
      </w:tabs>
      <w:suppressAutoHyphens/>
      <w:autoSpaceDE w:val="0"/>
      <w:autoSpaceDN w:val="0"/>
      <w:adjustRightInd w:val="0"/>
      <w:spacing w:after="120" w:line="200" w:lineRule="atLeast"/>
      <w:ind w:left="840" w:hanging="840"/>
      <w:jc w:val="both"/>
    </w:pPr>
    <w:rPr>
      <w:rFonts w:ascii="Swift LT Pro" w:hAnsi="Swift LT Pro" w:cs="Swift LT Pro"/>
      <w:color w:val="000000"/>
      <w:w w:val="1"/>
      <w:sz w:val="16"/>
      <w:szCs w:val="16"/>
      <w:lang w:val="en-GB" w:eastAsia="en-GB"/>
    </w:rPr>
  </w:style>
  <w:style w:type="character" w:customStyle="1" w:styleId="standardnamestandardbodyheading">
    <w:name w:val="standard_name_standardbody_heading"/>
    <w:uiPriority w:val="99"/>
    <w:rsid w:val="000A0221"/>
    <w:rPr>
      <w:i/>
      <w:iCs/>
    </w:rPr>
  </w:style>
  <w:style w:type="character" w:customStyle="1" w:styleId="Heading4Char">
    <w:name w:val="Heading 4 Char"/>
    <w:basedOn w:val="DefaultParagraphFont"/>
    <w:link w:val="Heading4"/>
    <w:rsid w:val="00102247"/>
    <w:rPr>
      <w:rFonts w:cs="Arial"/>
      <w:b/>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3429E"/>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link w:val="Heading2Char"/>
    <w:qFormat/>
    <w:pPr>
      <w:jc w:val="left"/>
      <w:outlineLvl w:val="1"/>
    </w:pPr>
    <w:rPr>
      <w:bCs w:val="0"/>
      <w:iCs/>
      <w:caps w:val="0"/>
      <w:szCs w:val="28"/>
    </w:rPr>
  </w:style>
  <w:style w:type="paragraph" w:styleId="Heading3">
    <w:name w:val="heading 3"/>
    <w:basedOn w:val="Heading2"/>
    <w:next w:val="Normal"/>
    <w:link w:val="Heading3Char"/>
    <w:qFormat/>
    <w:pPr>
      <w:spacing w:line="240" w:lineRule="exact"/>
      <w:outlineLvl w:val="2"/>
    </w:pPr>
    <w:rPr>
      <w:bCs/>
      <w:sz w:val="24"/>
      <w:szCs w:val="26"/>
    </w:rPr>
  </w:style>
  <w:style w:type="paragraph" w:styleId="Heading4">
    <w:name w:val="heading 4"/>
    <w:basedOn w:val="Heading3"/>
    <w:next w:val="Normal"/>
    <w:link w:val="Heading4Char"/>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3Indent1">
    <w:name w:val="Heading 3 Indent1"/>
    <w:basedOn w:val="Heading3"/>
    <w:next w:val="Normal"/>
    <w:pPr>
      <w:ind w:left="510"/>
    </w:pPr>
  </w:style>
  <w:style w:type="paragraph" w:customStyle="1" w:styleId="Heading4Indent1">
    <w:name w:val="Heading 4 Indent1"/>
    <w:basedOn w:val="Heading4"/>
    <w:next w:val="Normal"/>
    <w:pPr>
      <w:ind w:left="510"/>
    </w:pPr>
  </w:style>
  <w:style w:type="paragraph" w:customStyle="1" w:styleId="Heading5Indent1">
    <w:name w:val="Heading 5 Indent1"/>
    <w:basedOn w:val="Heading5"/>
    <w:next w:val="Normal"/>
    <w:pPr>
      <w:ind w:left="510"/>
    </w:pPr>
  </w:style>
  <w:style w:type="paragraph" w:customStyle="1" w:styleId="Heading6Indent1">
    <w:name w:val="Heading 6 Indent1"/>
    <w:basedOn w:val="Heading6"/>
    <w:next w:val="Normal"/>
    <w:pPr>
      <w:ind w:left="510"/>
    </w:pPr>
  </w:style>
  <w:style w:type="paragraph" w:styleId="Header">
    <w:name w:val="header"/>
    <w:basedOn w:val="Normal"/>
    <w:link w:val="HeaderChar"/>
    <w:uiPriority w:val="99"/>
    <w:pPr>
      <w:tabs>
        <w:tab w:val="center" w:pos="3119"/>
        <w:tab w:val="right" w:pos="6237"/>
      </w:tabs>
    </w:pPr>
  </w:style>
  <w:style w:type="paragraph" w:styleId="Footer">
    <w:name w:val="footer"/>
    <w:basedOn w:val="Normal"/>
    <w:pPr>
      <w:tabs>
        <w:tab w:val="center" w:pos="3119"/>
        <w:tab w:val="right" w:pos="6237"/>
      </w:tabs>
    </w:pPr>
  </w:style>
  <w:style w:type="paragraph" w:customStyle="1" w:styleId="CoverStandard">
    <w:name w:val="Cover Standard"/>
    <w:basedOn w:val="Normal"/>
    <w:next w:val="Normal"/>
    <w:pPr>
      <w:spacing w:line="280" w:lineRule="exact"/>
    </w:pPr>
    <w:rPr>
      <w:b/>
      <w:sz w:val="28"/>
    </w:rPr>
  </w:style>
  <w:style w:type="paragraph" w:customStyle="1" w:styleId="CoverNumber">
    <w:name w:val="Cover Number"/>
    <w:basedOn w:val="Normal"/>
    <w:next w:val="Normal"/>
    <w:pPr>
      <w:spacing w:line="320" w:lineRule="exact"/>
      <w:jc w:val="right"/>
    </w:pPr>
    <w:rPr>
      <w:b/>
      <w:caps/>
      <w:sz w:val="32"/>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pPr>
      <w:spacing w:line="240" w:lineRule="exact"/>
      <w:jc w:val="right"/>
    </w:pPr>
    <w:rPr>
      <w:sz w:val="24"/>
    </w:rPr>
  </w:style>
  <w:style w:type="paragraph" w:customStyle="1" w:styleId="CoverTitle">
    <w:name w:val="Cover Title"/>
    <w:basedOn w:val="Normal"/>
    <w:rsid w:val="00500E80"/>
    <w:pPr>
      <w:spacing w:before="800" w:after="500" w:line="500" w:lineRule="exact"/>
    </w:pPr>
    <w:rPr>
      <w:b/>
      <w:sz w:val="50"/>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6237"/>
      </w:tabs>
      <w:spacing w:after="200"/>
      <w:ind w:left="170" w:right="1134" w:hanging="170"/>
    </w:pPr>
    <w:rPr>
      <w:caps/>
    </w:rPr>
  </w:style>
  <w:style w:type="paragraph" w:customStyle="1" w:styleId="ContentsLevel1">
    <w:name w:val="Contents Level1"/>
    <w:basedOn w:val="Normal"/>
    <w:pPr>
      <w:tabs>
        <w:tab w:val="right" w:pos="6237"/>
      </w:tabs>
      <w:spacing w:after="60"/>
      <w:ind w:left="170" w:right="1134" w:hanging="170"/>
    </w:pPr>
  </w:style>
  <w:style w:type="paragraph" w:customStyle="1" w:styleId="ContentsCapsBoldPg">
    <w:name w:val="Contents CapsBoldPg"/>
    <w:basedOn w:val="ContentsCapsPlainPg"/>
    <w:next w:val="ContentsLevel1"/>
    <w:rPr>
      <w:b/>
    </w:r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styleId="TOC1">
    <w:name w:val="toc 1"/>
    <w:basedOn w:val="Normal"/>
    <w:next w:val="Normal"/>
    <w:autoRedefine/>
    <w:semiHidden/>
    <w:rsid w:val="00AC4315"/>
  </w:style>
  <w:style w:type="character" w:styleId="Hyperlink">
    <w:name w:val="Hyperlink"/>
    <w:basedOn w:val="DefaultParagraphFont"/>
    <w:rsid w:val="00737714"/>
    <w:rPr>
      <w:color w:val="0000FF"/>
      <w:u w:val="single"/>
    </w:rPr>
  </w:style>
  <w:style w:type="paragraph" w:customStyle="1" w:styleId="NumPlainA">
    <w:name w:val="Num PlainA"/>
    <w:basedOn w:val="Normal"/>
    <w:qFormat/>
    <w:rsid w:val="003B0CAA"/>
    <w:pPr>
      <w:numPr>
        <w:numId w:val="7"/>
      </w:numPr>
      <w:spacing w:after="200"/>
    </w:pPr>
  </w:style>
  <w:style w:type="paragraph" w:customStyle="1" w:styleId="NoNumPlain1">
    <w:name w:val="NoNum Plain1"/>
    <w:basedOn w:val="Normal"/>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qFormat/>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link w:val="NumPlain1Char"/>
    <w:qFormat/>
    <w:rsid w:val="00426876"/>
    <w:pPr>
      <w:numPr>
        <w:numId w:val="1"/>
      </w:numPr>
      <w:spacing w:after="200"/>
    </w:pPr>
  </w:style>
  <w:style w:type="paragraph" w:customStyle="1" w:styleId="NumPlain2">
    <w:name w:val="Num Plain2"/>
    <w:basedOn w:val="NumPlain1"/>
    <w:qFormat/>
    <w:rsid w:val="00426876"/>
    <w:pPr>
      <w:numPr>
        <w:ilvl w:val="1"/>
      </w:numPr>
    </w:pPr>
  </w:style>
  <w:style w:type="paragraph" w:customStyle="1" w:styleId="NumPlain3">
    <w:name w:val="Num Plain3"/>
    <w:basedOn w:val="NumPlain2"/>
    <w:qFormat/>
    <w:rsid w:val="00426876"/>
    <w:pPr>
      <w:numPr>
        <w:ilvl w:val="2"/>
      </w:numPr>
    </w:pPr>
  </w:style>
  <w:style w:type="paragraph" w:customStyle="1" w:styleId="NumPlain4">
    <w:name w:val="Num Plain4"/>
    <w:basedOn w:val="NumPlain3"/>
    <w:rsid w:val="00426876"/>
    <w:pPr>
      <w:numPr>
        <w:ilvl w:val="3"/>
      </w:numPr>
    </w:pPr>
  </w:style>
  <w:style w:type="paragraph" w:customStyle="1" w:styleId="Bullet1">
    <w:name w:val="Bullet1"/>
    <w:basedOn w:val="Normal"/>
    <w:qFormat/>
    <w:rsid w:val="00F27D29"/>
    <w:pPr>
      <w:numPr>
        <w:numId w:val="6"/>
      </w:numPr>
      <w:spacing w:after="200"/>
    </w:pPr>
  </w:style>
  <w:style w:type="paragraph" w:customStyle="1" w:styleId="Bullet2">
    <w:name w:val="Bullet2"/>
    <w:basedOn w:val="Normal"/>
    <w:rsid w:val="00F27D29"/>
    <w:pPr>
      <w:numPr>
        <w:ilvl w:val="1"/>
        <w:numId w:val="6"/>
      </w:numPr>
      <w:spacing w:after="200"/>
    </w:pPr>
  </w:style>
  <w:style w:type="paragraph" w:customStyle="1" w:styleId="Bullet3">
    <w:name w:val="Bullet3"/>
    <w:basedOn w:val="Normal"/>
    <w:rsid w:val="00F27D29"/>
    <w:pPr>
      <w:numPr>
        <w:ilvl w:val="2"/>
        <w:numId w:val="6"/>
      </w:numPr>
      <w:spacing w:after="200"/>
    </w:pPr>
  </w:style>
  <w:style w:type="paragraph" w:customStyle="1" w:styleId="CommentsPage">
    <w:name w:val="CommentsPage"/>
    <w:basedOn w:val="Normal"/>
    <w:next w:val="Normal"/>
  </w:style>
  <w:style w:type="paragraph" w:customStyle="1" w:styleId="Bullet4">
    <w:name w:val="Bullet4"/>
    <w:basedOn w:val="Normal"/>
    <w:rsid w:val="00F27D29"/>
    <w:pPr>
      <w:numPr>
        <w:ilvl w:val="3"/>
        <w:numId w:val="6"/>
      </w:numPr>
      <w:spacing w:after="200"/>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ContentsLevel1NoIndent">
    <w:name w:val="Contents Level1 NoIndent"/>
    <w:basedOn w:val="ContentsLevel1"/>
    <w:pPr>
      <w:ind w:left="0" w:firstLine="0"/>
    </w:pPr>
  </w:style>
  <w:style w:type="paragraph" w:customStyle="1" w:styleId="AppendixNo">
    <w:name w:val="AppendixNo"/>
    <w:basedOn w:val="Normal"/>
    <w:next w:val="Normal"/>
    <w:rsid w:val="0058004D"/>
    <w:pPr>
      <w:keepNext/>
      <w:spacing w:after="200" w:line="280" w:lineRule="exact"/>
      <w:jc w:val="center"/>
      <w:outlineLvl w:val="0"/>
    </w:pPr>
    <w:rPr>
      <w:b/>
      <w:caps/>
      <w:sz w:val="28"/>
      <w:szCs w:val="28"/>
    </w:rPr>
  </w:style>
  <w:style w:type="paragraph" w:customStyle="1" w:styleId="BCHanging0">
    <w:name w:val="BC Hanging0"/>
    <w:basedOn w:val="NoNumPlain1"/>
    <w:qFormat/>
    <w:rsid w:val="0058004D"/>
    <w:pPr>
      <w:ind w:left="624" w:hanging="624"/>
    </w:pPr>
  </w:style>
  <w:style w:type="paragraph" w:customStyle="1" w:styleId="AppendixNote">
    <w:name w:val="AppendixNote"/>
    <w:basedOn w:val="Normal"/>
    <w:next w:val="Normal"/>
    <w:rsid w:val="002A201D"/>
    <w:pPr>
      <w:spacing w:after="200"/>
    </w:pPr>
    <w:rPr>
      <w:i/>
      <w:iCs/>
    </w:rPr>
  </w:style>
  <w:style w:type="paragraph" w:customStyle="1" w:styleId="AppendixText">
    <w:name w:val="AppendixText"/>
    <w:basedOn w:val="Normal"/>
    <w:rsid w:val="002A201D"/>
    <w:pPr>
      <w:spacing w:after="200"/>
    </w:pPr>
  </w:style>
  <w:style w:type="paragraph" w:customStyle="1" w:styleId="AppendixTitle">
    <w:name w:val="AppendixTitle"/>
    <w:basedOn w:val="Normal"/>
    <w:next w:val="AppendixNote"/>
    <w:rsid w:val="002A201D"/>
    <w:pPr>
      <w:keepNext/>
      <w:spacing w:after="200" w:line="280" w:lineRule="exact"/>
      <w:jc w:val="center"/>
      <w:outlineLvl w:val="0"/>
    </w:pPr>
    <w:rPr>
      <w:b/>
      <w:caps/>
      <w:sz w:val="28"/>
      <w:szCs w:val="28"/>
    </w:rPr>
  </w:style>
  <w:style w:type="paragraph" w:customStyle="1" w:styleId="NoNumBC2">
    <w:name w:val="NoNum BC2"/>
    <w:basedOn w:val="NoNumPlain1"/>
    <w:rsid w:val="0058004D"/>
    <w:pPr>
      <w:ind w:left="624"/>
    </w:pPr>
  </w:style>
  <w:style w:type="paragraph" w:customStyle="1" w:styleId="BCHanging1">
    <w:name w:val="BC Hanging1"/>
    <w:basedOn w:val="NoNumBC2"/>
    <w:rsid w:val="0058004D"/>
    <w:pPr>
      <w:ind w:left="1248" w:hanging="624"/>
    </w:pPr>
  </w:style>
  <w:style w:type="paragraph" w:customStyle="1" w:styleId="BCHanging2">
    <w:name w:val="BC Hanging2"/>
    <w:basedOn w:val="BCHanging1"/>
    <w:rsid w:val="0058004D"/>
    <w:pPr>
      <w:ind w:left="1871"/>
    </w:pPr>
  </w:style>
  <w:style w:type="paragraph" w:customStyle="1" w:styleId="BCHanging3">
    <w:name w:val="BC Hanging3"/>
    <w:basedOn w:val="BCHanging1"/>
    <w:rsid w:val="0058004D"/>
    <w:pPr>
      <w:ind w:left="2495"/>
    </w:pPr>
  </w:style>
  <w:style w:type="paragraph" w:customStyle="1" w:styleId="CoverSubtitle">
    <w:name w:val="Cover Subtitle"/>
    <w:basedOn w:val="CoverTitle"/>
    <w:rsid w:val="00500E80"/>
    <w:pPr>
      <w:spacing w:before="0" w:after="0"/>
    </w:pPr>
    <w:rPr>
      <w:sz w:val="40"/>
      <w:szCs w:val="40"/>
    </w:rPr>
  </w:style>
  <w:style w:type="paragraph" w:customStyle="1" w:styleId="NumberedList">
    <w:name w:val="NumberedList"/>
    <w:basedOn w:val="Normal"/>
    <w:qFormat/>
    <w:rsid w:val="00401ECA"/>
    <w:pPr>
      <w:numPr>
        <w:numId w:val="3"/>
      </w:numPr>
      <w:spacing w:after="200"/>
    </w:pPr>
  </w:style>
  <w:style w:type="paragraph" w:customStyle="1" w:styleId="NumBold1">
    <w:name w:val="Num Bold1"/>
    <w:basedOn w:val="NumPlain1"/>
    <w:qFormat/>
    <w:rsid w:val="00027E8B"/>
    <w:rPr>
      <w:b/>
    </w:rPr>
  </w:style>
  <w:style w:type="paragraph" w:customStyle="1" w:styleId="NumBold2">
    <w:name w:val="Num Bold2"/>
    <w:basedOn w:val="NumPlain2"/>
    <w:rsid w:val="00027E8B"/>
    <w:rPr>
      <w:b/>
    </w:rPr>
  </w:style>
  <w:style w:type="paragraph" w:customStyle="1" w:styleId="NumBold3">
    <w:name w:val="Num Bold3"/>
    <w:basedOn w:val="NumPlain3"/>
    <w:rsid w:val="00027E8B"/>
    <w:rPr>
      <w:b/>
    </w:rPr>
  </w:style>
  <w:style w:type="paragraph" w:customStyle="1" w:styleId="NumBold4">
    <w:name w:val="Num Bold4"/>
    <w:basedOn w:val="NumPlain4"/>
    <w:rsid w:val="00027E8B"/>
    <w:rPr>
      <w:b/>
    </w:rPr>
  </w:style>
  <w:style w:type="paragraph" w:customStyle="1" w:styleId="PlainHanging1">
    <w:name w:val="Plain Hanging1"/>
    <w:basedOn w:val="NoNumPlain2"/>
    <w:rsid w:val="0039009E"/>
    <w:pPr>
      <w:ind w:left="1020" w:hanging="510"/>
    </w:pPr>
  </w:style>
  <w:style w:type="paragraph" w:customStyle="1" w:styleId="PlainHanging2">
    <w:name w:val="Plain Hanging2"/>
    <w:basedOn w:val="PlainHanging1"/>
    <w:rsid w:val="0039009E"/>
    <w:pPr>
      <w:ind w:left="1531"/>
    </w:pPr>
  </w:style>
  <w:style w:type="paragraph" w:customStyle="1" w:styleId="PlainHanging3">
    <w:name w:val="Plain Hanging3"/>
    <w:basedOn w:val="PlainHanging1"/>
    <w:rsid w:val="0039009E"/>
    <w:pPr>
      <w:ind w:left="2041"/>
    </w:pPr>
  </w:style>
  <w:style w:type="paragraph" w:customStyle="1" w:styleId="PlainHanging4">
    <w:name w:val="Plain Hanging4"/>
    <w:basedOn w:val="PlainHanging1"/>
    <w:rsid w:val="0039009E"/>
    <w:pPr>
      <w:ind w:left="2551"/>
    </w:pPr>
  </w:style>
  <w:style w:type="paragraph" w:customStyle="1" w:styleId="BoldHanging1">
    <w:name w:val="Bold Hanging1"/>
    <w:basedOn w:val="PlainHanging1"/>
    <w:rsid w:val="0039009E"/>
    <w:rPr>
      <w:b/>
    </w:rPr>
  </w:style>
  <w:style w:type="paragraph" w:customStyle="1" w:styleId="BoldHanging2">
    <w:name w:val="Bold Hanging2"/>
    <w:basedOn w:val="PlainHanging2"/>
    <w:rsid w:val="0039009E"/>
    <w:rPr>
      <w:b/>
    </w:rPr>
  </w:style>
  <w:style w:type="paragraph" w:customStyle="1" w:styleId="BoldHanging3">
    <w:name w:val="Bold Hanging3"/>
    <w:basedOn w:val="PlainHanging3"/>
    <w:rsid w:val="0039009E"/>
    <w:rPr>
      <w:b/>
    </w:rPr>
  </w:style>
  <w:style w:type="paragraph" w:customStyle="1" w:styleId="BoldHanging4">
    <w:name w:val="Bold Hanging4"/>
    <w:basedOn w:val="PlainHanging4"/>
    <w:rsid w:val="0039009E"/>
    <w:rPr>
      <w:b/>
    </w:rPr>
  </w:style>
  <w:style w:type="paragraph" w:customStyle="1" w:styleId="PlainHanging0">
    <w:name w:val="Plain Hanging0"/>
    <w:basedOn w:val="PlainHanging1"/>
    <w:qFormat/>
    <w:rsid w:val="003A488F"/>
    <w:pPr>
      <w:ind w:left="510"/>
    </w:pPr>
  </w:style>
  <w:style w:type="paragraph" w:customStyle="1" w:styleId="BoldHanging0">
    <w:name w:val="Bold Hanging0"/>
    <w:basedOn w:val="PlainHanging0"/>
    <w:qFormat/>
    <w:rsid w:val="003A488F"/>
    <w:rPr>
      <w:b/>
    </w:rPr>
  </w:style>
  <w:style w:type="paragraph" w:customStyle="1" w:styleId="BCHanging4">
    <w:name w:val="BC Hanging4"/>
    <w:basedOn w:val="BCHanging1"/>
    <w:rsid w:val="0058004D"/>
    <w:pPr>
      <w:ind w:left="3119"/>
    </w:pPr>
  </w:style>
  <w:style w:type="paragraph" w:customStyle="1" w:styleId="NoNumBC3">
    <w:name w:val="NoNum BC3"/>
    <w:basedOn w:val="NoNumBC2"/>
    <w:rsid w:val="0058004D"/>
    <w:pPr>
      <w:ind w:left="1247"/>
    </w:pPr>
  </w:style>
  <w:style w:type="paragraph" w:customStyle="1" w:styleId="NoNumBC4">
    <w:name w:val="NoNum BC4"/>
    <w:basedOn w:val="NoNumBC3"/>
    <w:rsid w:val="0058004D"/>
    <w:pPr>
      <w:ind w:left="1871"/>
    </w:pPr>
  </w:style>
  <w:style w:type="paragraph" w:customStyle="1" w:styleId="NumBC1">
    <w:name w:val="Num BC1"/>
    <w:basedOn w:val="Normal"/>
    <w:qFormat/>
    <w:rsid w:val="00426876"/>
    <w:pPr>
      <w:numPr>
        <w:numId w:val="4"/>
      </w:numPr>
      <w:spacing w:after="200"/>
    </w:pPr>
  </w:style>
  <w:style w:type="paragraph" w:customStyle="1" w:styleId="NumBC2">
    <w:name w:val="Num BC2"/>
    <w:basedOn w:val="NumBC1"/>
    <w:rsid w:val="00426876"/>
    <w:pPr>
      <w:numPr>
        <w:ilvl w:val="1"/>
      </w:numPr>
    </w:pPr>
  </w:style>
  <w:style w:type="paragraph" w:customStyle="1" w:styleId="NumBC3">
    <w:name w:val="Num BC3"/>
    <w:basedOn w:val="NumBC2"/>
    <w:rsid w:val="00426876"/>
    <w:pPr>
      <w:numPr>
        <w:ilvl w:val="2"/>
      </w:numPr>
    </w:pPr>
  </w:style>
  <w:style w:type="paragraph" w:customStyle="1" w:styleId="NumBC4">
    <w:name w:val="Num BC4"/>
    <w:basedOn w:val="NumBC3"/>
    <w:rsid w:val="00426876"/>
    <w:pPr>
      <w:numPr>
        <w:ilvl w:val="3"/>
      </w:numPr>
    </w:pPr>
  </w:style>
  <w:style w:type="numbering" w:customStyle="1" w:styleId="Bullets">
    <w:name w:val="Bullets"/>
    <w:uiPriority w:val="99"/>
    <w:rsid w:val="00F27D29"/>
    <w:pPr>
      <w:numPr>
        <w:numId w:val="5"/>
      </w:numPr>
    </w:pPr>
  </w:style>
  <w:style w:type="paragraph" w:customStyle="1" w:styleId="NumPlainA2">
    <w:name w:val="Num PlainA2"/>
    <w:basedOn w:val="NumPlainA"/>
    <w:rsid w:val="00171F51"/>
    <w:pPr>
      <w:numPr>
        <w:ilvl w:val="1"/>
      </w:numPr>
      <w:outlineLvl w:val="1"/>
    </w:pPr>
  </w:style>
  <w:style w:type="table" w:styleId="TableGrid">
    <w:name w:val="Table Grid"/>
    <w:basedOn w:val="TableNormal"/>
    <w:rsid w:val="00C03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Plain1Char">
    <w:name w:val="Num Plain1 Char"/>
    <w:basedOn w:val="DefaultParagraphFont"/>
    <w:link w:val="NumPlain1"/>
    <w:rsid w:val="00C647A6"/>
    <w:rPr>
      <w:lang w:eastAsia="en-US"/>
    </w:rPr>
  </w:style>
  <w:style w:type="character" w:customStyle="1" w:styleId="HeaderChar">
    <w:name w:val="Header Char"/>
    <w:basedOn w:val="DefaultParagraphFont"/>
    <w:link w:val="Header"/>
    <w:uiPriority w:val="99"/>
    <w:rsid w:val="009F44CA"/>
    <w:rPr>
      <w:lang w:eastAsia="en-US"/>
    </w:rPr>
  </w:style>
  <w:style w:type="paragraph" w:styleId="BalloonText">
    <w:name w:val="Balloon Text"/>
    <w:basedOn w:val="Normal"/>
    <w:link w:val="BalloonTextChar"/>
    <w:rsid w:val="009F44C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F44CA"/>
    <w:rPr>
      <w:rFonts w:ascii="Tahoma" w:hAnsi="Tahoma" w:cs="Tahoma"/>
      <w:sz w:val="16"/>
      <w:szCs w:val="16"/>
      <w:lang w:eastAsia="en-US"/>
    </w:rPr>
  </w:style>
  <w:style w:type="character" w:customStyle="1" w:styleId="Heading2Char">
    <w:name w:val="Heading 2 Char"/>
    <w:basedOn w:val="DefaultParagraphFont"/>
    <w:link w:val="Heading2"/>
    <w:rsid w:val="00607087"/>
    <w:rPr>
      <w:rFonts w:cs="Arial"/>
      <w:b/>
      <w:iCs/>
      <w:sz w:val="28"/>
      <w:szCs w:val="28"/>
      <w:lang w:eastAsia="en-US"/>
    </w:rPr>
  </w:style>
  <w:style w:type="character" w:customStyle="1" w:styleId="Heading3Char">
    <w:name w:val="Heading 3 Char"/>
    <w:basedOn w:val="DefaultParagraphFont"/>
    <w:link w:val="Heading3"/>
    <w:rsid w:val="00607087"/>
    <w:rPr>
      <w:rFonts w:cs="Arial"/>
      <w:b/>
      <w:bCs/>
      <w:iCs/>
      <w:sz w:val="24"/>
      <w:szCs w:val="26"/>
      <w:lang w:eastAsia="en-US"/>
    </w:rPr>
  </w:style>
  <w:style w:type="paragraph" w:customStyle="1" w:styleId="CellBody">
    <w:name w:val="CellBody"/>
    <w:uiPriority w:val="99"/>
    <w:rsid w:val="000A0221"/>
    <w:pPr>
      <w:suppressAutoHyphens/>
      <w:autoSpaceDE w:val="0"/>
      <w:autoSpaceDN w:val="0"/>
      <w:adjustRightInd w:val="0"/>
      <w:spacing w:line="180" w:lineRule="atLeast"/>
    </w:pPr>
    <w:rPr>
      <w:rFonts w:ascii="Helvetica LT Std" w:hAnsi="Helvetica LT Std" w:cs="Helvetica LT Std"/>
      <w:color w:val="000000"/>
      <w:w w:val="1"/>
      <w:sz w:val="16"/>
      <w:szCs w:val="16"/>
      <w:lang w:val="en-GB" w:eastAsia="en-GB"/>
    </w:rPr>
  </w:style>
  <w:style w:type="paragraph" w:customStyle="1" w:styleId="npara">
    <w:name w:val="npara"/>
    <w:uiPriority w:val="99"/>
    <w:rsid w:val="000A0221"/>
    <w:pPr>
      <w:suppressAutoHyphens/>
      <w:autoSpaceDE w:val="0"/>
      <w:autoSpaceDN w:val="0"/>
      <w:adjustRightInd w:val="0"/>
      <w:spacing w:after="120" w:line="200" w:lineRule="atLeast"/>
      <w:jc w:val="both"/>
    </w:pPr>
    <w:rPr>
      <w:rFonts w:ascii="Swift LT Pro" w:hAnsi="Swift LT Pro" w:cs="Swift LT Pro"/>
      <w:color w:val="000000"/>
      <w:w w:val="1"/>
      <w:sz w:val="16"/>
      <w:szCs w:val="16"/>
      <w:lang w:val="en-GB" w:eastAsia="en-GB"/>
    </w:rPr>
  </w:style>
  <w:style w:type="paragraph" w:customStyle="1" w:styleId="Subheading">
    <w:name w:val="Sub_heading"/>
    <w:uiPriority w:val="99"/>
    <w:rsid w:val="000A0221"/>
    <w:pPr>
      <w:keepNext/>
      <w:suppressAutoHyphens/>
      <w:autoSpaceDE w:val="0"/>
      <w:autoSpaceDN w:val="0"/>
      <w:adjustRightInd w:val="0"/>
      <w:spacing w:before="200" w:after="160" w:line="260" w:lineRule="atLeast"/>
    </w:pPr>
    <w:rPr>
      <w:rFonts w:ascii="Helvetica LT Std" w:hAnsi="Helvetica LT Std" w:cs="Helvetica LT Std"/>
      <w:b/>
      <w:bCs/>
      <w:color w:val="000000"/>
      <w:w w:val="1"/>
      <w:sz w:val="22"/>
      <w:szCs w:val="22"/>
      <w:lang w:val="en-GB" w:eastAsia="en-GB"/>
    </w:rPr>
  </w:style>
  <w:style w:type="paragraph" w:customStyle="1" w:styleId="Subsubheading">
    <w:name w:val="Sub_sub_heading"/>
    <w:uiPriority w:val="99"/>
    <w:rsid w:val="000A0221"/>
    <w:pPr>
      <w:keepNext/>
      <w:suppressAutoHyphens/>
      <w:autoSpaceDE w:val="0"/>
      <w:autoSpaceDN w:val="0"/>
      <w:adjustRightInd w:val="0"/>
      <w:spacing w:before="200" w:after="160" w:line="220" w:lineRule="atLeast"/>
    </w:pPr>
    <w:rPr>
      <w:rFonts w:ascii="Helvetica LT Std" w:hAnsi="Helvetica LT Std" w:cs="Helvetica LT Std"/>
      <w:b/>
      <w:bCs/>
      <w:color w:val="000000"/>
      <w:w w:val="1"/>
      <w:sz w:val="18"/>
      <w:szCs w:val="18"/>
      <w:lang w:val="en-GB" w:eastAsia="en-GB"/>
    </w:rPr>
  </w:style>
  <w:style w:type="paragraph" w:customStyle="1" w:styleId="loweralpha1level1">
    <w:name w:val="lower_alpha1_level1"/>
    <w:uiPriority w:val="99"/>
    <w:rsid w:val="000A0221"/>
    <w:pPr>
      <w:tabs>
        <w:tab w:val="left" w:pos="420"/>
      </w:tabs>
      <w:suppressAutoHyphens/>
      <w:autoSpaceDE w:val="0"/>
      <w:autoSpaceDN w:val="0"/>
      <w:adjustRightInd w:val="0"/>
      <w:spacing w:after="120" w:line="200" w:lineRule="atLeast"/>
      <w:ind w:left="420" w:hanging="420"/>
      <w:jc w:val="both"/>
    </w:pPr>
    <w:rPr>
      <w:rFonts w:ascii="Swift LT Pro" w:hAnsi="Swift LT Pro" w:cs="Swift LT Pro"/>
      <w:color w:val="000000"/>
      <w:w w:val="1"/>
      <w:sz w:val="16"/>
      <w:szCs w:val="16"/>
      <w:lang w:val="en-GB" w:eastAsia="en-GB"/>
    </w:rPr>
  </w:style>
  <w:style w:type="paragraph" w:customStyle="1" w:styleId="lowerroman1level2">
    <w:name w:val="lower_roman1_level2"/>
    <w:uiPriority w:val="99"/>
    <w:rsid w:val="000A0221"/>
    <w:pPr>
      <w:tabs>
        <w:tab w:val="left" w:pos="420"/>
        <w:tab w:val="left" w:pos="840"/>
      </w:tabs>
      <w:suppressAutoHyphens/>
      <w:autoSpaceDE w:val="0"/>
      <w:autoSpaceDN w:val="0"/>
      <w:adjustRightInd w:val="0"/>
      <w:spacing w:after="120" w:line="200" w:lineRule="atLeast"/>
      <w:ind w:left="840" w:hanging="840"/>
      <w:jc w:val="both"/>
    </w:pPr>
    <w:rPr>
      <w:rFonts w:ascii="Swift LT Pro" w:hAnsi="Swift LT Pro" w:cs="Swift LT Pro"/>
      <w:color w:val="000000"/>
      <w:w w:val="1"/>
      <w:sz w:val="16"/>
      <w:szCs w:val="16"/>
      <w:lang w:val="en-GB" w:eastAsia="en-GB"/>
    </w:rPr>
  </w:style>
  <w:style w:type="paragraph" w:customStyle="1" w:styleId="nonelevel1">
    <w:name w:val="none_level1"/>
    <w:uiPriority w:val="99"/>
    <w:rsid w:val="000A0221"/>
    <w:pPr>
      <w:tabs>
        <w:tab w:val="left" w:pos="420"/>
      </w:tabs>
      <w:suppressAutoHyphens/>
      <w:autoSpaceDE w:val="0"/>
      <w:autoSpaceDN w:val="0"/>
      <w:adjustRightInd w:val="0"/>
      <w:spacing w:after="120" w:line="200" w:lineRule="atLeast"/>
      <w:ind w:left="420" w:hanging="420"/>
      <w:jc w:val="both"/>
    </w:pPr>
    <w:rPr>
      <w:rFonts w:ascii="Swift LT Pro" w:hAnsi="Swift LT Pro" w:cs="Swift LT Pro"/>
      <w:color w:val="000000"/>
      <w:w w:val="1"/>
      <w:sz w:val="16"/>
      <w:szCs w:val="16"/>
      <w:lang w:val="en-GB" w:eastAsia="en-GB"/>
    </w:rPr>
  </w:style>
  <w:style w:type="paragraph" w:customStyle="1" w:styleId="loweralphalevel1">
    <w:name w:val="lower_alpha_level1"/>
    <w:uiPriority w:val="99"/>
    <w:rsid w:val="000A0221"/>
    <w:pPr>
      <w:tabs>
        <w:tab w:val="left" w:pos="420"/>
      </w:tabs>
      <w:suppressAutoHyphens/>
      <w:autoSpaceDE w:val="0"/>
      <w:autoSpaceDN w:val="0"/>
      <w:adjustRightInd w:val="0"/>
      <w:spacing w:after="120" w:line="200" w:lineRule="atLeast"/>
      <w:ind w:left="420" w:hanging="420"/>
      <w:jc w:val="both"/>
    </w:pPr>
    <w:rPr>
      <w:rFonts w:ascii="Swift LT Pro" w:hAnsi="Swift LT Pro" w:cs="Swift LT Pro"/>
      <w:color w:val="000000"/>
      <w:w w:val="1"/>
      <w:sz w:val="16"/>
      <w:szCs w:val="16"/>
      <w:lang w:val="en-GB" w:eastAsia="en-GB"/>
    </w:rPr>
  </w:style>
  <w:style w:type="paragraph" w:customStyle="1" w:styleId="lowerromanlevel2">
    <w:name w:val="lower_roman_level2"/>
    <w:uiPriority w:val="99"/>
    <w:rsid w:val="000A0221"/>
    <w:pPr>
      <w:tabs>
        <w:tab w:val="left" w:pos="420"/>
        <w:tab w:val="left" w:pos="840"/>
      </w:tabs>
      <w:suppressAutoHyphens/>
      <w:autoSpaceDE w:val="0"/>
      <w:autoSpaceDN w:val="0"/>
      <w:adjustRightInd w:val="0"/>
      <w:spacing w:after="120" w:line="200" w:lineRule="atLeast"/>
      <w:ind w:left="840" w:hanging="840"/>
      <w:jc w:val="both"/>
    </w:pPr>
    <w:rPr>
      <w:rFonts w:ascii="Swift LT Pro" w:hAnsi="Swift LT Pro" w:cs="Swift LT Pro"/>
      <w:color w:val="000000"/>
      <w:w w:val="1"/>
      <w:sz w:val="16"/>
      <w:szCs w:val="16"/>
      <w:lang w:val="en-GB" w:eastAsia="en-GB"/>
    </w:rPr>
  </w:style>
  <w:style w:type="character" w:customStyle="1" w:styleId="standardnamestandardbodyheading">
    <w:name w:val="standard_name_standardbody_heading"/>
    <w:uiPriority w:val="99"/>
    <w:rsid w:val="000A0221"/>
    <w:rPr>
      <w:i/>
      <w:iCs/>
    </w:rPr>
  </w:style>
  <w:style w:type="character" w:customStyle="1" w:styleId="Heading4Char">
    <w:name w:val="Heading 4 Char"/>
    <w:basedOn w:val="DefaultParagraphFont"/>
    <w:link w:val="Heading4"/>
    <w:rsid w:val="00102247"/>
    <w:rPr>
      <w:rFonts w:cs="Arial"/>
      <w:b/>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1543">
      <w:bodyDiv w:val="1"/>
      <w:marLeft w:val="0"/>
      <w:marRight w:val="0"/>
      <w:marTop w:val="0"/>
      <w:marBottom w:val="0"/>
      <w:divBdr>
        <w:top w:val="none" w:sz="0" w:space="0" w:color="auto"/>
        <w:left w:val="none" w:sz="0" w:space="0" w:color="auto"/>
        <w:bottom w:val="none" w:sz="0" w:space="0" w:color="auto"/>
        <w:right w:val="none" w:sz="0" w:space="0" w:color="auto"/>
      </w:divBdr>
    </w:div>
    <w:div w:id="1397704489">
      <w:bodyDiv w:val="1"/>
      <w:marLeft w:val="0"/>
      <w:marRight w:val="0"/>
      <w:marTop w:val="0"/>
      <w:marBottom w:val="0"/>
      <w:divBdr>
        <w:top w:val="none" w:sz="0" w:space="0" w:color="auto"/>
        <w:left w:val="none" w:sz="0" w:space="0" w:color="auto"/>
        <w:bottom w:val="none" w:sz="0" w:space="0" w:color="auto"/>
        <w:right w:val="none" w:sz="0" w:space="0" w:color="auto"/>
      </w:divBdr>
    </w:div>
    <w:div w:id="17868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apollo\AA-Templates-2010\WordGlobal\Amending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62558-F482-45F6-9161-5EF54330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AmendingStandard</Template>
  <TotalTime>9</TotalTime>
  <Pages>8</Pages>
  <Words>1536</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Amending Standard</vt:lpstr>
    </vt:vector>
  </TitlesOfParts>
  <Company>Australian Accounting Standards Board</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Amending Standard</dc:title>
  <dc:creator>Sue Lightfoot</dc:creator>
  <cp:lastModifiedBy>Sue Lightfoot</cp:lastModifiedBy>
  <cp:revision>6</cp:revision>
  <cp:lastPrinted>2012-07-02T04:31:00Z</cp:lastPrinted>
  <dcterms:created xsi:type="dcterms:W3CDTF">2012-07-02T02:53:00Z</dcterms:created>
  <dcterms:modified xsi:type="dcterms:W3CDTF">2012-07-02T04:45:00Z</dcterms:modified>
</cp:coreProperties>
</file>