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BB6CE8" w:rsidRDefault="006553F7" w:rsidP="00D76148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4pt;height:86.95pt" fillcolor="window">
            <v:imagedata r:id="rId8" o:title=""/>
          </v:shape>
        </w:pict>
      </w:r>
    </w:p>
    <w:p w:rsidR="00D76148" w:rsidRPr="00BB6CE8" w:rsidRDefault="00D76148" w:rsidP="00D76148">
      <w:pPr>
        <w:pStyle w:val="Title"/>
        <w:ind w:left="397" w:right="397"/>
      </w:pPr>
      <w:bookmarkStart w:id="0" w:name="Citation"/>
      <w:r w:rsidRPr="00BB6CE8">
        <w:t xml:space="preserve">National Health (Pharmaceutical Benefits) Amendment Regulation </w:t>
      </w:r>
      <w:r w:rsidR="006553F7" w:rsidRPr="00BB6CE8">
        <w:fldChar w:fldCharType="begin"/>
      </w:r>
      <w:r w:rsidRPr="00BB6CE8">
        <w:instrText xml:space="preserve"> REF Year \* charformat </w:instrText>
      </w:r>
      <w:r w:rsidR="0078587A" w:rsidRPr="00BB6CE8">
        <w:instrText xml:space="preserve"> \* MERGEFORMAT </w:instrText>
      </w:r>
      <w:r w:rsidR="006553F7" w:rsidRPr="00BB6CE8">
        <w:fldChar w:fldCharType="separate"/>
      </w:r>
      <w:r w:rsidR="003E2B84" w:rsidRPr="00BB6CE8">
        <w:t>2012</w:t>
      </w:r>
      <w:r w:rsidR="006553F7" w:rsidRPr="00BB6CE8">
        <w:fldChar w:fldCharType="end"/>
      </w:r>
      <w:r w:rsidRPr="00BB6CE8">
        <w:t xml:space="preserve"> (No.</w:t>
      </w:r>
      <w:r w:rsidR="00E27271" w:rsidRPr="00BB6CE8">
        <w:t> </w:t>
      </w:r>
      <w:r w:rsidR="003E2B84">
        <w:t>4</w:t>
      </w:r>
      <w:r w:rsidRPr="00BB6CE8">
        <w:t>)</w:t>
      </w:r>
      <w:bookmarkEnd w:id="0"/>
      <w:r w:rsidRPr="00BB6CE8">
        <w:rPr>
          <w:b w:val="0"/>
          <w:position w:val="6"/>
          <w:sz w:val="24"/>
          <w:vertAlign w:val="superscript"/>
        </w:rPr>
        <w:t>1</w:t>
      </w:r>
    </w:p>
    <w:p w:rsidR="00D76148" w:rsidRPr="00BB6CE8" w:rsidRDefault="00D76148" w:rsidP="00D76148">
      <w:pPr>
        <w:pStyle w:val="SRNo"/>
        <w:ind w:left="397" w:right="397"/>
      </w:pPr>
      <w:r w:rsidRPr="00BB6CE8">
        <w:t xml:space="preserve">Select Legislative Instrument </w:t>
      </w:r>
      <w:bookmarkStart w:id="1" w:name="Year"/>
      <w:r w:rsidRPr="00BB6CE8">
        <w:t>2012</w:t>
      </w:r>
      <w:bookmarkEnd w:id="1"/>
      <w:r w:rsidRPr="00BB6CE8">
        <w:t xml:space="preserve"> No. </w:t>
      </w:r>
      <w:bookmarkStart w:id="2" w:name="refno"/>
      <w:r w:rsidR="003E2B84">
        <w:t>168</w:t>
      </w:r>
      <w:bookmarkEnd w:id="2"/>
    </w:p>
    <w:p w:rsidR="00D76148" w:rsidRPr="00BB6CE8" w:rsidRDefault="00D76148" w:rsidP="00D76148">
      <w:pPr>
        <w:tabs>
          <w:tab w:val="left" w:pos="4111"/>
        </w:tabs>
        <w:spacing w:before="360"/>
        <w:ind w:left="397" w:right="397"/>
        <w:jc w:val="both"/>
      </w:pPr>
      <w:r w:rsidRPr="00BB6CE8">
        <w:t xml:space="preserve">I, QUENTIN BRYCE, Governor-General of the Commonwealth of Australia, acting with the advice of the Federal Executive Council, make the following regulation under the </w:t>
      </w:r>
      <w:r w:rsidRPr="00BB6CE8">
        <w:rPr>
          <w:i/>
        </w:rPr>
        <w:t>National Health Act 1953</w:t>
      </w:r>
      <w:r w:rsidR="00052114" w:rsidRPr="00BB6CE8">
        <w:t xml:space="preserve"> and the </w:t>
      </w:r>
      <w:r w:rsidR="00052114" w:rsidRPr="00BB6CE8">
        <w:rPr>
          <w:i/>
        </w:rPr>
        <w:t xml:space="preserve">National Health Amendment (Pharmaceutical Benefits Scheme) </w:t>
      </w:r>
      <w:r w:rsidR="004C3394" w:rsidRPr="00BB6CE8">
        <w:rPr>
          <w:i/>
        </w:rPr>
        <w:t>Act</w:t>
      </w:r>
      <w:r w:rsidR="00052114" w:rsidRPr="00BB6CE8">
        <w:rPr>
          <w:i/>
        </w:rPr>
        <w:t xml:space="preserve"> 2012</w:t>
      </w:r>
      <w:r w:rsidR="00052114" w:rsidRPr="00BB6CE8">
        <w:t>.</w:t>
      </w:r>
    </w:p>
    <w:p w:rsidR="00D76148" w:rsidRPr="00BB6CE8" w:rsidRDefault="00D76148" w:rsidP="00D76148">
      <w:pPr>
        <w:keepNext/>
        <w:tabs>
          <w:tab w:val="left" w:pos="3402"/>
        </w:tabs>
        <w:spacing w:before="300" w:line="240" w:lineRule="atLeast"/>
        <w:ind w:left="397" w:right="397"/>
      </w:pPr>
      <w:r w:rsidRPr="00BB6CE8">
        <w:t>Dated</w:t>
      </w:r>
      <w:r w:rsidR="003E2B84">
        <w:t xml:space="preserve"> 12 July </w:t>
      </w:r>
      <w:r w:rsidR="006553F7" w:rsidRPr="00BB6CE8">
        <w:fldChar w:fldCharType="begin"/>
      </w:r>
      <w:r w:rsidRPr="00BB6CE8">
        <w:instrText xml:space="preserve"> REF Year \* charformat </w:instrText>
      </w:r>
      <w:r w:rsidR="0078587A" w:rsidRPr="00BB6CE8">
        <w:instrText xml:space="preserve"> \* MERGEFORMAT </w:instrText>
      </w:r>
      <w:r w:rsidR="006553F7" w:rsidRPr="00BB6CE8">
        <w:fldChar w:fldCharType="separate"/>
      </w:r>
      <w:r w:rsidR="003E2B84" w:rsidRPr="00BB6CE8">
        <w:t>2012</w:t>
      </w:r>
      <w:r w:rsidR="006553F7" w:rsidRPr="00BB6CE8">
        <w:fldChar w:fldCharType="end"/>
      </w:r>
    </w:p>
    <w:p w:rsidR="00D76148" w:rsidRPr="00BB6CE8" w:rsidRDefault="003E2B84" w:rsidP="00D76148">
      <w:pPr>
        <w:spacing w:before="1080" w:line="300" w:lineRule="atLeast"/>
        <w:ind w:left="397" w:right="397"/>
        <w:jc w:val="right"/>
      </w:pPr>
      <w:r>
        <w:t>QUENTIN BRYCE</w:t>
      </w:r>
    </w:p>
    <w:p w:rsidR="00D76148" w:rsidRPr="00BB6CE8" w:rsidRDefault="00D76148" w:rsidP="00D76148">
      <w:pPr>
        <w:spacing w:line="300" w:lineRule="atLeast"/>
        <w:ind w:left="397" w:right="397"/>
        <w:jc w:val="right"/>
      </w:pPr>
      <w:r w:rsidRPr="00BB6CE8">
        <w:t>Governor-General</w:t>
      </w:r>
    </w:p>
    <w:p w:rsidR="00D76148" w:rsidRPr="00BB6CE8" w:rsidRDefault="00D76148" w:rsidP="00D76148">
      <w:pPr>
        <w:spacing w:after="800" w:line="300" w:lineRule="atLeast"/>
        <w:ind w:left="397" w:right="397"/>
      </w:pPr>
      <w:r w:rsidRPr="00BB6CE8">
        <w:t>By Her Excellency’s Command</w:t>
      </w:r>
    </w:p>
    <w:p w:rsidR="00D76148" w:rsidRPr="00BB6CE8" w:rsidRDefault="00BF3231" w:rsidP="00D76148">
      <w:pPr>
        <w:spacing w:before="480" w:line="300" w:lineRule="atLeast"/>
        <w:ind w:left="397" w:right="397"/>
        <w:rPr>
          <w:b/>
        </w:rPr>
      </w:pPr>
      <w:r w:rsidRPr="00BF3231">
        <w:t>TANYA PLIBERSEK</w:t>
      </w:r>
    </w:p>
    <w:p w:rsidR="00D76148" w:rsidRPr="00BB6CE8" w:rsidRDefault="00D76148" w:rsidP="00D76148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 w:rsidRPr="00BB6CE8">
        <w:t>Minister for Health</w:t>
      </w:r>
      <w:bookmarkEnd w:id="3"/>
    </w:p>
    <w:p w:rsidR="00D76148" w:rsidRPr="00BB6CE8" w:rsidRDefault="00D76148" w:rsidP="00D76148">
      <w:pPr>
        <w:pStyle w:val="SigningPageBreak"/>
        <w:ind w:left="397" w:right="397"/>
        <w:sectPr w:rsidR="00D76148" w:rsidRPr="00BB6CE8" w:rsidSect="001E1BD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D76148" w:rsidRPr="00BB6CE8" w:rsidRDefault="00D76148" w:rsidP="00D76148">
      <w:pPr>
        <w:pStyle w:val="A1"/>
      </w:pPr>
      <w:r w:rsidRPr="00BB6CE8">
        <w:rPr>
          <w:rStyle w:val="CharSectnoAm"/>
        </w:rPr>
        <w:lastRenderedPageBreak/>
        <w:t>1</w:t>
      </w:r>
      <w:r w:rsidRPr="00BB6CE8">
        <w:tab/>
        <w:t>Name of regulation</w:t>
      </w:r>
    </w:p>
    <w:p w:rsidR="00D76148" w:rsidRPr="00BB6CE8" w:rsidRDefault="00D76148" w:rsidP="00D76148">
      <w:pPr>
        <w:pStyle w:val="A2"/>
      </w:pPr>
      <w:r w:rsidRPr="00BB6CE8">
        <w:tab/>
      </w:r>
      <w:r w:rsidRPr="00BB6CE8">
        <w:tab/>
        <w:t xml:space="preserve">This regulation is the </w:t>
      </w:r>
      <w:r w:rsidR="006553F7" w:rsidRPr="00BB6CE8">
        <w:rPr>
          <w:i/>
        </w:rPr>
        <w:fldChar w:fldCharType="begin"/>
      </w:r>
      <w:r w:rsidRPr="00BB6CE8">
        <w:rPr>
          <w:i/>
        </w:rPr>
        <w:instrText xml:space="preserve"> REF Citation \* charformat </w:instrText>
      </w:r>
      <w:r w:rsidR="0078587A" w:rsidRPr="00BB6CE8">
        <w:rPr>
          <w:i/>
        </w:rPr>
        <w:instrText xml:space="preserve"> \* MERGEFORMAT </w:instrText>
      </w:r>
      <w:r w:rsidR="006553F7" w:rsidRPr="00BB6CE8">
        <w:rPr>
          <w:i/>
        </w:rPr>
        <w:fldChar w:fldCharType="separate"/>
      </w:r>
      <w:r w:rsidR="003E2B84" w:rsidRPr="003E2B84">
        <w:rPr>
          <w:i/>
        </w:rPr>
        <w:t>National Health (Pharmaceutical Benefits) Amendment Regulation 2012 (No. 4)</w:t>
      </w:r>
      <w:r w:rsidR="006553F7" w:rsidRPr="00BB6CE8">
        <w:rPr>
          <w:i/>
        </w:rPr>
        <w:fldChar w:fldCharType="end"/>
      </w:r>
      <w:r w:rsidRPr="00BB6CE8">
        <w:t>.</w:t>
      </w:r>
    </w:p>
    <w:p w:rsidR="00D76148" w:rsidRPr="00BB6CE8" w:rsidRDefault="00D76148" w:rsidP="00D76148">
      <w:pPr>
        <w:pStyle w:val="A1"/>
      </w:pPr>
      <w:r w:rsidRPr="00BB6CE8">
        <w:rPr>
          <w:rStyle w:val="CharSectnoAm"/>
        </w:rPr>
        <w:t>2</w:t>
      </w:r>
      <w:r w:rsidRPr="00BB6CE8">
        <w:tab/>
        <w:t>Commencement</w:t>
      </w:r>
    </w:p>
    <w:p w:rsidR="00D76148" w:rsidRPr="00BB6CE8" w:rsidRDefault="00D76148" w:rsidP="00D76148">
      <w:pPr>
        <w:pStyle w:val="A2"/>
      </w:pPr>
      <w:r w:rsidRPr="00BB6CE8">
        <w:tab/>
      </w:r>
      <w:r w:rsidRPr="00BB6CE8">
        <w:tab/>
        <w:t xml:space="preserve">This regulation commences on </w:t>
      </w:r>
      <w:r w:rsidR="001E1BDF" w:rsidRPr="00BB6CE8">
        <w:t>1 October 2012</w:t>
      </w:r>
      <w:r w:rsidRPr="00BB6CE8">
        <w:t>.</w:t>
      </w:r>
    </w:p>
    <w:p w:rsidR="00D76148" w:rsidRPr="00BB6CE8" w:rsidRDefault="00D76148" w:rsidP="00D76148">
      <w:pPr>
        <w:pStyle w:val="A1"/>
      </w:pPr>
      <w:r w:rsidRPr="00BB6CE8">
        <w:rPr>
          <w:rStyle w:val="CharSectnoAm"/>
        </w:rPr>
        <w:t>3</w:t>
      </w:r>
      <w:r w:rsidRPr="00BB6CE8">
        <w:tab/>
        <w:t xml:space="preserve">Amendment of </w:t>
      </w:r>
      <w:r w:rsidRPr="00BB6CE8">
        <w:rPr>
          <w:i/>
        </w:rPr>
        <w:t>National Health (Pharmaceutical Benefits) Regulation</w:t>
      </w:r>
      <w:r w:rsidR="001E1BDF" w:rsidRPr="00BB6CE8">
        <w:rPr>
          <w:i/>
        </w:rPr>
        <w:t>s 1960</w:t>
      </w:r>
    </w:p>
    <w:p w:rsidR="00D76148" w:rsidRPr="00BB6CE8" w:rsidRDefault="00D76148" w:rsidP="00D76148">
      <w:pPr>
        <w:pStyle w:val="A2"/>
      </w:pPr>
      <w:r w:rsidRPr="00BB6CE8">
        <w:tab/>
      </w:r>
      <w:r w:rsidRPr="00BB6CE8">
        <w:tab/>
        <w:t xml:space="preserve">Schedule 1 amends the </w:t>
      </w:r>
      <w:r w:rsidRPr="00BB6CE8">
        <w:rPr>
          <w:i/>
        </w:rPr>
        <w:t>National Health (Pharmaceutical Benefits) Regulation</w:t>
      </w:r>
      <w:r w:rsidR="001E1BDF" w:rsidRPr="00BB6CE8">
        <w:rPr>
          <w:i/>
        </w:rPr>
        <w:t>s 1960</w:t>
      </w:r>
      <w:r w:rsidRPr="00BB6CE8">
        <w:t>.</w:t>
      </w:r>
    </w:p>
    <w:p w:rsidR="00D76148" w:rsidRPr="00BB6CE8" w:rsidRDefault="00D76148" w:rsidP="001E1BDF">
      <w:pPr>
        <w:pStyle w:val="MainBodySectionBreak"/>
        <w:sectPr w:rsidR="00D76148" w:rsidRPr="00BB6CE8" w:rsidSect="00D7614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76148" w:rsidRPr="00BB6CE8" w:rsidRDefault="00D76148" w:rsidP="001E1BDF">
      <w:pPr>
        <w:pStyle w:val="AS"/>
      </w:pPr>
      <w:r w:rsidRPr="00BB6CE8">
        <w:rPr>
          <w:rStyle w:val="CharAmSchNo"/>
        </w:rPr>
        <w:lastRenderedPageBreak/>
        <w:t>Schedule 1</w:t>
      </w:r>
      <w:r w:rsidRPr="00BB6CE8">
        <w:tab/>
      </w:r>
      <w:r w:rsidRPr="00BB6CE8">
        <w:rPr>
          <w:rStyle w:val="CharAmSchText"/>
        </w:rPr>
        <w:t>Amendments</w:t>
      </w:r>
    </w:p>
    <w:p w:rsidR="00D76148" w:rsidRPr="00BB6CE8" w:rsidRDefault="00D76148" w:rsidP="001E1BDF">
      <w:pPr>
        <w:pStyle w:val="ASref"/>
      </w:pPr>
      <w:r w:rsidRPr="00BB6CE8">
        <w:t>(section 3)</w:t>
      </w:r>
    </w:p>
    <w:p w:rsidR="009124FC" w:rsidRPr="009124FC" w:rsidRDefault="009124FC" w:rsidP="009124FC">
      <w:pPr>
        <w:pStyle w:val="Header"/>
        <w:rPr>
          <w:vanish/>
        </w:rPr>
      </w:pPr>
      <w:r w:rsidRPr="009124FC">
        <w:rPr>
          <w:vanish/>
        </w:rPr>
        <w:t xml:space="preserve">  </w:t>
      </w:r>
    </w:p>
    <w:p w:rsidR="00585610" w:rsidRPr="00BB6CE8" w:rsidRDefault="003C5A3D" w:rsidP="003C5A3D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1</w:t>
        </w:r>
      </w:fldSimple>
      <w:r w:rsidRPr="00BB6CE8">
        <w:t>]</w:t>
      </w:r>
      <w:r w:rsidRPr="00BB6CE8">
        <w:tab/>
      </w:r>
      <w:r w:rsidR="00585610" w:rsidRPr="00BB6CE8">
        <w:t>Subregulation 5</w:t>
      </w:r>
      <w:r w:rsidR="00E27271" w:rsidRPr="00BB6CE8">
        <w:t> </w:t>
      </w:r>
      <w:r w:rsidR="00585610" w:rsidRPr="00BB6CE8">
        <w:t xml:space="preserve">(1), definition of </w:t>
      </w:r>
      <w:r w:rsidR="00585610" w:rsidRPr="00BB6CE8">
        <w:rPr>
          <w:bCs/>
          <w:i/>
          <w:iCs/>
        </w:rPr>
        <w:t>authority prescription</w:t>
      </w:r>
    </w:p>
    <w:p w:rsidR="00585610" w:rsidRPr="00BB6CE8" w:rsidRDefault="00585610" w:rsidP="001E13AC">
      <w:pPr>
        <w:pStyle w:val="A2S"/>
      </w:pPr>
      <w:r w:rsidRPr="00BB6CE8">
        <w:t>omit</w:t>
      </w:r>
    </w:p>
    <w:p w:rsidR="00585610" w:rsidRPr="00BB6CE8" w:rsidRDefault="00585610" w:rsidP="00585610">
      <w:pPr>
        <w:pStyle w:val="A3S"/>
      </w:pPr>
      <w:r w:rsidRPr="00BB6CE8">
        <w:t>subsection 85B</w:t>
      </w:r>
      <w:r w:rsidR="00E27271" w:rsidRPr="00BB6CE8">
        <w:t> </w:t>
      </w:r>
      <w:r w:rsidRPr="00BB6CE8">
        <w:t>(5)</w:t>
      </w:r>
    </w:p>
    <w:p w:rsidR="00585610" w:rsidRPr="00BB6CE8" w:rsidRDefault="00585610" w:rsidP="001E13AC">
      <w:pPr>
        <w:pStyle w:val="A2S"/>
      </w:pPr>
      <w:r w:rsidRPr="00BB6CE8">
        <w:t>insert</w:t>
      </w:r>
    </w:p>
    <w:p w:rsidR="00585610" w:rsidRPr="00BB6CE8" w:rsidRDefault="00585610" w:rsidP="00585610">
      <w:pPr>
        <w:pStyle w:val="A3S"/>
      </w:pPr>
      <w:r w:rsidRPr="00BB6CE8">
        <w:t>subsection 85B</w:t>
      </w:r>
      <w:r w:rsidR="00E27271" w:rsidRPr="00BB6CE8">
        <w:t> </w:t>
      </w:r>
      <w:r w:rsidRPr="00BB6CE8">
        <w:t>(4)</w:t>
      </w:r>
    </w:p>
    <w:p w:rsidR="00994CDD" w:rsidRPr="00BB6CE8" w:rsidRDefault="00585610" w:rsidP="00585610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2</w:t>
        </w:r>
      </w:fldSimple>
      <w:r w:rsidRPr="00BB6CE8">
        <w:t>]</w:t>
      </w:r>
      <w:r w:rsidRPr="00BB6CE8">
        <w:tab/>
      </w:r>
      <w:r w:rsidR="00994CDD" w:rsidRPr="00BB6CE8">
        <w:t>Regulation 15</w:t>
      </w:r>
    </w:p>
    <w:p w:rsidR="00994CDD" w:rsidRPr="00BB6CE8" w:rsidRDefault="00994CDD" w:rsidP="00AF76D5">
      <w:pPr>
        <w:pStyle w:val="A2S"/>
      </w:pPr>
      <w:r w:rsidRPr="00BB6CE8">
        <w:t>substitute</w:t>
      </w:r>
    </w:p>
    <w:p w:rsidR="00994CDD" w:rsidRPr="00BB6CE8" w:rsidRDefault="00994CDD" w:rsidP="00994CDD">
      <w:pPr>
        <w:pStyle w:val="HR"/>
      </w:pPr>
      <w:r w:rsidRPr="00BB6CE8">
        <w:rPr>
          <w:rStyle w:val="CharSectno"/>
        </w:rPr>
        <w:t>15</w:t>
      </w:r>
      <w:r w:rsidRPr="00BB6CE8">
        <w:tab/>
        <w:t>Prescriber bag supplies—practitioners on ships</w:t>
      </w:r>
    </w:p>
    <w:p w:rsidR="00994CDD" w:rsidRPr="00BB6CE8" w:rsidRDefault="00994CDD" w:rsidP="00994CDD">
      <w:pPr>
        <w:pStyle w:val="R1"/>
      </w:pPr>
      <w:r w:rsidRPr="00BB6CE8">
        <w:tab/>
      </w:r>
      <w:r w:rsidRPr="00BB6CE8">
        <w:tab/>
        <w:t>A practitioner who is practising his or her profession on a ship is not authorised to supply pharmaceutical benefits under section 93, 93AA or 93AB of the Act.</w:t>
      </w:r>
    </w:p>
    <w:p w:rsidR="00994CDD" w:rsidRPr="00BB6CE8" w:rsidRDefault="00994CDD" w:rsidP="00994CDD">
      <w:pPr>
        <w:pStyle w:val="A1S"/>
      </w:pPr>
      <w:r w:rsidRPr="00BB6CE8">
        <w:lastRenderedPageBreak/>
        <w:t>[</w:t>
      </w:r>
      <w:fldSimple w:instr=" SEQ Sch1Item " w:fldLock="1">
        <w:r w:rsidR="003E2B84">
          <w:rPr>
            <w:noProof/>
          </w:rPr>
          <w:t>3</w:t>
        </w:r>
      </w:fldSimple>
      <w:r w:rsidRPr="00BB6CE8">
        <w:t>]</w:t>
      </w:r>
      <w:r w:rsidRPr="00BB6CE8">
        <w:tab/>
        <w:t>Regulation 16</w:t>
      </w:r>
      <w:r w:rsidR="003118B0" w:rsidRPr="00BB6CE8">
        <w:t>, heading</w:t>
      </w:r>
    </w:p>
    <w:p w:rsidR="003118B0" w:rsidRPr="00BB6CE8" w:rsidRDefault="003118B0" w:rsidP="00AF76D5">
      <w:pPr>
        <w:pStyle w:val="A2S"/>
      </w:pPr>
      <w:r w:rsidRPr="00BB6CE8">
        <w:t>substitute</w:t>
      </w:r>
    </w:p>
    <w:p w:rsidR="003118B0" w:rsidRPr="00BB6CE8" w:rsidRDefault="003118B0" w:rsidP="000C6EC7">
      <w:pPr>
        <w:pStyle w:val="HR"/>
        <w:keepNext w:val="0"/>
        <w:keepLines w:val="0"/>
      </w:pPr>
      <w:r w:rsidRPr="00BB6CE8">
        <w:rPr>
          <w:rStyle w:val="CharSectno"/>
        </w:rPr>
        <w:t>16</w:t>
      </w:r>
      <w:r w:rsidRPr="00BB6CE8">
        <w:tab/>
        <w:t>Prescriber bag supplies—obtaining benefits by practitioners</w:t>
      </w:r>
    </w:p>
    <w:p w:rsidR="003118B0" w:rsidRPr="00BB6CE8" w:rsidRDefault="003118B0" w:rsidP="003118B0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4</w:t>
        </w:r>
      </w:fldSimple>
      <w:r w:rsidRPr="00BB6CE8">
        <w:t>]</w:t>
      </w:r>
      <w:r w:rsidRPr="00BB6CE8">
        <w:tab/>
        <w:t>Subregulation 16</w:t>
      </w:r>
      <w:r w:rsidR="00E27271" w:rsidRPr="00BB6CE8">
        <w:t> </w:t>
      </w:r>
      <w:r w:rsidRPr="00BB6CE8">
        <w:t>(1)</w:t>
      </w:r>
    </w:p>
    <w:p w:rsidR="003118B0" w:rsidRPr="00BB6CE8" w:rsidRDefault="003118B0" w:rsidP="00AF76D5">
      <w:pPr>
        <w:pStyle w:val="A2S"/>
      </w:pPr>
      <w:r w:rsidRPr="00BB6CE8">
        <w:t>omit</w:t>
      </w:r>
    </w:p>
    <w:p w:rsidR="003118B0" w:rsidRPr="00BB6CE8" w:rsidRDefault="003118B0" w:rsidP="003118B0">
      <w:pPr>
        <w:pStyle w:val="A3S"/>
      </w:pPr>
      <w:r w:rsidRPr="00BB6CE8">
        <w:t>and 93AA</w:t>
      </w:r>
    </w:p>
    <w:p w:rsidR="003118B0" w:rsidRPr="00BB6CE8" w:rsidRDefault="003118B0" w:rsidP="00AF76D5">
      <w:pPr>
        <w:pStyle w:val="A2S"/>
      </w:pPr>
      <w:r w:rsidRPr="00BB6CE8">
        <w:t>insert</w:t>
      </w:r>
    </w:p>
    <w:p w:rsidR="003118B0" w:rsidRPr="00BB6CE8" w:rsidRDefault="003118B0" w:rsidP="003118B0">
      <w:pPr>
        <w:pStyle w:val="A3S"/>
      </w:pPr>
      <w:r w:rsidRPr="00BB6CE8">
        <w:t>, 93AA and 93AB</w:t>
      </w:r>
    </w:p>
    <w:p w:rsidR="003118B0" w:rsidRPr="00BB6CE8" w:rsidRDefault="003118B0" w:rsidP="003118B0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5</w:t>
        </w:r>
      </w:fldSimple>
      <w:r w:rsidRPr="00BB6CE8">
        <w:t>]</w:t>
      </w:r>
      <w:r w:rsidRPr="00BB6CE8">
        <w:tab/>
        <w:t>Regulation 17, heading</w:t>
      </w:r>
    </w:p>
    <w:p w:rsidR="003118B0" w:rsidRPr="00BB6CE8" w:rsidRDefault="003118B0" w:rsidP="00AF76D5">
      <w:pPr>
        <w:pStyle w:val="A2S"/>
      </w:pPr>
      <w:r w:rsidRPr="00BB6CE8">
        <w:t>substitute</w:t>
      </w:r>
    </w:p>
    <w:p w:rsidR="003118B0" w:rsidRPr="00BB6CE8" w:rsidRDefault="003118B0" w:rsidP="000C6EC7">
      <w:pPr>
        <w:pStyle w:val="HR"/>
        <w:keepNext w:val="0"/>
        <w:keepLines w:val="0"/>
      </w:pPr>
      <w:r w:rsidRPr="00BB6CE8">
        <w:rPr>
          <w:rStyle w:val="CharSectno"/>
        </w:rPr>
        <w:t>17</w:t>
      </w:r>
      <w:r w:rsidRPr="00BB6CE8">
        <w:tab/>
        <w:t>Prescriber bag supplies—supply of pharmaceutical benefits by approved pharmacists</w:t>
      </w:r>
    </w:p>
    <w:p w:rsidR="003118B0" w:rsidRPr="00BB6CE8" w:rsidRDefault="00077E10" w:rsidP="00077E10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6</w:t>
        </w:r>
      </w:fldSimple>
      <w:r w:rsidRPr="00BB6CE8">
        <w:t>]</w:t>
      </w:r>
      <w:r w:rsidRPr="00BB6CE8">
        <w:tab/>
        <w:t>Regulation 18, heading</w:t>
      </w:r>
    </w:p>
    <w:p w:rsidR="00077E10" w:rsidRPr="00BB6CE8" w:rsidRDefault="00077E10" w:rsidP="00AF76D5">
      <w:pPr>
        <w:pStyle w:val="A2S"/>
      </w:pPr>
      <w:r w:rsidRPr="00BB6CE8">
        <w:t>substitute</w:t>
      </w:r>
    </w:p>
    <w:p w:rsidR="00077E10" w:rsidRPr="00BB6CE8" w:rsidRDefault="00077E10" w:rsidP="000C6EC7">
      <w:pPr>
        <w:pStyle w:val="HR"/>
        <w:keepNext w:val="0"/>
        <w:keepLines w:val="0"/>
      </w:pPr>
      <w:r w:rsidRPr="00BB6CE8">
        <w:rPr>
          <w:rStyle w:val="CharSectno"/>
        </w:rPr>
        <w:t>18</w:t>
      </w:r>
      <w:r w:rsidRPr="00BB6CE8">
        <w:tab/>
        <w:t>Prescriber bag supplies—payment for pharmaceutical benefits</w:t>
      </w:r>
    </w:p>
    <w:p w:rsidR="00077E10" w:rsidRPr="00BB6CE8" w:rsidRDefault="00077E10" w:rsidP="00077E10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7</w:t>
        </w:r>
      </w:fldSimple>
      <w:r w:rsidRPr="00BB6CE8">
        <w:t>]</w:t>
      </w:r>
      <w:r w:rsidRPr="00BB6CE8">
        <w:tab/>
        <w:t>Regulation 18</w:t>
      </w:r>
    </w:p>
    <w:p w:rsidR="00077E10" w:rsidRPr="00BB6CE8" w:rsidRDefault="00077E10" w:rsidP="00077E10">
      <w:pPr>
        <w:pStyle w:val="A2S"/>
      </w:pPr>
      <w:r w:rsidRPr="00BB6CE8">
        <w:t>omit</w:t>
      </w:r>
    </w:p>
    <w:p w:rsidR="00077E10" w:rsidRPr="00BB6CE8" w:rsidRDefault="004D6675" w:rsidP="00077E10">
      <w:pPr>
        <w:pStyle w:val="A3S"/>
      </w:pPr>
      <w:r w:rsidRPr="00BB6CE8">
        <w:t>or</w:t>
      </w:r>
      <w:r w:rsidR="00077E10" w:rsidRPr="00BB6CE8">
        <w:t xml:space="preserve"> 93AA</w:t>
      </w:r>
    </w:p>
    <w:p w:rsidR="00077E10" w:rsidRPr="00BB6CE8" w:rsidRDefault="00077E10" w:rsidP="00077E10">
      <w:pPr>
        <w:pStyle w:val="A2S"/>
      </w:pPr>
      <w:r w:rsidRPr="00BB6CE8">
        <w:t>insert</w:t>
      </w:r>
    </w:p>
    <w:p w:rsidR="00077E10" w:rsidRPr="00BB6CE8" w:rsidRDefault="00077E10" w:rsidP="00077E10">
      <w:pPr>
        <w:pStyle w:val="A3S"/>
      </w:pPr>
      <w:r w:rsidRPr="00BB6CE8">
        <w:t xml:space="preserve">, 93AA </w:t>
      </w:r>
      <w:r w:rsidR="004D6675" w:rsidRPr="00BB6CE8">
        <w:t>or</w:t>
      </w:r>
      <w:r w:rsidRPr="00BB6CE8">
        <w:t xml:space="preserve"> 93AB</w:t>
      </w:r>
    </w:p>
    <w:p w:rsidR="00585610" w:rsidRPr="00BB6CE8" w:rsidRDefault="00585610" w:rsidP="00585610">
      <w:pPr>
        <w:pStyle w:val="A1S"/>
      </w:pPr>
      <w:r w:rsidRPr="00BB6CE8">
        <w:lastRenderedPageBreak/>
        <w:t>[</w:t>
      </w:r>
      <w:fldSimple w:instr=" SEQ Sch1Item " w:fldLock="1">
        <w:r w:rsidR="003E2B84">
          <w:rPr>
            <w:noProof/>
          </w:rPr>
          <w:t>8</w:t>
        </w:r>
      </w:fldSimple>
      <w:r w:rsidRPr="00BB6CE8">
        <w:t>]</w:t>
      </w:r>
      <w:r w:rsidRPr="00BB6CE8">
        <w:tab/>
        <w:t>Subregulation 19</w:t>
      </w:r>
      <w:r w:rsidR="00E27271" w:rsidRPr="00BB6CE8">
        <w:t> </w:t>
      </w:r>
      <w:r w:rsidRPr="00BB6CE8">
        <w:t>(6)</w:t>
      </w:r>
    </w:p>
    <w:p w:rsidR="00585610" w:rsidRPr="00BB6CE8" w:rsidRDefault="00585610" w:rsidP="00585610">
      <w:pPr>
        <w:pStyle w:val="A2S"/>
      </w:pPr>
      <w:r w:rsidRPr="00BB6CE8">
        <w:t>omit</w:t>
      </w:r>
    </w:p>
    <w:p w:rsidR="00585610" w:rsidRPr="00BB6CE8" w:rsidRDefault="00585610" w:rsidP="00585610">
      <w:pPr>
        <w:pStyle w:val="A3S"/>
      </w:pPr>
      <w:r w:rsidRPr="00BB6CE8">
        <w:t>subsection 85B</w:t>
      </w:r>
      <w:r w:rsidR="00E27271" w:rsidRPr="00BB6CE8">
        <w:t> </w:t>
      </w:r>
      <w:r w:rsidRPr="00BB6CE8">
        <w:t>(5)</w:t>
      </w:r>
    </w:p>
    <w:p w:rsidR="00585610" w:rsidRPr="00BB6CE8" w:rsidRDefault="00585610" w:rsidP="00585610">
      <w:pPr>
        <w:pStyle w:val="A2S"/>
      </w:pPr>
      <w:r w:rsidRPr="00BB6CE8">
        <w:t>insert</w:t>
      </w:r>
    </w:p>
    <w:p w:rsidR="00585610" w:rsidRPr="00BB6CE8" w:rsidRDefault="00585610" w:rsidP="00585610">
      <w:pPr>
        <w:pStyle w:val="A3S"/>
      </w:pPr>
      <w:r w:rsidRPr="00BB6CE8">
        <w:t>subsection 85B</w:t>
      </w:r>
      <w:r w:rsidR="00E27271" w:rsidRPr="00BB6CE8">
        <w:t> </w:t>
      </w:r>
      <w:r w:rsidRPr="00BB6CE8">
        <w:t>(4)</w:t>
      </w:r>
    </w:p>
    <w:p w:rsidR="00077E10" w:rsidRPr="00BB6CE8" w:rsidRDefault="00077E10" w:rsidP="00585610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9</w:t>
        </w:r>
      </w:fldSimple>
      <w:r w:rsidRPr="00BB6CE8">
        <w:t>]</w:t>
      </w:r>
      <w:r w:rsidRPr="00BB6CE8">
        <w:tab/>
        <w:t>Paragraph 36</w:t>
      </w:r>
      <w:r w:rsidR="00E27271" w:rsidRPr="00BB6CE8">
        <w:t> </w:t>
      </w:r>
      <w:r w:rsidRPr="00BB6CE8">
        <w:t>(2)</w:t>
      </w:r>
      <w:r w:rsidR="00E27271" w:rsidRPr="00BB6CE8">
        <w:t> </w:t>
      </w:r>
      <w:r w:rsidRPr="00BB6CE8">
        <w:t>(c)</w:t>
      </w:r>
    </w:p>
    <w:p w:rsidR="00077E10" w:rsidRPr="00BB6CE8" w:rsidRDefault="00077E10" w:rsidP="00AF76D5">
      <w:pPr>
        <w:pStyle w:val="A2S"/>
      </w:pPr>
      <w:r w:rsidRPr="00BB6CE8">
        <w:t>omit</w:t>
      </w:r>
    </w:p>
    <w:p w:rsidR="00077E10" w:rsidRPr="00BB6CE8" w:rsidRDefault="00077E10" w:rsidP="00077E10">
      <w:pPr>
        <w:pStyle w:val="A3S"/>
      </w:pPr>
      <w:r w:rsidRPr="00BB6CE8">
        <w:t>or 93AA</w:t>
      </w:r>
      <w:r w:rsidR="00E27271" w:rsidRPr="00BB6CE8">
        <w:t> </w:t>
      </w:r>
      <w:r w:rsidRPr="00BB6CE8">
        <w:t>(2)</w:t>
      </w:r>
    </w:p>
    <w:p w:rsidR="00077E10" w:rsidRPr="00BB6CE8" w:rsidRDefault="00077E10" w:rsidP="00AF76D5">
      <w:pPr>
        <w:pStyle w:val="A2S"/>
      </w:pPr>
      <w:r w:rsidRPr="00BB6CE8">
        <w:t>insert</w:t>
      </w:r>
    </w:p>
    <w:p w:rsidR="00077E10" w:rsidRPr="00BB6CE8" w:rsidRDefault="00077E10" w:rsidP="00077E10">
      <w:pPr>
        <w:pStyle w:val="A3S"/>
      </w:pPr>
      <w:r w:rsidRPr="00BB6CE8">
        <w:t>, 93AA</w:t>
      </w:r>
      <w:r w:rsidR="00E27271" w:rsidRPr="00BB6CE8">
        <w:t> </w:t>
      </w:r>
      <w:r w:rsidRPr="00BB6CE8">
        <w:t>(2) or 93AB</w:t>
      </w:r>
      <w:r w:rsidR="00E27271" w:rsidRPr="00BB6CE8">
        <w:t> </w:t>
      </w:r>
      <w:r w:rsidRPr="00BB6CE8">
        <w:t>(2)</w:t>
      </w:r>
    </w:p>
    <w:p w:rsidR="00585610" w:rsidRPr="00BB6CE8" w:rsidRDefault="00994CDD" w:rsidP="00994CDD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10</w:t>
        </w:r>
      </w:fldSimple>
      <w:r w:rsidRPr="00BB6CE8">
        <w:t>]</w:t>
      </w:r>
      <w:r w:rsidRPr="00BB6CE8">
        <w:tab/>
      </w:r>
      <w:r w:rsidR="00585610" w:rsidRPr="00BB6CE8">
        <w:t>Subregulation 36</w:t>
      </w:r>
      <w:r w:rsidR="00E27271" w:rsidRPr="00BB6CE8">
        <w:t> </w:t>
      </w:r>
      <w:r w:rsidR="00585610" w:rsidRPr="00BB6CE8">
        <w:t>(3), note</w:t>
      </w:r>
    </w:p>
    <w:p w:rsidR="00585610" w:rsidRPr="00BB6CE8" w:rsidRDefault="00585610" w:rsidP="00585610">
      <w:pPr>
        <w:pStyle w:val="A2S"/>
      </w:pPr>
      <w:r w:rsidRPr="00BB6CE8">
        <w:t>omit</w:t>
      </w:r>
    </w:p>
    <w:p w:rsidR="00585610" w:rsidRPr="00544554" w:rsidRDefault="00585610" w:rsidP="00585610">
      <w:pPr>
        <w:pStyle w:val="A3S"/>
        <w:rPr>
          <w:sz w:val="20"/>
          <w:szCs w:val="20"/>
        </w:rPr>
      </w:pPr>
      <w:r w:rsidRPr="00544554">
        <w:rPr>
          <w:sz w:val="20"/>
          <w:szCs w:val="20"/>
        </w:rPr>
        <w:t>subsection 85B</w:t>
      </w:r>
      <w:r w:rsidR="00E27271" w:rsidRPr="00544554">
        <w:rPr>
          <w:sz w:val="20"/>
          <w:szCs w:val="20"/>
        </w:rPr>
        <w:t> </w:t>
      </w:r>
      <w:r w:rsidRPr="00544554">
        <w:rPr>
          <w:sz w:val="20"/>
          <w:szCs w:val="20"/>
        </w:rPr>
        <w:t>(2)</w:t>
      </w:r>
    </w:p>
    <w:p w:rsidR="00585610" w:rsidRPr="00BB6CE8" w:rsidRDefault="00585610" w:rsidP="00585610">
      <w:pPr>
        <w:pStyle w:val="A2S"/>
      </w:pPr>
      <w:r w:rsidRPr="00BB6CE8">
        <w:t>insert</w:t>
      </w:r>
    </w:p>
    <w:p w:rsidR="00585610" w:rsidRPr="00544554" w:rsidRDefault="00585610" w:rsidP="00585610">
      <w:pPr>
        <w:pStyle w:val="A3S"/>
        <w:rPr>
          <w:sz w:val="20"/>
          <w:szCs w:val="20"/>
        </w:rPr>
      </w:pPr>
      <w:r w:rsidRPr="00544554">
        <w:rPr>
          <w:sz w:val="20"/>
          <w:szCs w:val="20"/>
        </w:rPr>
        <w:t>subsection 85B</w:t>
      </w:r>
      <w:r w:rsidR="00E27271" w:rsidRPr="00544554">
        <w:rPr>
          <w:sz w:val="20"/>
          <w:szCs w:val="20"/>
        </w:rPr>
        <w:t> </w:t>
      </w:r>
      <w:r w:rsidRPr="00544554">
        <w:rPr>
          <w:sz w:val="20"/>
          <w:szCs w:val="20"/>
        </w:rPr>
        <w:t>(5)</w:t>
      </w:r>
    </w:p>
    <w:p w:rsidR="00D76148" w:rsidRPr="00BB6CE8" w:rsidRDefault="00585610" w:rsidP="00585610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11</w:t>
        </w:r>
      </w:fldSimple>
      <w:r w:rsidRPr="00BB6CE8">
        <w:t>]</w:t>
      </w:r>
      <w:r w:rsidRPr="00BB6CE8">
        <w:tab/>
      </w:r>
      <w:r w:rsidR="001E1BDF" w:rsidRPr="00BB6CE8">
        <w:t xml:space="preserve">Regulation 37A, definition of </w:t>
      </w:r>
      <w:r w:rsidR="001E1BDF" w:rsidRPr="00544554">
        <w:rPr>
          <w:i/>
        </w:rPr>
        <w:t>approved price to pharmacists</w:t>
      </w:r>
    </w:p>
    <w:p w:rsidR="001E1BDF" w:rsidRPr="00BB6CE8" w:rsidRDefault="001E1BDF" w:rsidP="000C6EC7">
      <w:pPr>
        <w:pStyle w:val="A2S"/>
        <w:keepNext w:val="0"/>
      </w:pPr>
      <w:r w:rsidRPr="00BB6CE8">
        <w:t>omit</w:t>
      </w:r>
    </w:p>
    <w:p w:rsidR="00F90682" w:rsidRPr="00BB6CE8" w:rsidRDefault="003C5A3D" w:rsidP="00F90682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12</w:t>
        </w:r>
      </w:fldSimple>
      <w:r w:rsidRPr="00BB6CE8">
        <w:t>]</w:t>
      </w:r>
      <w:r w:rsidRPr="00BB6CE8">
        <w:tab/>
      </w:r>
      <w:r w:rsidR="00F90682" w:rsidRPr="00BB6CE8">
        <w:t>Regulation 37A</w:t>
      </w:r>
    </w:p>
    <w:p w:rsidR="00F90682" w:rsidRPr="00BB6CE8" w:rsidRDefault="00F90682" w:rsidP="00F90682">
      <w:pPr>
        <w:pStyle w:val="A2S"/>
      </w:pPr>
      <w:r w:rsidRPr="00BB6CE8">
        <w:t>insert</w:t>
      </w:r>
    </w:p>
    <w:p w:rsidR="00F90682" w:rsidRPr="00BB6CE8" w:rsidRDefault="00F90682" w:rsidP="004336A3">
      <w:pPr>
        <w:pStyle w:val="definition"/>
      </w:pPr>
      <w:r w:rsidRPr="00BB6CE8">
        <w:rPr>
          <w:b/>
          <w:i/>
          <w:lang w:val="en-US"/>
        </w:rPr>
        <w:t>start day</w:t>
      </w:r>
      <w:r w:rsidR="00B03B3E" w:rsidRPr="00BB6CE8">
        <w:rPr>
          <w:lang w:val="en-US"/>
        </w:rPr>
        <w:t xml:space="preserve">, in relation to a brand </w:t>
      </w:r>
      <w:r w:rsidR="00B03B3E" w:rsidRPr="00BB6CE8">
        <w:t>of a pharmaceutical item</w:t>
      </w:r>
      <w:r w:rsidRPr="00BB6CE8">
        <w:rPr>
          <w:lang w:val="en-US"/>
        </w:rPr>
        <w:t xml:space="preserve">, means the day on which the price disclosure requirements first apply </w:t>
      </w:r>
      <w:r w:rsidRPr="00BB6CE8">
        <w:t>under section 99ADD of the Act</w:t>
      </w:r>
      <w:r w:rsidR="00396CC9" w:rsidRPr="00BB6CE8">
        <w:t xml:space="preserve"> for the brand</w:t>
      </w:r>
      <w:r w:rsidRPr="00BB6CE8">
        <w:t>.</w:t>
      </w:r>
    </w:p>
    <w:p w:rsidR="001E1BDF" w:rsidRPr="00BB6CE8" w:rsidRDefault="003C5A3D" w:rsidP="00F90682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13</w:t>
        </w:r>
      </w:fldSimple>
      <w:r w:rsidRPr="00BB6CE8">
        <w:t>]</w:t>
      </w:r>
      <w:r w:rsidRPr="00BB6CE8">
        <w:tab/>
      </w:r>
      <w:r w:rsidR="001E1BDF" w:rsidRPr="00BB6CE8">
        <w:t>Regulation 37C</w:t>
      </w:r>
    </w:p>
    <w:p w:rsidR="001E1BDF" w:rsidRPr="00BB6CE8" w:rsidRDefault="001E1BDF" w:rsidP="000C6EC7">
      <w:pPr>
        <w:pStyle w:val="A2S"/>
        <w:keepNext w:val="0"/>
      </w:pPr>
      <w:r w:rsidRPr="00BB6CE8">
        <w:t>omit</w:t>
      </w:r>
    </w:p>
    <w:p w:rsidR="00E17140" w:rsidRPr="00BB6CE8" w:rsidRDefault="003C5A3D" w:rsidP="00E17140">
      <w:pPr>
        <w:pStyle w:val="A1S"/>
      </w:pPr>
      <w:r w:rsidRPr="00BB6CE8">
        <w:lastRenderedPageBreak/>
        <w:t>[</w:t>
      </w:r>
      <w:fldSimple w:instr=" SEQ Sch1Item " w:fldLock="1">
        <w:r w:rsidR="003E2B84">
          <w:rPr>
            <w:noProof/>
          </w:rPr>
          <w:t>14</w:t>
        </w:r>
      </w:fldSimple>
      <w:r w:rsidRPr="00BB6CE8">
        <w:t>]</w:t>
      </w:r>
      <w:r w:rsidRPr="00BB6CE8">
        <w:tab/>
      </w:r>
      <w:r w:rsidR="00E17140" w:rsidRPr="00BB6CE8">
        <w:t xml:space="preserve">Regulation </w:t>
      </w:r>
      <w:r w:rsidR="00E17140">
        <w:t>37D</w:t>
      </w:r>
    </w:p>
    <w:p w:rsidR="00E17140" w:rsidRPr="00BB6CE8" w:rsidRDefault="00E17140" w:rsidP="00E17140">
      <w:pPr>
        <w:pStyle w:val="A2S"/>
        <w:keepNext w:val="0"/>
      </w:pPr>
      <w:r w:rsidRPr="00BB6CE8">
        <w:t>omit</w:t>
      </w:r>
    </w:p>
    <w:p w:rsidR="00E17140" w:rsidRPr="00BB6CE8" w:rsidRDefault="00E17140" w:rsidP="00E17140">
      <w:pPr>
        <w:pStyle w:val="A1S"/>
      </w:pPr>
      <w:r>
        <w:t>[</w:t>
      </w:r>
      <w:fldSimple w:instr=" SEQ Sch1Item " w:fldLock="1">
        <w:r w:rsidR="003E2B84">
          <w:rPr>
            <w:noProof/>
          </w:rPr>
          <w:t>15</w:t>
        </w:r>
      </w:fldSimple>
      <w:r>
        <w:t>]</w:t>
      </w:r>
      <w:r>
        <w:tab/>
      </w:r>
      <w:r w:rsidRPr="00BB6CE8">
        <w:t xml:space="preserve">Regulation </w:t>
      </w:r>
      <w:r>
        <w:t>37DA</w:t>
      </w:r>
    </w:p>
    <w:p w:rsidR="00E17140" w:rsidRPr="00BB6CE8" w:rsidRDefault="00E17140" w:rsidP="00E17140">
      <w:pPr>
        <w:pStyle w:val="A2S"/>
        <w:keepNext w:val="0"/>
      </w:pPr>
      <w:r w:rsidRPr="00BB6CE8">
        <w:t>omit</w:t>
      </w:r>
    </w:p>
    <w:p w:rsidR="00176557" w:rsidRPr="00BB6CE8" w:rsidRDefault="00E17140" w:rsidP="00E17140">
      <w:pPr>
        <w:pStyle w:val="A1S"/>
      </w:pPr>
      <w:r>
        <w:t>[</w:t>
      </w:r>
      <w:fldSimple w:instr=" SEQ Sch1Item " w:fldLock="1">
        <w:r w:rsidR="003E2B84">
          <w:rPr>
            <w:noProof/>
          </w:rPr>
          <w:t>16</w:t>
        </w:r>
      </w:fldSimple>
      <w:r>
        <w:t>]</w:t>
      </w:r>
      <w:r>
        <w:tab/>
      </w:r>
      <w:r w:rsidR="00176557" w:rsidRPr="00BB6CE8">
        <w:t>Subregulation 37ED</w:t>
      </w:r>
      <w:r w:rsidR="00E27271" w:rsidRPr="00BB6CE8">
        <w:t> </w:t>
      </w:r>
      <w:r w:rsidR="00176557" w:rsidRPr="00BB6CE8">
        <w:t>(1)</w:t>
      </w:r>
    </w:p>
    <w:p w:rsidR="00176557" w:rsidRPr="00BB6CE8" w:rsidRDefault="00176557" w:rsidP="004336A3">
      <w:pPr>
        <w:pStyle w:val="A2S"/>
      </w:pPr>
      <w:r w:rsidRPr="00BB6CE8">
        <w:t>substitute</w:t>
      </w:r>
    </w:p>
    <w:p w:rsidR="00176557" w:rsidRPr="00BB6CE8" w:rsidRDefault="00176557" w:rsidP="0040273E">
      <w:pPr>
        <w:pStyle w:val="ZR1"/>
      </w:pPr>
      <w:r w:rsidRPr="00BB6CE8">
        <w:tab/>
        <w:t>(1)</w:t>
      </w:r>
      <w:r w:rsidRPr="00BB6CE8">
        <w:tab/>
        <w:t xml:space="preserve">This regulation applies to a listed brand of a pharmaceutical item (the </w:t>
      </w:r>
      <w:r w:rsidRPr="00BB6CE8">
        <w:rPr>
          <w:b/>
          <w:i/>
        </w:rPr>
        <w:t>relevant brand</w:t>
      </w:r>
      <w:r w:rsidR="00D563D8" w:rsidRPr="00BB6CE8">
        <w:t xml:space="preserve">) if </w:t>
      </w:r>
      <w:r w:rsidRPr="00BB6CE8">
        <w:t>no requirement to comply with the price disclosure requirements has arisen under the Act before</w:t>
      </w:r>
      <w:r w:rsidR="004D6675" w:rsidRPr="00BB6CE8">
        <w:t xml:space="preserve"> the start day for the relevant brand for</w:t>
      </w:r>
      <w:r w:rsidRPr="00BB6CE8">
        <w:t>:</w:t>
      </w:r>
    </w:p>
    <w:p w:rsidR="00176557" w:rsidRPr="00BB6CE8" w:rsidRDefault="00176557" w:rsidP="00D563D8">
      <w:pPr>
        <w:pStyle w:val="P1"/>
      </w:pPr>
      <w:r w:rsidRPr="00BB6CE8">
        <w:tab/>
        <w:t>(</w:t>
      </w:r>
      <w:r w:rsidR="00D563D8" w:rsidRPr="00BB6CE8">
        <w:t>a</w:t>
      </w:r>
      <w:r w:rsidRPr="00BB6CE8">
        <w:t>)</w:t>
      </w:r>
      <w:r w:rsidRPr="00BB6CE8">
        <w:tab/>
        <w:t>the relevant brand; or</w:t>
      </w:r>
    </w:p>
    <w:p w:rsidR="00176557" w:rsidRPr="00BB6CE8" w:rsidRDefault="00176557" w:rsidP="00D563D8">
      <w:pPr>
        <w:pStyle w:val="P1"/>
      </w:pPr>
      <w:r w:rsidRPr="00BB6CE8">
        <w:tab/>
        <w:t>(</w:t>
      </w:r>
      <w:r w:rsidR="00D563D8" w:rsidRPr="00BB6CE8">
        <w:t>b</w:t>
      </w:r>
      <w:r w:rsidRPr="00BB6CE8">
        <w:t>)</w:t>
      </w:r>
      <w:r w:rsidRPr="00BB6CE8">
        <w:tab/>
        <w:t>any other listed brand of any pharmaceutical item having the same drug and manner of administration as the relevant brand.</w:t>
      </w:r>
    </w:p>
    <w:p w:rsidR="0014592A" w:rsidRPr="00BB6CE8" w:rsidRDefault="003C5A3D" w:rsidP="00F90682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17</w:t>
        </w:r>
      </w:fldSimple>
      <w:r w:rsidRPr="00BB6CE8">
        <w:t>]</w:t>
      </w:r>
      <w:r w:rsidRPr="00BB6CE8">
        <w:tab/>
      </w:r>
      <w:r w:rsidR="0014592A" w:rsidRPr="00BB6CE8">
        <w:t>Subregulation 37ED (6), note</w:t>
      </w:r>
    </w:p>
    <w:p w:rsidR="0014592A" w:rsidRPr="00BB6CE8" w:rsidRDefault="0014592A" w:rsidP="00BF3231">
      <w:pPr>
        <w:pStyle w:val="A2S"/>
        <w:keepNext w:val="0"/>
      </w:pPr>
      <w:r w:rsidRPr="00BB6CE8">
        <w:t>omit</w:t>
      </w:r>
    </w:p>
    <w:p w:rsidR="00F90682" w:rsidRPr="00BB6CE8" w:rsidRDefault="0014592A" w:rsidP="0014592A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18</w:t>
        </w:r>
      </w:fldSimple>
      <w:r w:rsidRPr="00BB6CE8">
        <w:t>]</w:t>
      </w:r>
      <w:r w:rsidRPr="00BB6CE8">
        <w:tab/>
      </w:r>
      <w:r w:rsidR="00F90682" w:rsidRPr="00BB6CE8">
        <w:t>Before subregulation 37EE</w:t>
      </w:r>
      <w:r w:rsidR="00E27271" w:rsidRPr="00BB6CE8">
        <w:t> </w:t>
      </w:r>
      <w:r w:rsidR="00F90682" w:rsidRPr="00BB6CE8">
        <w:t>(1)</w:t>
      </w:r>
    </w:p>
    <w:p w:rsidR="00F90682" w:rsidRPr="00BB6CE8" w:rsidRDefault="00F90682" w:rsidP="004336A3">
      <w:pPr>
        <w:pStyle w:val="A2S"/>
      </w:pPr>
      <w:r w:rsidRPr="00BB6CE8">
        <w:t>insert</w:t>
      </w:r>
    </w:p>
    <w:p w:rsidR="00F90682" w:rsidRPr="00BB6CE8" w:rsidRDefault="00F90682" w:rsidP="00A57913">
      <w:pPr>
        <w:pStyle w:val="R1"/>
      </w:pPr>
      <w:r w:rsidRPr="00BB6CE8">
        <w:tab/>
        <w:t>(1A)</w:t>
      </w:r>
      <w:r w:rsidRPr="00BB6CE8">
        <w:tab/>
        <w:t xml:space="preserve">This </w:t>
      </w:r>
      <w:r w:rsidR="00D4035A" w:rsidRPr="00BB6CE8">
        <w:t>regulation</w:t>
      </w:r>
      <w:r w:rsidR="00A4146A" w:rsidRPr="00BB6CE8">
        <w:t xml:space="preserve"> applies to </w:t>
      </w:r>
      <w:r w:rsidRPr="00BB6CE8">
        <w:t xml:space="preserve">a relevant brand mentioned in </w:t>
      </w:r>
      <w:r w:rsidR="00A4146A" w:rsidRPr="00BB6CE8">
        <w:t>sub</w:t>
      </w:r>
      <w:r w:rsidRPr="00BB6CE8">
        <w:t>regulation 37ED</w:t>
      </w:r>
      <w:r w:rsidR="00A4146A" w:rsidRPr="00BB6CE8">
        <w:t xml:space="preserve"> (1)</w:t>
      </w:r>
      <w:r w:rsidRPr="00BB6CE8">
        <w:t>.</w:t>
      </w:r>
    </w:p>
    <w:p w:rsidR="004A7CAB" w:rsidRPr="00BB6CE8" w:rsidRDefault="003C5A3D" w:rsidP="00F90682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19</w:t>
        </w:r>
      </w:fldSimple>
      <w:r w:rsidRPr="00BB6CE8">
        <w:t>]</w:t>
      </w:r>
      <w:r w:rsidRPr="00BB6CE8">
        <w:tab/>
      </w:r>
      <w:r w:rsidR="004A7CAB" w:rsidRPr="00BB6CE8">
        <w:t>Subregulation 37EE</w:t>
      </w:r>
      <w:r w:rsidR="00E27271" w:rsidRPr="00BB6CE8">
        <w:t> </w:t>
      </w:r>
      <w:r w:rsidR="004A7CAB" w:rsidRPr="00BB6CE8">
        <w:t>(5)</w:t>
      </w:r>
    </w:p>
    <w:p w:rsidR="004A7CAB" w:rsidRPr="00BB6CE8" w:rsidRDefault="004A7CAB" w:rsidP="000C6EC7">
      <w:pPr>
        <w:pStyle w:val="A2S"/>
        <w:keepNext w:val="0"/>
      </w:pPr>
      <w:r w:rsidRPr="00BB6CE8">
        <w:t>omit</w:t>
      </w:r>
    </w:p>
    <w:p w:rsidR="004A7CAB" w:rsidRPr="00BB6CE8" w:rsidRDefault="003C5A3D" w:rsidP="00EF5B3B">
      <w:pPr>
        <w:pStyle w:val="A1S"/>
      </w:pPr>
      <w:r w:rsidRPr="00BB6CE8">
        <w:lastRenderedPageBreak/>
        <w:t>[</w:t>
      </w:r>
      <w:fldSimple w:instr=" SEQ Sch1Item " w:fldLock="1">
        <w:r w:rsidR="003E2B84">
          <w:rPr>
            <w:noProof/>
          </w:rPr>
          <w:t>20</w:t>
        </w:r>
      </w:fldSimple>
      <w:r w:rsidRPr="00BB6CE8">
        <w:t>]</w:t>
      </w:r>
      <w:r w:rsidRPr="00BB6CE8">
        <w:tab/>
      </w:r>
      <w:r w:rsidR="00457A9E" w:rsidRPr="00BB6CE8">
        <w:t>R</w:t>
      </w:r>
      <w:r w:rsidR="004A7CAB" w:rsidRPr="00BB6CE8">
        <w:t>egulation 37F</w:t>
      </w:r>
    </w:p>
    <w:p w:rsidR="004A7CAB" w:rsidRPr="00BB6CE8" w:rsidRDefault="004A7CAB" w:rsidP="004336A3">
      <w:pPr>
        <w:pStyle w:val="A2S"/>
      </w:pPr>
      <w:r w:rsidRPr="00BB6CE8">
        <w:t>substitute</w:t>
      </w:r>
    </w:p>
    <w:p w:rsidR="00CF12FF" w:rsidRPr="00BB6CE8" w:rsidRDefault="00CF12FF" w:rsidP="00CF7116">
      <w:pPr>
        <w:pStyle w:val="HR"/>
      </w:pPr>
      <w:bookmarkStart w:id="4" w:name="_Toc322937852"/>
      <w:r w:rsidRPr="00BB6CE8">
        <w:rPr>
          <w:rStyle w:val="CharSectno"/>
        </w:rPr>
        <w:t>37F</w:t>
      </w:r>
      <w:r w:rsidRPr="00BB6CE8">
        <w:tab/>
        <w:t xml:space="preserve">Listed brand having same drug and manner of administration as listed brand already subject to </w:t>
      </w:r>
      <w:r w:rsidR="0019751B" w:rsidRPr="00BB6CE8">
        <w:t>price disclosure requirements—</w:t>
      </w:r>
      <w:r w:rsidR="00863D5E" w:rsidRPr="00BB6CE8">
        <w:t xml:space="preserve">first </w:t>
      </w:r>
      <w:r w:rsidRPr="00BB6CE8">
        <w:t>disclosure cycle and beginning of data collection period for brand</w:t>
      </w:r>
      <w:bookmarkEnd w:id="4"/>
    </w:p>
    <w:p w:rsidR="00672472" w:rsidRPr="00BB6CE8" w:rsidRDefault="004A7CAB" w:rsidP="00CF7116">
      <w:pPr>
        <w:pStyle w:val="ZR1"/>
        <w:rPr>
          <w:lang w:val="en-US"/>
        </w:rPr>
      </w:pPr>
      <w:r w:rsidRPr="00BB6CE8">
        <w:tab/>
        <w:t>(1)</w:t>
      </w:r>
      <w:r w:rsidRPr="00BB6CE8">
        <w:tab/>
        <w:t xml:space="preserve">This regulation applies to a listed brand of a pharmaceutical item (the </w:t>
      </w:r>
      <w:r w:rsidRPr="00BB6CE8">
        <w:rPr>
          <w:b/>
          <w:i/>
        </w:rPr>
        <w:t>relevant brand</w:t>
      </w:r>
      <w:r w:rsidRPr="00BB6CE8">
        <w:t>) if</w:t>
      </w:r>
      <w:r w:rsidR="0086424F" w:rsidRPr="00BB6CE8">
        <w:t xml:space="preserve"> </w:t>
      </w:r>
      <w:r w:rsidR="00672472" w:rsidRPr="00BB6CE8">
        <w:rPr>
          <w:lang w:val="en-US"/>
        </w:rPr>
        <w:t>th</w:t>
      </w:r>
      <w:r w:rsidR="002F1E9E" w:rsidRPr="00BB6CE8">
        <w:rPr>
          <w:lang w:val="en-US"/>
        </w:rPr>
        <w:t>e price disclosure requirements</w:t>
      </w:r>
      <w:r w:rsidR="0086424F" w:rsidRPr="00BB6CE8">
        <w:rPr>
          <w:lang w:val="en-US"/>
        </w:rPr>
        <w:t xml:space="preserve"> apply to an</w:t>
      </w:r>
      <w:r w:rsidR="00B5108F" w:rsidRPr="00BB6CE8">
        <w:rPr>
          <w:lang w:val="en-US"/>
        </w:rPr>
        <w:t xml:space="preserve">y </w:t>
      </w:r>
      <w:r w:rsidR="0086424F" w:rsidRPr="00BB6CE8">
        <w:rPr>
          <w:lang w:val="en-US"/>
        </w:rPr>
        <w:t>other listed brand</w:t>
      </w:r>
      <w:r w:rsidR="00C37128" w:rsidRPr="00BB6CE8">
        <w:rPr>
          <w:lang w:val="en-US"/>
        </w:rPr>
        <w:t xml:space="preserve"> </w:t>
      </w:r>
      <w:r w:rsidR="00C37128" w:rsidRPr="00BB6CE8">
        <w:t>of a</w:t>
      </w:r>
      <w:r w:rsidR="004D6675" w:rsidRPr="00BB6CE8">
        <w:t>ny</w:t>
      </w:r>
      <w:r w:rsidR="00C37128" w:rsidRPr="00BB6CE8">
        <w:t xml:space="preserve"> pharmaceutical item</w:t>
      </w:r>
      <w:r w:rsidR="003A511C" w:rsidRPr="00BB6CE8">
        <w:t xml:space="preserve"> (the </w:t>
      </w:r>
      <w:r w:rsidR="003A511C" w:rsidRPr="00BB6CE8">
        <w:rPr>
          <w:b/>
          <w:i/>
        </w:rPr>
        <w:t>other brand</w:t>
      </w:r>
      <w:r w:rsidR="003A511C" w:rsidRPr="00BB6CE8">
        <w:t>)</w:t>
      </w:r>
      <w:r w:rsidR="0086424F" w:rsidRPr="00BB6CE8">
        <w:rPr>
          <w:lang w:val="en-US"/>
        </w:rPr>
        <w:t xml:space="preserve"> </w:t>
      </w:r>
      <w:r w:rsidR="000C6326" w:rsidRPr="00BB6CE8">
        <w:rPr>
          <w:lang w:val="en-US"/>
        </w:rPr>
        <w:t>having</w:t>
      </w:r>
      <w:r w:rsidR="0086424F" w:rsidRPr="00BB6CE8">
        <w:rPr>
          <w:lang w:val="en-US"/>
        </w:rPr>
        <w:t xml:space="preserve"> the same drug and manner of admin</w:t>
      </w:r>
      <w:r w:rsidR="00EE6C2D" w:rsidRPr="00BB6CE8">
        <w:rPr>
          <w:lang w:val="en-US"/>
        </w:rPr>
        <w:t>istration as the relevant brand both:</w:t>
      </w:r>
    </w:p>
    <w:p w:rsidR="00EE6C2D" w:rsidRPr="00BB6CE8" w:rsidRDefault="00EE6C2D" w:rsidP="00CF7116">
      <w:pPr>
        <w:pStyle w:val="P1"/>
        <w:keepLines w:val="0"/>
      </w:pPr>
      <w:r w:rsidRPr="00BB6CE8">
        <w:tab/>
        <w:t>(a)</w:t>
      </w:r>
      <w:r w:rsidRPr="00BB6CE8">
        <w:tab/>
        <w:t>before the start day for the relevant brand; and</w:t>
      </w:r>
    </w:p>
    <w:p w:rsidR="00EE6C2D" w:rsidRPr="00BB6CE8" w:rsidRDefault="00275482" w:rsidP="00CF7116">
      <w:pPr>
        <w:pStyle w:val="P1"/>
        <w:keepLines w:val="0"/>
        <w:rPr>
          <w:lang w:val="en-US"/>
        </w:rPr>
      </w:pPr>
      <w:r w:rsidRPr="00BB6CE8">
        <w:tab/>
        <w:t>(b)</w:t>
      </w:r>
      <w:r w:rsidRPr="00BB6CE8">
        <w:tab/>
        <w:t xml:space="preserve">on </w:t>
      </w:r>
      <w:r w:rsidR="00EE6C2D" w:rsidRPr="00BB6CE8">
        <w:t>the start day for the relevant brand.</w:t>
      </w:r>
    </w:p>
    <w:p w:rsidR="0019751B" w:rsidRPr="00BB6CE8" w:rsidRDefault="0019751B" w:rsidP="0040273E">
      <w:pPr>
        <w:pStyle w:val="ZR2"/>
      </w:pPr>
      <w:r w:rsidRPr="00BB6CE8">
        <w:tab/>
        <w:t>(2)</w:t>
      </w:r>
      <w:r w:rsidRPr="00BB6CE8">
        <w:tab/>
        <w:t xml:space="preserve">If the end of a data collection period for a disclosure cycle (the </w:t>
      </w:r>
      <w:r w:rsidRPr="00BB6CE8">
        <w:rPr>
          <w:b/>
          <w:i/>
        </w:rPr>
        <w:t>relevant disclosure cycle</w:t>
      </w:r>
      <w:r w:rsidRPr="00BB6CE8">
        <w:t>) for the other brand is after the start day for the relevant brand, then:</w:t>
      </w:r>
    </w:p>
    <w:p w:rsidR="0019751B" w:rsidRPr="00BB6CE8" w:rsidRDefault="0019751B" w:rsidP="0019751B">
      <w:pPr>
        <w:pStyle w:val="P1"/>
      </w:pPr>
      <w:r w:rsidRPr="00BB6CE8">
        <w:tab/>
        <w:t>(a)</w:t>
      </w:r>
      <w:r w:rsidRPr="00BB6CE8">
        <w:tab/>
        <w:t>the relevant brand is in the relevant disclosure cycle; and</w:t>
      </w:r>
    </w:p>
    <w:p w:rsidR="0019751B" w:rsidRPr="00BB6CE8" w:rsidRDefault="0019751B" w:rsidP="0019751B">
      <w:pPr>
        <w:pStyle w:val="P1"/>
      </w:pPr>
      <w:r w:rsidRPr="00BB6CE8">
        <w:tab/>
        <w:t>(b)</w:t>
      </w:r>
      <w:r w:rsidRPr="00BB6CE8">
        <w:tab/>
        <w:t>the relevant brand joins the data collection period for the other brand on the start day for the relevant brand.</w:t>
      </w:r>
    </w:p>
    <w:p w:rsidR="00EE6C2D" w:rsidRPr="00BB6CE8" w:rsidRDefault="00EE6C2D" w:rsidP="0040273E">
      <w:pPr>
        <w:pStyle w:val="ZR2"/>
      </w:pPr>
      <w:r w:rsidRPr="00BB6CE8">
        <w:tab/>
        <w:t>(3)</w:t>
      </w:r>
      <w:r w:rsidRPr="00BB6CE8">
        <w:tab/>
        <w:t>If:</w:t>
      </w:r>
    </w:p>
    <w:p w:rsidR="00EE6C2D" w:rsidRPr="00BB6CE8" w:rsidRDefault="00EE6C2D" w:rsidP="0040273E">
      <w:pPr>
        <w:pStyle w:val="ZP1"/>
      </w:pPr>
      <w:r w:rsidRPr="00BB6CE8">
        <w:tab/>
        <w:t>(a)</w:t>
      </w:r>
      <w:r w:rsidRPr="00BB6CE8">
        <w:tab/>
      </w:r>
      <w:r w:rsidR="0019751B" w:rsidRPr="00BB6CE8">
        <w:t>th</w:t>
      </w:r>
      <w:r w:rsidRPr="00BB6CE8">
        <w:t>e other brand is in both:</w:t>
      </w:r>
    </w:p>
    <w:p w:rsidR="00EE6C2D" w:rsidRPr="00BB6CE8" w:rsidRDefault="00EE6C2D" w:rsidP="00EE6C2D">
      <w:pPr>
        <w:pStyle w:val="P2"/>
      </w:pPr>
      <w:r w:rsidRPr="00BB6CE8">
        <w:tab/>
        <w:t>(i)</w:t>
      </w:r>
      <w:r w:rsidRPr="00BB6CE8">
        <w:tab/>
      </w:r>
      <w:r w:rsidR="0019751B" w:rsidRPr="00BB6CE8">
        <w:t>the relevant disclosure cycle</w:t>
      </w:r>
      <w:r w:rsidRPr="00BB6CE8">
        <w:t>; and</w:t>
      </w:r>
    </w:p>
    <w:p w:rsidR="00EE6C2D" w:rsidRPr="00BB6CE8" w:rsidRDefault="00EE6C2D" w:rsidP="00EE6C2D">
      <w:pPr>
        <w:pStyle w:val="P2"/>
      </w:pPr>
      <w:r w:rsidRPr="00BB6CE8">
        <w:tab/>
        <w:t>(ii)</w:t>
      </w:r>
      <w:r w:rsidRPr="00BB6CE8">
        <w:tab/>
      </w:r>
      <w:r w:rsidR="0019751B" w:rsidRPr="00BB6CE8">
        <w:t xml:space="preserve">a disclosure cycle (the </w:t>
      </w:r>
      <w:r w:rsidR="0019751B" w:rsidRPr="00BB6CE8">
        <w:rPr>
          <w:b/>
          <w:i/>
        </w:rPr>
        <w:t>prior disclosure cycle</w:t>
      </w:r>
      <w:r w:rsidR="0019751B" w:rsidRPr="00BB6CE8">
        <w:t>) befor</w:t>
      </w:r>
      <w:r w:rsidRPr="00BB6CE8">
        <w:t>e the relevant disclosure cycle; and</w:t>
      </w:r>
    </w:p>
    <w:p w:rsidR="00EE6C2D" w:rsidRPr="00BB6CE8" w:rsidRDefault="00EE6C2D" w:rsidP="00EE6C2D">
      <w:pPr>
        <w:pStyle w:val="P1"/>
      </w:pPr>
      <w:r w:rsidRPr="00BB6CE8">
        <w:tab/>
        <w:t>(b)</w:t>
      </w:r>
      <w:r w:rsidRPr="00BB6CE8">
        <w:tab/>
      </w:r>
      <w:r w:rsidR="0019751B" w:rsidRPr="00BB6CE8">
        <w:t>the start day</w:t>
      </w:r>
      <w:r w:rsidR="00863D5E" w:rsidRPr="00BB6CE8">
        <w:t xml:space="preserve"> for the relevant brand</w:t>
      </w:r>
      <w:r w:rsidR="0019751B" w:rsidRPr="00BB6CE8">
        <w:t xml:space="preserve"> is before the reduction day for the other bran</w:t>
      </w:r>
      <w:r w:rsidRPr="00BB6CE8">
        <w:t>d in the prior disclosure cycle;</w:t>
      </w:r>
    </w:p>
    <w:p w:rsidR="0019751B" w:rsidRPr="00BB6CE8" w:rsidRDefault="0019751B" w:rsidP="00EE6C2D">
      <w:pPr>
        <w:pStyle w:val="Rc"/>
      </w:pPr>
      <w:r w:rsidRPr="00BB6CE8">
        <w:t>then the relevant brand</w:t>
      </w:r>
      <w:r w:rsidR="00EE6C2D" w:rsidRPr="00BB6CE8">
        <w:t xml:space="preserve"> </w:t>
      </w:r>
      <w:r w:rsidRPr="00BB6CE8">
        <w:t xml:space="preserve">is </w:t>
      </w:r>
      <w:r w:rsidR="00863D5E" w:rsidRPr="00BB6CE8">
        <w:t xml:space="preserve">also </w:t>
      </w:r>
      <w:r w:rsidRPr="00BB6CE8">
        <w:t>in the prior disclosure cycle</w:t>
      </w:r>
      <w:r w:rsidR="0040273E" w:rsidRPr="00BB6CE8">
        <w:t>.</w:t>
      </w:r>
    </w:p>
    <w:p w:rsidR="0040273E" w:rsidRPr="00BB6CE8" w:rsidRDefault="0040273E" w:rsidP="0040273E">
      <w:pPr>
        <w:pStyle w:val="R2"/>
      </w:pPr>
      <w:r w:rsidRPr="00BB6CE8">
        <w:tab/>
        <w:t>(4)</w:t>
      </w:r>
      <w:r w:rsidRPr="00BB6CE8">
        <w:tab/>
        <w:t>If:</w:t>
      </w:r>
    </w:p>
    <w:p w:rsidR="0040273E" w:rsidRPr="00BB6CE8" w:rsidRDefault="0040273E" w:rsidP="0040273E">
      <w:pPr>
        <w:pStyle w:val="P1"/>
      </w:pPr>
      <w:r w:rsidRPr="00BB6CE8">
        <w:tab/>
        <w:t>(a)</w:t>
      </w:r>
      <w:r w:rsidRPr="00BB6CE8">
        <w:tab/>
        <w:t>subregulation (3) applies to a relevant brand; and</w:t>
      </w:r>
    </w:p>
    <w:p w:rsidR="0040273E" w:rsidRPr="00BB6CE8" w:rsidRDefault="0040273E" w:rsidP="0040273E">
      <w:pPr>
        <w:pStyle w:val="ZP1"/>
        <w:rPr>
          <w:lang w:val="en-US"/>
        </w:rPr>
      </w:pPr>
      <w:r w:rsidRPr="00BB6CE8">
        <w:tab/>
        <w:t>(b)</w:t>
      </w:r>
      <w:r w:rsidRPr="00BB6CE8">
        <w:tab/>
      </w:r>
      <w:r w:rsidRPr="00BB6CE8">
        <w:rPr>
          <w:lang w:val="en-US"/>
        </w:rPr>
        <w:t>no other brand of that pharmaceutical item was subject to the price disclosure requirements on both:</w:t>
      </w:r>
    </w:p>
    <w:p w:rsidR="0040273E" w:rsidRPr="00BB6CE8" w:rsidRDefault="0040273E" w:rsidP="0040273E">
      <w:pPr>
        <w:pStyle w:val="P2"/>
        <w:rPr>
          <w:lang w:val="en-US"/>
        </w:rPr>
      </w:pPr>
      <w:r w:rsidRPr="00BB6CE8">
        <w:rPr>
          <w:lang w:val="en-US"/>
        </w:rPr>
        <w:tab/>
        <w:t>(i)</w:t>
      </w:r>
      <w:r w:rsidRPr="00BB6CE8">
        <w:rPr>
          <w:lang w:val="en-US"/>
        </w:rPr>
        <w:tab/>
        <w:t>the day before the start day</w:t>
      </w:r>
      <w:r w:rsidRPr="00BB6CE8">
        <w:t xml:space="preserve"> for the relevant brand</w:t>
      </w:r>
      <w:r w:rsidRPr="00BB6CE8">
        <w:rPr>
          <w:lang w:val="en-US"/>
        </w:rPr>
        <w:t>; and</w:t>
      </w:r>
    </w:p>
    <w:p w:rsidR="0040273E" w:rsidRPr="00BB6CE8" w:rsidRDefault="0040273E" w:rsidP="0040273E">
      <w:pPr>
        <w:pStyle w:val="P2"/>
      </w:pPr>
      <w:r w:rsidRPr="00BB6CE8">
        <w:rPr>
          <w:lang w:val="en-US"/>
        </w:rPr>
        <w:lastRenderedPageBreak/>
        <w:tab/>
        <w:t>(ii)</w:t>
      </w:r>
      <w:r w:rsidRPr="00BB6CE8">
        <w:rPr>
          <w:lang w:val="en-US"/>
        </w:rPr>
        <w:tab/>
        <w:t>the start day</w:t>
      </w:r>
      <w:r w:rsidRPr="00BB6CE8">
        <w:t xml:space="preserve"> for the relevant brand;</w:t>
      </w:r>
    </w:p>
    <w:p w:rsidR="0040273E" w:rsidRPr="00BB6CE8" w:rsidRDefault="0040273E" w:rsidP="0040273E">
      <w:pPr>
        <w:pStyle w:val="Rc"/>
        <w:rPr>
          <w:lang w:val="en-US"/>
        </w:rPr>
      </w:pPr>
      <w:r w:rsidRPr="00BB6CE8">
        <w:rPr>
          <w:lang w:val="en-US"/>
        </w:rPr>
        <w:t>then the relevant brand is in the data collection period for the other brand, for the purposes of calculating the weighted average disclosed price for the relevant brand.</w:t>
      </w:r>
    </w:p>
    <w:p w:rsidR="00EE403C" w:rsidRPr="00BB6CE8" w:rsidRDefault="000C6326" w:rsidP="0019751B">
      <w:pPr>
        <w:pStyle w:val="Note"/>
      </w:pPr>
      <w:r w:rsidRPr="00BB6CE8">
        <w:rPr>
          <w:i/>
        </w:rPr>
        <w:t>Note   </w:t>
      </w:r>
      <w:r w:rsidRPr="00BB6CE8">
        <w:t>Although data is not required to be provided for the relevant brand for the prior disclosure cycle, a weighted average disclosed price is determined for the relevant brand using the method in regulation 37G. Regulation 37FA provides a method for working out the approved ex</w:t>
      </w:r>
      <w:r w:rsidRPr="00BB6CE8">
        <w:noBreakHyphen/>
        <w:t xml:space="preserve">manufacturer price </w:t>
      </w:r>
      <w:r w:rsidR="00EE6C2D" w:rsidRPr="00BB6CE8">
        <w:t>on the last day of the data collection period in the prior disclosure cycle</w:t>
      </w:r>
      <w:r w:rsidRPr="00BB6CE8">
        <w:t>.</w:t>
      </w:r>
    </w:p>
    <w:p w:rsidR="00183416" w:rsidRPr="00BB6CE8" w:rsidRDefault="00183416" w:rsidP="00183416">
      <w:pPr>
        <w:pStyle w:val="HR"/>
      </w:pPr>
      <w:r w:rsidRPr="00BB6CE8">
        <w:rPr>
          <w:rStyle w:val="CharSectno"/>
        </w:rPr>
        <w:t>37FA</w:t>
      </w:r>
      <w:r w:rsidRPr="00BB6CE8">
        <w:tab/>
        <w:t>Approved ex</w:t>
      </w:r>
      <w:r w:rsidRPr="00BB6CE8">
        <w:noBreakHyphen/>
        <w:t>manufacturer price on relevant day</w:t>
      </w:r>
    </w:p>
    <w:p w:rsidR="00A72DC4" w:rsidRPr="00BB6CE8" w:rsidRDefault="00183416" w:rsidP="0040273E">
      <w:pPr>
        <w:pStyle w:val="ZR1"/>
      </w:pPr>
      <w:r w:rsidRPr="00BB6CE8">
        <w:tab/>
        <w:t>(1)</w:t>
      </w:r>
      <w:r w:rsidRPr="00BB6CE8">
        <w:tab/>
        <w:t>This regulation prescribes the method for working out the approved ex</w:t>
      </w:r>
      <w:r w:rsidRPr="00BB6CE8">
        <w:noBreakHyphen/>
        <w:t xml:space="preserve">manufacturer price of a brand of a pharmaceutical item (a </w:t>
      </w:r>
      <w:r w:rsidRPr="00BB6CE8">
        <w:rPr>
          <w:b/>
          <w:i/>
        </w:rPr>
        <w:t>relevant brand</w:t>
      </w:r>
      <w:r w:rsidRPr="00BB6CE8">
        <w:t>) on the relevant day</w:t>
      </w:r>
      <w:r w:rsidR="003A511C" w:rsidRPr="00BB6CE8">
        <w:t xml:space="preserve"> for the prior disclosure cycle</w:t>
      </w:r>
      <w:r w:rsidR="00A72DC4" w:rsidRPr="00BB6CE8">
        <w:t xml:space="preserve"> if:</w:t>
      </w:r>
    </w:p>
    <w:p w:rsidR="00A72DC4" w:rsidRPr="00BB6CE8" w:rsidRDefault="00A72DC4" w:rsidP="00A72DC4">
      <w:pPr>
        <w:pStyle w:val="P1"/>
      </w:pPr>
      <w:r w:rsidRPr="00BB6CE8">
        <w:tab/>
        <w:t>(a)</w:t>
      </w:r>
      <w:r w:rsidRPr="00BB6CE8">
        <w:tab/>
        <w:t>regulation 37F applies to the relevant brand; and</w:t>
      </w:r>
    </w:p>
    <w:p w:rsidR="00A72DC4" w:rsidRPr="00BB6CE8" w:rsidRDefault="00A72DC4" w:rsidP="00A72DC4">
      <w:pPr>
        <w:pStyle w:val="P1"/>
      </w:pPr>
      <w:r w:rsidRPr="00BB6CE8">
        <w:tab/>
        <w:t>(b)</w:t>
      </w:r>
      <w:r w:rsidRPr="00BB6CE8">
        <w:tab/>
        <w:t xml:space="preserve">the circumstances mentioned in </w:t>
      </w:r>
      <w:r w:rsidR="00863D5E" w:rsidRPr="00BB6CE8">
        <w:t>subregulation</w:t>
      </w:r>
      <w:r w:rsidRPr="00BB6CE8">
        <w:t xml:space="preserve"> 37F (</w:t>
      </w:r>
      <w:r w:rsidR="0040273E" w:rsidRPr="00BB6CE8">
        <w:t>4</w:t>
      </w:r>
      <w:r w:rsidR="00275482" w:rsidRPr="00BB6CE8">
        <w:t>)</w:t>
      </w:r>
      <w:r w:rsidRPr="00BB6CE8">
        <w:t xml:space="preserve"> </w:t>
      </w:r>
      <w:r w:rsidR="003E1258" w:rsidRPr="00BB6CE8">
        <w:t>apply to the relevant brand.</w:t>
      </w:r>
    </w:p>
    <w:p w:rsidR="00A72DC4" w:rsidRPr="00BB6CE8" w:rsidRDefault="00A72DC4" w:rsidP="00A72DC4">
      <w:pPr>
        <w:pStyle w:val="Note"/>
      </w:pPr>
      <w:r w:rsidRPr="00BB6CE8">
        <w:rPr>
          <w:i/>
        </w:rPr>
        <w:t>Note 1   </w:t>
      </w:r>
      <w:r w:rsidRPr="00BB6CE8">
        <w:t>Regulation 37F applies to listed brands of pharmaceutical items that have the same drug and manner of administration as listed brands that are already subject to price disclosure requirements.</w:t>
      </w:r>
    </w:p>
    <w:p w:rsidR="00183416" w:rsidRPr="00BB6CE8" w:rsidRDefault="00183416" w:rsidP="00183416">
      <w:pPr>
        <w:pStyle w:val="Note"/>
      </w:pPr>
      <w:r w:rsidRPr="00BB6CE8">
        <w:rPr>
          <w:i/>
        </w:rPr>
        <w:t>Note</w:t>
      </w:r>
      <w:r w:rsidR="00A72DC4" w:rsidRPr="00BB6CE8">
        <w:rPr>
          <w:i/>
        </w:rPr>
        <w:t xml:space="preserve"> 2</w:t>
      </w:r>
      <w:r w:rsidR="00E27271" w:rsidRPr="00BB6CE8">
        <w:rPr>
          <w:i/>
        </w:rPr>
        <w:t>   </w:t>
      </w:r>
      <w:r w:rsidRPr="00BB6CE8">
        <w:t xml:space="preserve">For the definition of </w:t>
      </w:r>
      <w:r w:rsidRPr="00BB6CE8">
        <w:rPr>
          <w:b/>
          <w:i/>
        </w:rPr>
        <w:t>relevant day</w:t>
      </w:r>
      <w:r w:rsidRPr="00BB6CE8">
        <w:t>, see subsection 99ADB</w:t>
      </w:r>
      <w:r w:rsidR="00E27271" w:rsidRPr="00BB6CE8">
        <w:t> </w:t>
      </w:r>
      <w:r w:rsidRPr="00BB6CE8">
        <w:t>(1) of the Act.</w:t>
      </w:r>
    </w:p>
    <w:p w:rsidR="00183416" w:rsidRPr="00BB6CE8" w:rsidRDefault="00183416" w:rsidP="0040273E">
      <w:pPr>
        <w:pStyle w:val="ZR2"/>
      </w:pPr>
      <w:r w:rsidRPr="00BB6CE8">
        <w:tab/>
        <w:t>(2)</w:t>
      </w:r>
      <w:r w:rsidRPr="00BB6CE8">
        <w:tab/>
        <w:t>This regulation does not apply to a relevant brand if:</w:t>
      </w:r>
    </w:p>
    <w:p w:rsidR="00183416" w:rsidRPr="00BB6CE8" w:rsidRDefault="00183416" w:rsidP="00183416">
      <w:pPr>
        <w:pStyle w:val="P1"/>
      </w:pPr>
      <w:r w:rsidRPr="00BB6CE8">
        <w:tab/>
        <w:t>(a)</w:t>
      </w:r>
      <w:r w:rsidRPr="00BB6CE8">
        <w:tab/>
        <w:t>the relevant day is 1</w:t>
      </w:r>
      <w:r w:rsidR="00E27271" w:rsidRPr="00BB6CE8">
        <w:t> </w:t>
      </w:r>
      <w:r w:rsidRPr="00BB6CE8">
        <w:t>October 2012; and</w:t>
      </w:r>
    </w:p>
    <w:p w:rsidR="00183416" w:rsidRPr="00BB6CE8" w:rsidRDefault="00183416" w:rsidP="00183416">
      <w:pPr>
        <w:pStyle w:val="P1"/>
        <w:rPr>
          <w:lang w:val="en-US"/>
        </w:rPr>
      </w:pPr>
      <w:r w:rsidRPr="00BB6CE8">
        <w:tab/>
        <w:t>(b)</w:t>
      </w:r>
      <w:r w:rsidRPr="00BB6CE8">
        <w:tab/>
      </w:r>
      <w:r w:rsidRPr="00BB6CE8">
        <w:rPr>
          <w:lang w:val="en-US"/>
        </w:rPr>
        <w:t xml:space="preserve">the start day </w:t>
      </w:r>
      <w:r w:rsidR="00C37128" w:rsidRPr="00BB6CE8">
        <w:t xml:space="preserve">for the relevant brand </w:t>
      </w:r>
      <w:r w:rsidRPr="00BB6CE8">
        <w:rPr>
          <w:lang w:val="en-US"/>
        </w:rPr>
        <w:t>is also 1 October 2012.</w:t>
      </w:r>
    </w:p>
    <w:p w:rsidR="00183416" w:rsidRPr="00BB6CE8" w:rsidRDefault="00183416" w:rsidP="0040273E">
      <w:pPr>
        <w:pStyle w:val="ZR2"/>
      </w:pPr>
      <w:r w:rsidRPr="00BB6CE8">
        <w:tab/>
        <w:t>(</w:t>
      </w:r>
      <w:r w:rsidR="006B5714" w:rsidRPr="00BB6CE8">
        <w:t>3</w:t>
      </w:r>
      <w:r w:rsidRPr="00BB6CE8">
        <w:t>)</w:t>
      </w:r>
      <w:r w:rsidRPr="00BB6CE8">
        <w:tab/>
        <w:t>The method for working out the approved ex</w:t>
      </w:r>
      <w:r w:rsidRPr="00BB6CE8">
        <w:noBreakHyphen/>
        <w:t>manufacturer price of a relevant brand on the relevant day</w:t>
      </w:r>
      <w:r w:rsidR="003A511C" w:rsidRPr="00BB6CE8">
        <w:t xml:space="preserve"> for the prior disclosure cycle</w:t>
      </w:r>
      <w:r w:rsidRPr="00BB6CE8">
        <w:t xml:space="preserve"> is to add the following amounts together:</w:t>
      </w:r>
    </w:p>
    <w:p w:rsidR="00183416" w:rsidRPr="00BB6CE8" w:rsidRDefault="00183416" w:rsidP="00183416">
      <w:pPr>
        <w:pStyle w:val="P1"/>
      </w:pPr>
      <w:r w:rsidRPr="00BB6CE8">
        <w:tab/>
        <w:t>(a)</w:t>
      </w:r>
      <w:r w:rsidRPr="00BB6CE8">
        <w:tab/>
        <w:t>the approved ex</w:t>
      </w:r>
      <w:r w:rsidRPr="00BB6CE8">
        <w:noBreakHyphen/>
        <w:t>manufacturer price of the relevant brand on the start day</w:t>
      </w:r>
      <w:r w:rsidR="00C37128" w:rsidRPr="00BB6CE8">
        <w:t xml:space="preserve"> for the relevant brand</w:t>
      </w:r>
      <w:r w:rsidRPr="00BB6CE8">
        <w:t>; and</w:t>
      </w:r>
    </w:p>
    <w:p w:rsidR="00183416" w:rsidRPr="00BB6CE8" w:rsidRDefault="00183416" w:rsidP="0040273E">
      <w:pPr>
        <w:pStyle w:val="ZP1"/>
      </w:pPr>
      <w:r w:rsidRPr="00BB6CE8">
        <w:lastRenderedPageBreak/>
        <w:tab/>
        <w:t>(b)</w:t>
      </w:r>
      <w:r w:rsidRPr="00BB6CE8">
        <w:tab/>
        <w:t xml:space="preserve">any amount that would have been deducted from </w:t>
      </w:r>
      <w:r w:rsidR="007F1060" w:rsidRPr="00BB6CE8">
        <w:t>the approved ex-manufacturer price</w:t>
      </w:r>
      <w:r w:rsidRPr="00BB6CE8">
        <w:t>, under the price reduction provisions, if the relevant brand had been a listed brand in the period that:</w:t>
      </w:r>
    </w:p>
    <w:p w:rsidR="00183416" w:rsidRPr="00BB6CE8" w:rsidRDefault="00183416" w:rsidP="00183416">
      <w:pPr>
        <w:pStyle w:val="P2"/>
      </w:pPr>
      <w:r w:rsidRPr="00BB6CE8">
        <w:tab/>
        <w:t>(i)</w:t>
      </w:r>
      <w:r w:rsidRPr="00BB6CE8">
        <w:tab/>
        <w:t>begins on the relevant day for the prior disclosure cycle; and</w:t>
      </w:r>
    </w:p>
    <w:p w:rsidR="00183416" w:rsidRPr="00BB6CE8" w:rsidRDefault="00183416" w:rsidP="00183416">
      <w:pPr>
        <w:pStyle w:val="P2"/>
      </w:pPr>
      <w:r w:rsidRPr="00BB6CE8">
        <w:tab/>
        <w:t>(ii)</w:t>
      </w:r>
      <w:r w:rsidRPr="00BB6CE8">
        <w:tab/>
        <w:t>ends on the start day</w:t>
      </w:r>
      <w:r w:rsidR="00C37128" w:rsidRPr="00BB6CE8">
        <w:t xml:space="preserve"> for the relevant brand</w:t>
      </w:r>
      <w:r w:rsidRPr="00BB6CE8">
        <w:t>.</w:t>
      </w:r>
    </w:p>
    <w:p w:rsidR="00183416" w:rsidRPr="00BB6CE8" w:rsidRDefault="00183416" w:rsidP="0040273E">
      <w:pPr>
        <w:pStyle w:val="ZR1"/>
      </w:pPr>
      <w:r w:rsidRPr="00BB6CE8">
        <w:tab/>
        <w:t>(</w:t>
      </w:r>
      <w:r w:rsidR="006B5714" w:rsidRPr="00BB6CE8">
        <w:t>4</w:t>
      </w:r>
      <w:r w:rsidRPr="00BB6CE8">
        <w:t>)</w:t>
      </w:r>
      <w:r w:rsidRPr="00BB6CE8">
        <w:tab/>
        <w:t>In this regulation:</w:t>
      </w:r>
    </w:p>
    <w:p w:rsidR="00183416" w:rsidRPr="00BB6CE8" w:rsidRDefault="00183416" w:rsidP="00183416">
      <w:pPr>
        <w:pStyle w:val="definition"/>
      </w:pPr>
      <w:r w:rsidRPr="00BB6CE8">
        <w:rPr>
          <w:b/>
          <w:i/>
        </w:rPr>
        <w:t>price reduction provisions</w:t>
      </w:r>
      <w:r w:rsidRPr="00BB6CE8">
        <w:t xml:space="preserve"> means Division 3A of Part VII of the Act.</w:t>
      </w:r>
    </w:p>
    <w:p w:rsidR="00183416" w:rsidRPr="00BB6CE8" w:rsidRDefault="00183416" w:rsidP="00183416">
      <w:pPr>
        <w:pStyle w:val="definition"/>
      </w:pPr>
      <w:r w:rsidRPr="00BB6CE8">
        <w:rPr>
          <w:b/>
          <w:i/>
        </w:rPr>
        <w:t>prior disclosure cycle</w:t>
      </w:r>
      <w:r w:rsidRPr="00BB6CE8">
        <w:t xml:space="preserve"> has the meaning given by subregulation 37F</w:t>
      </w:r>
      <w:r w:rsidR="00E27271" w:rsidRPr="00BB6CE8">
        <w:t> </w:t>
      </w:r>
      <w:r w:rsidRPr="00BB6CE8">
        <w:t>(3).</w:t>
      </w:r>
    </w:p>
    <w:p w:rsidR="00183416" w:rsidRPr="00BB6CE8" w:rsidRDefault="00183416" w:rsidP="00183416">
      <w:pPr>
        <w:pStyle w:val="R2"/>
      </w:pPr>
      <w:r w:rsidRPr="00BB6CE8">
        <w:tab/>
        <w:t>(</w:t>
      </w:r>
      <w:r w:rsidR="006B5714" w:rsidRPr="00BB6CE8">
        <w:t>5</w:t>
      </w:r>
      <w:r w:rsidRPr="00BB6CE8">
        <w:t>)</w:t>
      </w:r>
      <w:r w:rsidRPr="00BB6CE8">
        <w:tab/>
        <w:t>This regulation is made for paragraph 99ADB</w:t>
      </w:r>
      <w:r w:rsidR="00E27271" w:rsidRPr="00BB6CE8">
        <w:t> </w:t>
      </w:r>
      <w:r w:rsidRPr="00BB6CE8">
        <w:t>(3B)</w:t>
      </w:r>
      <w:r w:rsidR="00E27271" w:rsidRPr="00BB6CE8">
        <w:t> </w:t>
      </w:r>
      <w:r w:rsidRPr="00BB6CE8">
        <w:t>(c) of the Act.</w:t>
      </w:r>
    </w:p>
    <w:p w:rsidR="004A7CAB" w:rsidRPr="00BB6CE8" w:rsidRDefault="00AE331E" w:rsidP="00183416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21</w:t>
        </w:r>
      </w:fldSimple>
      <w:r w:rsidRPr="00BB6CE8">
        <w:t>]</w:t>
      </w:r>
      <w:r w:rsidRPr="00BB6CE8">
        <w:tab/>
      </w:r>
      <w:r w:rsidR="004A7CAB" w:rsidRPr="00BB6CE8">
        <w:t>Paragraphs 37G</w:t>
      </w:r>
      <w:r w:rsidR="00E27271" w:rsidRPr="00BB6CE8">
        <w:t> </w:t>
      </w:r>
      <w:r w:rsidR="004A7CAB" w:rsidRPr="00BB6CE8">
        <w:t>(3)</w:t>
      </w:r>
      <w:r w:rsidR="00E27271" w:rsidRPr="00BB6CE8">
        <w:t> </w:t>
      </w:r>
      <w:r w:rsidR="004A7CAB" w:rsidRPr="00BB6CE8">
        <w:t>(a)</w:t>
      </w:r>
      <w:r w:rsidR="00E27271" w:rsidRPr="00BB6CE8">
        <w:t> </w:t>
      </w:r>
      <w:r w:rsidR="004A7CAB" w:rsidRPr="00BB6CE8">
        <w:t>and (6)</w:t>
      </w:r>
      <w:r w:rsidR="00E27271" w:rsidRPr="00BB6CE8">
        <w:t> </w:t>
      </w:r>
      <w:r w:rsidR="004A7CAB" w:rsidRPr="00BB6CE8">
        <w:t>(a)</w:t>
      </w:r>
    </w:p>
    <w:p w:rsidR="004A7CAB" w:rsidRPr="00BB6CE8" w:rsidRDefault="004A7CAB" w:rsidP="004336A3">
      <w:pPr>
        <w:pStyle w:val="A2S"/>
      </w:pPr>
      <w:r w:rsidRPr="00BB6CE8">
        <w:t>omit</w:t>
      </w:r>
    </w:p>
    <w:p w:rsidR="004A7CAB" w:rsidRPr="00BB6CE8" w:rsidRDefault="004A7CAB" w:rsidP="004A7CAB">
      <w:pPr>
        <w:pStyle w:val="A3S"/>
      </w:pPr>
      <w:r w:rsidRPr="00BB6CE8">
        <w:t>relevant day mentioned in paragraph 37ED</w:t>
      </w:r>
      <w:r w:rsidR="00E27271" w:rsidRPr="00BB6CE8">
        <w:t> </w:t>
      </w:r>
      <w:r w:rsidRPr="00BB6CE8">
        <w:t>(1)</w:t>
      </w:r>
      <w:r w:rsidR="00E27271" w:rsidRPr="00BB6CE8">
        <w:t> </w:t>
      </w:r>
      <w:r w:rsidRPr="00BB6CE8">
        <w:t>(a)</w:t>
      </w:r>
    </w:p>
    <w:p w:rsidR="004A7CAB" w:rsidRPr="00BB6CE8" w:rsidRDefault="004A7CAB" w:rsidP="004A7CAB">
      <w:pPr>
        <w:pStyle w:val="A2S"/>
      </w:pPr>
      <w:r w:rsidRPr="00BB6CE8">
        <w:t>insert</w:t>
      </w:r>
    </w:p>
    <w:p w:rsidR="004A7CAB" w:rsidRPr="00BB6CE8" w:rsidRDefault="004A7CAB" w:rsidP="004A7CAB">
      <w:pPr>
        <w:pStyle w:val="A3S"/>
      </w:pPr>
      <w:r w:rsidRPr="00BB6CE8">
        <w:t>start day</w:t>
      </w:r>
      <w:r w:rsidR="00B5108F" w:rsidRPr="00BB6CE8">
        <w:t xml:space="preserve"> for the brand</w:t>
      </w:r>
    </w:p>
    <w:p w:rsidR="00EE403C" w:rsidRPr="00BB6CE8" w:rsidRDefault="003C5A3D" w:rsidP="00DB444F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22</w:t>
        </w:r>
      </w:fldSimple>
      <w:r w:rsidRPr="00BB6CE8">
        <w:t>]</w:t>
      </w:r>
      <w:r w:rsidRPr="00BB6CE8">
        <w:tab/>
      </w:r>
      <w:r w:rsidR="00EE403C" w:rsidRPr="00BB6CE8">
        <w:t>Subregulation 37G</w:t>
      </w:r>
      <w:r w:rsidR="00E27271" w:rsidRPr="00BB6CE8">
        <w:t> </w:t>
      </w:r>
      <w:r w:rsidR="00EE403C" w:rsidRPr="00BB6CE8">
        <w:t>(14)</w:t>
      </w:r>
    </w:p>
    <w:p w:rsidR="00EE403C" w:rsidRPr="00BB6CE8" w:rsidRDefault="00EE403C" w:rsidP="00B22DCD">
      <w:pPr>
        <w:pStyle w:val="A2S"/>
      </w:pPr>
      <w:r w:rsidRPr="00BB6CE8">
        <w:t>omit</w:t>
      </w:r>
    </w:p>
    <w:p w:rsidR="00EE403C" w:rsidRPr="00BB6CE8" w:rsidRDefault="00F306E6" w:rsidP="00EE403C">
      <w:pPr>
        <w:pStyle w:val="A3S"/>
      </w:pPr>
      <w:r w:rsidRPr="00BB6CE8">
        <w:rPr>
          <w:lang w:val="en-US"/>
        </w:rPr>
        <w:t>every brand of every</w:t>
      </w:r>
    </w:p>
    <w:p w:rsidR="00EE403C" w:rsidRPr="00BB6CE8" w:rsidRDefault="00EE403C" w:rsidP="00B22DCD">
      <w:pPr>
        <w:pStyle w:val="A2S"/>
      </w:pPr>
      <w:r w:rsidRPr="00BB6CE8">
        <w:t>insert</w:t>
      </w:r>
    </w:p>
    <w:p w:rsidR="00EE403C" w:rsidRPr="00BB6CE8" w:rsidRDefault="00EE403C" w:rsidP="00EE403C">
      <w:pPr>
        <w:pStyle w:val="A3S"/>
      </w:pPr>
      <w:r w:rsidRPr="00BB6CE8">
        <w:t>each</w:t>
      </w:r>
      <w:r w:rsidR="00F306E6" w:rsidRPr="00BB6CE8">
        <w:t xml:space="preserve"> brand of each</w:t>
      </w:r>
    </w:p>
    <w:p w:rsidR="00EE403C" w:rsidRPr="00BB6CE8" w:rsidRDefault="003C5A3D" w:rsidP="00EE403C">
      <w:pPr>
        <w:pStyle w:val="A1S"/>
      </w:pPr>
      <w:r w:rsidRPr="00BB6CE8">
        <w:lastRenderedPageBreak/>
        <w:t>[</w:t>
      </w:r>
      <w:fldSimple w:instr=" SEQ Sch1Item " w:fldLock="1">
        <w:r w:rsidR="003E2B84">
          <w:rPr>
            <w:noProof/>
          </w:rPr>
          <w:t>23</w:t>
        </w:r>
      </w:fldSimple>
      <w:r w:rsidRPr="00BB6CE8">
        <w:t>]</w:t>
      </w:r>
      <w:r w:rsidRPr="00BB6CE8">
        <w:tab/>
      </w:r>
      <w:r w:rsidR="00EE403C" w:rsidRPr="00BB6CE8">
        <w:t>Subregulation 37G</w:t>
      </w:r>
      <w:r w:rsidR="00E27271" w:rsidRPr="00BB6CE8">
        <w:t> </w:t>
      </w:r>
      <w:r w:rsidR="00EE403C" w:rsidRPr="00BB6CE8">
        <w:t>(14)</w:t>
      </w:r>
    </w:p>
    <w:p w:rsidR="00EE403C" w:rsidRPr="00BB6CE8" w:rsidRDefault="00EE403C" w:rsidP="00EE403C">
      <w:pPr>
        <w:pStyle w:val="A2S"/>
      </w:pPr>
      <w:r w:rsidRPr="00BB6CE8">
        <w:t>omit</w:t>
      </w:r>
    </w:p>
    <w:p w:rsidR="00EE403C" w:rsidRPr="00BB6CE8" w:rsidRDefault="00EE403C" w:rsidP="000B4F40">
      <w:pPr>
        <w:pStyle w:val="A3S"/>
        <w:keepNext/>
      </w:pPr>
      <w:r w:rsidRPr="00BB6CE8">
        <w:t>brands</w:t>
      </w:r>
    </w:p>
    <w:p w:rsidR="00EE403C" w:rsidRPr="00BB6CE8" w:rsidRDefault="00EE403C" w:rsidP="00EE403C">
      <w:pPr>
        <w:pStyle w:val="A2S"/>
      </w:pPr>
      <w:r w:rsidRPr="00BB6CE8">
        <w:t>insert</w:t>
      </w:r>
    </w:p>
    <w:p w:rsidR="00EE403C" w:rsidRPr="00BB6CE8" w:rsidRDefault="00EE403C" w:rsidP="00EE403C">
      <w:pPr>
        <w:pStyle w:val="A3S"/>
      </w:pPr>
      <w:r w:rsidRPr="00BB6CE8">
        <w:t>brand</w:t>
      </w:r>
    </w:p>
    <w:p w:rsidR="00B22DCD" w:rsidRPr="00BB6CE8" w:rsidRDefault="003C5A3D" w:rsidP="00B22DCD">
      <w:pPr>
        <w:pStyle w:val="A1S"/>
        <w:rPr>
          <w:i/>
          <w:lang w:val="en-US"/>
        </w:rPr>
      </w:pPr>
      <w:r w:rsidRPr="00BB6CE8">
        <w:t>[</w:t>
      </w:r>
      <w:fldSimple w:instr=" SEQ Sch1Item " w:fldLock="1">
        <w:r w:rsidR="003E2B84">
          <w:rPr>
            <w:noProof/>
          </w:rPr>
          <w:t>24</w:t>
        </w:r>
      </w:fldSimple>
      <w:r w:rsidRPr="00BB6CE8">
        <w:t>]</w:t>
      </w:r>
      <w:r w:rsidRPr="00BB6CE8">
        <w:tab/>
      </w:r>
      <w:r w:rsidR="00B22DCD" w:rsidRPr="00BB6CE8">
        <w:t>Subregulation 37G</w:t>
      </w:r>
      <w:r w:rsidR="00E27271" w:rsidRPr="00BB6CE8">
        <w:t> </w:t>
      </w:r>
      <w:r w:rsidR="00B22DCD" w:rsidRPr="00BB6CE8">
        <w:t>(15)</w:t>
      </w:r>
    </w:p>
    <w:p w:rsidR="00B22DCD" w:rsidRPr="00BB6CE8" w:rsidRDefault="00B22DCD" w:rsidP="00B22DCD">
      <w:pPr>
        <w:pStyle w:val="A2S"/>
      </w:pPr>
      <w:r w:rsidRPr="00BB6CE8">
        <w:t>substitute</w:t>
      </w:r>
    </w:p>
    <w:p w:rsidR="0023580B" w:rsidRPr="00BB6CE8" w:rsidRDefault="0023580B" w:rsidP="0040273E">
      <w:pPr>
        <w:pStyle w:val="ZR2"/>
        <w:rPr>
          <w:lang w:val="en-US"/>
        </w:rPr>
      </w:pPr>
      <w:r w:rsidRPr="00BB6CE8">
        <w:rPr>
          <w:lang w:val="en-US"/>
        </w:rPr>
        <w:tab/>
        <w:t>(15)</w:t>
      </w:r>
      <w:r w:rsidRPr="00BB6CE8">
        <w:rPr>
          <w:lang w:val="en-US"/>
        </w:rPr>
        <w:tab/>
        <w:t>In this regulation:</w:t>
      </w:r>
    </w:p>
    <w:p w:rsidR="00B22DCD" w:rsidRPr="00BB6CE8" w:rsidRDefault="00B22DCD" w:rsidP="00B22DCD">
      <w:pPr>
        <w:pStyle w:val="definition"/>
      </w:pPr>
      <w:r w:rsidRPr="00BB6CE8">
        <w:rPr>
          <w:b/>
          <w:i/>
          <w:lang w:val="en-US"/>
        </w:rPr>
        <w:t>adjusted volume</w:t>
      </w:r>
      <w:r w:rsidRPr="00BB6CE8">
        <w:rPr>
          <w:lang w:val="en-US"/>
        </w:rPr>
        <w:t xml:space="preserve">, of a listed brand of a </w:t>
      </w:r>
      <w:r w:rsidRPr="00BB6CE8">
        <w:t>pharmaceutical item that is sold</w:t>
      </w:r>
      <w:r w:rsidRPr="00BB6CE8">
        <w:rPr>
          <w:lang w:val="en-US"/>
        </w:rPr>
        <w:t xml:space="preserve">, </w:t>
      </w:r>
      <w:r w:rsidR="00F306E6" w:rsidRPr="00BB6CE8">
        <w:t>means</w:t>
      </w:r>
      <w:r w:rsidRPr="00BB6CE8">
        <w:t xml:space="preserve"> the volume worked out as if the pack sizes in which the brand was sold were equivalent to the pricing quantity of the brand</w:t>
      </w:r>
      <w:r w:rsidR="005273BB" w:rsidRPr="00BB6CE8">
        <w:t xml:space="preserve"> on the </w:t>
      </w:r>
      <w:r w:rsidR="00312B2D" w:rsidRPr="00BB6CE8">
        <w:t>relevant</w:t>
      </w:r>
      <w:r w:rsidR="005273BB" w:rsidRPr="00BB6CE8">
        <w:t xml:space="preserve"> day</w:t>
      </w:r>
      <w:r w:rsidR="007C7BD8" w:rsidRPr="00BB6CE8">
        <w:t>.</w:t>
      </w:r>
    </w:p>
    <w:p w:rsidR="007C7BD8" w:rsidRPr="00BB6CE8" w:rsidRDefault="007C7BD8" w:rsidP="007C7BD8">
      <w:pPr>
        <w:pStyle w:val="Note"/>
      </w:pPr>
      <w:r w:rsidRPr="00BB6CE8">
        <w:rPr>
          <w:i/>
        </w:rPr>
        <w:t>Note</w:t>
      </w:r>
      <w:r w:rsidR="00E27271" w:rsidRPr="00BB6CE8">
        <w:rPr>
          <w:i/>
        </w:rPr>
        <w:t>   </w:t>
      </w:r>
      <w:r w:rsidRPr="00BB6CE8">
        <w:t xml:space="preserve">For the definition of </w:t>
      </w:r>
      <w:r w:rsidRPr="00BB6CE8">
        <w:rPr>
          <w:b/>
          <w:i/>
        </w:rPr>
        <w:t>pricing quantity</w:t>
      </w:r>
      <w:r w:rsidRPr="00BB6CE8">
        <w:t>, see subsection 84AK</w:t>
      </w:r>
      <w:r w:rsidR="00E27271" w:rsidRPr="00BB6CE8">
        <w:t> </w:t>
      </w:r>
      <w:r w:rsidRPr="00BB6CE8">
        <w:t>(1) of the Act.</w:t>
      </w:r>
    </w:p>
    <w:p w:rsidR="0023580B" w:rsidRPr="00BB6CE8" w:rsidRDefault="003C5A3D" w:rsidP="00EF5B3B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25</w:t>
        </w:r>
      </w:fldSimple>
      <w:r w:rsidRPr="00BB6CE8">
        <w:t>]</w:t>
      </w:r>
      <w:r w:rsidRPr="00BB6CE8">
        <w:tab/>
      </w:r>
      <w:r w:rsidR="0023580B" w:rsidRPr="00BB6CE8">
        <w:t>Paragraphs 37H</w:t>
      </w:r>
      <w:r w:rsidR="00E27271" w:rsidRPr="00BB6CE8">
        <w:t> </w:t>
      </w:r>
      <w:r w:rsidR="0023580B" w:rsidRPr="00BB6CE8">
        <w:t>(1)</w:t>
      </w:r>
      <w:r w:rsidR="00E27271" w:rsidRPr="00BB6CE8">
        <w:t> </w:t>
      </w:r>
      <w:r w:rsidR="0023580B" w:rsidRPr="00BB6CE8">
        <w:t>(i) and (j)</w:t>
      </w:r>
    </w:p>
    <w:p w:rsidR="0023580B" w:rsidRPr="00BB6CE8" w:rsidRDefault="0023580B" w:rsidP="00DB36CD">
      <w:pPr>
        <w:pStyle w:val="A2S"/>
      </w:pPr>
      <w:r w:rsidRPr="00BB6CE8">
        <w:t>omit</w:t>
      </w:r>
    </w:p>
    <w:p w:rsidR="0023580B" w:rsidRPr="00BB6CE8" w:rsidRDefault="0023580B" w:rsidP="0023580B">
      <w:pPr>
        <w:pStyle w:val="A3S"/>
        <w:rPr>
          <w:lang w:val="en-US"/>
        </w:rPr>
      </w:pPr>
      <w:r w:rsidRPr="00BB6CE8">
        <w:rPr>
          <w:lang w:val="en-US"/>
        </w:rPr>
        <w:t>given for</w:t>
      </w:r>
    </w:p>
    <w:p w:rsidR="0023580B" w:rsidRPr="00BB6CE8" w:rsidRDefault="0023580B" w:rsidP="00DB36CD">
      <w:pPr>
        <w:pStyle w:val="A2S"/>
      </w:pPr>
      <w:r w:rsidRPr="00BB6CE8">
        <w:t>insert</w:t>
      </w:r>
    </w:p>
    <w:p w:rsidR="0023580B" w:rsidRPr="00BB6CE8" w:rsidRDefault="0023580B" w:rsidP="0023580B">
      <w:pPr>
        <w:pStyle w:val="A3S"/>
        <w:rPr>
          <w:lang w:val="en-US"/>
        </w:rPr>
      </w:pPr>
      <w:r w:rsidRPr="00BB6CE8">
        <w:rPr>
          <w:lang w:val="en-US"/>
        </w:rPr>
        <w:t>given in relation to</w:t>
      </w:r>
    </w:p>
    <w:p w:rsidR="006E3D1C" w:rsidRPr="00BB6CE8" w:rsidRDefault="003C5A3D" w:rsidP="0023580B">
      <w:pPr>
        <w:pStyle w:val="A1S"/>
      </w:pPr>
      <w:r w:rsidRPr="00BB6CE8">
        <w:t>[</w:t>
      </w:r>
      <w:fldSimple w:instr=" SEQ Sch1Item " w:fldLock="1">
        <w:r w:rsidR="003E2B84">
          <w:rPr>
            <w:noProof/>
          </w:rPr>
          <w:t>26</w:t>
        </w:r>
      </w:fldSimple>
      <w:r w:rsidRPr="00BB6CE8">
        <w:t>]</w:t>
      </w:r>
      <w:r w:rsidRPr="00BB6CE8">
        <w:tab/>
      </w:r>
      <w:r w:rsidR="006E3D1C" w:rsidRPr="00BB6CE8">
        <w:t>Paragraph 37J</w:t>
      </w:r>
      <w:r w:rsidR="00E27271" w:rsidRPr="00BB6CE8">
        <w:t> </w:t>
      </w:r>
      <w:r w:rsidR="006E3D1C" w:rsidRPr="00BB6CE8">
        <w:t>(3)</w:t>
      </w:r>
      <w:r w:rsidR="00E27271" w:rsidRPr="00BB6CE8">
        <w:t> </w:t>
      </w:r>
      <w:r w:rsidR="006E3D1C" w:rsidRPr="00BB6CE8">
        <w:t>(a)</w:t>
      </w:r>
    </w:p>
    <w:p w:rsidR="006E3D1C" w:rsidRPr="00BB6CE8" w:rsidRDefault="006E3D1C" w:rsidP="003B6D35">
      <w:pPr>
        <w:pStyle w:val="A2S"/>
      </w:pPr>
      <w:r w:rsidRPr="00BB6CE8">
        <w:t>omit</w:t>
      </w:r>
    </w:p>
    <w:p w:rsidR="006E3D1C" w:rsidRPr="00BB6CE8" w:rsidRDefault="006E3D1C" w:rsidP="006E3D1C">
      <w:pPr>
        <w:pStyle w:val="A3S"/>
      </w:pPr>
      <w:r w:rsidRPr="00BB6CE8">
        <w:t>relevant day mentioned in regulation 37ED</w:t>
      </w:r>
    </w:p>
    <w:p w:rsidR="006E3D1C" w:rsidRPr="00BB6CE8" w:rsidRDefault="006E3D1C" w:rsidP="003B6D35">
      <w:pPr>
        <w:pStyle w:val="A2S"/>
      </w:pPr>
      <w:r w:rsidRPr="00BB6CE8">
        <w:t>insert</w:t>
      </w:r>
    </w:p>
    <w:p w:rsidR="006E3D1C" w:rsidRPr="00BB6CE8" w:rsidRDefault="006E3D1C" w:rsidP="006E3D1C">
      <w:pPr>
        <w:pStyle w:val="A3S"/>
      </w:pPr>
      <w:r w:rsidRPr="00BB6CE8">
        <w:t>start day</w:t>
      </w:r>
    </w:p>
    <w:p w:rsidR="006E3D1C" w:rsidRPr="00BB6CE8" w:rsidRDefault="006E3D1C" w:rsidP="006E3D1C">
      <w:pPr>
        <w:pStyle w:val="A1S"/>
      </w:pPr>
      <w:r w:rsidRPr="00BB6CE8">
        <w:lastRenderedPageBreak/>
        <w:t>[</w:t>
      </w:r>
      <w:fldSimple w:instr=" SEQ Sch1Item " w:fldLock="1">
        <w:r w:rsidR="003E2B84">
          <w:rPr>
            <w:noProof/>
          </w:rPr>
          <w:t>27</w:t>
        </w:r>
      </w:fldSimple>
      <w:r w:rsidRPr="00BB6CE8">
        <w:t>]</w:t>
      </w:r>
      <w:r w:rsidRPr="00BB6CE8">
        <w:tab/>
        <w:t>Paragraph 37J</w:t>
      </w:r>
      <w:r w:rsidR="00E27271" w:rsidRPr="00BB6CE8">
        <w:t> </w:t>
      </w:r>
      <w:r w:rsidRPr="00BB6CE8">
        <w:t>(3)</w:t>
      </w:r>
      <w:r w:rsidR="00E27271" w:rsidRPr="00BB6CE8">
        <w:t> </w:t>
      </w:r>
      <w:r w:rsidRPr="00BB6CE8">
        <w:t>(b)</w:t>
      </w:r>
    </w:p>
    <w:p w:rsidR="006E3D1C" w:rsidRPr="00BB6CE8" w:rsidRDefault="006E3D1C" w:rsidP="006E3D1C">
      <w:pPr>
        <w:pStyle w:val="A2S"/>
      </w:pPr>
      <w:r w:rsidRPr="00BB6CE8">
        <w:t>omit</w:t>
      </w:r>
    </w:p>
    <w:p w:rsidR="006E3D1C" w:rsidRPr="00BB6CE8" w:rsidRDefault="006E3D1C" w:rsidP="006E3D1C">
      <w:pPr>
        <w:pStyle w:val="A3S"/>
      </w:pPr>
      <w:r w:rsidRPr="00BB6CE8">
        <w:t>relevant</w:t>
      </w:r>
    </w:p>
    <w:p w:rsidR="006E3D1C" w:rsidRPr="00BB6CE8" w:rsidRDefault="006E3D1C" w:rsidP="006E3D1C">
      <w:pPr>
        <w:pStyle w:val="A2S"/>
      </w:pPr>
      <w:r w:rsidRPr="00BB6CE8">
        <w:t>insert</w:t>
      </w:r>
    </w:p>
    <w:p w:rsidR="006E3D1C" w:rsidRPr="00BB6CE8" w:rsidRDefault="006E3D1C" w:rsidP="006E3D1C">
      <w:pPr>
        <w:pStyle w:val="A3S"/>
      </w:pPr>
      <w:r w:rsidRPr="00BB6CE8">
        <w:t>start</w:t>
      </w:r>
    </w:p>
    <w:p w:rsidR="006E3D1C" w:rsidRPr="00BB6CE8" w:rsidRDefault="006E3D1C" w:rsidP="000B4F40">
      <w:pPr>
        <w:pStyle w:val="A1S"/>
        <w:spacing w:before="440"/>
      </w:pPr>
      <w:r w:rsidRPr="00BB6CE8">
        <w:t>[</w:t>
      </w:r>
      <w:fldSimple w:instr=" SEQ Sch1Item " w:fldLock="1">
        <w:r w:rsidR="003E2B84">
          <w:rPr>
            <w:noProof/>
          </w:rPr>
          <w:t>28</w:t>
        </w:r>
      </w:fldSimple>
      <w:r w:rsidRPr="00BB6CE8">
        <w:t>]</w:t>
      </w:r>
      <w:r w:rsidRPr="00BB6CE8">
        <w:tab/>
        <w:t>Paragraph 37J</w:t>
      </w:r>
      <w:r w:rsidR="00E27271" w:rsidRPr="00BB6CE8">
        <w:t> </w:t>
      </w:r>
      <w:r w:rsidRPr="00BB6CE8">
        <w:t>(4)</w:t>
      </w:r>
      <w:r w:rsidR="00E27271" w:rsidRPr="00BB6CE8">
        <w:t> </w:t>
      </w:r>
      <w:r w:rsidRPr="00BB6CE8">
        <w:t>(a)</w:t>
      </w:r>
    </w:p>
    <w:p w:rsidR="006E3D1C" w:rsidRPr="00BB6CE8" w:rsidRDefault="006E3D1C" w:rsidP="006E3D1C">
      <w:pPr>
        <w:pStyle w:val="A2S"/>
      </w:pPr>
      <w:r w:rsidRPr="00BB6CE8">
        <w:t>omit</w:t>
      </w:r>
    </w:p>
    <w:p w:rsidR="006E3D1C" w:rsidRPr="00BB6CE8" w:rsidRDefault="006E3D1C" w:rsidP="006E3D1C">
      <w:pPr>
        <w:pStyle w:val="A3S"/>
      </w:pPr>
      <w:r w:rsidRPr="00BB6CE8">
        <w:t>relevant day mentioned in regulation 37F</w:t>
      </w:r>
    </w:p>
    <w:p w:rsidR="006E3D1C" w:rsidRPr="00BB6CE8" w:rsidRDefault="006E3D1C" w:rsidP="006E3D1C">
      <w:pPr>
        <w:pStyle w:val="A2S"/>
      </w:pPr>
      <w:r w:rsidRPr="00BB6CE8">
        <w:t>insert</w:t>
      </w:r>
    </w:p>
    <w:p w:rsidR="006E3D1C" w:rsidRPr="00BB6CE8" w:rsidRDefault="006E3D1C" w:rsidP="006E3D1C">
      <w:pPr>
        <w:pStyle w:val="A3S"/>
      </w:pPr>
      <w:r w:rsidRPr="00BB6CE8">
        <w:t>start day</w:t>
      </w:r>
      <w:r w:rsidR="00B5108F" w:rsidRPr="00BB6CE8">
        <w:t xml:space="preserve"> for the relevant brand</w:t>
      </w:r>
    </w:p>
    <w:p w:rsidR="006E3D1C" w:rsidRPr="00BB6CE8" w:rsidRDefault="006E3D1C" w:rsidP="000B4F40">
      <w:pPr>
        <w:pStyle w:val="A1S"/>
        <w:spacing w:before="440"/>
      </w:pPr>
      <w:r w:rsidRPr="00BB6CE8">
        <w:t>[</w:t>
      </w:r>
      <w:fldSimple w:instr=" SEQ Sch1Item " w:fldLock="1">
        <w:r w:rsidR="003E2B84">
          <w:rPr>
            <w:noProof/>
          </w:rPr>
          <w:t>29</w:t>
        </w:r>
      </w:fldSimple>
      <w:r w:rsidRPr="00BB6CE8">
        <w:t>]</w:t>
      </w:r>
      <w:r w:rsidRPr="00BB6CE8">
        <w:tab/>
        <w:t>Subparagraph 37J</w:t>
      </w:r>
      <w:r w:rsidR="00E27271" w:rsidRPr="00BB6CE8">
        <w:t> </w:t>
      </w:r>
      <w:r w:rsidRPr="00BB6CE8">
        <w:t>(4)</w:t>
      </w:r>
      <w:r w:rsidR="00E27271" w:rsidRPr="00BB6CE8">
        <w:t> </w:t>
      </w:r>
      <w:r w:rsidRPr="00BB6CE8">
        <w:t>(b)</w:t>
      </w:r>
      <w:r w:rsidR="00E27271" w:rsidRPr="00BB6CE8">
        <w:t> </w:t>
      </w:r>
      <w:r w:rsidRPr="00BB6CE8">
        <w:t>(ii)</w:t>
      </w:r>
    </w:p>
    <w:p w:rsidR="006E3D1C" w:rsidRPr="00BB6CE8" w:rsidRDefault="006E3D1C" w:rsidP="006E3D1C">
      <w:pPr>
        <w:pStyle w:val="A2S"/>
      </w:pPr>
      <w:r w:rsidRPr="00BB6CE8">
        <w:t>omit</w:t>
      </w:r>
    </w:p>
    <w:p w:rsidR="006E3D1C" w:rsidRPr="00BB6CE8" w:rsidRDefault="006E3D1C" w:rsidP="006E3D1C">
      <w:pPr>
        <w:pStyle w:val="A3S"/>
      </w:pPr>
      <w:r w:rsidRPr="00BB6CE8">
        <w:t>relevant</w:t>
      </w:r>
    </w:p>
    <w:p w:rsidR="006E3D1C" w:rsidRPr="00BB6CE8" w:rsidRDefault="006E3D1C" w:rsidP="006E3D1C">
      <w:pPr>
        <w:pStyle w:val="A2S"/>
      </w:pPr>
      <w:r w:rsidRPr="00BB6CE8">
        <w:t>insert</w:t>
      </w:r>
    </w:p>
    <w:p w:rsidR="006E3D1C" w:rsidRPr="00BB6CE8" w:rsidRDefault="006E3D1C" w:rsidP="006E3D1C">
      <w:pPr>
        <w:pStyle w:val="A3S"/>
      </w:pPr>
      <w:r w:rsidRPr="00BB6CE8">
        <w:t>start</w:t>
      </w:r>
    </w:p>
    <w:p w:rsidR="0023580B" w:rsidRPr="00BB6CE8" w:rsidRDefault="006E3D1C" w:rsidP="000B4F40">
      <w:pPr>
        <w:pStyle w:val="A1S"/>
        <w:spacing w:before="440"/>
        <w:rPr>
          <w:lang w:val="en-US"/>
        </w:rPr>
      </w:pPr>
      <w:r w:rsidRPr="00BB6CE8">
        <w:rPr>
          <w:lang w:val="en-US"/>
        </w:rPr>
        <w:t>[</w:t>
      </w:r>
      <w:r w:rsidR="006553F7" w:rsidRPr="00BB6CE8">
        <w:rPr>
          <w:lang w:val="en-US"/>
        </w:rPr>
        <w:fldChar w:fldCharType="begin" w:fldLock="1"/>
      </w:r>
      <w:r w:rsidRPr="00BB6CE8">
        <w:rPr>
          <w:lang w:val="en-US"/>
        </w:rPr>
        <w:instrText xml:space="preserve"> SEQ Sch1Item </w:instrText>
      </w:r>
      <w:r w:rsidR="006553F7" w:rsidRPr="00BB6CE8">
        <w:rPr>
          <w:lang w:val="en-US"/>
        </w:rPr>
        <w:fldChar w:fldCharType="separate"/>
      </w:r>
      <w:r w:rsidR="003E2B84">
        <w:rPr>
          <w:noProof/>
          <w:lang w:val="en-US"/>
        </w:rPr>
        <w:t>30</w:t>
      </w:r>
      <w:r w:rsidR="006553F7" w:rsidRPr="00BB6CE8">
        <w:rPr>
          <w:lang w:val="en-US"/>
        </w:rPr>
        <w:fldChar w:fldCharType="end"/>
      </w:r>
      <w:r w:rsidRPr="00BB6CE8">
        <w:rPr>
          <w:lang w:val="en-US"/>
        </w:rPr>
        <w:t>]</w:t>
      </w:r>
      <w:r w:rsidRPr="00BB6CE8">
        <w:rPr>
          <w:lang w:val="en-US"/>
        </w:rPr>
        <w:tab/>
      </w:r>
      <w:r w:rsidR="0023580B" w:rsidRPr="00BB6CE8">
        <w:rPr>
          <w:lang w:val="en-US"/>
        </w:rPr>
        <w:t>After Part 7</w:t>
      </w:r>
    </w:p>
    <w:p w:rsidR="0023580B" w:rsidRPr="00BB6CE8" w:rsidRDefault="0023580B" w:rsidP="00DB36CD">
      <w:pPr>
        <w:pStyle w:val="A2S"/>
      </w:pPr>
      <w:r w:rsidRPr="00BB6CE8">
        <w:t>insert</w:t>
      </w:r>
    </w:p>
    <w:p w:rsidR="000A61B8" w:rsidRPr="00BB6CE8" w:rsidRDefault="0023580B" w:rsidP="0023580B">
      <w:pPr>
        <w:pStyle w:val="HP"/>
        <w:rPr>
          <w:lang w:val="en-US"/>
        </w:rPr>
      </w:pPr>
      <w:r w:rsidRPr="00BB6CE8">
        <w:rPr>
          <w:rStyle w:val="CharPartNo"/>
        </w:rPr>
        <w:t>Part 8</w:t>
      </w:r>
      <w:r w:rsidRPr="00BB6CE8">
        <w:rPr>
          <w:lang w:val="en-US"/>
        </w:rPr>
        <w:tab/>
      </w:r>
      <w:r w:rsidRPr="00BB6CE8">
        <w:rPr>
          <w:rStyle w:val="CharPartText"/>
        </w:rPr>
        <w:t>Transitional provisions</w:t>
      </w:r>
    </w:p>
    <w:p w:rsidR="0023580B" w:rsidRPr="00BB6CE8" w:rsidRDefault="000A61B8" w:rsidP="00BF3231">
      <w:pPr>
        <w:pStyle w:val="HD"/>
        <w:rPr>
          <w:lang w:val="en-US"/>
        </w:rPr>
      </w:pPr>
      <w:r w:rsidRPr="00BB6CE8">
        <w:rPr>
          <w:lang w:val="en-US"/>
        </w:rPr>
        <w:t>Division 1</w:t>
      </w:r>
      <w:r w:rsidRPr="00BB6CE8">
        <w:rPr>
          <w:lang w:val="en-US"/>
        </w:rPr>
        <w:tab/>
        <w:t xml:space="preserve">Provisions for </w:t>
      </w:r>
      <w:r w:rsidRPr="00BF3231">
        <w:rPr>
          <w:i/>
        </w:rPr>
        <w:t xml:space="preserve">National Health Amendment (Pharmaceutical Benefits Scheme) </w:t>
      </w:r>
      <w:r w:rsidR="004C3394" w:rsidRPr="00BF3231">
        <w:rPr>
          <w:i/>
        </w:rPr>
        <w:t>Act</w:t>
      </w:r>
      <w:r w:rsidRPr="00BF3231">
        <w:rPr>
          <w:i/>
        </w:rPr>
        <w:t xml:space="preserve"> 2012</w:t>
      </w:r>
    </w:p>
    <w:p w:rsidR="000A61B8" w:rsidRPr="00BB6CE8" w:rsidRDefault="00385F4B" w:rsidP="000B4F40">
      <w:pPr>
        <w:pStyle w:val="HR"/>
        <w:rPr>
          <w:lang w:val="en-US"/>
        </w:rPr>
      </w:pPr>
      <w:r w:rsidRPr="00BB6CE8">
        <w:rPr>
          <w:rStyle w:val="CharSectno"/>
        </w:rPr>
        <w:t>49</w:t>
      </w:r>
      <w:r w:rsidR="000A61B8" w:rsidRPr="00BB6CE8">
        <w:rPr>
          <w:lang w:val="en-US"/>
        </w:rPr>
        <w:tab/>
        <w:t>Approved ex-manufacturer prices on 1 October 2012</w:t>
      </w:r>
    </w:p>
    <w:p w:rsidR="000A61B8" w:rsidRPr="00BB6CE8" w:rsidRDefault="000A61B8" w:rsidP="000A61B8">
      <w:pPr>
        <w:pStyle w:val="R1"/>
        <w:rPr>
          <w:lang w:val="en-US"/>
        </w:rPr>
      </w:pPr>
      <w:r w:rsidRPr="00BB6CE8">
        <w:rPr>
          <w:lang w:val="en-US"/>
        </w:rPr>
        <w:tab/>
        <w:t>(1)</w:t>
      </w:r>
      <w:r w:rsidRPr="00BB6CE8">
        <w:rPr>
          <w:lang w:val="en-US"/>
        </w:rPr>
        <w:tab/>
        <w:t>Schedule 7 sets out the approved ex-manufacturer price</w:t>
      </w:r>
      <w:r w:rsidR="00BF3231">
        <w:rPr>
          <w:lang w:val="en-US"/>
        </w:rPr>
        <w:t xml:space="preserve"> on 1 </w:t>
      </w:r>
      <w:r w:rsidR="001E5062" w:rsidRPr="00BB6CE8">
        <w:rPr>
          <w:lang w:val="en-US"/>
        </w:rPr>
        <w:t>October 2012</w:t>
      </w:r>
      <w:r w:rsidRPr="00BB6CE8">
        <w:rPr>
          <w:lang w:val="en-US"/>
        </w:rPr>
        <w:t xml:space="preserve"> for </w:t>
      </w:r>
      <w:r w:rsidR="00052114" w:rsidRPr="00BB6CE8">
        <w:rPr>
          <w:lang w:val="en-US"/>
        </w:rPr>
        <w:t>each</w:t>
      </w:r>
      <w:r w:rsidRPr="00BB6CE8">
        <w:rPr>
          <w:lang w:val="en-US"/>
        </w:rPr>
        <w:t xml:space="preserve"> brand of a pha</w:t>
      </w:r>
      <w:r w:rsidR="00C64B2D" w:rsidRPr="00BB6CE8">
        <w:rPr>
          <w:lang w:val="en-US"/>
        </w:rPr>
        <w:t>rmaceutical item listed in S</w:t>
      </w:r>
      <w:r w:rsidRPr="00BB6CE8">
        <w:rPr>
          <w:lang w:val="en-US"/>
        </w:rPr>
        <w:t>chedule</w:t>
      </w:r>
      <w:r w:rsidR="00C64B2D" w:rsidRPr="00BB6CE8">
        <w:rPr>
          <w:lang w:val="en-US"/>
        </w:rPr>
        <w:t xml:space="preserve"> 7</w:t>
      </w:r>
      <w:r w:rsidRPr="00BB6CE8">
        <w:rPr>
          <w:lang w:val="en-US"/>
        </w:rPr>
        <w:t>.</w:t>
      </w:r>
    </w:p>
    <w:p w:rsidR="000A61B8" w:rsidRPr="00BB6CE8" w:rsidRDefault="000A61B8" w:rsidP="000A61B8">
      <w:pPr>
        <w:pStyle w:val="R1"/>
        <w:rPr>
          <w:lang w:val="en-US"/>
        </w:rPr>
      </w:pPr>
      <w:r w:rsidRPr="00BB6CE8">
        <w:rPr>
          <w:lang w:val="en-US"/>
        </w:rPr>
        <w:lastRenderedPageBreak/>
        <w:tab/>
        <w:t>(2)</w:t>
      </w:r>
      <w:r w:rsidRPr="00BB6CE8">
        <w:rPr>
          <w:lang w:val="en-US"/>
        </w:rPr>
        <w:tab/>
        <w:t xml:space="preserve">This regulation is made for paragraph </w:t>
      </w:r>
      <w:r w:rsidR="00707272" w:rsidRPr="00BB6CE8">
        <w:rPr>
          <w:lang w:val="en-US"/>
        </w:rPr>
        <w:t>70</w:t>
      </w:r>
      <w:r w:rsidR="00E27271" w:rsidRPr="00BB6CE8">
        <w:rPr>
          <w:lang w:val="en-US"/>
        </w:rPr>
        <w:t> </w:t>
      </w:r>
      <w:r w:rsidRPr="00BB6CE8">
        <w:rPr>
          <w:lang w:val="en-US"/>
        </w:rPr>
        <w:t xml:space="preserve">(a) of </w:t>
      </w:r>
      <w:r w:rsidR="008473AE" w:rsidRPr="00BB6CE8">
        <w:rPr>
          <w:lang w:val="en-US"/>
        </w:rPr>
        <w:t xml:space="preserve">Schedule 1 to </w:t>
      </w:r>
      <w:r w:rsidRPr="00BB6CE8">
        <w:rPr>
          <w:lang w:val="en-US"/>
        </w:rPr>
        <w:t xml:space="preserve">the </w:t>
      </w:r>
      <w:r w:rsidR="00052114" w:rsidRPr="00BB6CE8">
        <w:rPr>
          <w:i/>
        </w:rPr>
        <w:t xml:space="preserve">National Health Amendment (Pharmaceutical Benefits Scheme) </w:t>
      </w:r>
      <w:r w:rsidR="004C3394" w:rsidRPr="00BB6CE8">
        <w:rPr>
          <w:i/>
        </w:rPr>
        <w:t>Act</w:t>
      </w:r>
      <w:r w:rsidR="00052114" w:rsidRPr="00BB6CE8">
        <w:rPr>
          <w:i/>
        </w:rPr>
        <w:t xml:space="preserve"> 2012</w:t>
      </w:r>
      <w:r w:rsidRPr="00BB6CE8">
        <w:rPr>
          <w:lang w:val="en-US"/>
        </w:rPr>
        <w:t>.</w:t>
      </w:r>
    </w:p>
    <w:p w:rsidR="00D73196" w:rsidRPr="00BB6CE8" w:rsidRDefault="00385F4B" w:rsidP="00D73196">
      <w:pPr>
        <w:pStyle w:val="HR"/>
        <w:rPr>
          <w:noProof/>
        </w:rPr>
      </w:pPr>
      <w:r w:rsidRPr="00BB6CE8">
        <w:rPr>
          <w:rStyle w:val="CharSectno"/>
        </w:rPr>
        <w:t>50</w:t>
      </w:r>
      <w:r w:rsidR="00D73196" w:rsidRPr="00BB6CE8">
        <w:rPr>
          <w:lang w:val="en-US"/>
        </w:rPr>
        <w:tab/>
      </w:r>
      <w:r w:rsidR="00F56C96" w:rsidRPr="00BB6CE8">
        <w:rPr>
          <w:lang w:val="en-US"/>
        </w:rPr>
        <w:t>D</w:t>
      </w:r>
      <w:r w:rsidR="00D73196" w:rsidRPr="00BB6CE8">
        <w:rPr>
          <w:lang w:val="en-US"/>
        </w:rPr>
        <w:t xml:space="preserve">etermination of </w:t>
      </w:r>
      <w:r w:rsidR="00D73196" w:rsidRPr="00BB6CE8">
        <w:rPr>
          <w:noProof/>
        </w:rPr>
        <w:t>weighted average disclosed price</w:t>
      </w:r>
    </w:p>
    <w:p w:rsidR="00D73196" w:rsidRPr="00BB6CE8" w:rsidRDefault="00D73196" w:rsidP="0040273E">
      <w:pPr>
        <w:pStyle w:val="ZR1"/>
      </w:pPr>
      <w:r w:rsidRPr="00BB6CE8">
        <w:tab/>
        <w:t>(1)</w:t>
      </w:r>
      <w:r w:rsidRPr="00BB6CE8">
        <w:tab/>
        <w:t xml:space="preserve">This </w:t>
      </w:r>
      <w:r w:rsidR="00CB6939" w:rsidRPr="00BB6CE8">
        <w:t>regulation</w:t>
      </w:r>
      <w:r w:rsidRPr="00BB6CE8">
        <w:t xml:space="preserve"> applies if:</w:t>
      </w:r>
    </w:p>
    <w:p w:rsidR="00D73196" w:rsidRPr="00BB6CE8" w:rsidRDefault="00D73196" w:rsidP="00D73196">
      <w:pPr>
        <w:pStyle w:val="P1"/>
        <w:rPr>
          <w:noProof/>
        </w:rPr>
      </w:pPr>
      <w:r w:rsidRPr="00BB6CE8">
        <w:tab/>
        <w:t>(a)</w:t>
      </w:r>
      <w:r w:rsidRPr="00BB6CE8">
        <w:tab/>
      </w:r>
      <w:r w:rsidR="00DA7551" w:rsidRPr="00BB6CE8">
        <w:t>the</w:t>
      </w:r>
      <w:r w:rsidRPr="00BB6CE8">
        <w:t xml:space="preserve"> </w:t>
      </w:r>
      <w:r w:rsidRPr="00BB6CE8">
        <w:rPr>
          <w:noProof/>
        </w:rPr>
        <w:t xml:space="preserve">weighted average disclosed price </w:t>
      </w:r>
      <w:r w:rsidRPr="00BB6CE8">
        <w:t>of a listed brand of a pharmaceutical item</w:t>
      </w:r>
      <w:r w:rsidRPr="00BB6CE8">
        <w:rPr>
          <w:noProof/>
        </w:rPr>
        <w:t xml:space="preserve"> is determined </w:t>
      </w:r>
      <w:r w:rsidR="00F56C96" w:rsidRPr="00BB6CE8">
        <w:rPr>
          <w:noProof/>
        </w:rPr>
        <w:t xml:space="preserve">on or </w:t>
      </w:r>
      <w:r w:rsidRPr="00BB6CE8">
        <w:rPr>
          <w:noProof/>
        </w:rPr>
        <w:t xml:space="preserve">before </w:t>
      </w:r>
      <w:r w:rsidR="00980F91">
        <w:rPr>
          <w:noProof/>
        </w:rPr>
        <w:t>30 </w:t>
      </w:r>
      <w:r w:rsidR="00F56C96" w:rsidRPr="00BB6CE8">
        <w:rPr>
          <w:noProof/>
        </w:rPr>
        <w:t>September 2012</w:t>
      </w:r>
      <w:r w:rsidRPr="00BB6CE8">
        <w:rPr>
          <w:noProof/>
        </w:rPr>
        <w:t>; and</w:t>
      </w:r>
    </w:p>
    <w:p w:rsidR="00D73196" w:rsidRPr="00BB6CE8" w:rsidRDefault="00D73196" w:rsidP="00D73196">
      <w:pPr>
        <w:pStyle w:val="P1"/>
        <w:rPr>
          <w:b/>
          <w:noProof/>
        </w:rPr>
      </w:pPr>
      <w:r w:rsidRPr="00BB6CE8">
        <w:rPr>
          <w:noProof/>
        </w:rPr>
        <w:tab/>
        <w:t>(b)</w:t>
      </w:r>
      <w:r w:rsidRPr="00BB6CE8">
        <w:rPr>
          <w:noProof/>
        </w:rPr>
        <w:tab/>
      </w:r>
      <w:r w:rsidR="006F38BA" w:rsidRPr="00BB6CE8">
        <w:rPr>
          <w:noProof/>
        </w:rPr>
        <w:t xml:space="preserve">after </w:t>
      </w:r>
      <w:r w:rsidR="000648FB" w:rsidRPr="00BB6CE8">
        <w:rPr>
          <w:noProof/>
        </w:rPr>
        <w:t>30 September 2012</w:t>
      </w:r>
      <w:r w:rsidR="006F38BA" w:rsidRPr="00BB6CE8">
        <w:rPr>
          <w:noProof/>
        </w:rPr>
        <w:t xml:space="preserve">, </w:t>
      </w:r>
      <w:r w:rsidR="00F56C96" w:rsidRPr="00BB6CE8">
        <w:rPr>
          <w:noProof/>
        </w:rPr>
        <w:t xml:space="preserve">another </w:t>
      </w:r>
      <w:r w:rsidR="006F38BA" w:rsidRPr="00BB6CE8">
        <w:rPr>
          <w:noProof/>
        </w:rPr>
        <w:t>weig</w:t>
      </w:r>
      <w:r w:rsidR="00F56C96" w:rsidRPr="00BB6CE8">
        <w:rPr>
          <w:noProof/>
        </w:rPr>
        <w:t xml:space="preserve">hted average disclosed price (a </w:t>
      </w:r>
      <w:r w:rsidR="00F56C96" w:rsidRPr="00BB6CE8">
        <w:rPr>
          <w:b/>
          <w:i/>
          <w:noProof/>
        </w:rPr>
        <w:t xml:space="preserve">new </w:t>
      </w:r>
      <w:r w:rsidR="0085770D" w:rsidRPr="00BB6CE8">
        <w:rPr>
          <w:b/>
          <w:i/>
          <w:noProof/>
        </w:rPr>
        <w:t>price</w:t>
      </w:r>
      <w:r w:rsidR="00F56C96" w:rsidRPr="00BB6CE8">
        <w:rPr>
          <w:noProof/>
        </w:rPr>
        <w:t xml:space="preserve">) is </w:t>
      </w:r>
      <w:r w:rsidR="008473AE" w:rsidRPr="00BB6CE8">
        <w:rPr>
          <w:noProof/>
        </w:rPr>
        <w:t>to be</w:t>
      </w:r>
      <w:r w:rsidR="00F56C96" w:rsidRPr="00BB6CE8">
        <w:rPr>
          <w:noProof/>
        </w:rPr>
        <w:t xml:space="preserve"> </w:t>
      </w:r>
      <w:r w:rsidR="006F38BA" w:rsidRPr="00BB6CE8">
        <w:rPr>
          <w:noProof/>
        </w:rPr>
        <w:t>determined</w:t>
      </w:r>
      <w:r w:rsidR="00F56C96" w:rsidRPr="00BB6CE8">
        <w:rPr>
          <w:noProof/>
        </w:rPr>
        <w:t xml:space="preserve"> for the listed brand for the same disclosure cycle</w:t>
      </w:r>
      <w:r w:rsidR="006F38BA" w:rsidRPr="00BB6CE8">
        <w:rPr>
          <w:noProof/>
        </w:rPr>
        <w:t>.</w:t>
      </w:r>
    </w:p>
    <w:p w:rsidR="006F38BA" w:rsidRPr="00BB6CE8" w:rsidRDefault="00D73196" w:rsidP="00D73196">
      <w:pPr>
        <w:pStyle w:val="R2"/>
        <w:rPr>
          <w:noProof/>
        </w:rPr>
      </w:pPr>
      <w:r w:rsidRPr="00BB6CE8">
        <w:tab/>
        <w:t>(2)</w:t>
      </w:r>
      <w:r w:rsidRPr="00BB6CE8">
        <w:tab/>
      </w:r>
      <w:r w:rsidR="006F38BA" w:rsidRPr="00BB6CE8">
        <w:rPr>
          <w:noProof/>
        </w:rPr>
        <w:t xml:space="preserve">The </w:t>
      </w:r>
      <w:r w:rsidR="00F56C96" w:rsidRPr="00BB6CE8">
        <w:rPr>
          <w:noProof/>
        </w:rPr>
        <w:t xml:space="preserve">new </w:t>
      </w:r>
      <w:r w:rsidR="0085770D" w:rsidRPr="00BB6CE8">
        <w:rPr>
          <w:noProof/>
        </w:rPr>
        <w:t>price</w:t>
      </w:r>
      <w:r w:rsidR="006F38BA" w:rsidRPr="00BB6CE8">
        <w:rPr>
          <w:noProof/>
        </w:rPr>
        <w:t xml:space="preserve"> </w:t>
      </w:r>
      <w:r w:rsidR="00B033EF" w:rsidRPr="00BB6CE8">
        <w:rPr>
          <w:noProof/>
        </w:rPr>
        <w:t>must</w:t>
      </w:r>
      <w:r w:rsidR="00F56C96" w:rsidRPr="00BB6CE8">
        <w:rPr>
          <w:noProof/>
        </w:rPr>
        <w:t xml:space="preserve"> be </w:t>
      </w:r>
      <w:r w:rsidR="006F38BA" w:rsidRPr="00BB6CE8">
        <w:rPr>
          <w:noProof/>
        </w:rPr>
        <w:t xml:space="preserve">determined according to the provisions of these regulations as in force immediately before </w:t>
      </w:r>
      <w:r w:rsidR="000648FB" w:rsidRPr="00BB6CE8">
        <w:rPr>
          <w:noProof/>
        </w:rPr>
        <w:t>1</w:t>
      </w:r>
      <w:r w:rsidR="000B4F40">
        <w:rPr>
          <w:noProof/>
        </w:rPr>
        <w:t> </w:t>
      </w:r>
      <w:r w:rsidR="000648FB" w:rsidRPr="00BB6CE8">
        <w:rPr>
          <w:noProof/>
        </w:rPr>
        <w:t>October 2012</w:t>
      </w:r>
      <w:r w:rsidR="00DA7551" w:rsidRPr="00BB6CE8">
        <w:rPr>
          <w:noProof/>
        </w:rPr>
        <w:t>.</w:t>
      </w:r>
    </w:p>
    <w:p w:rsidR="0023580B" w:rsidRPr="00BB6CE8" w:rsidRDefault="003C5A3D" w:rsidP="00DB36CD">
      <w:pPr>
        <w:pStyle w:val="A1S"/>
        <w:rPr>
          <w:lang w:val="en-US"/>
        </w:rPr>
      </w:pPr>
      <w:r w:rsidRPr="00BB6CE8">
        <w:t>[</w:t>
      </w:r>
      <w:fldSimple w:instr=" SEQ Sch1Item " w:fldLock="1">
        <w:r w:rsidR="003E2B84">
          <w:rPr>
            <w:noProof/>
          </w:rPr>
          <w:t>31</w:t>
        </w:r>
      </w:fldSimple>
      <w:r w:rsidRPr="00BB6CE8">
        <w:t>]</w:t>
      </w:r>
      <w:r w:rsidRPr="00BB6CE8">
        <w:tab/>
      </w:r>
      <w:r w:rsidR="00DB36CD" w:rsidRPr="00BB6CE8">
        <w:rPr>
          <w:lang w:val="en-US"/>
        </w:rPr>
        <w:t>After Schedule 6</w:t>
      </w:r>
    </w:p>
    <w:p w:rsidR="00DB36CD" w:rsidRPr="00BB6CE8" w:rsidRDefault="00DB36CD" w:rsidP="00DB36CD">
      <w:pPr>
        <w:pStyle w:val="A2S"/>
        <w:spacing w:after="100" w:afterAutospacing="1"/>
      </w:pPr>
      <w:r w:rsidRPr="00BB6CE8">
        <w:t>insert</w:t>
      </w:r>
    </w:p>
    <w:p w:rsidR="00D51AFA" w:rsidRPr="00BB6CE8" w:rsidRDefault="00D51AFA" w:rsidP="00D51AFA">
      <w:pPr>
        <w:pStyle w:val="Scheduletitle"/>
        <w:rPr>
          <w:lang w:val="en-US"/>
        </w:rPr>
      </w:pPr>
      <w:r w:rsidRPr="00BB6CE8">
        <w:rPr>
          <w:rStyle w:val="CharSchNo"/>
        </w:rPr>
        <w:t>Schedule 7</w:t>
      </w:r>
      <w:r w:rsidRPr="00BB6CE8">
        <w:tab/>
      </w:r>
      <w:r w:rsidRPr="00BB6CE8">
        <w:rPr>
          <w:rStyle w:val="CharSchText"/>
        </w:rPr>
        <w:t>Approved ex-manufacturer prices</w:t>
      </w:r>
      <w:r w:rsidR="008473AE" w:rsidRPr="00BB6CE8">
        <w:rPr>
          <w:rStyle w:val="CharSchText"/>
        </w:rPr>
        <w:t xml:space="preserve"> on 1 October 2012</w:t>
      </w:r>
    </w:p>
    <w:p w:rsidR="009124FC" w:rsidRDefault="00D51AFA" w:rsidP="00D51AFA">
      <w:pPr>
        <w:pStyle w:val="Schedulereference"/>
        <w:spacing w:after="120"/>
        <w:rPr>
          <w:lang w:val="en-US"/>
        </w:rPr>
      </w:pPr>
      <w:r w:rsidRPr="00BB6CE8">
        <w:rPr>
          <w:lang w:val="en-US"/>
        </w:rPr>
        <w:t>(regulation 49)</w:t>
      </w:r>
    </w:p>
    <w:p w:rsidR="000B4F40" w:rsidRPr="009124FC" w:rsidRDefault="009124FC" w:rsidP="009124FC">
      <w:pPr>
        <w:pStyle w:val="Header"/>
        <w:rPr>
          <w:vanish/>
        </w:rPr>
      </w:pPr>
      <w:r w:rsidRPr="009124FC">
        <w:rPr>
          <w:rStyle w:val="CharSchPTNo"/>
          <w:vanish/>
        </w:rPr>
        <w:t xml:space="preserve"> </w:t>
      </w:r>
      <w:r w:rsidRPr="009124FC">
        <w:rPr>
          <w:rStyle w:val="CharSchPTText"/>
          <w:vanish/>
        </w:rPr>
        <w:t xml:space="preserve"> </w:t>
      </w:r>
    </w:p>
    <w:tbl>
      <w:tblPr>
        <w:tblW w:w="7587" w:type="dxa"/>
        <w:tblInd w:w="-130" w:type="dxa"/>
        <w:tblLayout w:type="fixed"/>
        <w:tblLook w:val="01E0"/>
      </w:tblPr>
      <w:tblGrid>
        <w:gridCol w:w="504"/>
        <w:gridCol w:w="1554"/>
        <w:gridCol w:w="1526"/>
        <w:gridCol w:w="1498"/>
        <w:gridCol w:w="1203"/>
        <w:gridCol w:w="1302"/>
      </w:tblGrid>
      <w:tr w:rsidR="00DB36CD" w:rsidRPr="00BB6CE8" w:rsidTr="00CF7116">
        <w:trPr>
          <w:cantSplit/>
          <w:trHeight w:val="370"/>
          <w:tblHeader/>
        </w:trPr>
        <w:tc>
          <w:tcPr>
            <w:tcW w:w="504" w:type="dxa"/>
            <w:vMerge w:val="restart"/>
            <w:tcBorders>
              <w:bottom w:val="single" w:sz="4" w:space="0" w:color="auto"/>
            </w:tcBorders>
            <w:vAlign w:val="bottom"/>
          </w:tcPr>
          <w:p w:rsidR="00DB36CD" w:rsidRPr="00BB6CE8" w:rsidRDefault="00DB36CD" w:rsidP="00BF3231">
            <w:pPr>
              <w:pStyle w:val="TableColHead"/>
              <w:ind w:left="-94"/>
            </w:pPr>
            <w:r w:rsidRPr="00BB6CE8">
              <w:lastRenderedPageBreak/>
              <w:t>Item</w:t>
            </w:r>
          </w:p>
        </w:tc>
        <w:tc>
          <w:tcPr>
            <w:tcW w:w="5781" w:type="dxa"/>
            <w:gridSpan w:val="4"/>
            <w:vAlign w:val="bottom"/>
          </w:tcPr>
          <w:p w:rsidR="00DB36CD" w:rsidRPr="00BB6CE8" w:rsidRDefault="004F3CE8" w:rsidP="00CF7116">
            <w:pPr>
              <w:pStyle w:val="TableColHead"/>
              <w:jc w:val="center"/>
            </w:pPr>
            <w:r w:rsidRPr="00BB6CE8">
              <w:t>Brand of p</w:t>
            </w:r>
            <w:r w:rsidR="00DB36CD" w:rsidRPr="00BB6CE8">
              <w:t>harmaceutical item</w:t>
            </w: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36CD" w:rsidRPr="00BB6CE8" w:rsidRDefault="00DB36CD" w:rsidP="00BF3231">
            <w:pPr>
              <w:pStyle w:val="TableColHead"/>
              <w:ind w:right="-130"/>
            </w:pPr>
            <w:r w:rsidRPr="00BB6CE8">
              <w:t>Approved ex-manufacturer price</w:t>
            </w:r>
            <w:r w:rsidR="00544554">
              <w:t xml:space="preserve"> ($)</w:t>
            </w:r>
          </w:p>
        </w:tc>
      </w:tr>
      <w:tr w:rsidR="00BF3231" w:rsidRPr="00BB6CE8" w:rsidTr="00CF7116">
        <w:trPr>
          <w:cantSplit/>
          <w:trHeight w:val="851"/>
          <w:tblHeader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5273BB" w:rsidRPr="00BB6CE8" w:rsidRDefault="005273BB" w:rsidP="00DB36CD">
            <w:pPr>
              <w:pStyle w:val="TableColHead"/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:rsidR="005273BB" w:rsidRPr="00BB6CE8" w:rsidRDefault="005273BB" w:rsidP="005273BB">
            <w:pPr>
              <w:pStyle w:val="TableColHead"/>
            </w:pPr>
            <w:r w:rsidRPr="00BB6CE8">
              <w:t>Drug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:rsidR="005273BB" w:rsidRPr="00BB6CE8" w:rsidRDefault="005273BB" w:rsidP="00DB36CD">
            <w:pPr>
              <w:pStyle w:val="TableColHead"/>
            </w:pPr>
            <w:r w:rsidRPr="00BB6CE8">
              <w:t>Form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5273BB" w:rsidRPr="00BB6CE8" w:rsidRDefault="005273BB" w:rsidP="00BF3231">
            <w:pPr>
              <w:pStyle w:val="TableColHead"/>
              <w:spacing w:before="60"/>
              <w:ind w:right="-94"/>
            </w:pPr>
            <w:r w:rsidRPr="00BB6CE8">
              <w:t>Manner of administration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bottom"/>
          </w:tcPr>
          <w:p w:rsidR="005273BB" w:rsidRPr="00BB6CE8" w:rsidRDefault="005273BB" w:rsidP="00DB36CD">
            <w:pPr>
              <w:pStyle w:val="TableColHead"/>
              <w:spacing w:before="60"/>
            </w:pPr>
            <w:r w:rsidRPr="00BB6CE8">
              <w:t>Brand</w:t>
            </w: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bottom"/>
          </w:tcPr>
          <w:p w:rsidR="005273BB" w:rsidRPr="00BB6CE8" w:rsidRDefault="005273BB" w:rsidP="00DB36CD">
            <w:pPr>
              <w:pStyle w:val="TableColHead"/>
            </w:pPr>
          </w:p>
        </w:tc>
      </w:tr>
      <w:tr w:rsidR="00BF3231" w:rsidRPr="00BB6CE8" w:rsidTr="00CF7116">
        <w:trPr>
          <w:cantSplit/>
          <w:trHeight w:val="342"/>
        </w:trPr>
        <w:tc>
          <w:tcPr>
            <w:tcW w:w="504" w:type="dxa"/>
            <w:tcBorders>
              <w:top w:val="single" w:sz="4" w:space="0" w:color="auto"/>
            </w:tcBorders>
          </w:tcPr>
          <w:p w:rsidR="004D6675" w:rsidRPr="00BB6CE8" w:rsidRDefault="004D6675" w:rsidP="00544554">
            <w:pPr>
              <w:pStyle w:val="TableText"/>
              <w:ind w:left="57"/>
            </w:pPr>
            <w:bookmarkStart w:id="5" w:name="_Hlk257297677"/>
            <w:r w:rsidRPr="00BB6CE8">
              <w:t>1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4D6675" w:rsidRPr="00BB6CE8" w:rsidRDefault="004D6675" w:rsidP="00544554">
            <w:pPr>
              <w:pStyle w:val="TableText"/>
            </w:pPr>
            <w:r w:rsidRPr="00BB6CE8">
              <w:t>Doxorubicin-Pegylated Liposomal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D6675" w:rsidRPr="00BB6CE8" w:rsidRDefault="004D6675" w:rsidP="003D0D42">
            <w:pPr>
              <w:pStyle w:val="TableText"/>
            </w:pPr>
            <w:r w:rsidRPr="00BB6CE8">
              <w:t xml:space="preserve">Suspension for </w:t>
            </w:r>
            <w:r w:rsidR="00030522">
              <w:t>I.V.</w:t>
            </w:r>
            <w:r w:rsidRPr="00BB6CE8">
              <w:t xml:space="preserve"> infusion containing pegylated liposomal doxoru</w:t>
            </w:r>
            <w:r w:rsidR="00871D8D" w:rsidRPr="00BB6CE8">
              <w:t>bicin hydrochloride 20 mg in 10</w:t>
            </w:r>
            <w:r w:rsidR="00E27271" w:rsidRPr="00BB6CE8">
              <w:t> </w:t>
            </w:r>
            <w:r w:rsidRPr="00BB6CE8">
              <w:t>mL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4D6675" w:rsidRPr="00BB6CE8" w:rsidRDefault="004D6675" w:rsidP="002C42D4">
            <w:pPr>
              <w:pStyle w:val="TableText"/>
            </w:pPr>
            <w:r w:rsidRPr="00BB6CE8">
              <w:t>Caelyx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622.99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  <w:ind w:left="57"/>
            </w:pPr>
            <w:r w:rsidRPr="00BB6CE8">
              <w:t>2</w:t>
            </w:r>
          </w:p>
        </w:tc>
        <w:tc>
          <w:tcPr>
            <w:tcW w:w="1554" w:type="dxa"/>
          </w:tcPr>
          <w:p w:rsidR="004D6675" w:rsidRPr="00BB6CE8" w:rsidRDefault="004D6675" w:rsidP="00544554">
            <w:pPr>
              <w:pStyle w:val="TableText"/>
            </w:pPr>
            <w:r w:rsidRPr="00BB6CE8">
              <w:t>Doxorubicin-Pegylated Liposomal</w:t>
            </w:r>
          </w:p>
        </w:tc>
        <w:tc>
          <w:tcPr>
            <w:tcW w:w="1526" w:type="dxa"/>
          </w:tcPr>
          <w:p w:rsidR="004D6675" w:rsidRPr="00BB6CE8" w:rsidRDefault="004D6675" w:rsidP="003D0D42">
            <w:pPr>
              <w:pStyle w:val="TableText"/>
            </w:pPr>
            <w:r w:rsidRPr="00BB6CE8">
              <w:t xml:space="preserve">Suspension for </w:t>
            </w:r>
            <w:r w:rsidR="00030522">
              <w:t>I.V.</w:t>
            </w:r>
            <w:r w:rsidRPr="00BB6CE8">
              <w:t xml:space="preserve"> infusion containing pegylated liposomal doxoru</w:t>
            </w:r>
            <w:r w:rsidR="00871D8D" w:rsidRPr="00BB6CE8">
              <w:t>bicin hydrochloride 20 mg in 10</w:t>
            </w:r>
            <w:r w:rsidR="00E27271" w:rsidRPr="00BB6CE8">
              <w:t> </w:t>
            </w:r>
            <w:r w:rsidRPr="00BB6CE8">
              <w:t>mL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Lipodox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622.99</w:t>
            </w:r>
          </w:p>
        </w:tc>
      </w:tr>
      <w:bookmarkEnd w:id="5"/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  <w:ind w:left="57"/>
            </w:pPr>
            <w:r w:rsidRPr="00BB6CE8">
              <w:t>3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Etanercept</w:t>
            </w:r>
          </w:p>
        </w:tc>
        <w:tc>
          <w:tcPr>
            <w:tcW w:w="1526" w:type="dxa"/>
          </w:tcPr>
          <w:p w:rsidR="004D6675" w:rsidRPr="00BB6CE8" w:rsidRDefault="00871D8D" w:rsidP="00871D8D">
            <w:pPr>
              <w:pStyle w:val="TableText"/>
            </w:pPr>
            <w:r w:rsidRPr="00BB6CE8">
              <w:t>Injection set containing 4</w:t>
            </w:r>
            <w:r w:rsidR="00E27271" w:rsidRPr="00BB6CE8">
              <w:t> </w:t>
            </w:r>
            <w:r w:rsidRPr="00BB6CE8">
              <w:t>vials powder for injection 25</w:t>
            </w:r>
            <w:r w:rsidR="00E27271" w:rsidRPr="00BB6CE8">
              <w:t> </w:t>
            </w:r>
            <w:r w:rsidRPr="00BB6CE8">
              <w:t>mg and 4</w:t>
            </w:r>
            <w:r w:rsidR="00E27271" w:rsidRPr="00BB6CE8">
              <w:t> </w:t>
            </w:r>
            <w:r w:rsidR="004D6675" w:rsidRPr="00BB6CE8">
              <w:t>pre-filled syringes solvent 1</w:t>
            </w:r>
            <w:r w:rsidR="00E27271" w:rsidRPr="00BB6CE8">
              <w:t> </w:t>
            </w:r>
            <w:r w:rsidR="004D6675" w:rsidRPr="00BB6CE8">
              <w:t>mL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Enbrel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815.00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  <w:ind w:left="57"/>
            </w:pPr>
            <w:r w:rsidRPr="00BB6CE8">
              <w:t>4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Follitropin Alfa</w:t>
            </w:r>
          </w:p>
        </w:tc>
        <w:tc>
          <w:tcPr>
            <w:tcW w:w="1526" w:type="dxa"/>
          </w:tcPr>
          <w:p w:rsidR="004D6675" w:rsidRPr="00BB6CE8" w:rsidRDefault="00871D8D" w:rsidP="003D0D42">
            <w:pPr>
              <w:pStyle w:val="TableText"/>
            </w:pPr>
            <w:r w:rsidRPr="00BB6CE8">
              <w:t>Injection 300</w:t>
            </w:r>
            <w:r w:rsidR="00E27271" w:rsidRPr="00BB6CE8">
              <w:t> </w:t>
            </w:r>
            <w:r w:rsidR="00030522">
              <w:t>I.U.</w:t>
            </w:r>
            <w:r w:rsidR="004D6675" w:rsidRPr="00BB6CE8">
              <w:t xml:space="preserve"> in 0.5</w:t>
            </w:r>
            <w:r w:rsidR="003D0D42">
              <w:t> </w:t>
            </w:r>
            <w:r w:rsidR="004D6675" w:rsidRPr="00BB6CE8">
              <w:t>mL multi-dose cartridge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Gonal-f Pen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144.00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  <w:ind w:left="57"/>
            </w:pPr>
            <w:r w:rsidRPr="00BB6CE8">
              <w:lastRenderedPageBreak/>
              <w:t>5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Follitropin Alfa</w:t>
            </w:r>
          </w:p>
        </w:tc>
        <w:tc>
          <w:tcPr>
            <w:tcW w:w="1526" w:type="dxa"/>
          </w:tcPr>
          <w:p w:rsidR="004D6675" w:rsidRPr="00BB6CE8" w:rsidRDefault="00871D8D" w:rsidP="003D0D42">
            <w:pPr>
              <w:pStyle w:val="TableText"/>
            </w:pPr>
            <w:r w:rsidRPr="00BB6CE8">
              <w:t>Injection 450</w:t>
            </w:r>
            <w:r w:rsidR="00E27271" w:rsidRPr="00BB6CE8">
              <w:t> </w:t>
            </w:r>
            <w:r w:rsidR="00030522">
              <w:t>I.U.</w:t>
            </w:r>
            <w:r w:rsidR="004D6675" w:rsidRPr="00BB6CE8">
              <w:t xml:space="preserve"> in 0.75</w:t>
            </w:r>
            <w:r w:rsidR="003D0D42">
              <w:t> </w:t>
            </w:r>
            <w:r w:rsidR="004D6675" w:rsidRPr="00BB6CE8">
              <w:t>mL multi-dose cartridge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Gonal-f Pen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216.00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  <w:ind w:left="57"/>
            </w:pPr>
            <w:r w:rsidRPr="00BB6CE8">
              <w:t>6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Follitropin Alfa</w:t>
            </w:r>
          </w:p>
        </w:tc>
        <w:tc>
          <w:tcPr>
            <w:tcW w:w="1526" w:type="dxa"/>
          </w:tcPr>
          <w:p w:rsidR="004D6675" w:rsidRPr="00BB6CE8" w:rsidRDefault="004D6675" w:rsidP="003D0D42">
            <w:pPr>
              <w:pStyle w:val="TableText"/>
            </w:pPr>
            <w:r w:rsidRPr="00BB6CE8">
              <w:t>Injection 900</w:t>
            </w:r>
            <w:r w:rsidR="00E27271" w:rsidRPr="00BB6CE8">
              <w:t> </w:t>
            </w:r>
            <w:r w:rsidR="00030522">
              <w:t>I.U.</w:t>
            </w:r>
            <w:r w:rsidRPr="00BB6CE8">
              <w:t xml:space="preserve"> in 1.5</w:t>
            </w:r>
            <w:r w:rsidR="003D0D42">
              <w:t> </w:t>
            </w:r>
            <w:r w:rsidRPr="00BB6CE8">
              <w:t>mL multi-dose cartridge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Gonal-f Pen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649"/>
              </w:tabs>
              <w:ind w:right="113"/>
              <w:jc w:val="right"/>
            </w:pPr>
            <w:r w:rsidRPr="00BB6CE8">
              <w:t>432.00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  <w:ind w:left="57"/>
            </w:pPr>
            <w:r w:rsidRPr="00BB6CE8">
              <w:t>7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Follitropin Beta</w:t>
            </w:r>
          </w:p>
        </w:tc>
        <w:tc>
          <w:tcPr>
            <w:tcW w:w="1526" w:type="dxa"/>
          </w:tcPr>
          <w:p w:rsidR="004D6675" w:rsidRPr="00BB6CE8" w:rsidRDefault="004D6675" w:rsidP="003D0D42">
            <w:pPr>
              <w:pStyle w:val="TableText"/>
            </w:pPr>
            <w:r w:rsidRPr="00BB6CE8">
              <w:t>Solution for injection 300</w:t>
            </w:r>
            <w:r w:rsidR="00E27271" w:rsidRPr="00BB6CE8">
              <w:t> </w:t>
            </w:r>
            <w:r w:rsidR="00030522">
              <w:t>I.U.</w:t>
            </w:r>
            <w:r w:rsidRPr="00BB6CE8">
              <w:t xml:space="preserve"> in 0.36 mL multi-dose cartridge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  <w:spacing w:line="240" w:lineRule="auto"/>
            </w:pPr>
            <w:r w:rsidRPr="00BB6CE8">
              <w:t>Puregon</w:t>
            </w:r>
          </w:p>
          <w:p w:rsidR="004D6675" w:rsidRPr="00BB6CE8" w:rsidRDefault="004D6675" w:rsidP="002C42D4">
            <w:pPr>
              <w:pStyle w:val="TableText"/>
              <w:spacing w:line="240" w:lineRule="auto"/>
            </w:pPr>
            <w:r w:rsidRPr="00BB6CE8">
              <w:t xml:space="preserve">300 </w:t>
            </w:r>
            <w:r w:rsidR="00030522">
              <w:t>IU</w:t>
            </w:r>
            <w:r w:rsidRPr="00BB6CE8">
              <w:t>/0.36 mL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144.04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  <w:ind w:left="57"/>
            </w:pPr>
            <w:r w:rsidRPr="00BB6CE8">
              <w:t>8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Follitropin Beta</w:t>
            </w:r>
          </w:p>
        </w:tc>
        <w:tc>
          <w:tcPr>
            <w:tcW w:w="1526" w:type="dxa"/>
          </w:tcPr>
          <w:p w:rsidR="004D6675" w:rsidRPr="00BB6CE8" w:rsidRDefault="00871D8D" w:rsidP="003D0D42">
            <w:pPr>
              <w:pStyle w:val="TableText"/>
            </w:pPr>
            <w:r w:rsidRPr="00BB6CE8">
              <w:t>Solution for injection 450</w:t>
            </w:r>
            <w:r w:rsidR="00E27271" w:rsidRPr="00BB6CE8">
              <w:t> </w:t>
            </w:r>
            <w:r w:rsidR="00030522">
              <w:t>I.U.</w:t>
            </w:r>
            <w:r w:rsidR="004D6675" w:rsidRPr="00BB6CE8">
              <w:t xml:space="preserve"> in 0.72</w:t>
            </w:r>
            <w:r w:rsidR="003D0D42">
              <w:t> </w:t>
            </w:r>
            <w:r w:rsidR="004D6675" w:rsidRPr="00BB6CE8">
              <w:t>mL multi-dose cartridge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  <w:spacing w:line="240" w:lineRule="auto"/>
            </w:pPr>
            <w:r w:rsidRPr="00BB6CE8">
              <w:t>Puregon</w:t>
            </w:r>
          </w:p>
          <w:p w:rsidR="004D6675" w:rsidRPr="00BB6CE8" w:rsidRDefault="004D6675" w:rsidP="002C42D4">
            <w:pPr>
              <w:pStyle w:val="TableText"/>
              <w:spacing w:line="240" w:lineRule="auto"/>
            </w:pPr>
            <w:r w:rsidRPr="00BB6CE8">
              <w:t xml:space="preserve">600 </w:t>
            </w:r>
            <w:r w:rsidR="00030522">
              <w:t>IU</w:t>
            </w:r>
            <w:r w:rsidRPr="00BB6CE8">
              <w:t>/0.72 mL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288.09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  <w:ind w:left="57"/>
            </w:pPr>
            <w:r w:rsidRPr="00BB6CE8">
              <w:t>9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Follitropin Beta</w:t>
            </w:r>
          </w:p>
        </w:tc>
        <w:tc>
          <w:tcPr>
            <w:tcW w:w="1526" w:type="dxa"/>
          </w:tcPr>
          <w:p w:rsidR="004D6675" w:rsidRPr="00BB6CE8" w:rsidRDefault="00871D8D" w:rsidP="003D0D42">
            <w:pPr>
              <w:pStyle w:val="TableText"/>
            </w:pPr>
            <w:r w:rsidRPr="00BB6CE8">
              <w:t>Solution for injection 900</w:t>
            </w:r>
            <w:r w:rsidR="00E27271" w:rsidRPr="00BB6CE8">
              <w:t> </w:t>
            </w:r>
            <w:r w:rsidR="00030522">
              <w:t>I.U.</w:t>
            </w:r>
            <w:r w:rsidR="004D6675" w:rsidRPr="00BB6CE8">
              <w:t xml:space="preserve"> in 1.08</w:t>
            </w:r>
            <w:r w:rsidR="003D0D42">
              <w:t> </w:t>
            </w:r>
            <w:r w:rsidR="004D6675" w:rsidRPr="00BB6CE8">
              <w:t>mL multi-dose cartridge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  <w:spacing w:line="240" w:lineRule="auto"/>
            </w:pPr>
            <w:r w:rsidRPr="00BB6CE8">
              <w:t>Puregon</w:t>
            </w:r>
          </w:p>
          <w:p w:rsidR="004D6675" w:rsidRPr="00BB6CE8" w:rsidRDefault="004D6675" w:rsidP="002C42D4">
            <w:pPr>
              <w:pStyle w:val="TableText"/>
              <w:spacing w:line="240" w:lineRule="auto"/>
            </w:pPr>
            <w:r w:rsidRPr="00BB6CE8">
              <w:t xml:space="preserve">900 </w:t>
            </w:r>
            <w:r w:rsidR="00030522">
              <w:t>IU</w:t>
            </w:r>
            <w:r w:rsidRPr="00BB6CE8">
              <w:t>/1.08 mL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432.11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</w:pPr>
            <w:r w:rsidRPr="00BB6CE8">
              <w:t>10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Rituximab</w:t>
            </w:r>
          </w:p>
        </w:tc>
        <w:tc>
          <w:tcPr>
            <w:tcW w:w="1526" w:type="dxa"/>
          </w:tcPr>
          <w:p w:rsidR="004D6675" w:rsidRPr="00BB6CE8" w:rsidRDefault="004D6675" w:rsidP="003D0D42">
            <w:pPr>
              <w:pStyle w:val="TableText"/>
            </w:pPr>
            <w:r w:rsidRPr="00BB6CE8">
              <w:t xml:space="preserve">Solution for </w:t>
            </w:r>
            <w:r w:rsidR="00030522">
              <w:t>I.V.</w:t>
            </w:r>
            <w:r w:rsidRPr="00BB6CE8">
              <w:t xml:space="preserve"> infusion 500 mg in 50</w:t>
            </w:r>
            <w:r w:rsidR="00E27271" w:rsidRPr="00BB6CE8">
              <w:t> </w:t>
            </w:r>
            <w:r w:rsidRPr="00BB6CE8">
              <w:t>mL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Injection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Mabthera</w:t>
            </w:r>
          </w:p>
        </w:tc>
        <w:tc>
          <w:tcPr>
            <w:tcW w:w="1302" w:type="dxa"/>
          </w:tcPr>
          <w:p w:rsidR="004D6675" w:rsidRPr="00BB6CE8" w:rsidRDefault="003D0D42" w:rsidP="003D0D42">
            <w:pPr>
              <w:pStyle w:val="TableText"/>
              <w:tabs>
                <w:tab w:val="decimal" w:pos="649"/>
              </w:tabs>
              <w:ind w:right="113"/>
              <w:jc w:val="right"/>
            </w:pPr>
            <w:r>
              <w:t>2 263.57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</w:pPr>
            <w:r w:rsidRPr="00BB6CE8">
              <w:t>11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Temozolomide</w:t>
            </w:r>
          </w:p>
        </w:tc>
        <w:tc>
          <w:tcPr>
            <w:tcW w:w="1526" w:type="dxa"/>
          </w:tcPr>
          <w:p w:rsidR="004D6675" w:rsidRPr="00BB6CE8" w:rsidRDefault="00871D8D" w:rsidP="002C42D4">
            <w:pPr>
              <w:pStyle w:val="TableText"/>
            </w:pPr>
            <w:r w:rsidRPr="00BB6CE8">
              <w:t>Capsule 100</w:t>
            </w:r>
            <w:r w:rsidR="00E27271" w:rsidRPr="00BB6CE8">
              <w:t> </w:t>
            </w:r>
            <w:r w:rsidR="004D6675" w:rsidRPr="00BB6CE8">
              <w:t>mg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Oral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Astromide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602.32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</w:pPr>
            <w:r w:rsidRPr="00BB6CE8">
              <w:lastRenderedPageBreak/>
              <w:t>12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Temozolomide</w:t>
            </w:r>
          </w:p>
        </w:tc>
        <w:tc>
          <w:tcPr>
            <w:tcW w:w="1526" w:type="dxa"/>
          </w:tcPr>
          <w:p w:rsidR="004D6675" w:rsidRPr="00BB6CE8" w:rsidRDefault="00871D8D" w:rsidP="002C42D4">
            <w:pPr>
              <w:pStyle w:val="TableText"/>
            </w:pPr>
            <w:r w:rsidRPr="00BB6CE8">
              <w:t>Capsule 100</w:t>
            </w:r>
            <w:r w:rsidR="00E27271" w:rsidRPr="00BB6CE8">
              <w:t> </w:t>
            </w:r>
            <w:r w:rsidR="004D6675" w:rsidRPr="00BB6CE8">
              <w:t>mg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Oral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Temizole 100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602.32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</w:pPr>
            <w:r w:rsidRPr="00BB6CE8">
              <w:t>13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Temozolomide</w:t>
            </w:r>
          </w:p>
        </w:tc>
        <w:tc>
          <w:tcPr>
            <w:tcW w:w="1526" w:type="dxa"/>
          </w:tcPr>
          <w:p w:rsidR="004D6675" w:rsidRPr="00BB6CE8" w:rsidRDefault="00871D8D" w:rsidP="002C42D4">
            <w:pPr>
              <w:pStyle w:val="TableText"/>
            </w:pPr>
            <w:r w:rsidRPr="00BB6CE8">
              <w:t>Capsule 100</w:t>
            </w:r>
            <w:r w:rsidR="00E27271" w:rsidRPr="00BB6CE8">
              <w:t> </w:t>
            </w:r>
            <w:r w:rsidR="004D6675" w:rsidRPr="00BB6CE8">
              <w:t>mg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Oral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Temodal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602.32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</w:pPr>
            <w:r w:rsidRPr="00BB6CE8">
              <w:t>14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Temozolomide</w:t>
            </w:r>
          </w:p>
        </w:tc>
        <w:tc>
          <w:tcPr>
            <w:tcW w:w="1526" w:type="dxa"/>
          </w:tcPr>
          <w:p w:rsidR="004D6675" w:rsidRPr="00BB6CE8" w:rsidRDefault="00871D8D" w:rsidP="002C42D4">
            <w:pPr>
              <w:pStyle w:val="TableText"/>
            </w:pPr>
            <w:r w:rsidRPr="00BB6CE8">
              <w:t>Capsule 140</w:t>
            </w:r>
            <w:r w:rsidR="00E27271" w:rsidRPr="00BB6CE8">
              <w:t> </w:t>
            </w:r>
            <w:r w:rsidR="004D6675" w:rsidRPr="00BB6CE8">
              <w:t>mg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Oral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Astromide</w:t>
            </w:r>
          </w:p>
        </w:tc>
        <w:tc>
          <w:tcPr>
            <w:tcW w:w="1302" w:type="dxa"/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830.65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</w:tcPr>
          <w:p w:rsidR="004D6675" w:rsidRPr="00BB6CE8" w:rsidRDefault="004D6675" w:rsidP="00544554">
            <w:pPr>
              <w:pStyle w:val="TableText"/>
            </w:pPr>
            <w:r w:rsidRPr="00BB6CE8">
              <w:t>15</w:t>
            </w:r>
          </w:p>
        </w:tc>
        <w:tc>
          <w:tcPr>
            <w:tcW w:w="1554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Temozolomide</w:t>
            </w:r>
          </w:p>
        </w:tc>
        <w:tc>
          <w:tcPr>
            <w:tcW w:w="1526" w:type="dxa"/>
          </w:tcPr>
          <w:p w:rsidR="004D6675" w:rsidRPr="00BB6CE8" w:rsidRDefault="00871D8D" w:rsidP="002C42D4">
            <w:pPr>
              <w:pStyle w:val="TableText"/>
            </w:pPr>
            <w:r w:rsidRPr="00BB6CE8">
              <w:t>Capsule 140</w:t>
            </w:r>
            <w:r w:rsidR="00E27271" w:rsidRPr="00BB6CE8">
              <w:t> </w:t>
            </w:r>
            <w:r w:rsidR="004D6675" w:rsidRPr="00BB6CE8">
              <w:t>mg</w:t>
            </w:r>
          </w:p>
        </w:tc>
        <w:tc>
          <w:tcPr>
            <w:tcW w:w="1498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Oral</w:t>
            </w:r>
          </w:p>
        </w:tc>
        <w:tc>
          <w:tcPr>
            <w:tcW w:w="1203" w:type="dxa"/>
          </w:tcPr>
          <w:p w:rsidR="004D6675" w:rsidRPr="00BB6CE8" w:rsidRDefault="004D6675" w:rsidP="002C42D4">
            <w:pPr>
              <w:pStyle w:val="TableText"/>
            </w:pPr>
            <w:r w:rsidRPr="00BB6CE8">
              <w:t>Temizole 140</w:t>
            </w:r>
          </w:p>
        </w:tc>
        <w:tc>
          <w:tcPr>
            <w:tcW w:w="1302" w:type="dxa"/>
          </w:tcPr>
          <w:p w:rsidR="004D6675" w:rsidRPr="00BB6CE8" w:rsidRDefault="00BF3231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>
              <w:t>830.65</w:t>
            </w:r>
          </w:p>
        </w:tc>
      </w:tr>
      <w:tr w:rsidR="00BF3231" w:rsidRPr="00BB6CE8" w:rsidTr="00CF7116">
        <w:trPr>
          <w:cantSplit/>
          <w:trHeight w:val="240"/>
        </w:trPr>
        <w:tc>
          <w:tcPr>
            <w:tcW w:w="504" w:type="dxa"/>
            <w:tcBorders>
              <w:bottom w:val="single" w:sz="4" w:space="0" w:color="auto"/>
            </w:tcBorders>
          </w:tcPr>
          <w:p w:rsidR="004D6675" w:rsidRPr="00BB6CE8" w:rsidRDefault="004D6675" w:rsidP="00544554">
            <w:pPr>
              <w:pStyle w:val="TableText"/>
            </w:pPr>
            <w:r w:rsidRPr="00BB6CE8">
              <w:t>16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4D6675" w:rsidRPr="00BB6CE8" w:rsidRDefault="004D6675" w:rsidP="002C42D4">
            <w:pPr>
              <w:pStyle w:val="TableText"/>
            </w:pPr>
            <w:r w:rsidRPr="00BB6CE8">
              <w:t>Temozolomide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D6675" w:rsidRPr="00BB6CE8" w:rsidRDefault="00871D8D" w:rsidP="002C42D4">
            <w:pPr>
              <w:pStyle w:val="TableText"/>
            </w:pPr>
            <w:r w:rsidRPr="00BB6CE8">
              <w:t>Capsule 140</w:t>
            </w:r>
            <w:r w:rsidR="00E27271" w:rsidRPr="00BB6CE8">
              <w:t> </w:t>
            </w:r>
            <w:r w:rsidR="004D6675" w:rsidRPr="00BB6CE8">
              <w:t>mg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4D6675" w:rsidRPr="00BB6CE8" w:rsidRDefault="004D6675" w:rsidP="002C42D4">
            <w:pPr>
              <w:pStyle w:val="TableText"/>
            </w:pPr>
            <w:r w:rsidRPr="00BB6CE8">
              <w:t>Oral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4D6675" w:rsidRPr="00BB6CE8" w:rsidRDefault="004D6675" w:rsidP="002C42D4">
            <w:pPr>
              <w:pStyle w:val="TableText"/>
            </w:pPr>
            <w:r w:rsidRPr="00BB6CE8">
              <w:t>Temodal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4D6675" w:rsidRPr="00BB6CE8" w:rsidRDefault="004D6675" w:rsidP="003D0D42">
            <w:pPr>
              <w:pStyle w:val="TableText"/>
              <w:tabs>
                <w:tab w:val="decimal" w:pos="580"/>
              </w:tabs>
              <w:ind w:right="113"/>
              <w:jc w:val="right"/>
            </w:pPr>
            <w:r w:rsidRPr="00BB6CE8">
              <w:t>830.65</w:t>
            </w:r>
          </w:p>
        </w:tc>
      </w:tr>
    </w:tbl>
    <w:p w:rsidR="00672878" w:rsidRDefault="003C5A3D" w:rsidP="00040444">
      <w:pPr>
        <w:pStyle w:val="A1S"/>
        <w:spacing w:after="120"/>
      </w:pPr>
      <w:r w:rsidRPr="00BB6CE8">
        <w:t>[</w:t>
      </w:r>
      <w:fldSimple w:instr=" SEQ Sch1Item " w:fldLock="1">
        <w:r w:rsidR="003E2B84">
          <w:rPr>
            <w:noProof/>
          </w:rPr>
          <w:t>32</w:t>
        </w:r>
      </w:fldSimple>
      <w:r w:rsidRPr="00BB6CE8">
        <w:t>]</w:t>
      </w:r>
      <w:r w:rsidRPr="00BB6CE8">
        <w:tab/>
      </w:r>
      <w:r w:rsidR="00672878" w:rsidRPr="00BB6CE8">
        <w:t>Further amendments</w:t>
      </w:r>
      <w:r w:rsidR="003D0D42">
        <w:t>—start day</w:t>
      </w:r>
    </w:p>
    <w:p w:rsidR="00CF7116" w:rsidRDefault="00CF7116" w:rsidP="00CF7116">
      <w:pPr>
        <w:pStyle w:val="A2"/>
      </w:pPr>
      <w:r>
        <w:tab/>
      </w:r>
      <w:r>
        <w:tab/>
        <w:t>The following provisions are amended by omitting</w:t>
      </w:r>
      <w:r w:rsidR="000B4F40">
        <w:t xml:space="preserve"> each mention of </w:t>
      </w:r>
      <w:r>
        <w:t>‘relevant day’ and inserting ‘start day’:</w:t>
      </w:r>
    </w:p>
    <w:p w:rsidR="00CF7116" w:rsidRDefault="00CF7116" w:rsidP="000B4F40">
      <w:pPr>
        <w:pStyle w:val="P1"/>
      </w:pPr>
      <w:r>
        <w:rPr>
          <w:rFonts w:ascii="Lucida Console" w:hAnsi="Lucida Console"/>
        </w:rPr>
        <w:tab/>
      </w:r>
      <w:r>
        <w:rPr>
          <w:rFonts w:ascii="Lucida Console" w:hAnsi="Lucida Console"/>
        </w:rPr>
        <w:sym w:font="Symbol" w:char="F0B7"/>
      </w:r>
      <w:r>
        <w:tab/>
        <w:t>regulation 37ED</w:t>
      </w:r>
    </w:p>
    <w:p w:rsidR="00CF7116" w:rsidRDefault="00CF7116" w:rsidP="000B4F40">
      <w:pPr>
        <w:pStyle w:val="P1"/>
      </w:pPr>
      <w:r>
        <w:rPr>
          <w:rFonts w:ascii="Lucida Console" w:hAnsi="Lucida Console"/>
        </w:rPr>
        <w:tab/>
      </w:r>
      <w:r>
        <w:rPr>
          <w:rFonts w:ascii="Lucida Console" w:hAnsi="Lucida Console"/>
        </w:rPr>
        <w:sym w:font="Symbol" w:char="F0B7"/>
      </w:r>
      <w:r>
        <w:tab/>
        <w:t>regulation 37EE.</w:t>
      </w:r>
    </w:p>
    <w:p w:rsidR="00871D8D" w:rsidRPr="00BB6CE8" w:rsidRDefault="00871D8D" w:rsidP="00C161C9">
      <w:pPr>
        <w:pStyle w:val="SchedSectionBreak"/>
        <w:sectPr w:rsidR="00871D8D" w:rsidRPr="00BB6CE8" w:rsidSect="003D0D4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2268" w:right="2410" w:bottom="3969" w:left="2410" w:header="567" w:footer="3119" w:gutter="0"/>
          <w:cols w:space="708"/>
          <w:docGrid w:linePitch="360"/>
        </w:sectPr>
      </w:pPr>
    </w:p>
    <w:p w:rsidR="00D76148" w:rsidRPr="00BB6CE8" w:rsidRDefault="00D76148" w:rsidP="00CF7116">
      <w:pPr>
        <w:pStyle w:val="NoteEnd"/>
        <w:keepNext/>
        <w:pBdr>
          <w:top w:val="single" w:sz="4" w:space="1" w:color="auto"/>
        </w:pBdr>
        <w:spacing w:before="480"/>
        <w:rPr>
          <w:rFonts w:ascii="Arial" w:hAnsi="Arial"/>
          <w:b/>
          <w:sz w:val="24"/>
        </w:rPr>
      </w:pPr>
      <w:r w:rsidRPr="00BB6CE8">
        <w:rPr>
          <w:rFonts w:ascii="Arial" w:hAnsi="Arial"/>
          <w:b/>
          <w:sz w:val="24"/>
        </w:rPr>
        <w:lastRenderedPageBreak/>
        <w:t>Note</w:t>
      </w:r>
    </w:p>
    <w:p w:rsidR="00D76148" w:rsidRPr="00BB6CE8" w:rsidRDefault="00D76148" w:rsidP="001E1BDF">
      <w:pPr>
        <w:pStyle w:val="NoteEnd"/>
      </w:pPr>
      <w:r w:rsidRPr="00BB6CE8">
        <w:t>1.</w:t>
      </w:r>
      <w:r w:rsidRPr="00BB6CE8">
        <w:tab/>
        <w:t xml:space="preserve">All legislative instruments and compilations are registered on the Federal Register of Legislative Instruments kept under the </w:t>
      </w:r>
      <w:r w:rsidRPr="00BB6CE8">
        <w:rPr>
          <w:i/>
        </w:rPr>
        <w:t xml:space="preserve">Legislative Instruments Act 2003. </w:t>
      </w:r>
      <w:r w:rsidRPr="00BB6CE8">
        <w:t xml:space="preserve">See </w:t>
      </w:r>
      <w:hyperlink r:id="rId26" w:history="1">
        <w:r w:rsidRPr="00BB6CE8">
          <w:rPr>
            <w:rStyle w:val="Hyperlink"/>
          </w:rPr>
          <w:t>www.comlaw.gov.au</w:t>
        </w:r>
      </w:hyperlink>
      <w:r w:rsidRPr="00BB6CE8">
        <w:t>.</w:t>
      </w:r>
    </w:p>
    <w:p w:rsidR="00D76148" w:rsidRPr="00BB6CE8" w:rsidRDefault="00D76148" w:rsidP="001E1BDF">
      <w:pPr>
        <w:pStyle w:val="NotesSectionBreak"/>
        <w:sectPr w:rsidR="00D76148" w:rsidRPr="00BB6CE8" w:rsidSect="001E1BDF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D76148" w:rsidRPr="00BB6CE8" w:rsidRDefault="00D76148" w:rsidP="00D76148"/>
    <w:sectPr w:rsidR="00D76148" w:rsidRPr="00BB6CE8" w:rsidSect="00D76148">
      <w:headerReference w:type="even" r:id="rId33"/>
      <w:headerReference w:type="default" r:id="rId34"/>
      <w:footerReference w:type="even" r:id="rId35"/>
      <w:footerReference w:type="default" r:id="rId36"/>
      <w:footerReference w:type="first" r:id="rId37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84" w:rsidRDefault="003E2B84">
      <w:r>
        <w:separator/>
      </w:r>
    </w:p>
  </w:endnote>
  <w:endnote w:type="continuationSeparator" w:id="0">
    <w:p w:rsidR="003E2B84" w:rsidRDefault="003E2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 w:rsidP="001E1BD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2B84">
      <w:tc>
        <w:tcPr>
          <w:tcW w:w="1134" w:type="dxa"/>
          <w:shd w:val="clear" w:color="auto" w:fill="auto"/>
        </w:tcPr>
        <w:p w:rsidR="003E2B84" w:rsidRPr="007F6065" w:rsidRDefault="003E2B84" w:rsidP="001E1BD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B61951">
            <w:rPr>
              <w:rStyle w:val="PageNumber"/>
              <w:noProof/>
            </w:rPr>
            <w:t>8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E2B84" w:rsidRPr="00EF2F9D" w:rsidRDefault="003E2B84" w:rsidP="001E1BDF">
          <w:pPr>
            <w:pStyle w:val="FooterCitation"/>
          </w:pPr>
          <w:fldSimple w:instr=" REF  Citation\*charformat ">
            <w:r w:rsidRPr="00BB6CE8">
              <w:t>National Health (Pharmaceutical Benefits) Amendment Regulation 2012 (No. </w:t>
            </w:r>
            <w:r>
              <w:t>4</w:t>
            </w:r>
            <w:r w:rsidRPr="00BB6CE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3E2B84" w:rsidRPr="007F6065" w:rsidRDefault="003E2B84" w:rsidP="001E1BDF">
          <w:pPr>
            <w:pStyle w:val="Footer"/>
            <w:spacing w:before="20"/>
            <w:jc w:val="right"/>
          </w:pPr>
          <w:fldSimple w:instr=" REF Year \*Charformat ">
            <w:r w:rsidRPr="00BB6CE8">
              <w:t>2012</w:t>
            </w:r>
          </w:fldSimple>
          <w:r w:rsidRPr="007F6065">
            <w:t xml:space="preserve">, </w:t>
          </w:r>
          <w:fldSimple w:instr=" REF refno \*Charformat ">
            <w:r>
              <w:t>168</w:t>
            </w:r>
          </w:fldSimple>
        </w:p>
      </w:tc>
    </w:tr>
  </w:tbl>
  <w:p w:rsidR="003E2B84" w:rsidRDefault="003E2B84" w:rsidP="001E1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3E2B84" w:rsidRPr="004675CE" w:rsidRDefault="003E2B84" w:rsidP="00224670">
                <w:pPr>
                  <w:pStyle w:val="FooterDraft"/>
                </w:pPr>
              </w:p>
              <w:p w:rsidR="003E2B84" w:rsidRPr="004675CE" w:rsidRDefault="003E2B84" w:rsidP="001E1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3E2B84" w:rsidRPr="004675CE" w:rsidRDefault="003E2B84" w:rsidP="00224670">
                <w:pPr>
                  <w:pStyle w:val="FooterDraft"/>
                </w:pPr>
              </w:p>
              <w:p w:rsidR="003E2B84" w:rsidRPr="004675CE" w:rsidRDefault="003E2B84" w:rsidP="001E1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 w:rsidP="001E1BD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2B84">
      <w:tc>
        <w:tcPr>
          <w:tcW w:w="1134" w:type="dxa"/>
          <w:shd w:val="clear" w:color="auto" w:fill="auto"/>
        </w:tcPr>
        <w:p w:rsidR="003E2B84" w:rsidRPr="007F6065" w:rsidRDefault="003E2B84" w:rsidP="001E1BD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E2B84" w:rsidRPr="00EF2F9D" w:rsidRDefault="003E2B84" w:rsidP="001E1BDF">
          <w:pPr>
            <w:pStyle w:val="FooterCitation"/>
          </w:pPr>
          <w:fldSimple w:instr=" REF  Citation\*charformat ">
            <w:r w:rsidRPr="00BB6CE8">
              <w:t>National Health (Pharmaceutical Benefits) Amendment Regulation 2012 (No. </w:t>
            </w:r>
            <w:r>
              <w:t>4</w:t>
            </w:r>
            <w:r w:rsidRPr="00BB6CE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3E2B84" w:rsidRPr="007F6065" w:rsidRDefault="003E2B84" w:rsidP="001E1BDF">
          <w:pPr>
            <w:pStyle w:val="Footer"/>
            <w:spacing w:before="20"/>
            <w:jc w:val="right"/>
          </w:pPr>
          <w:fldSimple w:instr=" REF Year \*Charformat ">
            <w:r w:rsidRPr="00BB6CE8">
              <w:t>2012</w:t>
            </w:r>
          </w:fldSimple>
          <w:r w:rsidRPr="007F6065">
            <w:t xml:space="preserve">, </w:t>
          </w:r>
          <w:fldSimple w:instr=" REF refno \*Charformat ">
            <w:r>
              <w:t>168</w:t>
            </w:r>
          </w:fldSimple>
        </w:p>
      </w:tc>
    </w:tr>
  </w:tbl>
  <w:p w:rsidR="003E2B84" w:rsidRDefault="003E2B84" w:rsidP="001E1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401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400">
            <w:txbxContent>
              <w:p w:rsidR="003E2B84" w:rsidRPr="004675CE" w:rsidRDefault="003E2B84" w:rsidP="00224670">
                <w:pPr>
                  <w:pStyle w:val="FooterDraft"/>
                </w:pPr>
              </w:p>
              <w:p w:rsidR="003E2B84" w:rsidRPr="004675CE" w:rsidRDefault="003E2B84" w:rsidP="001E1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9">
            <w:txbxContent>
              <w:p w:rsidR="003E2B84" w:rsidRPr="004675CE" w:rsidRDefault="003E2B84" w:rsidP="00224670">
                <w:pPr>
                  <w:pStyle w:val="FooterDraft"/>
                </w:pPr>
              </w:p>
              <w:p w:rsidR="003E2B84" w:rsidRPr="004675CE" w:rsidRDefault="003E2B84" w:rsidP="001E1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Pr="00A41806" w:rsidRDefault="003E2B84" w:rsidP="001E1BD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2B84" w:rsidRPr="00A41806">
      <w:tc>
        <w:tcPr>
          <w:tcW w:w="1191" w:type="dxa"/>
          <w:shd w:val="clear" w:color="auto" w:fill="auto"/>
        </w:tcPr>
        <w:p w:rsidR="003E2B84" w:rsidRPr="00A41806" w:rsidRDefault="003E2B84" w:rsidP="001E1BDF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Pr="00BB6CE8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>
            <w:fldChar w:fldCharType="separate"/>
          </w:r>
          <w:r>
            <w:t>168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3E2B84" w:rsidRPr="00EF2F9D" w:rsidRDefault="003E2B84" w:rsidP="001E1BDF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Pr="00BB6CE8">
            <w:t>National Health (Pharmaceutical Benefits) Amendment Regulation 2012 (No. </w:t>
          </w:r>
          <w:r>
            <w:t>4</w:t>
          </w:r>
          <w:r w:rsidRPr="00BB6CE8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3E2B84" w:rsidRPr="005968DD" w:rsidRDefault="003E2B84" w:rsidP="001E1BDF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3E2B84" w:rsidRPr="00A41806" w:rsidRDefault="003E2B84" w:rsidP="001E1BD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8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Pr="00556EB9" w:rsidRDefault="003E2B84" w:rsidP="001E1BDF">
    <w:pPr>
      <w:pStyle w:val="FooterCitation"/>
    </w:pPr>
    <w:r>
      <w:rPr>
        <w:noProof/>
      </w:rPr>
      <w:t>G:\Drafting-Unit 1\#final 12xxxxx\1205908A National Health (Pharmaceutical Benefits) Amdt Reg 2012 (No.  )\1205908A-120613Z.doc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Pr="00A41806" w:rsidRDefault="003E2B84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2B84" w:rsidRPr="00A41806">
      <w:tc>
        <w:tcPr>
          <w:tcW w:w="1134" w:type="dxa"/>
        </w:tcPr>
        <w:p w:rsidR="003E2B84" w:rsidRPr="00A41806" w:rsidRDefault="003E2B84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3E2B84" w:rsidRPr="00EF2F9D" w:rsidRDefault="003E2B84" w:rsidP="008C15A7">
          <w:pPr>
            <w:pStyle w:val="FooterCitation"/>
          </w:pPr>
          <w:fldSimple w:instr=" REF  Citation\*charformat ">
            <w:r w:rsidRPr="00BB6CE8">
              <w:t>National Health (Pharmaceutical Benefits) Amendment Regulation 2012 (No. </w:t>
            </w:r>
            <w:r>
              <w:t>4</w:t>
            </w:r>
            <w:r w:rsidRPr="00BB6CE8">
              <w:t>)</w:t>
            </w:r>
          </w:fldSimple>
        </w:p>
      </w:tc>
      <w:tc>
        <w:tcPr>
          <w:tcW w:w="1191" w:type="dxa"/>
        </w:tcPr>
        <w:p w:rsidR="003E2B84" w:rsidRPr="00A41806" w:rsidRDefault="003E2B84" w:rsidP="008C15A7">
          <w:pPr>
            <w:pStyle w:val="Footer"/>
            <w:spacing w:before="20"/>
            <w:jc w:val="right"/>
          </w:pPr>
          <w:fldSimple w:instr=" REF Year \*Charformat ">
            <w:r w:rsidRPr="00BB6CE8">
              <w:t>2012</w:t>
            </w:r>
          </w:fldSimple>
          <w:r w:rsidRPr="00A41806">
            <w:t xml:space="preserve">, </w:t>
          </w:r>
          <w:fldSimple w:instr=" REF refno \*Charformat ">
            <w:r>
              <w:t>168</w:t>
            </w:r>
          </w:fldSimple>
        </w:p>
      </w:tc>
    </w:tr>
  </w:tbl>
  <w:p w:rsidR="003E2B84" w:rsidRPr="00A41806" w:rsidRDefault="003E2B84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3E2B84" w:rsidRPr="004675CE" w:rsidRDefault="003E2B84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3E2B84" w:rsidRPr="004675CE" w:rsidRDefault="003E2B84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3E2B84" w:rsidRPr="004675CE" w:rsidRDefault="003E2B84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3E2B84" w:rsidRPr="004675CE" w:rsidRDefault="003E2B84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2B84" w:rsidRPr="008D3896">
      <w:tc>
        <w:tcPr>
          <w:tcW w:w="1191" w:type="dxa"/>
        </w:tcPr>
        <w:p w:rsidR="003E2B84" w:rsidRPr="008D3896" w:rsidRDefault="003E2B84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3E2B84" w:rsidRPr="00EF2F9D" w:rsidRDefault="003E2B84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3E2B84" w:rsidRPr="008D3896" w:rsidRDefault="003E2B84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3E2B84" w:rsidRDefault="003E2B84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3E2B84" w:rsidRPr="004675CE" w:rsidRDefault="003E2B84">
                <w:pPr>
                  <w:pStyle w:val="FooterDraft"/>
                </w:pPr>
                <w:r w:rsidRPr="004675CE">
                  <w:t>DRAFT ONLY</w:t>
                </w:r>
              </w:p>
              <w:p w:rsidR="003E2B84" w:rsidRPr="004675CE" w:rsidRDefault="003E2B84">
                <w:pPr>
                  <w:pStyle w:val="FooterInfo"/>
                </w:pPr>
                <w:r>
                  <w:rPr>
                    <w:noProof/>
                  </w:rPr>
                  <w:t>1205908A-120613Z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Pr="00A41806" w:rsidRDefault="003E2B84" w:rsidP="001E1BD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2B84" w:rsidRPr="00A41806">
      <w:tc>
        <w:tcPr>
          <w:tcW w:w="1191" w:type="dxa"/>
          <w:shd w:val="clear" w:color="auto" w:fill="auto"/>
        </w:tcPr>
        <w:p w:rsidR="003E2B84" w:rsidRPr="00A41806" w:rsidRDefault="003E2B84" w:rsidP="001E1BDF">
          <w:pPr>
            <w:pStyle w:val="Footer"/>
            <w:spacing w:before="20"/>
          </w:pPr>
          <w:fldSimple w:instr=" REF Year \*Charformat ">
            <w:r w:rsidRPr="00BB6CE8">
              <w:t>2012</w:t>
            </w:r>
          </w:fldSimple>
          <w:r w:rsidRPr="00A41806">
            <w:t xml:space="preserve">, </w:t>
          </w:r>
          <w:fldSimple w:instr=" REF refno \*Charformat ">
            <w:r>
              <w:t>168</w:t>
            </w:r>
          </w:fldSimple>
        </w:p>
      </w:tc>
      <w:tc>
        <w:tcPr>
          <w:tcW w:w="4820" w:type="dxa"/>
          <w:shd w:val="clear" w:color="auto" w:fill="auto"/>
        </w:tcPr>
        <w:p w:rsidR="003E2B84" w:rsidRPr="00EF2F9D" w:rsidRDefault="003E2B84" w:rsidP="001E1BDF">
          <w:pPr>
            <w:pStyle w:val="FooterCitation"/>
          </w:pPr>
          <w:fldSimple w:instr=" REF  Citation\*charformat ">
            <w:r w:rsidRPr="00BB6CE8">
              <w:t>National Health (Pharmaceutical Benefits) Amendment Regulation 2012 (No. </w:t>
            </w:r>
            <w:r>
              <w:t>4</w:t>
            </w:r>
            <w:r w:rsidRPr="00BB6CE8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3E2B84" w:rsidRPr="0014079B" w:rsidRDefault="003E2B84" w:rsidP="001E1BDF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3E2B84" w:rsidRPr="00094457" w:rsidRDefault="003E2B84" w:rsidP="001E1BD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 w:rsidP="001E1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3E2B84" w:rsidRPr="004675CE" w:rsidRDefault="003E2B84" w:rsidP="001E1BDF">
                <w:pPr>
                  <w:pStyle w:val="FooterDraft"/>
                </w:pPr>
              </w:p>
              <w:p w:rsidR="003E2B84" w:rsidRPr="004675CE" w:rsidRDefault="003E2B84" w:rsidP="001E1BDF">
                <w:pPr>
                  <w:pStyle w:val="FooterInfo"/>
                </w:pPr>
                <w:r>
                  <w:rPr>
                    <w:noProof/>
                  </w:rPr>
                  <w:t>1205908A-120613Z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 w:rsidP="001E1BD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2B84">
      <w:tc>
        <w:tcPr>
          <w:tcW w:w="1134" w:type="dxa"/>
          <w:shd w:val="clear" w:color="auto" w:fill="auto"/>
        </w:tcPr>
        <w:p w:rsidR="003E2B84" w:rsidRPr="007F6065" w:rsidRDefault="003E2B84" w:rsidP="001E1BD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E2B84" w:rsidRPr="00EF2F9D" w:rsidRDefault="003E2B84" w:rsidP="001E1BDF">
          <w:pPr>
            <w:pStyle w:val="FooterCitation"/>
          </w:pPr>
          <w:fldSimple w:instr=" REF  Citation\*charformat ">
            <w:r w:rsidRPr="00BB6CE8">
              <w:t>National Health (Pharmaceutical Benefits) Amendment Regulation 2012 (No. </w:t>
            </w:r>
            <w:r>
              <w:t>4</w:t>
            </w:r>
            <w:r w:rsidRPr="00BB6CE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3E2B84" w:rsidRPr="007F6065" w:rsidRDefault="003E2B84" w:rsidP="001E1BDF">
          <w:pPr>
            <w:pStyle w:val="Footer"/>
            <w:spacing w:before="20"/>
            <w:jc w:val="right"/>
          </w:pPr>
          <w:fldSimple w:instr=" REF Year \*Charformat ">
            <w:r w:rsidRPr="00BB6CE8">
              <w:t>2012</w:t>
            </w:r>
          </w:fldSimple>
          <w:r w:rsidRPr="007F6065">
            <w:t xml:space="preserve">, </w:t>
          </w:r>
          <w:fldSimple w:instr=" REF refno \*Charformat ">
            <w:r>
              <w:t>168</w:t>
            </w:r>
          </w:fldSimple>
        </w:p>
      </w:tc>
    </w:tr>
  </w:tbl>
  <w:p w:rsidR="003E2B84" w:rsidRDefault="003E2B84" w:rsidP="001E1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3E2B84" w:rsidRPr="004675CE" w:rsidRDefault="003E2B84" w:rsidP="00224670">
                <w:pPr>
                  <w:pStyle w:val="FooterDraft"/>
                </w:pPr>
              </w:p>
              <w:p w:rsidR="003E2B84" w:rsidRPr="004675CE" w:rsidRDefault="003E2B84" w:rsidP="001E1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3E2B84" w:rsidRPr="004675CE" w:rsidRDefault="003E2B84" w:rsidP="00224670">
                <w:pPr>
                  <w:pStyle w:val="FooterDraft"/>
                </w:pPr>
              </w:p>
              <w:p w:rsidR="003E2B84" w:rsidRPr="004675CE" w:rsidRDefault="003E2B84" w:rsidP="001E1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Pr="00A41806" w:rsidRDefault="003E2B84" w:rsidP="001E1BD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2B84" w:rsidRPr="00A41806">
      <w:tc>
        <w:tcPr>
          <w:tcW w:w="1191" w:type="dxa"/>
          <w:shd w:val="clear" w:color="auto" w:fill="auto"/>
        </w:tcPr>
        <w:p w:rsidR="003E2B84" w:rsidRPr="00A41806" w:rsidRDefault="003E2B84" w:rsidP="001E1BDF">
          <w:pPr>
            <w:pStyle w:val="Footer"/>
            <w:spacing w:before="20"/>
          </w:pPr>
          <w:fldSimple w:instr=" REF Year \*Charformat ">
            <w:r w:rsidRPr="00BB6CE8">
              <w:t>2012</w:t>
            </w:r>
          </w:fldSimple>
          <w:r w:rsidRPr="00A41806">
            <w:t xml:space="preserve">, </w:t>
          </w:r>
          <w:fldSimple w:instr=" REF refno \*Charformat ">
            <w:r>
              <w:t>168</w:t>
            </w:r>
          </w:fldSimple>
        </w:p>
      </w:tc>
      <w:tc>
        <w:tcPr>
          <w:tcW w:w="4820" w:type="dxa"/>
          <w:shd w:val="clear" w:color="auto" w:fill="auto"/>
        </w:tcPr>
        <w:p w:rsidR="003E2B84" w:rsidRPr="00EF2F9D" w:rsidRDefault="003E2B84" w:rsidP="001E1BDF">
          <w:pPr>
            <w:pStyle w:val="FooterCitation"/>
          </w:pPr>
          <w:fldSimple w:instr=" REF  Citation\*charformat ">
            <w:r w:rsidRPr="00BB6CE8">
              <w:t>National Health (Pharmaceutical Benefits) Amendment Regulation 2012 (No. </w:t>
            </w:r>
            <w:r>
              <w:t>4</w:t>
            </w:r>
            <w:r w:rsidRPr="00BB6CE8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3E2B84" w:rsidRPr="00845B98" w:rsidRDefault="003E2B84" w:rsidP="001E1BD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3E2B84" w:rsidRPr="00A41806" w:rsidRDefault="003E2B84" w:rsidP="001E1BD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Pr="00556EB9" w:rsidRDefault="003E2B84" w:rsidP="001E1BDF">
    <w:pPr>
      <w:pStyle w:val="FooterCitation"/>
    </w:pPr>
    <w:r>
      <w:rPr>
        <w:noProof/>
      </w:rPr>
      <w:t>G:\Drafting-Unit 1\#final 12xxxxx\1205908A National Health (Pharmaceutical Benefits) Amdt Reg 2012 (No.  )\1205908A-120613Z.doc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 w:rsidP="00C161C9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3E2B84">
      <w:tc>
        <w:tcPr>
          <w:tcW w:w="1134" w:type="dxa"/>
          <w:shd w:val="clear" w:color="auto" w:fill="auto"/>
        </w:tcPr>
        <w:p w:rsidR="003E2B84" w:rsidRPr="007F6065" w:rsidRDefault="003E2B84" w:rsidP="00C161C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B61951">
            <w:rPr>
              <w:rStyle w:val="PageNumber"/>
              <w:noProof/>
            </w:rPr>
            <w:t>14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3E2B84" w:rsidRPr="00EF2F9D" w:rsidRDefault="003E2B84" w:rsidP="00C161C9">
          <w:pPr>
            <w:pStyle w:val="FooterCitation"/>
          </w:pPr>
          <w:fldSimple w:instr=" REF  Citation\*charformat ">
            <w:r w:rsidRPr="00BB6CE8">
              <w:t>National Health (Pharmaceutical Benefits) Amendment Regulation 2012 (No. </w:t>
            </w:r>
            <w:r>
              <w:t>4</w:t>
            </w:r>
            <w:r w:rsidRPr="00BB6CE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3E2B84" w:rsidRPr="007F6065" w:rsidRDefault="003E2B84" w:rsidP="00C161C9">
          <w:pPr>
            <w:pStyle w:val="Footer"/>
            <w:spacing w:before="20"/>
            <w:jc w:val="right"/>
          </w:pPr>
          <w:fldSimple w:instr=" REF Year \*Charformat ">
            <w:r w:rsidRPr="00BB6CE8">
              <w:t>2012</w:t>
            </w:r>
          </w:fldSimple>
          <w:r w:rsidRPr="007F6065">
            <w:t xml:space="preserve">, </w:t>
          </w:r>
          <w:fldSimple w:instr=" REF refno \*Charformat ">
            <w:r>
              <w:t>168</w:t>
            </w:r>
          </w:fldSimple>
        </w:p>
      </w:tc>
    </w:tr>
  </w:tbl>
  <w:p w:rsidR="003E2B84" w:rsidRDefault="003E2B84" w:rsidP="00C161C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17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17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  <w:r>
      <w:rPr>
        <w:noProof/>
      </w:rPr>
      <w:pict>
        <v:shape id="_x0000_s2416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16">
            <w:txbxContent>
              <w:p w:rsidR="003E2B84" w:rsidRPr="004675CE" w:rsidRDefault="003E2B84" w:rsidP="00224670">
                <w:pPr>
                  <w:pStyle w:val="FooterDraft"/>
                </w:pPr>
              </w:p>
              <w:p w:rsidR="003E2B84" w:rsidRPr="004675CE" w:rsidRDefault="003E2B84" w:rsidP="00C161C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  <w:r>
      <w:rPr>
        <w:noProof/>
      </w:rPr>
      <w:pict>
        <v:shape id="_x0000_s2415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415">
            <w:txbxContent>
              <w:p w:rsidR="003E2B84" w:rsidRPr="004675CE" w:rsidRDefault="003E2B84" w:rsidP="00224670">
                <w:pPr>
                  <w:pStyle w:val="FooterDraft"/>
                </w:pPr>
              </w:p>
              <w:p w:rsidR="003E2B84" w:rsidRPr="004675CE" w:rsidRDefault="003E2B84" w:rsidP="00C161C9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70B">
                  <w:rPr>
                    <w:rFonts w:ascii="Arial" w:hAnsi="Arial" w:cs="Arial"/>
                    <w:noProof/>
                    <w:sz w:val="12"/>
                    <w:szCs w:val="12"/>
                  </w:rPr>
                  <w:t>1205908A-120613Z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Pr="00A41806" w:rsidRDefault="003E2B84" w:rsidP="00C161C9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3E2B84" w:rsidRPr="00845B98">
      <w:tc>
        <w:tcPr>
          <w:tcW w:w="1191" w:type="dxa"/>
          <w:shd w:val="clear" w:color="auto" w:fill="auto"/>
        </w:tcPr>
        <w:p w:rsidR="003E2B84" w:rsidRPr="00A41806" w:rsidRDefault="003E2B84" w:rsidP="00C161C9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Pr="00BB6CE8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>
            <w:fldChar w:fldCharType="separate"/>
          </w:r>
          <w:r>
            <w:t>168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3E2B84" w:rsidRPr="00EF2F9D" w:rsidRDefault="003E2B84" w:rsidP="00C161C9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Pr="00BB6CE8">
            <w:t>National Health (Pharmaceutical Benefits) Amendment Regulation 2012 (No. </w:t>
          </w:r>
          <w:r>
            <w:t>4</w:t>
          </w:r>
          <w:r w:rsidRPr="00BB6CE8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3E2B84" w:rsidRPr="00845B98" w:rsidRDefault="003E2B84" w:rsidP="00C161C9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B61951">
            <w:rPr>
              <w:rStyle w:val="PageNumber"/>
              <w:noProof/>
            </w:rPr>
            <w:t>13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3E2B84" w:rsidRPr="00A41806" w:rsidRDefault="003E2B84" w:rsidP="00C161C9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14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414" inset="0,0,0,0">
            <w:txbxContent>
              <w:p w:rsidR="003E2B84" w:rsidRPr="003E2B84" w:rsidRDefault="003E2B84" w:rsidP="003E2B84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Pr="00556EB9" w:rsidRDefault="003E2B84" w:rsidP="00C161C9">
    <w:pPr>
      <w:pStyle w:val="FooterCitation"/>
    </w:pPr>
    <w:r>
      <w:rPr>
        <w:noProof/>
      </w:rPr>
      <w:t>G:\Drafting-Unit 1\#final 12xxxxx\1205908A National Health (Pharmaceutical Benefits) Amdt Reg 2012 (No.  )\1205908A-120613Z.doc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84" w:rsidRDefault="003E2B84">
      <w:r>
        <w:separator/>
      </w:r>
    </w:p>
  </w:footnote>
  <w:footnote w:type="continuationSeparator" w:id="0">
    <w:p w:rsidR="003E2B84" w:rsidRDefault="003E2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3E2B84">
      <w:tc>
        <w:tcPr>
          <w:tcW w:w="1531" w:type="dxa"/>
        </w:tcPr>
        <w:p w:rsidR="003E2B84" w:rsidRDefault="003E2B84">
          <w:pPr>
            <w:pStyle w:val="HeaderLiteEven"/>
          </w:pPr>
        </w:p>
      </w:tc>
      <w:tc>
        <w:tcPr>
          <w:tcW w:w="5636" w:type="dxa"/>
          <w:vAlign w:val="bottom"/>
        </w:tcPr>
        <w:p w:rsidR="003E2B84" w:rsidRDefault="003E2B84">
          <w:pPr>
            <w:pStyle w:val="HeaderLiteEven"/>
          </w:pPr>
        </w:p>
      </w:tc>
    </w:tr>
    <w:tr w:rsidR="003E2B84">
      <w:tc>
        <w:tcPr>
          <w:tcW w:w="1531" w:type="dxa"/>
        </w:tcPr>
        <w:p w:rsidR="003E2B84" w:rsidRDefault="003E2B84">
          <w:pPr>
            <w:pStyle w:val="HeaderLiteEven"/>
          </w:pPr>
        </w:p>
      </w:tc>
      <w:tc>
        <w:tcPr>
          <w:tcW w:w="5636" w:type="dxa"/>
          <w:vAlign w:val="bottom"/>
        </w:tcPr>
        <w:p w:rsidR="003E2B84" w:rsidRDefault="003E2B84">
          <w:pPr>
            <w:pStyle w:val="HeaderLiteEven"/>
          </w:pPr>
        </w:p>
      </w:tc>
    </w:tr>
    <w:tr w:rsidR="003E2B84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2B84" w:rsidRDefault="003E2B84">
          <w:pPr>
            <w:pStyle w:val="HeaderBoldEven"/>
          </w:pPr>
        </w:p>
      </w:tc>
    </w:tr>
  </w:tbl>
  <w:p w:rsidR="003E2B84" w:rsidRDefault="003E2B84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3E2B84">
      <w:tc>
        <w:tcPr>
          <w:tcW w:w="7167" w:type="dxa"/>
        </w:tcPr>
        <w:p w:rsidR="003E2B84" w:rsidRDefault="003E2B84">
          <w:pPr>
            <w:pStyle w:val="HeaderLiteOdd"/>
          </w:pPr>
          <w:r>
            <w:t>Note</w:t>
          </w:r>
        </w:p>
      </w:tc>
    </w:tr>
    <w:tr w:rsidR="003E2B84">
      <w:tc>
        <w:tcPr>
          <w:tcW w:w="7167" w:type="dxa"/>
        </w:tcPr>
        <w:p w:rsidR="003E2B84" w:rsidRDefault="003E2B84">
          <w:pPr>
            <w:pStyle w:val="HeaderLiteOdd"/>
          </w:pPr>
        </w:p>
      </w:tc>
    </w:tr>
    <w:tr w:rsidR="003E2B8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3E2B84" w:rsidRDefault="003E2B84">
          <w:pPr>
            <w:pStyle w:val="HeaderBoldOdd"/>
          </w:pPr>
        </w:p>
      </w:tc>
    </w:tr>
  </w:tbl>
  <w:p w:rsidR="003E2B84" w:rsidRDefault="003E2B84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3E2B84">
      <w:tc>
        <w:tcPr>
          <w:tcW w:w="1531" w:type="dxa"/>
        </w:tcPr>
        <w:p w:rsidR="003E2B84" w:rsidRDefault="003E2B84" w:rsidP="004B0996">
          <w:pPr>
            <w:pStyle w:val="HeaderLiteEven"/>
          </w:pPr>
        </w:p>
      </w:tc>
      <w:tc>
        <w:tcPr>
          <w:tcW w:w="5636" w:type="dxa"/>
        </w:tcPr>
        <w:p w:rsidR="003E2B84" w:rsidRDefault="003E2B84" w:rsidP="004B0996">
          <w:pPr>
            <w:pStyle w:val="HeaderLiteEven"/>
          </w:pPr>
        </w:p>
      </w:tc>
    </w:tr>
    <w:tr w:rsidR="003E2B84">
      <w:tc>
        <w:tcPr>
          <w:tcW w:w="1531" w:type="dxa"/>
        </w:tcPr>
        <w:p w:rsidR="003E2B84" w:rsidRDefault="003E2B84" w:rsidP="004B0996">
          <w:pPr>
            <w:pStyle w:val="HeaderLiteEven"/>
          </w:pPr>
        </w:p>
      </w:tc>
      <w:tc>
        <w:tcPr>
          <w:tcW w:w="5636" w:type="dxa"/>
        </w:tcPr>
        <w:p w:rsidR="003E2B84" w:rsidRDefault="003E2B84" w:rsidP="004B0996">
          <w:pPr>
            <w:pStyle w:val="HeaderLiteEven"/>
          </w:pPr>
        </w:p>
      </w:tc>
    </w:tr>
    <w:tr w:rsidR="003E2B84">
      <w:tc>
        <w:tcPr>
          <w:tcW w:w="1531" w:type="dxa"/>
        </w:tcPr>
        <w:p w:rsidR="003E2B84" w:rsidRDefault="003E2B84" w:rsidP="004B0996">
          <w:pPr>
            <w:pStyle w:val="HeaderBoldEven"/>
          </w:pPr>
        </w:p>
      </w:tc>
      <w:tc>
        <w:tcPr>
          <w:tcW w:w="5636" w:type="dxa"/>
        </w:tcPr>
        <w:p w:rsidR="003E2B84" w:rsidRDefault="003E2B84" w:rsidP="004B0996">
          <w:pPr>
            <w:pStyle w:val="HeaderBoldEven"/>
          </w:pPr>
        </w:p>
      </w:tc>
    </w:tr>
  </w:tbl>
  <w:p w:rsidR="003E2B84" w:rsidRDefault="003E2B84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3E2B84">
      <w:tc>
        <w:tcPr>
          <w:tcW w:w="1531" w:type="dxa"/>
        </w:tcPr>
        <w:p w:rsidR="003E2B84" w:rsidRDefault="003E2B84">
          <w:pPr>
            <w:pStyle w:val="HeaderLiteOdd"/>
          </w:pPr>
        </w:p>
      </w:tc>
      <w:tc>
        <w:tcPr>
          <w:tcW w:w="1531" w:type="dxa"/>
        </w:tcPr>
        <w:p w:rsidR="003E2B84" w:rsidRDefault="003E2B84">
          <w:pPr>
            <w:pStyle w:val="HeaderLiteOdd"/>
          </w:pPr>
        </w:p>
      </w:tc>
    </w:tr>
    <w:tr w:rsidR="003E2B84">
      <w:tc>
        <w:tcPr>
          <w:tcW w:w="1531" w:type="dxa"/>
        </w:tcPr>
        <w:p w:rsidR="003E2B84" w:rsidRDefault="003E2B84">
          <w:pPr>
            <w:pStyle w:val="HeaderLiteOdd"/>
          </w:pPr>
        </w:p>
      </w:tc>
      <w:tc>
        <w:tcPr>
          <w:tcW w:w="1531" w:type="dxa"/>
        </w:tcPr>
        <w:p w:rsidR="003E2B84" w:rsidRDefault="003E2B84">
          <w:pPr>
            <w:pStyle w:val="HeaderLiteOdd"/>
          </w:pPr>
        </w:p>
      </w:tc>
    </w:tr>
    <w:tr w:rsidR="003E2B84">
      <w:tc>
        <w:tcPr>
          <w:tcW w:w="5636" w:type="dxa"/>
          <w:tcBorders>
            <w:bottom w:val="single" w:sz="4" w:space="0" w:color="auto"/>
          </w:tcBorders>
        </w:tcPr>
        <w:p w:rsidR="003E2B84" w:rsidRDefault="003E2B84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3E2B84" w:rsidRDefault="003E2B84">
          <w:pPr>
            <w:pStyle w:val="HeaderBoldOdd"/>
          </w:pPr>
        </w:p>
      </w:tc>
    </w:tr>
  </w:tbl>
  <w:p w:rsidR="003E2B84" w:rsidRDefault="003E2B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3E2B84">
      <w:tc>
        <w:tcPr>
          <w:tcW w:w="5636" w:type="dxa"/>
          <w:vAlign w:val="bottom"/>
        </w:tcPr>
        <w:p w:rsidR="003E2B84" w:rsidRDefault="003E2B84">
          <w:pPr>
            <w:pStyle w:val="HeaderLiteOdd"/>
          </w:pPr>
        </w:p>
      </w:tc>
      <w:tc>
        <w:tcPr>
          <w:tcW w:w="1531" w:type="dxa"/>
        </w:tcPr>
        <w:p w:rsidR="003E2B84" w:rsidRDefault="003E2B84">
          <w:pPr>
            <w:pStyle w:val="HeaderLiteOdd"/>
          </w:pPr>
        </w:p>
      </w:tc>
    </w:tr>
    <w:tr w:rsidR="003E2B84">
      <w:tc>
        <w:tcPr>
          <w:tcW w:w="5636" w:type="dxa"/>
          <w:vAlign w:val="bottom"/>
        </w:tcPr>
        <w:p w:rsidR="003E2B84" w:rsidRDefault="003E2B84">
          <w:pPr>
            <w:pStyle w:val="HeaderLiteOdd"/>
          </w:pPr>
        </w:p>
      </w:tc>
      <w:tc>
        <w:tcPr>
          <w:tcW w:w="1531" w:type="dxa"/>
        </w:tcPr>
        <w:p w:rsidR="003E2B84" w:rsidRDefault="003E2B84">
          <w:pPr>
            <w:pStyle w:val="HeaderLiteOdd"/>
          </w:pPr>
        </w:p>
      </w:tc>
    </w:tr>
    <w:tr w:rsidR="003E2B84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2B84" w:rsidRDefault="003E2B84">
          <w:pPr>
            <w:pStyle w:val="HeaderBoldOdd"/>
          </w:pPr>
        </w:p>
      </w:tc>
    </w:tr>
  </w:tbl>
  <w:p w:rsidR="003E2B84" w:rsidRDefault="003E2B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3E2B84">
      <w:tc>
        <w:tcPr>
          <w:tcW w:w="1531" w:type="dxa"/>
        </w:tcPr>
        <w:p w:rsidR="003E2B84" w:rsidRDefault="003E2B84">
          <w:pPr>
            <w:pStyle w:val="HeaderLiteEven"/>
          </w:pPr>
        </w:p>
      </w:tc>
      <w:tc>
        <w:tcPr>
          <w:tcW w:w="5636" w:type="dxa"/>
          <w:vAlign w:val="bottom"/>
        </w:tcPr>
        <w:p w:rsidR="003E2B84" w:rsidRDefault="003E2B84">
          <w:pPr>
            <w:pStyle w:val="HeaderLiteEven"/>
          </w:pPr>
        </w:p>
      </w:tc>
    </w:tr>
    <w:tr w:rsidR="003E2B84">
      <w:tc>
        <w:tcPr>
          <w:tcW w:w="1531" w:type="dxa"/>
        </w:tcPr>
        <w:p w:rsidR="003E2B84" w:rsidRDefault="003E2B84">
          <w:pPr>
            <w:pStyle w:val="HeaderLiteEven"/>
          </w:pPr>
        </w:p>
      </w:tc>
      <w:tc>
        <w:tcPr>
          <w:tcW w:w="5636" w:type="dxa"/>
          <w:vAlign w:val="bottom"/>
        </w:tcPr>
        <w:p w:rsidR="003E2B84" w:rsidRDefault="003E2B84">
          <w:pPr>
            <w:pStyle w:val="HeaderLiteEven"/>
          </w:pPr>
        </w:p>
      </w:tc>
    </w:tr>
    <w:tr w:rsidR="003E2B84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2B84" w:rsidRPr="00931F0F" w:rsidRDefault="003E2B84" w:rsidP="001E1BDF">
          <w:pPr>
            <w:pStyle w:val="HeaderBoldEven"/>
          </w:pPr>
          <w:r>
            <w:t xml:space="preserve">Section </w:t>
          </w:r>
          <w:r w:rsidRPr="00931F0F">
            <w:fldChar w:fldCharType="begin"/>
          </w:r>
          <w:r w:rsidRPr="00931F0F">
            <w:instrText xml:space="preserve"> If </w:instrText>
          </w:r>
          <w:fldSimple w:instr=" STYLEREF CharSectnoAm \*Charformat ">
            <w:r>
              <w:rPr>
                <w:noProof/>
              </w:rPr>
              <w:instrText>1</w:instrText>
            </w:r>
          </w:fldSimple>
          <w:r w:rsidRPr="00931F0F">
            <w:instrText xml:space="preserve"> &lt;&gt; "Error*" </w:instrText>
          </w:r>
          <w:fldSimple w:instr=" STYLEREF CharSectnoAm \*Charformat ">
            <w:r>
              <w:rPr>
                <w:noProof/>
              </w:rPr>
              <w:instrText>1</w:instrText>
            </w:r>
          </w:fldSimple>
          <w:r w:rsidRPr="00931F0F">
            <w:instrText xml:space="preserve"> </w:instrText>
          </w:r>
          <w:r w:rsidRPr="00931F0F">
            <w:fldChar w:fldCharType="separate"/>
          </w:r>
          <w:r>
            <w:rPr>
              <w:noProof/>
            </w:rPr>
            <w:t>1</w:t>
          </w:r>
          <w:r w:rsidRPr="00931F0F">
            <w:fldChar w:fldCharType="end"/>
          </w:r>
        </w:p>
      </w:tc>
    </w:tr>
  </w:tbl>
  <w:p w:rsidR="003E2B84" w:rsidRDefault="003E2B8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3E2B84">
      <w:tc>
        <w:tcPr>
          <w:tcW w:w="5636" w:type="dxa"/>
          <w:vAlign w:val="bottom"/>
        </w:tcPr>
        <w:p w:rsidR="003E2B84" w:rsidRDefault="003E2B84">
          <w:pPr>
            <w:pStyle w:val="HeaderLiteOdd"/>
          </w:pPr>
        </w:p>
      </w:tc>
      <w:tc>
        <w:tcPr>
          <w:tcW w:w="1531" w:type="dxa"/>
        </w:tcPr>
        <w:p w:rsidR="003E2B84" w:rsidRDefault="003E2B84">
          <w:pPr>
            <w:pStyle w:val="HeaderLiteOdd"/>
          </w:pPr>
        </w:p>
      </w:tc>
    </w:tr>
    <w:tr w:rsidR="003E2B84">
      <w:tc>
        <w:tcPr>
          <w:tcW w:w="5636" w:type="dxa"/>
          <w:vAlign w:val="bottom"/>
        </w:tcPr>
        <w:p w:rsidR="003E2B84" w:rsidRDefault="003E2B84">
          <w:pPr>
            <w:pStyle w:val="HeaderLiteOdd"/>
          </w:pPr>
        </w:p>
      </w:tc>
      <w:tc>
        <w:tcPr>
          <w:tcW w:w="1531" w:type="dxa"/>
        </w:tcPr>
        <w:p w:rsidR="003E2B84" w:rsidRDefault="003E2B84">
          <w:pPr>
            <w:pStyle w:val="HeaderLiteOdd"/>
          </w:pPr>
        </w:p>
      </w:tc>
    </w:tr>
    <w:tr w:rsidR="003E2B84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2B84" w:rsidRPr="00931F0F" w:rsidRDefault="003E2B84">
          <w:pPr>
            <w:pStyle w:val="HeaderBoldOdd"/>
          </w:pPr>
          <w:r>
            <w:t xml:space="preserve">Section </w:t>
          </w:r>
          <w:r w:rsidRPr="00931F0F">
            <w:fldChar w:fldCharType="begin"/>
          </w:r>
          <w:r w:rsidRPr="00931F0F">
            <w:instrText xml:space="preserve"> If </w:instrText>
          </w:r>
          <w:fldSimple w:instr=" STYLEREF CharSectnoAm \*Charformat \l ">
            <w:r>
              <w:rPr>
                <w:noProof/>
              </w:rPr>
              <w:instrText>1</w:instrText>
            </w:r>
          </w:fldSimple>
          <w:r w:rsidRPr="00931F0F">
            <w:instrText xml:space="preserve"> &lt;&gt; "Error*" </w:instrText>
          </w:r>
          <w:fldSimple w:instr=" STYLEREF CharSectnoAm \*Charformat \l ">
            <w:r>
              <w:rPr>
                <w:noProof/>
              </w:rPr>
              <w:instrText>1</w:instrText>
            </w:r>
          </w:fldSimple>
          <w:r w:rsidRPr="00931F0F">
            <w:instrText xml:space="preserve"> </w:instrText>
          </w:r>
          <w:r w:rsidRPr="00931F0F">
            <w:fldChar w:fldCharType="separate"/>
          </w:r>
          <w:r>
            <w:rPr>
              <w:noProof/>
            </w:rPr>
            <w:t>1</w:t>
          </w:r>
          <w:r w:rsidRPr="00931F0F">
            <w:fldChar w:fldCharType="end"/>
          </w:r>
        </w:p>
      </w:tc>
    </w:tr>
  </w:tbl>
  <w:p w:rsidR="003E2B84" w:rsidRDefault="003E2B8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3E2B84">
      <w:tc>
        <w:tcPr>
          <w:tcW w:w="1531" w:type="dxa"/>
        </w:tcPr>
        <w:p w:rsidR="003E2B84" w:rsidRDefault="003E2B84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B61951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B61951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B61951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3E2B84" w:rsidRDefault="003E2B84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B61951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B61951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B61951">
            <w:rPr>
              <w:noProof/>
            </w:rPr>
            <w:t>Amendments</w:t>
          </w:r>
          <w:r>
            <w:fldChar w:fldCharType="end"/>
          </w:r>
        </w:p>
      </w:tc>
    </w:tr>
    <w:tr w:rsidR="003E2B84">
      <w:tc>
        <w:tcPr>
          <w:tcW w:w="1531" w:type="dxa"/>
        </w:tcPr>
        <w:p w:rsidR="003E2B84" w:rsidRDefault="003E2B84">
          <w:pPr>
            <w:pStyle w:val="HeaderLiteEven"/>
          </w:pPr>
        </w:p>
      </w:tc>
      <w:tc>
        <w:tcPr>
          <w:tcW w:w="5636" w:type="dxa"/>
          <w:vAlign w:val="bottom"/>
        </w:tcPr>
        <w:p w:rsidR="003E2B84" w:rsidRDefault="003E2B84">
          <w:pPr>
            <w:pStyle w:val="HeaderLiteEven"/>
          </w:pPr>
        </w:p>
      </w:tc>
    </w:tr>
    <w:tr w:rsidR="003E2B84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2B84" w:rsidRDefault="003E2B84" w:rsidP="00C161C9">
          <w:pPr>
            <w:pStyle w:val="HeaderBoldEven"/>
          </w:pPr>
        </w:p>
      </w:tc>
    </w:tr>
  </w:tbl>
  <w:p w:rsidR="003E2B84" w:rsidRDefault="003E2B84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3E2B84">
      <w:tc>
        <w:tcPr>
          <w:tcW w:w="5636" w:type="dxa"/>
          <w:vAlign w:val="bottom"/>
        </w:tcPr>
        <w:p w:rsidR="003E2B84" w:rsidRDefault="003E2B84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B61951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B61951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B61951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3E2B84" w:rsidRDefault="003E2B84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B61951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B61951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B61951">
            <w:rPr>
              <w:noProof/>
            </w:rPr>
            <w:t>Schedule 1</w:t>
          </w:r>
          <w:r>
            <w:fldChar w:fldCharType="end"/>
          </w:r>
        </w:p>
      </w:tc>
    </w:tr>
    <w:tr w:rsidR="003E2B84">
      <w:tc>
        <w:tcPr>
          <w:tcW w:w="5636" w:type="dxa"/>
          <w:vAlign w:val="bottom"/>
        </w:tcPr>
        <w:p w:rsidR="003E2B84" w:rsidRDefault="003E2B84">
          <w:pPr>
            <w:pStyle w:val="HeaderLiteOdd"/>
          </w:pPr>
        </w:p>
      </w:tc>
      <w:tc>
        <w:tcPr>
          <w:tcW w:w="1531" w:type="dxa"/>
        </w:tcPr>
        <w:p w:rsidR="003E2B84" w:rsidRDefault="003E2B84">
          <w:pPr>
            <w:pStyle w:val="HeaderLiteOdd"/>
          </w:pPr>
        </w:p>
      </w:tc>
    </w:tr>
    <w:tr w:rsidR="003E2B84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3E2B84" w:rsidRDefault="003E2B84" w:rsidP="00C161C9">
          <w:pPr>
            <w:pStyle w:val="HeaderBoldOdd"/>
          </w:pPr>
        </w:p>
      </w:tc>
    </w:tr>
  </w:tbl>
  <w:p w:rsidR="003E2B84" w:rsidRDefault="003E2B84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B84" w:rsidRDefault="003E2B84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3E2B84">
      <w:tc>
        <w:tcPr>
          <w:tcW w:w="7167" w:type="dxa"/>
        </w:tcPr>
        <w:p w:rsidR="003E2B84" w:rsidRDefault="003E2B84">
          <w:pPr>
            <w:pStyle w:val="HeaderLiteEven"/>
          </w:pPr>
          <w:r>
            <w:t>Note</w:t>
          </w:r>
        </w:p>
      </w:tc>
    </w:tr>
    <w:tr w:rsidR="003E2B84">
      <w:tc>
        <w:tcPr>
          <w:tcW w:w="7167" w:type="dxa"/>
        </w:tcPr>
        <w:p w:rsidR="003E2B84" w:rsidRDefault="003E2B84">
          <w:pPr>
            <w:pStyle w:val="HeaderLiteEven"/>
          </w:pPr>
        </w:p>
      </w:tc>
    </w:tr>
    <w:tr w:rsidR="003E2B8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3E2B84" w:rsidRDefault="003E2B84">
          <w:pPr>
            <w:pStyle w:val="HeaderBoldEven"/>
          </w:pPr>
        </w:p>
      </w:tc>
    </w:tr>
  </w:tbl>
  <w:p w:rsidR="003E2B84" w:rsidRDefault="003E2B8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0A14BE3"/>
    <w:multiLevelType w:val="hybridMultilevel"/>
    <w:tmpl w:val="21868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4B1"/>
    <w:rsid w:val="00002328"/>
    <w:rsid w:val="000047FD"/>
    <w:rsid w:val="000056EE"/>
    <w:rsid w:val="00010203"/>
    <w:rsid w:val="00012A4E"/>
    <w:rsid w:val="00013A38"/>
    <w:rsid w:val="00015434"/>
    <w:rsid w:val="0001739E"/>
    <w:rsid w:val="00020180"/>
    <w:rsid w:val="00023FD2"/>
    <w:rsid w:val="00030522"/>
    <w:rsid w:val="0003098A"/>
    <w:rsid w:val="0003247D"/>
    <w:rsid w:val="0003434D"/>
    <w:rsid w:val="0003498B"/>
    <w:rsid w:val="00040444"/>
    <w:rsid w:val="0004081D"/>
    <w:rsid w:val="00045AD7"/>
    <w:rsid w:val="000472C2"/>
    <w:rsid w:val="00047A6B"/>
    <w:rsid w:val="000510B9"/>
    <w:rsid w:val="00051C9B"/>
    <w:rsid w:val="00052114"/>
    <w:rsid w:val="000551A3"/>
    <w:rsid w:val="00055E25"/>
    <w:rsid w:val="000648FB"/>
    <w:rsid w:val="00065A0E"/>
    <w:rsid w:val="0006722F"/>
    <w:rsid w:val="00071791"/>
    <w:rsid w:val="000721B0"/>
    <w:rsid w:val="000753EE"/>
    <w:rsid w:val="00075B3D"/>
    <w:rsid w:val="00076B35"/>
    <w:rsid w:val="00077E10"/>
    <w:rsid w:val="00085877"/>
    <w:rsid w:val="00086090"/>
    <w:rsid w:val="00086E1D"/>
    <w:rsid w:val="00092802"/>
    <w:rsid w:val="00095B0C"/>
    <w:rsid w:val="00095CC4"/>
    <w:rsid w:val="000A3C52"/>
    <w:rsid w:val="000A61B8"/>
    <w:rsid w:val="000B0A20"/>
    <w:rsid w:val="000B26C3"/>
    <w:rsid w:val="000B42F3"/>
    <w:rsid w:val="000B4F40"/>
    <w:rsid w:val="000B52F3"/>
    <w:rsid w:val="000B68A5"/>
    <w:rsid w:val="000C2AB1"/>
    <w:rsid w:val="000C56FE"/>
    <w:rsid w:val="000C6326"/>
    <w:rsid w:val="000C6EC7"/>
    <w:rsid w:val="000C78B5"/>
    <w:rsid w:val="000D0FF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05EDC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0AD9"/>
    <w:rsid w:val="00133419"/>
    <w:rsid w:val="00134204"/>
    <w:rsid w:val="001363F5"/>
    <w:rsid w:val="00137EF4"/>
    <w:rsid w:val="0014592A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0891"/>
    <w:rsid w:val="0016552E"/>
    <w:rsid w:val="001661B3"/>
    <w:rsid w:val="00171A0A"/>
    <w:rsid w:val="0017420C"/>
    <w:rsid w:val="00176457"/>
    <w:rsid w:val="00176557"/>
    <w:rsid w:val="0017669E"/>
    <w:rsid w:val="00176BCE"/>
    <w:rsid w:val="00180CD3"/>
    <w:rsid w:val="00183416"/>
    <w:rsid w:val="00183DAF"/>
    <w:rsid w:val="001840EA"/>
    <w:rsid w:val="00186BDF"/>
    <w:rsid w:val="00190D22"/>
    <w:rsid w:val="00191B57"/>
    <w:rsid w:val="0019751B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4AA"/>
    <w:rsid w:val="001C48B6"/>
    <w:rsid w:val="001C52FA"/>
    <w:rsid w:val="001C6C78"/>
    <w:rsid w:val="001C6E23"/>
    <w:rsid w:val="001D1730"/>
    <w:rsid w:val="001D49E7"/>
    <w:rsid w:val="001D7DD2"/>
    <w:rsid w:val="001E13AC"/>
    <w:rsid w:val="001E1BDF"/>
    <w:rsid w:val="001E1FF9"/>
    <w:rsid w:val="001E5062"/>
    <w:rsid w:val="001E551F"/>
    <w:rsid w:val="001F0F35"/>
    <w:rsid w:val="001F1819"/>
    <w:rsid w:val="001F1AA4"/>
    <w:rsid w:val="001F204C"/>
    <w:rsid w:val="001F24CF"/>
    <w:rsid w:val="001F3D0A"/>
    <w:rsid w:val="00200E9F"/>
    <w:rsid w:val="0020253A"/>
    <w:rsid w:val="0020488A"/>
    <w:rsid w:val="0020650F"/>
    <w:rsid w:val="00206D1A"/>
    <w:rsid w:val="002125DA"/>
    <w:rsid w:val="002138E1"/>
    <w:rsid w:val="00220EDA"/>
    <w:rsid w:val="00222DA1"/>
    <w:rsid w:val="00223A7F"/>
    <w:rsid w:val="00224670"/>
    <w:rsid w:val="002250FB"/>
    <w:rsid w:val="002271DC"/>
    <w:rsid w:val="00230352"/>
    <w:rsid w:val="0023580B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6154"/>
    <w:rsid w:val="002673BD"/>
    <w:rsid w:val="00270826"/>
    <w:rsid w:val="0027106F"/>
    <w:rsid w:val="002739EE"/>
    <w:rsid w:val="00275482"/>
    <w:rsid w:val="002756EB"/>
    <w:rsid w:val="002757D6"/>
    <w:rsid w:val="002850B9"/>
    <w:rsid w:val="002870C2"/>
    <w:rsid w:val="002922A2"/>
    <w:rsid w:val="002937F9"/>
    <w:rsid w:val="00293C63"/>
    <w:rsid w:val="002957A9"/>
    <w:rsid w:val="00296435"/>
    <w:rsid w:val="0029646C"/>
    <w:rsid w:val="00296E69"/>
    <w:rsid w:val="002A2A55"/>
    <w:rsid w:val="002A57A4"/>
    <w:rsid w:val="002B2A9A"/>
    <w:rsid w:val="002C0290"/>
    <w:rsid w:val="002C0E89"/>
    <w:rsid w:val="002C42D4"/>
    <w:rsid w:val="002C42F1"/>
    <w:rsid w:val="002C77BC"/>
    <w:rsid w:val="002C79E4"/>
    <w:rsid w:val="002C7F8D"/>
    <w:rsid w:val="002D21FD"/>
    <w:rsid w:val="002D2209"/>
    <w:rsid w:val="002D35D3"/>
    <w:rsid w:val="002D658C"/>
    <w:rsid w:val="002D73B2"/>
    <w:rsid w:val="002E4402"/>
    <w:rsid w:val="002F05DB"/>
    <w:rsid w:val="002F11AE"/>
    <w:rsid w:val="002F149C"/>
    <w:rsid w:val="002F1E9E"/>
    <w:rsid w:val="002F4A1C"/>
    <w:rsid w:val="002F7F66"/>
    <w:rsid w:val="00300DAE"/>
    <w:rsid w:val="00302D1D"/>
    <w:rsid w:val="00304F86"/>
    <w:rsid w:val="0030627F"/>
    <w:rsid w:val="00307011"/>
    <w:rsid w:val="003118B0"/>
    <w:rsid w:val="00312B2D"/>
    <w:rsid w:val="00312BF2"/>
    <w:rsid w:val="00315C3C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34FA"/>
    <w:rsid w:val="00335D9E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1E94"/>
    <w:rsid w:val="003722D5"/>
    <w:rsid w:val="00374DBE"/>
    <w:rsid w:val="00377C91"/>
    <w:rsid w:val="00385F4B"/>
    <w:rsid w:val="0038715C"/>
    <w:rsid w:val="00390E65"/>
    <w:rsid w:val="00393A96"/>
    <w:rsid w:val="00395FAC"/>
    <w:rsid w:val="00396732"/>
    <w:rsid w:val="00396CC9"/>
    <w:rsid w:val="003A0C0D"/>
    <w:rsid w:val="003A271A"/>
    <w:rsid w:val="003A3291"/>
    <w:rsid w:val="003A358A"/>
    <w:rsid w:val="003A3951"/>
    <w:rsid w:val="003A4C15"/>
    <w:rsid w:val="003A511C"/>
    <w:rsid w:val="003B03D3"/>
    <w:rsid w:val="003B55ED"/>
    <w:rsid w:val="003B6D35"/>
    <w:rsid w:val="003C1016"/>
    <w:rsid w:val="003C41F2"/>
    <w:rsid w:val="003C5A3D"/>
    <w:rsid w:val="003C6D45"/>
    <w:rsid w:val="003C700C"/>
    <w:rsid w:val="003D0A16"/>
    <w:rsid w:val="003D0D42"/>
    <w:rsid w:val="003D1F25"/>
    <w:rsid w:val="003D20DD"/>
    <w:rsid w:val="003D5B35"/>
    <w:rsid w:val="003E1258"/>
    <w:rsid w:val="003E2B84"/>
    <w:rsid w:val="003E5662"/>
    <w:rsid w:val="003E64C5"/>
    <w:rsid w:val="003F18D4"/>
    <w:rsid w:val="003F1A97"/>
    <w:rsid w:val="003F1AF9"/>
    <w:rsid w:val="003F5C62"/>
    <w:rsid w:val="0040273E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1F0B"/>
    <w:rsid w:val="00424431"/>
    <w:rsid w:val="0042496B"/>
    <w:rsid w:val="00425581"/>
    <w:rsid w:val="00427249"/>
    <w:rsid w:val="0043152E"/>
    <w:rsid w:val="004336A3"/>
    <w:rsid w:val="00440DE0"/>
    <w:rsid w:val="00441257"/>
    <w:rsid w:val="00442444"/>
    <w:rsid w:val="004433E6"/>
    <w:rsid w:val="004454CF"/>
    <w:rsid w:val="0044728E"/>
    <w:rsid w:val="00447FF1"/>
    <w:rsid w:val="0045063A"/>
    <w:rsid w:val="00454D0B"/>
    <w:rsid w:val="00456454"/>
    <w:rsid w:val="00457647"/>
    <w:rsid w:val="00457A9E"/>
    <w:rsid w:val="00461B9D"/>
    <w:rsid w:val="00471315"/>
    <w:rsid w:val="00471344"/>
    <w:rsid w:val="00471CD0"/>
    <w:rsid w:val="0047221D"/>
    <w:rsid w:val="004742DF"/>
    <w:rsid w:val="0047755B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A7CAB"/>
    <w:rsid w:val="004B088C"/>
    <w:rsid w:val="004B0996"/>
    <w:rsid w:val="004B195D"/>
    <w:rsid w:val="004B1E60"/>
    <w:rsid w:val="004B3683"/>
    <w:rsid w:val="004B717C"/>
    <w:rsid w:val="004C0190"/>
    <w:rsid w:val="004C0339"/>
    <w:rsid w:val="004C3394"/>
    <w:rsid w:val="004C3A75"/>
    <w:rsid w:val="004C6D83"/>
    <w:rsid w:val="004C7B45"/>
    <w:rsid w:val="004D25B2"/>
    <w:rsid w:val="004D2CCB"/>
    <w:rsid w:val="004D460F"/>
    <w:rsid w:val="004D5365"/>
    <w:rsid w:val="004D6675"/>
    <w:rsid w:val="004E01BE"/>
    <w:rsid w:val="004E1500"/>
    <w:rsid w:val="004E3375"/>
    <w:rsid w:val="004E3516"/>
    <w:rsid w:val="004E6672"/>
    <w:rsid w:val="004E70BA"/>
    <w:rsid w:val="004F0A32"/>
    <w:rsid w:val="004F3CE8"/>
    <w:rsid w:val="004F586F"/>
    <w:rsid w:val="004F6F63"/>
    <w:rsid w:val="005069EE"/>
    <w:rsid w:val="00507719"/>
    <w:rsid w:val="00507C08"/>
    <w:rsid w:val="00510DDD"/>
    <w:rsid w:val="00512C3B"/>
    <w:rsid w:val="00514364"/>
    <w:rsid w:val="0051543A"/>
    <w:rsid w:val="00517E9B"/>
    <w:rsid w:val="0052196C"/>
    <w:rsid w:val="00524BE1"/>
    <w:rsid w:val="00524C2B"/>
    <w:rsid w:val="0052732A"/>
    <w:rsid w:val="005273BB"/>
    <w:rsid w:val="00535BFA"/>
    <w:rsid w:val="005402A4"/>
    <w:rsid w:val="005430FE"/>
    <w:rsid w:val="00544554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03FD"/>
    <w:rsid w:val="00571FCD"/>
    <w:rsid w:val="005732A7"/>
    <w:rsid w:val="00574A09"/>
    <w:rsid w:val="00574CAE"/>
    <w:rsid w:val="00577475"/>
    <w:rsid w:val="00580E49"/>
    <w:rsid w:val="005818B9"/>
    <w:rsid w:val="00584A71"/>
    <w:rsid w:val="00585610"/>
    <w:rsid w:val="005867F2"/>
    <w:rsid w:val="00590B66"/>
    <w:rsid w:val="005914FF"/>
    <w:rsid w:val="00594F6A"/>
    <w:rsid w:val="00596B78"/>
    <w:rsid w:val="005A04A5"/>
    <w:rsid w:val="005A0F53"/>
    <w:rsid w:val="005A2A56"/>
    <w:rsid w:val="005A2F7B"/>
    <w:rsid w:val="005A388A"/>
    <w:rsid w:val="005A5E49"/>
    <w:rsid w:val="005B14E6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1EC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070C3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53F7"/>
    <w:rsid w:val="00657009"/>
    <w:rsid w:val="00657047"/>
    <w:rsid w:val="0065794A"/>
    <w:rsid w:val="00666109"/>
    <w:rsid w:val="006671F5"/>
    <w:rsid w:val="00672003"/>
    <w:rsid w:val="00672472"/>
    <w:rsid w:val="00672878"/>
    <w:rsid w:val="00672979"/>
    <w:rsid w:val="00675602"/>
    <w:rsid w:val="00675DB2"/>
    <w:rsid w:val="00680DF0"/>
    <w:rsid w:val="00686152"/>
    <w:rsid w:val="00686485"/>
    <w:rsid w:val="006904B1"/>
    <w:rsid w:val="00691AD5"/>
    <w:rsid w:val="00695422"/>
    <w:rsid w:val="006A1BED"/>
    <w:rsid w:val="006A4638"/>
    <w:rsid w:val="006A4BA5"/>
    <w:rsid w:val="006B141F"/>
    <w:rsid w:val="006B28EE"/>
    <w:rsid w:val="006B3F9E"/>
    <w:rsid w:val="006B5714"/>
    <w:rsid w:val="006B6FE0"/>
    <w:rsid w:val="006C0A0B"/>
    <w:rsid w:val="006C31CA"/>
    <w:rsid w:val="006C4BED"/>
    <w:rsid w:val="006C53D2"/>
    <w:rsid w:val="006C795D"/>
    <w:rsid w:val="006D0603"/>
    <w:rsid w:val="006D18DE"/>
    <w:rsid w:val="006E23CD"/>
    <w:rsid w:val="006E3D1C"/>
    <w:rsid w:val="006E6AF8"/>
    <w:rsid w:val="006F1153"/>
    <w:rsid w:val="006F2504"/>
    <w:rsid w:val="006F38BA"/>
    <w:rsid w:val="006F4850"/>
    <w:rsid w:val="007014F3"/>
    <w:rsid w:val="0070264A"/>
    <w:rsid w:val="007037DD"/>
    <w:rsid w:val="00706B21"/>
    <w:rsid w:val="00707272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398F"/>
    <w:rsid w:val="0074530F"/>
    <w:rsid w:val="007507CB"/>
    <w:rsid w:val="00750F54"/>
    <w:rsid w:val="007576E3"/>
    <w:rsid w:val="00757D9D"/>
    <w:rsid w:val="007600AC"/>
    <w:rsid w:val="00761E10"/>
    <w:rsid w:val="007640FB"/>
    <w:rsid w:val="0076548C"/>
    <w:rsid w:val="00767850"/>
    <w:rsid w:val="00772F15"/>
    <w:rsid w:val="007755B6"/>
    <w:rsid w:val="00776570"/>
    <w:rsid w:val="0077765E"/>
    <w:rsid w:val="007803FF"/>
    <w:rsid w:val="0078324E"/>
    <w:rsid w:val="0078587A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57DA"/>
    <w:rsid w:val="007A7801"/>
    <w:rsid w:val="007B0E83"/>
    <w:rsid w:val="007B4DD5"/>
    <w:rsid w:val="007B5948"/>
    <w:rsid w:val="007C012A"/>
    <w:rsid w:val="007C0378"/>
    <w:rsid w:val="007C18C3"/>
    <w:rsid w:val="007C23A0"/>
    <w:rsid w:val="007C27A1"/>
    <w:rsid w:val="007C378E"/>
    <w:rsid w:val="007C49D9"/>
    <w:rsid w:val="007C7BD8"/>
    <w:rsid w:val="007C7ED2"/>
    <w:rsid w:val="007D1730"/>
    <w:rsid w:val="007D2042"/>
    <w:rsid w:val="007D4230"/>
    <w:rsid w:val="007D4D7B"/>
    <w:rsid w:val="007E21C3"/>
    <w:rsid w:val="007F1060"/>
    <w:rsid w:val="007F51B4"/>
    <w:rsid w:val="007F6065"/>
    <w:rsid w:val="007F6B43"/>
    <w:rsid w:val="00800EE9"/>
    <w:rsid w:val="00802693"/>
    <w:rsid w:val="00805B1D"/>
    <w:rsid w:val="00811903"/>
    <w:rsid w:val="00812E73"/>
    <w:rsid w:val="008200F1"/>
    <w:rsid w:val="00820E6A"/>
    <w:rsid w:val="00825A01"/>
    <w:rsid w:val="00826D3D"/>
    <w:rsid w:val="00827EB8"/>
    <w:rsid w:val="0083232E"/>
    <w:rsid w:val="00833881"/>
    <w:rsid w:val="00834026"/>
    <w:rsid w:val="00836F81"/>
    <w:rsid w:val="00837950"/>
    <w:rsid w:val="008405E8"/>
    <w:rsid w:val="008421EA"/>
    <w:rsid w:val="00846516"/>
    <w:rsid w:val="008473AE"/>
    <w:rsid w:val="008529D0"/>
    <w:rsid w:val="00855B7C"/>
    <w:rsid w:val="0085770D"/>
    <w:rsid w:val="008621D6"/>
    <w:rsid w:val="00863D5E"/>
    <w:rsid w:val="0086424F"/>
    <w:rsid w:val="00871BD1"/>
    <w:rsid w:val="00871D8D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AB1"/>
    <w:rsid w:val="008D2C18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1A13"/>
    <w:rsid w:val="008F5EC2"/>
    <w:rsid w:val="00901BA6"/>
    <w:rsid w:val="00901DA5"/>
    <w:rsid w:val="00902FB5"/>
    <w:rsid w:val="0090335E"/>
    <w:rsid w:val="009042F5"/>
    <w:rsid w:val="00905A06"/>
    <w:rsid w:val="009069DA"/>
    <w:rsid w:val="00906D49"/>
    <w:rsid w:val="00906E4A"/>
    <w:rsid w:val="009070F5"/>
    <w:rsid w:val="009123E3"/>
    <w:rsid w:val="009124FC"/>
    <w:rsid w:val="009125B8"/>
    <w:rsid w:val="00913ECD"/>
    <w:rsid w:val="009149F1"/>
    <w:rsid w:val="00914CC9"/>
    <w:rsid w:val="00915994"/>
    <w:rsid w:val="00916A15"/>
    <w:rsid w:val="00922335"/>
    <w:rsid w:val="00923493"/>
    <w:rsid w:val="00924C24"/>
    <w:rsid w:val="0093033C"/>
    <w:rsid w:val="00930C1D"/>
    <w:rsid w:val="00931F0F"/>
    <w:rsid w:val="009356C5"/>
    <w:rsid w:val="009360BD"/>
    <w:rsid w:val="0094112F"/>
    <w:rsid w:val="00942C0F"/>
    <w:rsid w:val="009437DF"/>
    <w:rsid w:val="00944599"/>
    <w:rsid w:val="00946589"/>
    <w:rsid w:val="00946AE0"/>
    <w:rsid w:val="00950B11"/>
    <w:rsid w:val="0095322A"/>
    <w:rsid w:val="009553F5"/>
    <w:rsid w:val="00955FC3"/>
    <w:rsid w:val="00957FA8"/>
    <w:rsid w:val="00960E91"/>
    <w:rsid w:val="00966987"/>
    <w:rsid w:val="009669B2"/>
    <w:rsid w:val="00966D2A"/>
    <w:rsid w:val="009676B9"/>
    <w:rsid w:val="00970DE9"/>
    <w:rsid w:val="00973456"/>
    <w:rsid w:val="009746D4"/>
    <w:rsid w:val="009807ED"/>
    <w:rsid w:val="00980F91"/>
    <w:rsid w:val="00982FFF"/>
    <w:rsid w:val="00983F35"/>
    <w:rsid w:val="00985B59"/>
    <w:rsid w:val="00987DF2"/>
    <w:rsid w:val="009901D6"/>
    <w:rsid w:val="00992087"/>
    <w:rsid w:val="00992710"/>
    <w:rsid w:val="00994CDD"/>
    <w:rsid w:val="009955A7"/>
    <w:rsid w:val="00996B0A"/>
    <w:rsid w:val="009A4BDC"/>
    <w:rsid w:val="009A595E"/>
    <w:rsid w:val="009B10B3"/>
    <w:rsid w:val="009B242B"/>
    <w:rsid w:val="009B252C"/>
    <w:rsid w:val="009D301D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0F8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0E58"/>
    <w:rsid w:val="00A4146A"/>
    <w:rsid w:val="00A41806"/>
    <w:rsid w:val="00A428C2"/>
    <w:rsid w:val="00A43AF6"/>
    <w:rsid w:val="00A45C77"/>
    <w:rsid w:val="00A4716C"/>
    <w:rsid w:val="00A57913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1C08"/>
    <w:rsid w:val="00A7238F"/>
    <w:rsid w:val="00A725A4"/>
    <w:rsid w:val="00A72DC4"/>
    <w:rsid w:val="00A84D22"/>
    <w:rsid w:val="00A903FE"/>
    <w:rsid w:val="00A91F48"/>
    <w:rsid w:val="00A939BC"/>
    <w:rsid w:val="00A9492D"/>
    <w:rsid w:val="00A955D9"/>
    <w:rsid w:val="00AA04DF"/>
    <w:rsid w:val="00AA43E4"/>
    <w:rsid w:val="00AA539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31E"/>
    <w:rsid w:val="00AE3BDB"/>
    <w:rsid w:val="00AE5649"/>
    <w:rsid w:val="00AF319F"/>
    <w:rsid w:val="00AF62F4"/>
    <w:rsid w:val="00AF76D5"/>
    <w:rsid w:val="00AF77CA"/>
    <w:rsid w:val="00B022E4"/>
    <w:rsid w:val="00B02301"/>
    <w:rsid w:val="00B02802"/>
    <w:rsid w:val="00B033EF"/>
    <w:rsid w:val="00B0347E"/>
    <w:rsid w:val="00B03B3E"/>
    <w:rsid w:val="00B04D72"/>
    <w:rsid w:val="00B07D2B"/>
    <w:rsid w:val="00B11466"/>
    <w:rsid w:val="00B11FF4"/>
    <w:rsid w:val="00B1270A"/>
    <w:rsid w:val="00B12ACE"/>
    <w:rsid w:val="00B15265"/>
    <w:rsid w:val="00B20DCA"/>
    <w:rsid w:val="00B22DCD"/>
    <w:rsid w:val="00B23D22"/>
    <w:rsid w:val="00B267A3"/>
    <w:rsid w:val="00B2730F"/>
    <w:rsid w:val="00B30277"/>
    <w:rsid w:val="00B312AC"/>
    <w:rsid w:val="00B31666"/>
    <w:rsid w:val="00B32109"/>
    <w:rsid w:val="00B341F1"/>
    <w:rsid w:val="00B35329"/>
    <w:rsid w:val="00B4067E"/>
    <w:rsid w:val="00B40FC2"/>
    <w:rsid w:val="00B41003"/>
    <w:rsid w:val="00B414E7"/>
    <w:rsid w:val="00B41A08"/>
    <w:rsid w:val="00B425A5"/>
    <w:rsid w:val="00B4372D"/>
    <w:rsid w:val="00B440EB"/>
    <w:rsid w:val="00B44A30"/>
    <w:rsid w:val="00B50B2D"/>
    <w:rsid w:val="00B5108F"/>
    <w:rsid w:val="00B564FE"/>
    <w:rsid w:val="00B56B8D"/>
    <w:rsid w:val="00B56FC6"/>
    <w:rsid w:val="00B602AB"/>
    <w:rsid w:val="00B60B6B"/>
    <w:rsid w:val="00B61209"/>
    <w:rsid w:val="00B61951"/>
    <w:rsid w:val="00B61FC8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8448E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B6CE8"/>
    <w:rsid w:val="00BC3D9E"/>
    <w:rsid w:val="00BC54EE"/>
    <w:rsid w:val="00BC63F3"/>
    <w:rsid w:val="00BD0739"/>
    <w:rsid w:val="00BD12AB"/>
    <w:rsid w:val="00BD17ED"/>
    <w:rsid w:val="00BD1A10"/>
    <w:rsid w:val="00BD3F1E"/>
    <w:rsid w:val="00BD4BF4"/>
    <w:rsid w:val="00BE63CA"/>
    <w:rsid w:val="00BE6F32"/>
    <w:rsid w:val="00BF039D"/>
    <w:rsid w:val="00BF12B8"/>
    <w:rsid w:val="00BF3231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2491"/>
    <w:rsid w:val="00C13C8E"/>
    <w:rsid w:val="00C143E8"/>
    <w:rsid w:val="00C161C9"/>
    <w:rsid w:val="00C17668"/>
    <w:rsid w:val="00C24D82"/>
    <w:rsid w:val="00C26338"/>
    <w:rsid w:val="00C2651E"/>
    <w:rsid w:val="00C31D00"/>
    <w:rsid w:val="00C321EA"/>
    <w:rsid w:val="00C33891"/>
    <w:rsid w:val="00C33E69"/>
    <w:rsid w:val="00C3470B"/>
    <w:rsid w:val="00C34B2A"/>
    <w:rsid w:val="00C37128"/>
    <w:rsid w:val="00C47091"/>
    <w:rsid w:val="00C50FB8"/>
    <w:rsid w:val="00C5123D"/>
    <w:rsid w:val="00C534C8"/>
    <w:rsid w:val="00C54244"/>
    <w:rsid w:val="00C5685E"/>
    <w:rsid w:val="00C56C15"/>
    <w:rsid w:val="00C5770A"/>
    <w:rsid w:val="00C63BD4"/>
    <w:rsid w:val="00C64B2D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1B8D"/>
    <w:rsid w:val="00CB2099"/>
    <w:rsid w:val="00CB418B"/>
    <w:rsid w:val="00CB6939"/>
    <w:rsid w:val="00CC0028"/>
    <w:rsid w:val="00CC1069"/>
    <w:rsid w:val="00CC4EF4"/>
    <w:rsid w:val="00CC5842"/>
    <w:rsid w:val="00CC5A7E"/>
    <w:rsid w:val="00CC60E7"/>
    <w:rsid w:val="00CC7753"/>
    <w:rsid w:val="00CC7CF9"/>
    <w:rsid w:val="00CD03F7"/>
    <w:rsid w:val="00CD0C0E"/>
    <w:rsid w:val="00CD11C3"/>
    <w:rsid w:val="00CD2143"/>
    <w:rsid w:val="00CD22C1"/>
    <w:rsid w:val="00CD4679"/>
    <w:rsid w:val="00CD5C01"/>
    <w:rsid w:val="00CD5C0A"/>
    <w:rsid w:val="00CE233A"/>
    <w:rsid w:val="00CF12FF"/>
    <w:rsid w:val="00CF60F8"/>
    <w:rsid w:val="00CF7116"/>
    <w:rsid w:val="00D035FA"/>
    <w:rsid w:val="00D04539"/>
    <w:rsid w:val="00D10555"/>
    <w:rsid w:val="00D1206A"/>
    <w:rsid w:val="00D222D8"/>
    <w:rsid w:val="00D222E8"/>
    <w:rsid w:val="00D27EAA"/>
    <w:rsid w:val="00D30298"/>
    <w:rsid w:val="00D304D1"/>
    <w:rsid w:val="00D33DA9"/>
    <w:rsid w:val="00D34D9F"/>
    <w:rsid w:val="00D36966"/>
    <w:rsid w:val="00D4035A"/>
    <w:rsid w:val="00D40E4E"/>
    <w:rsid w:val="00D4327E"/>
    <w:rsid w:val="00D43C47"/>
    <w:rsid w:val="00D45016"/>
    <w:rsid w:val="00D4502B"/>
    <w:rsid w:val="00D50A88"/>
    <w:rsid w:val="00D50AA7"/>
    <w:rsid w:val="00D50D04"/>
    <w:rsid w:val="00D51A6A"/>
    <w:rsid w:val="00D51AFA"/>
    <w:rsid w:val="00D52833"/>
    <w:rsid w:val="00D563D8"/>
    <w:rsid w:val="00D608D7"/>
    <w:rsid w:val="00D61C41"/>
    <w:rsid w:val="00D62311"/>
    <w:rsid w:val="00D62BB9"/>
    <w:rsid w:val="00D72203"/>
    <w:rsid w:val="00D72818"/>
    <w:rsid w:val="00D72D29"/>
    <w:rsid w:val="00D73196"/>
    <w:rsid w:val="00D76148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A56E5"/>
    <w:rsid w:val="00DA7551"/>
    <w:rsid w:val="00DB2833"/>
    <w:rsid w:val="00DB36CD"/>
    <w:rsid w:val="00DB444F"/>
    <w:rsid w:val="00DB6AD2"/>
    <w:rsid w:val="00DB6EFB"/>
    <w:rsid w:val="00DB78AA"/>
    <w:rsid w:val="00DB7978"/>
    <w:rsid w:val="00DC13C7"/>
    <w:rsid w:val="00DC33C4"/>
    <w:rsid w:val="00DC686D"/>
    <w:rsid w:val="00DD329B"/>
    <w:rsid w:val="00DD3616"/>
    <w:rsid w:val="00DE0A50"/>
    <w:rsid w:val="00DE0B13"/>
    <w:rsid w:val="00DE2A58"/>
    <w:rsid w:val="00DF7A67"/>
    <w:rsid w:val="00E0170F"/>
    <w:rsid w:val="00E01972"/>
    <w:rsid w:val="00E03C4E"/>
    <w:rsid w:val="00E046CD"/>
    <w:rsid w:val="00E06384"/>
    <w:rsid w:val="00E115EE"/>
    <w:rsid w:val="00E129E8"/>
    <w:rsid w:val="00E147C5"/>
    <w:rsid w:val="00E14C28"/>
    <w:rsid w:val="00E17140"/>
    <w:rsid w:val="00E212D0"/>
    <w:rsid w:val="00E21C9C"/>
    <w:rsid w:val="00E22161"/>
    <w:rsid w:val="00E2378E"/>
    <w:rsid w:val="00E26CDE"/>
    <w:rsid w:val="00E27271"/>
    <w:rsid w:val="00E3021A"/>
    <w:rsid w:val="00E30BFD"/>
    <w:rsid w:val="00E326F4"/>
    <w:rsid w:val="00E34B83"/>
    <w:rsid w:val="00E36DF4"/>
    <w:rsid w:val="00E371BB"/>
    <w:rsid w:val="00E42DB0"/>
    <w:rsid w:val="00E4427F"/>
    <w:rsid w:val="00E476B6"/>
    <w:rsid w:val="00E51B0C"/>
    <w:rsid w:val="00E51FF8"/>
    <w:rsid w:val="00E529BC"/>
    <w:rsid w:val="00E537B4"/>
    <w:rsid w:val="00E61DD6"/>
    <w:rsid w:val="00E62BED"/>
    <w:rsid w:val="00E72EEE"/>
    <w:rsid w:val="00E738EC"/>
    <w:rsid w:val="00E73A1B"/>
    <w:rsid w:val="00E76310"/>
    <w:rsid w:val="00E7672E"/>
    <w:rsid w:val="00E83CB5"/>
    <w:rsid w:val="00E876A1"/>
    <w:rsid w:val="00E8770B"/>
    <w:rsid w:val="00E91A76"/>
    <w:rsid w:val="00E924EE"/>
    <w:rsid w:val="00E94FEE"/>
    <w:rsid w:val="00E95A6B"/>
    <w:rsid w:val="00EA0056"/>
    <w:rsid w:val="00EA14B9"/>
    <w:rsid w:val="00EA6DBE"/>
    <w:rsid w:val="00EB00FD"/>
    <w:rsid w:val="00EB0254"/>
    <w:rsid w:val="00EB0C1A"/>
    <w:rsid w:val="00EB28AC"/>
    <w:rsid w:val="00EB31CA"/>
    <w:rsid w:val="00EB7BDE"/>
    <w:rsid w:val="00EC0C5E"/>
    <w:rsid w:val="00EC1470"/>
    <w:rsid w:val="00EC18DC"/>
    <w:rsid w:val="00EC6938"/>
    <w:rsid w:val="00EC7930"/>
    <w:rsid w:val="00ED148F"/>
    <w:rsid w:val="00ED153A"/>
    <w:rsid w:val="00ED1EAF"/>
    <w:rsid w:val="00ED310D"/>
    <w:rsid w:val="00ED3249"/>
    <w:rsid w:val="00ED3B47"/>
    <w:rsid w:val="00EE403C"/>
    <w:rsid w:val="00EE54A3"/>
    <w:rsid w:val="00EE6C2D"/>
    <w:rsid w:val="00EE7017"/>
    <w:rsid w:val="00EE7651"/>
    <w:rsid w:val="00EF2A15"/>
    <w:rsid w:val="00EF2F9D"/>
    <w:rsid w:val="00EF44B1"/>
    <w:rsid w:val="00EF4880"/>
    <w:rsid w:val="00EF4F03"/>
    <w:rsid w:val="00EF54E6"/>
    <w:rsid w:val="00EF5B3B"/>
    <w:rsid w:val="00F00C4C"/>
    <w:rsid w:val="00F02FB6"/>
    <w:rsid w:val="00F03BA0"/>
    <w:rsid w:val="00F04553"/>
    <w:rsid w:val="00F04F68"/>
    <w:rsid w:val="00F057F6"/>
    <w:rsid w:val="00F063E5"/>
    <w:rsid w:val="00F07689"/>
    <w:rsid w:val="00F10548"/>
    <w:rsid w:val="00F126D4"/>
    <w:rsid w:val="00F1343A"/>
    <w:rsid w:val="00F13B15"/>
    <w:rsid w:val="00F1449F"/>
    <w:rsid w:val="00F21027"/>
    <w:rsid w:val="00F3058D"/>
    <w:rsid w:val="00F306E6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6C96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0682"/>
    <w:rsid w:val="00F93E51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D76FA"/>
    <w:rsid w:val="00FE1D9B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931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www.comlaw.gov.a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2735-7CEA-460E-8A8D-AC7F4D6D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1728</Words>
  <Characters>9079</Characters>
  <Application>Microsoft Office Word</Application>
  <DocSecurity>0</DocSecurity>
  <Lines>468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(Pharmaceutical Benefits) Amendment Regulation 2012 (No.   )</vt:lpstr>
    </vt:vector>
  </TitlesOfParts>
  <Manager/>
  <Company/>
  <LinksUpToDate>false</LinksUpToDate>
  <CharactersWithSpaces>10561</CharactersWithSpaces>
  <SharedDoc>false</SharedDoc>
  <HLinks>
    <vt:vector size="6" baseType="variant">
      <vt:variant>
        <vt:i4>6160468</vt:i4>
      </vt:variant>
      <vt:variant>
        <vt:i4>105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(Pharmaceutical Benefits) Amendment Regulation 2012 (No.   )</dc:title>
  <dc:subject/>
  <dc:creator/>
  <cp:keywords/>
  <cp:lastModifiedBy/>
  <cp:revision>1</cp:revision>
  <cp:lastPrinted>2012-06-12T23:37:00Z</cp:lastPrinted>
  <dcterms:created xsi:type="dcterms:W3CDTF">2012-07-10T05:51:00Z</dcterms:created>
  <dcterms:modified xsi:type="dcterms:W3CDTF">2012-07-10T05:51:00Z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