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0741BA" w:rsidRDefault="00F87B42" w:rsidP="00441A4C">
      <w:pPr>
        <w:ind w:left="397" w:right="397"/>
      </w:pPr>
      <w:r w:rsidRPr="000741B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pt;height:86.95pt" fillcolor="window">
            <v:imagedata r:id="rId8" o:title=""/>
          </v:shape>
        </w:pict>
      </w:r>
    </w:p>
    <w:p w:rsidR="00441A4C" w:rsidRPr="000741BA" w:rsidRDefault="00441A4C" w:rsidP="00441A4C">
      <w:pPr>
        <w:pStyle w:val="Title"/>
        <w:ind w:left="397" w:right="397"/>
      </w:pPr>
      <w:bookmarkStart w:id="0" w:name="Citation"/>
      <w:r w:rsidRPr="000741BA">
        <w:t>Co</w:t>
      </w:r>
      <w:r w:rsidR="001C08DA" w:rsidRPr="000741BA">
        <w:t>rporations Amendment Regulation</w:t>
      </w:r>
      <w:r w:rsidRPr="000741BA">
        <w:t xml:space="preserve"> </w:t>
      </w:r>
      <w:r w:rsidRPr="000741BA">
        <w:fldChar w:fldCharType="begin"/>
      </w:r>
      <w:r w:rsidRPr="000741BA">
        <w:instrText xml:space="preserve"> REF Year \* charformat </w:instrText>
      </w:r>
      <w:r w:rsidR="007F5937" w:rsidRPr="000741BA">
        <w:instrText xml:space="preserve"> \* MERGEFORMAT </w:instrText>
      </w:r>
      <w:r w:rsidRPr="000741BA">
        <w:fldChar w:fldCharType="separate"/>
      </w:r>
      <w:r w:rsidR="000554D4" w:rsidRPr="000741BA">
        <w:t>2012</w:t>
      </w:r>
      <w:r w:rsidRPr="000741BA">
        <w:fldChar w:fldCharType="end"/>
      </w:r>
      <w:r w:rsidRPr="000741BA">
        <w:t xml:space="preserve"> (No.</w:t>
      </w:r>
      <w:r w:rsidR="006F0C26">
        <w:t> </w:t>
      </w:r>
      <w:r w:rsidR="000554D4">
        <w:t>6</w:t>
      </w:r>
      <w:r w:rsidRPr="000741BA">
        <w:t>)</w:t>
      </w:r>
      <w:bookmarkEnd w:id="0"/>
      <w:r w:rsidRPr="000741BA">
        <w:rPr>
          <w:b w:val="0"/>
          <w:position w:val="6"/>
          <w:sz w:val="24"/>
          <w:vertAlign w:val="superscript"/>
        </w:rPr>
        <w:t>1</w:t>
      </w:r>
    </w:p>
    <w:p w:rsidR="00441A4C" w:rsidRPr="000741BA" w:rsidRDefault="00441A4C" w:rsidP="00441A4C">
      <w:pPr>
        <w:pStyle w:val="SRNo"/>
        <w:ind w:left="397" w:right="397"/>
      </w:pPr>
      <w:r w:rsidRPr="000741BA">
        <w:t xml:space="preserve">Select Legislative Instrument </w:t>
      </w:r>
      <w:bookmarkStart w:id="1" w:name="Year"/>
      <w:r w:rsidRPr="000741BA">
        <w:t>20</w:t>
      </w:r>
      <w:r w:rsidR="009C5BBE" w:rsidRPr="000741BA">
        <w:t>1</w:t>
      </w:r>
      <w:r w:rsidR="0064652B" w:rsidRPr="000741BA">
        <w:t>2</w:t>
      </w:r>
      <w:bookmarkEnd w:id="1"/>
      <w:r w:rsidRPr="000741BA">
        <w:t xml:space="preserve"> No. </w:t>
      </w:r>
      <w:bookmarkStart w:id="2" w:name="refno"/>
      <w:r w:rsidR="000554D4">
        <w:t>172</w:t>
      </w:r>
      <w:bookmarkEnd w:id="2"/>
    </w:p>
    <w:p w:rsidR="00441A4C" w:rsidRPr="000741BA" w:rsidRDefault="00441A4C" w:rsidP="00441A4C">
      <w:pPr>
        <w:tabs>
          <w:tab w:val="left" w:pos="4111"/>
        </w:tabs>
        <w:spacing w:before="360"/>
        <w:ind w:left="397" w:right="397"/>
        <w:jc w:val="both"/>
      </w:pPr>
      <w:r w:rsidRPr="000741BA">
        <w:t>I, QUENTIN BRYCE, Governor-General of the Commonwealth of Australia, acting with the advice of the Federal Executive Co</w:t>
      </w:r>
      <w:r w:rsidR="001C08DA" w:rsidRPr="000741BA">
        <w:t>uncil, make the following regulation</w:t>
      </w:r>
      <w:r w:rsidRPr="000741BA">
        <w:t xml:space="preserve"> under the </w:t>
      </w:r>
      <w:r w:rsidRPr="000741BA">
        <w:rPr>
          <w:i/>
        </w:rPr>
        <w:t>Corporations Act 2001</w:t>
      </w:r>
      <w:r w:rsidRPr="000741BA">
        <w:t>.</w:t>
      </w:r>
    </w:p>
    <w:p w:rsidR="00441A4C" w:rsidRPr="000741BA" w:rsidRDefault="00441A4C" w:rsidP="00441A4C">
      <w:pPr>
        <w:keepNext/>
        <w:tabs>
          <w:tab w:val="left" w:pos="3402"/>
        </w:tabs>
        <w:spacing w:before="300" w:line="240" w:lineRule="atLeast"/>
        <w:ind w:left="397" w:right="397"/>
      </w:pPr>
      <w:r w:rsidRPr="000741BA">
        <w:t>Dated</w:t>
      </w:r>
      <w:r w:rsidR="000554D4">
        <w:t xml:space="preserve"> 12 July </w:t>
      </w:r>
      <w:r w:rsidRPr="000741BA">
        <w:fldChar w:fldCharType="begin"/>
      </w:r>
      <w:r w:rsidRPr="000741BA">
        <w:instrText xml:space="preserve"> REF Year \* charformat </w:instrText>
      </w:r>
      <w:r w:rsidR="007F5937" w:rsidRPr="000741BA">
        <w:instrText xml:space="preserve"> \* MERGEFORMAT </w:instrText>
      </w:r>
      <w:r w:rsidRPr="000741BA">
        <w:fldChar w:fldCharType="separate"/>
      </w:r>
      <w:r w:rsidR="000554D4" w:rsidRPr="000741BA">
        <w:t>2012</w:t>
      </w:r>
      <w:r w:rsidRPr="000741BA">
        <w:fldChar w:fldCharType="end"/>
      </w:r>
    </w:p>
    <w:p w:rsidR="00441A4C" w:rsidRPr="000741BA" w:rsidRDefault="000554D4" w:rsidP="00441A4C">
      <w:pPr>
        <w:spacing w:before="1080" w:line="300" w:lineRule="atLeast"/>
        <w:ind w:left="397" w:right="397"/>
        <w:jc w:val="right"/>
      </w:pPr>
      <w:r>
        <w:t>QUENTIN BRYCE</w:t>
      </w:r>
    </w:p>
    <w:p w:rsidR="00441A4C" w:rsidRPr="000741BA" w:rsidRDefault="00441A4C" w:rsidP="00441A4C">
      <w:pPr>
        <w:spacing w:line="300" w:lineRule="atLeast"/>
        <w:ind w:left="397" w:right="397"/>
        <w:jc w:val="right"/>
      </w:pPr>
      <w:r w:rsidRPr="000741BA">
        <w:t>Governor-General</w:t>
      </w:r>
    </w:p>
    <w:p w:rsidR="00441A4C" w:rsidRPr="000741BA" w:rsidRDefault="00441A4C" w:rsidP="00441A4C">
      <w:pPr>
        <w:spacing w:after="800" w:line="300" w:lineRule="atLeast"/>
        <w:ind w:left="397" w:right="397"/>
      </w:pPr>
      <w:r w:rsidRPr="000741BA">
        <w:t>By Her Excellency’s Command</w:t>
      </w:r>
    </w:p>
    <w:p w:rsidR="00441A4C" w:rsidRPr="000741BA" w:rsidRDefault="00AD6285" w:rsidP="00441A4C">
      <w:pPr>
        <w:spacing w:before="480" w:line="300" w:lineRule="atLeast"/>
        <w:ind w:left="397" w:right="397"/>
        <w:rPr>
          <w:b/>
        </w:rPr>
      </w:pPr>
      <w:r w:rsidRPr="00AD6285">
        <w:t>WILLIAM RICHARD SHORTEN</w:t>
      </w:r>
    </w:p>
    <w:p w:rsidR="00441A4C" w:rsidRPr="000741BA" w:rsidRDefault="00413420" w:rsidP="00441A4C">
      <w:pPr>
        <w:pBdr>
          <w:bottom w:val="single" w:sz="4" w:space="12" w:color="auto"/>
        </w:pBdr>
        <w:spacing w:line="300" w:lineRule="atLeast"/>
        <w:ind w:left="397" w:right="397"/>
      </w:pPr>
      <w:bookmarkStart w:id="3" w:name="Minister"/>
      <w:r w:rsidRPr="000741BA">
        <w:t>Minister for Financial Services and</w:t>
      </w:r>
      <w:r w:rsidR="00441A4C" w:rsidRPr="000741BA">
        <w:t xml:space="preserve"> Superannuation</w:t>
      </w:r>
      <w:bookmarkEnd w:id="3"/>
    </w:p>
    <w:p w:rsidR="00441A4C" w:rsidRPr="000741BA" w:rsidRDefault="00441A4C" w:rsidP="00441A4C">
      <w:pPr>
        <w:pStyle w:val="SigningPageBreak"/>
        <w:ind w:left="397" w:right="397"/>
        <w:sectPr w:rsidR="00441A4C" w:rsidRPr="000741BA" w:rsidSect="008F0574">
          <w:headerReference w:type="even" r:id="rId9"/>
          <w:headerReference w:type="default" r:id="rId10"/>
          <w:footerReference w:type="even" r:id="rId11"/>
          <w:footerReference w:type="default" r:id="rId12"/>
          <w:footerReference w:type="first" r:id="rId13"/>
          <w:type w:val="continuous"/>
          <w:pgSz w:w="11907" w:h="16839" w:code="9"/>
          <w:pgMar w:top="1985" w:right="2410" w:bottom="3969" w:left="2410" w:header="567" w:footer="3119" w:gutter="0"/>
          <w:cols w:space="708"/>
          <w:titlePg/>
          <w:docGrid w:linePitch="360"/>
        </w:sectPr>
      </w:pPr>
    </w:p>
    <w:p w:rsidR="00441A4C" w:rsidRPr="000741BA" w:rsidRDefault="00441A4C" w:rsidP="00441A4C">
      <w:pPr>
        <w:pStyle w:val="A1"/>
      </w:pPr>
      <w:r w:rsidRPr="00416060">
        <w:rPr>
          <w:rStyle w:val="CharSectnoAm"/>
        </w:rPr>
        <w:lastRenderedPageBreak/>
        <w:t>1</w:t>
      </w:r>
      <w:r w:rsidR="001C08DA" w:rsidRPr="000741BA">
        <w:tab/>
        <w:t>Name of regulation</w:t>
      </w:r>
    </w:p>
    <w:p w:rsidR="00441A4C" w:rsidRPr="000741BA" w:rsidRDefault="001C08DA" w:rsidP="00441A4C">
      <w:pPr>
        <w:pStyle w:val="A2"/>
      </w:pPr>
      <w:r w:rsidRPr="000741BA">
        <w:tab/>
      </w:r>
      <w:r w:rsidRPr="000741BA">
        <w:tab/>
        <w:t>This regulation is</w:t>
      </w:r>
      <w:r w:rsidR="00441A4C" w:rsidRPr="000741BA">
        <w:t xml:space="preserve"> the </w:t>
      </w:r>
      <w:r w:rsidR="00441A4C" w:rsidRPr="000741BA">
        <w:rPr>
          <w:i/>
        </w:rPr>
        <w:fldChar w:fldCharType="begin"/>
      </w:r>
      <w:r w:rsidR="00441A4C" w:rsidRPr="000741BA">
        <w:rPr>
          <w:i/>
        </w:rPr>
        <w:instrText xml:space="preserve"> REF Citation \* charformat </w:instrText>
      </w:r>
      <w:r w:rsidR="007F5937" w:rsidRPr="000741BA">
        <w:rPr>
          <w:i/>
        </w:rPr>
        <w:instrText xml:space="preserve"> \* MERGEFORMAT </w:instrText>
      </w:r>
      <w:r w:rsidR="00441A4C" w:rsidRPr="000741BA">
        <w:rPr>
          <w:i/>
        </w:rPr>
        <w:fldChar w:fldCharType="separate"/>
      </w:r>
      <w:r w:rsidR="000554D4" w:rsidRPr="000554D4">
        <w:rPr>
          <w:i/>
        </w:rPr>
        <w:t>Corporations Amendment Regulation 2012 (No. 6)</w:t>
      </w:r>
      <w:r w:rsidR="00441A4C" w:rsidRPr="000741BA">
        <w:rPr>
          <w:i/>
        </w:rPr>
        <w:fldChar w:fldCharType="end"/>
      </w:r>
      <w:r w:rsidR="00441A4C" w:rsidRPr="000741BA">
        <w:t>.</w:t>
      </w:r>
    </w:p>
    <w:p w:rsidR="00441A4C" w:rsidRPr="000741BA" w:rsidRDefault="00441A4C" w:rsidP="00441A4C">
      <w:pPr>
        <w:pStyle w:val="A1"/>
      </w:pPr>
      <w:r w:rsidRPr="00416060">
        <w:rPr>
          <w:rStyle w:val="CharSectnoAm"/>
        </w:rPr>
        <w:t>2</w:t>
      </w:r>
      <w:r w:rsidRPr="000741BA">
        <w:tab/>
        <w:t>Commencement</w:t>
      </w:r>
    </w:p>
    <w:p w:rsidR="00441A4C" w:rsidRPr="000741BA" w:rsidRDefault="001C08DA" w:rsidP="00441A4C">
      <w:pPr>
        <w:pStyle w:val="A2"/>
      </w:pPr>
      <w:r w:rsidRPr="000741BA">
        <w:tab/>
      </w:r>
      <w:r w:rsidRPr="000741BA">
        <w:tab/>
        <w:t>This regulation</w:t>
      </w:r>
      <w:r w:rsidR="00441A4C" w:rsidRPr="000741BA">
        <w:t xml:space="preserve"> commence</w:t>
      </w:r>
      <w:r w:rsidRPr="000741BA">
        <w:t>s</w:t>
      </w:r>
      <w:r w:rsidR="00441A4C" w:rsidRPr="000741BA">
        <w:t xml:space="preserve"> </w:t>
      </w:r>
      <w:r w:rsidR="00D128AA">
        <w:t xml:space="preserve">on the day </w:t>
      </w:r>
      <w:r w:rsidR="0044328D">
        <w:t xml:space="preserve">that is six months </w:t>
      </w:r>
      <w:r w:rsidR="00D128AA">
        <w:t>after it is registered.</w:t>
      </w:r>
    </w:p>
    <w:p w:rsidR="00441A4C" w:rsidRPr="000741BA" w:rsidRDefault="00441A4C" w:rsidP="00441A4C">
      <w:pPr>
        <w:pStyle w:val="A1"/>
      </w:pPr>
      <w:r w:rsidRPr="00416060">
        <w:rPr>
          <w:rStyle w:val="CharSectnoAm"/>
        </w:rPr>
        <w:t>3</w:t>
      </w:r>
      <w:r w:rsidRPr="000741BA">
        <w:tab/>
        <w:t xml:space="preserve">Amendment of </w:t>
      </w:r>
      <w:r w:rsidRPr="000741BA">
        <w:rPr>
          <w:i/>
        </w:rPr>
        <w:t>Corporations Regulations 2001</w:t>
      </w:r>
    </w:p>
    <w:p w:rsidR="00441A4C" w:rsidRPr="000741BA" w:rsidRDefault="00441A4C" w:rsidP="00441A4C">
      <w:pPr>
        <w:pStyle w:val="A2"/>
      </w:pPr>
      <w:r w:rsidRPr="000741BA">
        <w:tab/>
      </w:r>
      <w:r w:rsidRPr="000741BA">
        <w:tab/>
        <w:t xml:space="preserve">Schedule 1 amends the </w:t>
      </w:r>
      <w:r w:rsidRPr="000741BA">
        <w:rPr>
          <w:i/>
        </w:rPr>
        <w:t>Corporations Regulations 2001</w:t>
      </w:r>
      <w:r w:rsidRPr="000741BA">
        <w:t>.</w:t>
      </w:r>
    </w:p>
    <w:p w:rsidR="00441A4C" w:rsidRPr="000741BA" w:rsidRDefault="00441A4C" w:rsidP="008F0574">
      <w:pPr>
        <w:pStyle w:val="MainBodySectionBreak"/>
        <w:sectPr w:rsidR="00441A4C" w:rsidRPr="000741BA" w:rsidSect="00441A4C">
          <w:headerReference w:type="even" r:id="rId14"/>
          <w:headerReference w:type="default" r:id="rId15"/>
          <w:footerReference w:type="even" r:id="rId16"/>
          <w:footerReference w:type="default" r:id="rId17"/>
          <w:headerReference w:type="first" r:id="rId18"/>
          <w:footerReference w:type="first" r:id="rId19"/>
          <w:pgSz w:w="11907" w:h="16839" w:code="9"/>
          <w:pgMar w:top="1985" w:right="2410" w:bottom="3969" w:left="2410" w:header="567" w:footer="3119" w:gutter="0"/>
          <w:cols w:space="708"/>
          <w:docGrid w:linePitch="360"/>
        </w:sectPr>
      </w:pPr>
    </w:p>
    <w:p w:rsidR="00441A4C" w:rsidRPr="000741BA" w:rsidRDefault="00441A4C" w:rsidP="008F0574">
      <w:pPr>
        <w:pStyle w:val="AS"/>
      </w:pPr>
      <w:r w:rsidRPr="00416060">
        <w:rPr>
          <w:rStyle w:val="CharAmSchNo"/>
        </w:rPr>
        <w:lastRenderedPageBreak/>
        <w:t>Schedule 1</w:t>
      </w:r>
      <w:r w:rsidRPr="000741BA">
        <w:tab/>
      </w:r>
      <w:r w:rsidRPr="00416060">
        <w:rPr>
          <w:rStyle w:val="CharAmSchText"/>
        </w:rPr>
        <w:t>Amendments</w:t>
      </w:r>
    </w:p>
    <w:p w:rsidR="00441A4C" w:rsidRPr="000741BA" w:rsidRDefault="00441A4C" w:rsidP="001A5C29">
      <w:pPr>
        <w:pStyle w:val="ASref"/>
        <w:keepNext w:val="0"/>
      </w:pPr>
      <w:r w:rsidRPr="000741BA">
        <w:t>(</w:t>
      </w:r>
      <w:r w:rsidR="001C08DA" w:rsidRPr="000741BA">
        <w:t>section</w:t>
      </w:r>
      <w:r w:rsidRPr="000741BA">
        <w:t xml:space="preserve"> 3)</w:t>
      </w:r>
    </w:p>
    <w:p w:rsidR="00153FA5" w:rsidRPr="00153FA5" w:rsidRDefault="00153FA5" w:rsidP="00153FA5">
      <w:pPr>
        <w:pStyle w:val="Header"/>
        <w:rPr>
          <w:vanish/>
        </w:rPr>
      </w:pPr>
      <w:r w:rsidRPr="00153FA5">
        <w:rPr>
          <w:vanish/>
        </w:rPr>
        <w:t xml:space="preserve">  </w:t>
      </w:r>
    </w:p>
    <w:p w:rsidR="00441A4C" w:rsidRPr="000741BA" w:rsidRDefault="00441A4C" w:rsidP="00441A4C">
      <w:pPr>
        <w:pStyle w:val="A1S"/>
      </w:pPr>
      <w:r w:rsidRPr="000741BA">
        <w:t>[</w:t>
      </w:r>
      <w:fldSimple w:instr=" SEQ Sch1Item " w:fldLock="1">
        <w:r w:rsidR="000554D4">
          <w:rPr>
            <w:noProof/>
          </w:rPr>
          <w:t>1</w:t>
        </w:r>
      </w:fldSimple>
      <w:r w:rsidRPr="000741BA">
        <w:t>]</w:t>
      </w:r>
      <w:r w:rsidRPr="000741BA">
        <w:tab/>
      </w:r>
      <w:r w:rsidR="002205EE" w:rsidRPr="000741BA">
        <w:t>Regulation 5C.11.01</w:t>
      </w:r>
    </w:p>
    <w:p w:rsidR="002205EE" w:rsidRPr="000741BA" w:rsidRDefault="002205EE" w:rsidP="002205EE">
      <w:pPr>
        <w:pStyle w:val="A2S"/>
      </w:pPr>
      <w:r w:rsidRPr="000741BA">
        <w:t>substitute</w:t>
      </w:r>
    </w:p>
    <w:p w:rsidR="002205EE" w:rsidRPr="000741BA" w:rsidRDefault="002205EE" w:rsidP="00AD6285">
      <w:pPr>
        <w:pStyle w:val="HR"/>
        <w:ind w:left="1134" w:hanging="1134"/>
      </w:pPr>
      <w:r w:rsidRPr="00416060">
        <w:rPr>
          <w:rStyle w:val="CharSectno"/>
        </w:rPr>
        <w:t>5C.11.01</w:t>
      </w:r>
      <w:r w:rsidR="00AD6285">
        <w:rPr>
          <w:rStyle w:val="CharSectno"/>
          <w:rFonts w:cs="Arial"/>
        </w:rPr>
        <w:tab/>
      </w:r>
      <w:r w:rsidRPr="000741BA">
        <w:t xml:space="preserve">Certain </w:t>
      </w:r>
      <w:r w:rsidR="006F0C26">
        <w:t xml:space="preserve">schemes not managed investment </w:t>
      </w:r>
      <w:r w:rsidRPr="000741BA">
        <w:t>schemes</w:t>
      </w:r>
    </w:p>
    <w:p w:rsidR="00FE56AC" w:rsidRPr="000741BA" w:rsidRDefault="002205EE" w:rsidP="006F0C26">
      <w:pPr>
        <w:pStyle w:val="ZR1"/>
      </w:pPr>
      <w:r w:rsidRPr="000741BA">
        <w:tab/>
      </w:r>
      <w:r w:rsidR="00132BE4" w:rsidRPr="000741BA">
        <w:t>(1)</w:t>
      </w:r>
      <w:r w:rsidR="00132BE4" w:rsidRPr="000741BA">
        <w:tab/>
      </w:r>
      <w:r w:rsidRPr="000741BA">
        <w:t xml:space="preserve">For paragraph (n) of the definition of </w:t>
      </w:r>
      <w:r w:rsidRPr="000741BA">
        <w:rPr>
          <w:b/>
          <w:i/>
        </w:rPr>
        <w:t>managed investment scheme</w:t>
      </w:r>
      <w:r w:rsidRPr="000741BA">
        <w:t xml:space="preserve"> in section 9 of the Act, </w:t>
      </w:r>
      <w:r w:rsidR="001E36BC" w:rsidRPr="000741BA">
        <w:t xml:space="preserve">each of </w:t>
      </w:r>
      <w:r w:rsidRPr="000741BA">
        <w:t xml:space="preserve">the </w:t>
      </w:r>
      <w:r w:rsidR="00FE56AC" w:rsidRPr="000741BA">
        <w:t xml:space="preserve">following </w:t>
      </w:r>
      <w:r w:rsidRPr="000741BA">
        <w:t xml:space="preserve">schemes </w:t>
      </w:r>
      <w:r w:rsidR="001E36BC" w:rsidRPr="000741BA">
        <w:t>is</w:t>
      </w:r>
      <w:r w:rsidRPr="000741BA">
        <w:t xml:space="preserve"> </w:t>
      </w:r>
      <w:r w:rsidR="001E36BC" w:rsidRPr="000741BA">
        <w:t>declared</w:t>
      </w:r>
      <w:r w:rsidR="00167574" w:rsidRPr="000741BA">
        <w:t xml:space="preserve"> </w:t>
      </w:r>
      <w:r w:rsidRPr="000741BA">
        <w:t>not</w:t>
      </w:r>
      <w:r w:rsidR="001E36BC" w:rsidRPr="000741BA">
        <w:t xml:space="preserve"> to</w:t>
      </w:r>
      <w:r w:rsidR="00FE56AC" w:rsidRPr="000741BA">
        <w:t xml:space="preserve"> be a managed investment scheme:</w:t>
      </w:r>
    </w:p>
    <w:p w:rsidR="00FE56AC" w:rsidRPr="000741BA" w:rsidRDefault="00FE56AC" w:rsidP="00FE56AC">
      <w:pPr>
        <w:pStyle w:val="P1"/>
      </w:pPr>
      <w:r w:rsidRPr="000741BA">
        <w:tab/>
        <w:t>(a)</w:t>
      </w:r>
      <w:r w:rsidRPr="000741BA">
        <w:tab/>
        <w:t>a</w:t>
      </w:r>
      <w:r w:rsidR="002205EE" w:rsidRPr="000741BA">
        <w:t xml:space="preserve">n approved benefit fund within the meaning </w:t>
      </w:r>
      <w:r w:rsidR="007D5864" w:rsidRPr="000741BA">
        <w:t xml:space="preserve">given by </w:t>
      </w:r>
      <w:r w:rsidR="006F0C26">
        <w:t xml:space="preserve">subsection 16B (1) </w:t>
      </w:r>
      <w:r w:rsidR="007D5864" w:rsidRPr="000741BA">
        <w:t xml:space="preserve">of </w:t>
      </w:r>
      <w:r w:rsidR="002205EE" w:rsidRPr="000741BA">
        <w:t xml:space="preserve">the </w:t>
      </w:r>
      <w:r w:rsidR="002205EE" w:rsidRPr="000741BA">
        <w:rPr>
          <w:i/>
        </w:rPr>
        <w:t>Life Insurance Act 1995</w:t>
      </w:r>
      <w:r w:rsidRPr="000741BA">
        <w:t>;</w:t>
      </w:r>
    </w:p>
    <w:p w:rsidR="00167574" w:rsidRPr="000741BA" w:rsidRDefault="00FE56AC" w:rsidP="006F0C26">
      <w:pPr>
        <w:pStyle w:val="ZP1"/>
      </w:pPr>
      <w:r w:rsidRPr="000741BA">
        <w:tab/>
        <w:t>(b)</w:t>
      </w:r>
      <w:r w:rsidRPr="000741BA">
        <w:tab/>
        <w:t xml:space="preserve">a </w:t>
      </w:r>
      <w:r w:rsidR="00167574" w:rsidRPr="000741BA">
        <w:t>scheme</w:t>
      </w:r>
      <w:r w:rsidRPr="000741BA">
        <w:t xml:space="preserve"> that has all of the following features</w:t>
      </w:r>
      <w:r w:rsidR="001E4EE3" w:rsidRPr="000741BA">
        <w:t>:</w:t>
      </w:r>
    </w:p>
    <w:p w:rsidR="00600534" w:rsidRPr="000741BA" w:rsidRDefault="00FE56AC" w:rsidP="00FE56AC">
      <w:pPr>
        <w:pStyle w:val="P2"/>
      </w:pPr>
      <w:r w:rsidRPr="000741BA">
        <w:tab/>
        <w:t>(i</w:t>
      </w:r>
      <w:r w:rsidR="00167574" w:rsidRPr="000741BA">
        <w:t>)</w:t>
      </w:r>
      <w:r w:rsidR="00167574" w:rsidRPr="000741BA">
        <w:tab/>
        <w:t xml:space="preserve">the dominant purpose of the scheme </w:t>
      </w:r>
      <w:r w:rsidR="00C34767" w:rsidRPr="000741BA">
        <w:t xml:space="preserve">is for </w:t>
      </w:r>
      <w:r w:rsidR="00793477" w:rsidRPr="000741BA">
        <w:t xml:space="preserve">each of </w:t>
      </w:r>
      <w:r w:rsidR="00C34767" w:rsidRPr="000741BA">
        <w:t>its members</w:t>
      </w:r>
      <w:r w:rsidR="00513635" w:rsidRPr="000741BA">
        <w:t xml:space="preserve"> </w:t>
      </w:r>
      <w:r w:rsidR="00167574" w:rsidRPr="000741BA">
        <w:t xml:space="preserve">to </w:t>
      </w:r>
      <w:r w:rsidR="008B36E6" w:rsidRPr="000741BA">
        <w:t>seek</w:t>
      </w:r>
      <w:r w:rsidR="00167574" w:rsidRPr="000741BA">
        <w:t xml:space="preserve"> remedies to which </w:t>
      </w:r>
      <w:r w:rsidR="00175F72" w:rsidRPr="000741BA">
        <w:t>they</w:t>
      </w:r>
      <w:r w:rsidR="00167574" w:rsidRPr="000741BA">
        <w:t xml:space="preserve"> may be legally entitled;</w:t>
      </w:r>
    </w:p>
    <w:p w:rsidR="00744B72" w:rsidRPr="000741BA" w:rsidRDefault="00FE56AC" w:rsidP="006F0C26">
      <w:pPr>
        <w:pStyle w:val="ZP2"/>
      </w:pPr>
      <w:r w:rsidRPr="000741BA">
        <w:lastRenderedPageBreak/>
        <w:tab/>
        <w:t>(ii)</w:t>
      </w:r>
      <w:r w:rsidRPr="000741BA">
        <w:tab/>
      </w:r>
      <w:r w:rsidR="00167574" w:rsidRPr="000741BA">
        <w:t xml:space="preserve">the </w:t>
      </w:r>
      <w:r w:rsidR="00553F33" w:rsidRPr="000741BA">
        <w:t>possible entitlement</w:t>
      </w:r>
      <w:r w:rsidR="00167574" w:rsidRPr="000741BA">
        <w:t xml:space="preserve"> </w:t>
      </w:r>
      <w:r w:rsidR="00553F33" w:rsidRPr="000741BA">
        <w:t xml:space="preserve">of each </w:t>
      </w:r>
      <w:r w:rsidR="007A46C0" w:rsidRPr="000741BA">
        <w:t>of th</w:t>
      </w:r>
      <w:r w:rsidR="00513635" w:rsidRPr="000741BA">
        <w:t xml:space="preserve">e </w:t>
      </w:r>
      <w:r w:rsidR="00553F33" w:rsidRPr="000741BA">
        <w:t>member</w:t>
      </w:r>
      <w:r w:rsidR="00513635" w:rsidRPr="000741BA">
        <w:t>s</w:t>
      </w:r>
      <w:r w:rsidR="00553F33" w:rsidRPr="000741BA">
        <w:t xml:space="preserve"> </w:t>
      </w:r>
      <w:r w:rsidR="007D5864" w:rsidRPr="000741BA">
        <w:t xml:space="preserve">of the scheme </w:t>
      </w:r>
      <w:r w:rsidR="00553F33" w:rsidRPr="000741BA">
        <w:t>to remedies</w:t>
      </w:r>
      <w:r w:rsidR="00A7756B" w:rsidRPr="000741BA">
        <w:t xml:space="preserve"> </w:t>
      </w:r>
      <w:r w:rsidR="00167574" w:rsidRPr="000741BA">
        <w:t>arises out of</w:t>
      </w:r>
      <w:r w:rsidR="00744B72" w:rsidRPr="000741BA">
        <w:t>:</w:t>
      </w:r>
    </w:p>
    <w:p w:rsidR="00744B72" w:rsidRPr="000741BA" w:rsidRDefault="00744B72" w:rsidP="007A46C0">
      <w:pPr>
        <w:pStyle w:val="P3"/>
      </w:pPr>
      <w:r w:rsidRPr="000741BA">
        <w:tab/>
      </w:r>
      <w:r w:rsidR="007A46C0" w:rsidRPr="000741BA">
        <w:t>(A</w:t>
      </w:r>
      <w:r w:rsidRPr="000741BA">
        <w:t>)</w:t>
      </w:r>
      <w:r w:rsidRPr="000741BA">
        <w:tab/>
      </w:r>
      <w:r w:rsidR="00167574" w:rsidRPr="000741BA">
        <w:t>the same, similar or related transactions or circumstances</w:t>
      </w:r>
      <w:r w:rsidR="00A7756B" w:rsidRPr="000741BA">
        <w:t xml:space="preserve"> that give rise to a common issue of law or fact</w:t>
      </w:r>
      <w:r w:rsidR="00167574" w:rsidRPr="000741BA">
        <w:t>;</w:t>
      </w:r>
      <w:r w:rsidR="007D5864" w:rsidRPr="000741BA">
        <w:t xml:space="preserve"> </w:t>
      </w:r>
      <w:r w:rsidRPr="000741BA">
        <w:t>or</w:t>
      </w:r>
    </w:p>
    <w:p w:rsidR="00E913CB" w:rsidRPr="000741BA" w:rsidRDefault="00744B72" w:rsidP="00B30F62">
      <w:pPr>
        <w:pStyle w:val="P3"/>
      </w:pPr>
      <w:r w:rsidRPr="000741BA">
        <w:tab/>
        <w:t>(</w:t>
      </w:r>
      <w:r w:rsidR="007A46C0" w:rsidRPr="000741BA">
        <w:t>B</w:t>
      </w:r>
      <w:r w:rsidRPr="000741BA">
        <w:t>)</w:t>
      </w:r>
      <w:r w:rsidRPr="000741BA">
        <w:tab/>
        <w:t xml:space="preserve">different </w:t>
      </w:r>
      <w:r w:rsidR="00A7756B" w:rsidRPr="000741BA">
        <w:t xml:space="preserve">transactions or </w:t>
      </w:r>
      <w:r w:rsidRPr="000741BA">
        <w:t xml:space="preserve">circumstances </w:t>
      </w:r>
      <w:r w:rsidR="00B30F62" w:rsidRPr="000741BA">
        <w:t xml:space="preserve">but the claims </w:t>
      </w:r>
      <w:r w:rsidR="001129AA" w:rsidRPr="000741BA">
        <w:t xml:space="preserve">of the members </w:t>
      </w:r>
      <w:r w:rsidR="00285A46" w:rsidRPr="000741BA">
        <w:t>can be</w:t>
      </w:r>
      <w:r w:rsidR="00A7756B" w:rsidRPr="000741BA">
        <w:t xml:space="preserve"> appropriately dealt with together</w:t>
      </w:r>
      <w:r w:rsidRPr="000741BA">
        <w:t>;</w:t>
      </w:r>
    </w:p>
    <w:p w:rsidR="00FE56AC" w:rsidRPr="000741BA" w:rsidRDefault="007A46C0" w:rsidP="007A46C0">
      <w:pPr>
        <w:pStyle w:val="P2"/>
      </w:pPr>
      <w:r w:rsidRPr="000741BA">
        <w:tab/>
        <w:t>(ii</w:t>
      </w:r>
      <w:r w:rsidR="001129AA" w:rsidRPr="000741BA">
        <w:t>i</w:t>
      </w:r>
      <w:r w:rsidRPr="000741BA">
        <w:t>)</w:t>
      </w:r>
      <w:r w:rsidRPr="000741BA">
        <w:tab/>
        <w:t xml:space="preserve">the possible entitlement of each of the members of the scheme to remedies </w:t>
      </w:r>
      <w:r w:rsidR="007D5864" w:rsidRPr="000741BA">
        <w:t>relates to</w:t>
      </w:r>
      <w:r w:rsidR="001E4EE3" w:rsidRPr="000741BA">
        <w:t xml:space="preserve"> </w:t>
      </w:r>
      <w:r w:rsidR="00FE56AC" w:rsidRPr="000741BA">
        <w:t xml:space="preserve">transactions or circumstances </w:t>
      </w:r>
      <w:r w:rsidR="007D5864" w:rsidRPr="000741BA">
        <w:t xml:space="preserve">that </w:t>
      </w:r>
      <w:r w:rsidR="001E36BC" w:rsidRPr="000741BA">
        <w:t xml:space="preserve">occurred before </w:t>
      </w:r>
      <w:r w:rsidR="00B30F62" w:rsidRPr="000741BA">
        <w:t>or af</w:t>
      </w:r>
      <w:r w:rsidR="00A7756B" w:rsidRPr="000741BA">
        <w:t>ter the first funding agreement (</w:t>
      </w:r>
      <w:r w:rsidR="00B30F62" w:rsidRPr="000741BA">
        <w:t xml:space="preserve">dealing with </w:t>
      </w:r>
      <w:r w:rsidR="001E36BC" w:rsidRPr="000741BA">
        <w:t>any issue of interests in the scheme</w:t>
      </w:r>
      <w:r w:rsidR="00A7756B" w:rsidRPr="000741BA">
        <w:t>)</w:t>
      </w:r>
      <w:r w:rsidR="00B30F62" w:rsidRPr="000741BA">
        <w:t xml:space="preserve"> is finalised</w:t>
      </w:r>
      <w:r w:rsidR="001E4EE3" w:rsidRPr="000741BA">
        <w:t>;</w:t>
      </w:r>
    </w:p>
    <w:p w:rsidR="00AA5414" w:rsidRPr="000741BA" w:rsidRDefault="001129AA" w:rsidP="006F0C26">
      <w:pPr>
        <w:pStyle w:val="ZP2"/>
      </w:pPr>
      <w:r w:rsidRPr="000741BA">
        <w:tab/>
        <w:t>(iv</w:t>
      </w:r>
      <w:r w:rsidR="00FE56AC" w:rsidRPr="000741BA">
        <w:t>)</w:t>
      </w:r>
      <w:r w:rsidR="00FE56AC" w:rsidRPr="000741BA">
        <w:tab/>
      </w:r>
      <w:r w:rsidR="008B36E6" w:rsidRPr="000741BA">
        <w:t xml:space="preserve">the </w:t>
      </w:r>
      <w:r w:rsidR="00FE56AC" w:rsidRPr="000741BA">
        <w:t xml:space="preserve">steps taken to seek </w:t>
      </w:r>
      <w:r w:rsidR="00AA5414" w:rsidRPr="000741BA">
        <w:t xml:space="preserve">remedies </w:t>
      </w:r>
      <w:r w:rsidR="007D5864" w:rsidRPr="000741BA">
        <w:t xml:space="preserve">for </w:t>
      </w:r>
      <w:r w:rsidR="00793477" w:rsidRPr="000741BA">
        <w:t>each</w:t>
      </w:r>
      <w:r w:rsidR="007A46C0" w:rsidRPr="000741BA">
        <w:t xml:space="preserve"> of th</w:t>
      </w:r>
      <w:r w:rsidR="00513635" w:rsidRPr="000741BA">
        <w:t>e</w:t>
      </w:r>
      <w:r w:rsidR="00793477" w:rsidRPr="000741BA">
        <w:t xml:space="preserve"> member</w:t>
      </w:r>
      <w:r w:rsidR="00513635" w:rsidRPr="000741BA">
        <w:t>s</w:t>
      </w:r>
      <w:r w:rsidR="007D5864" w:rsidRPr="000741BA">
        <w:t xml:space="preserve"> of the scheme </w:t>
      </w:r>
      <w:r w:rsidR="00AA5414" w:rsidRPr="000741BA">
        <w:t>include a lawyer</w:t>
      </w:r>
      <w:r w:rsidR="00C52A44" w:rsidRPr="000741BA">
        <w:t xml:space="preserve"> providing services in relation to</w:t>
      </w:r>
      <w:r w:rsidR="00AA5414" w:rsidRPr="000741BA">
        <w:t>:</w:t>
      </w:r>
    </w:p>
    <w:p w:rsidR="001E4EE3" w:rsidRPr="000741BA" w:rsidRDefault="00FE56AC" w:rsidP="00FE56AC">
      <w:pPr>
        <w:pStyle w:val="P3"/>
      </w:pPr>
      <w:r w:rsidRPr="000741BA">
        <w:tab/>
        <w:t>(A</w:t>
      </w:r>
      <w:r w:rsidR="00AA5414" w:rsidRPr="000741BA">
        <w:t>)</w:t>
      </w:r>
      <w:r w:rsidR="00AA5414" w:rsidRPr="000741BA">
        <w:tab/>
        <w:t xml:space="preserve">making a demand for payment </w:t>
      </w:r>
      <w:r w:rsidRPr="000741BA">
        <w:t>in relation to</w:t>
      </w:r>
      <w:r w:rsidR="00AA5414" w:rsidRPr="000741BA">
        <w:t xml:space="preserve"> a claim; or</w:t>
      </w:r>
    </w:p>
    <w:p w:rsidR="00AA5414" w:rsidRPr="000741BA" w:rsidRDefault="00FE56AC" w:rsidP="00FE56AC">
      <w:pPr>
        <w:pStyle w:val="P3"/>
      </w:pPr>
      <w:r w:rsidRPr="000741BA">
        <w:tab/>
        <w:t>(B)</w:t>
      </w:r>
      <w:r w:rsidRPr="000741BA">
        <w:tab/>
      </w:r>
      <w:r w:rsidR="00AA5414" w:rsidRPr="000741BA">
        <w:t>lodgi</w:t>
      </w:r>
      <w:r w:rsidRPr="000741BA">
        <w:t>ng a proof of debt; or</w:t>
      </w:r>
    </w:p>
    <w:p w:rsidR="00AA5414" w:rsidRPr="000741BA" w:rsidRDefault="00FE56AC" w:rsidP="00FE56AC">
      <w:pPr>
        <w:pStyle w:val="P3"/>
      </w:pPr>
      <w:r w:rsidRPr="000741BA">
        <w:tab/>
        <w:t>(C)</w:t>
      </w:r>
      <w:r w:rsidRPr="000741BA">
        <w:tab/>
      </w:r>
      <w:r w:rsidR="00682E79" w:rsidRPr="000741BA">
        <w:t xml:space="preserve">commencing </w:t>
      </w:r>
      <w:r w:rsidR="00C52A44" w:rsidRPr="000741BA">
        <w:t xml:space="preserve">or undertaking </w:t>
      </w:r>
      <w:r w:rsidRPr="000741BA">
        <w:t>legal proceedings; or</w:t>
      </w:r>
    </w:p>
    <w:p w:rsidR="00AA5414" w:rsidRPr="000741BA" w:rsidRDefault="00FE56AC" w:rsidP="00FE56AC">
      <w:pPr>
        <w:pStyle w:val="P3"/>
      </w:pPr>
      <w:r w:rsidRPr="000741BA">
        <w:tab/>
        <w:t>(D)</w:t>
      </w:r>
      <w:r w:rsidRPr="000741BA">
        <w:tab/>
      </w:r>
      <w:r w:rsidR="00AA5414" w:rsidRPr="000741BA">
        <w:t xml:space="preserve">investigating </w:t>
      </w:r>
      <w:r w:rsidR="00682E79" w:rsidRPr="000741BA">
        <w:t xml:space="preserve">a </w:t>
      </w:r>
      <w:r w:rsidR="007D5864" w:rsidRPr="000741BA">
        <w:t xml:space="preserve">potential or actual </w:t>
      </w:r>
      <w:r w:rsidR="00682E79" w:rsidRPr="000741BA">
        <w:t>claim</w:t>
      </w:r>
      <w:r w:rsidRPr="000741BA">
        <w:t>; or</w:t>
      </w:r>
    </w:p>
    <w:p w:rsidR="00AA5414" w:rsidRPr="000741BA" w:rsidRDefault="00FE56AC" w:rsidP="00FE56AC">
      <w:pPr>
        <w:pStyle w:val="P3"/>
      </w:pPr>
      <w:r w:rsidRPr="000741BA">
        <w:tab/>
        <w:t>(E)</w:t>
      </w:r>
      <w:r w:rsidRPr="000741BA">
        <w:tab/>
      </w:r>
      <w:r w:rsidR="00AA5414" w:rsidRPr="000741BA">
        <w:t xml:space="preserve">negotiating a settlement </w:t>
      </w:r>
      <w:r w:rsidRPr="000741BA">
        <w:t xml:space="preserve">of </w:t>
      </w:r>
      <w:r w:rsidR="00682E79" w:rsidRPr="000741BA">
        <w:t>a claim</w:t>
      </w:r>
      <w:r w:rsidRPr="000741BA">
        <w:t>; or</w:t>
      </w:r>
    </w:p>
    <w:p w:rsidR="00AA5414" w:rsidRPr="000741BA" w:rsidRDefault="00FE56AC" w:rsidP="00FE56AC">
      <w:pPr>
        <w:pStyle w:val="P3"/>
      </w:pPr>
      <w:r w:rsidRPr="000741BA">
        <w:tab/>
        <w:t>(F)</w:t>
      </w:r>
      <w:r w:rsidRPr="000741BA">
        <w:tab/>
      </w:r>
      <w:r w:rsidR="00AA5414" w:rsidRPr="000741BA">
        <w:t>administering a deed of settlement or scheme of</w:t>
      </w:r>
      <w:r w:rsidR="00545760" w:rsidRPr="000741BA">
        <w:t xml:space="preserve"> settlement relating to a claim;</w:t>
      </w:r>
    </w:p>
    <w:p w:rsidR="005C59BF" w:rsidRPr="000741BA" w:rsidRDefault="001129AA" w:rsidP="005C59BF">
      <w:pPr>
        <w:pStyle w:val="P2"/>
      </w:pPr>
      <w:r w:rsidRPr="000741BA">
        <w:tab/>
        <w:t>(</w:t>
      </w:r>
      <w:r w:rsidR="005C59BF" w:rsidRPr="000741BA">
        <w:t>v)</w:t>
      </w:r>
      <w:r w:rsidR="005C59BF" w:rsidRPr="000741BA">
        <w:tab/>
        <w:t xml:space="preserve">a person (the </w:t>
      </w:r>
      <w:r w:rsidR="005C59BF" w:rsidRPr="000741BA">
        <w:rPr>
          <w:b/>
          <w:i/>
        </w:rPr>
        <w:t>funder</w:t>
      </w:r>
      <w:r w:rsidR="005C59BF" w:rsidRPr="000741BA">
        <w:t xml:space="preserve">) </w:t>
      </w:r>
      <w:r w:rsidR="00B30F62" w:rsidRPr="000741BA">
        <w:t>may provide</w:t>
      </w:r>
      <w:r w:rsidR="005C59BF" w:rsidRPr="000741BA">
        <w:t xml:space="preserve"> funds</w:t>
      </w:r>
      <w:r w:rsidR="00B30F62" w:rsidRPr="000741BA">
        <w:t xml:space="preserve"> or indemnities</w:t>
      </w:r>
      <w:r w:rsidR="005C59BF" w:rsidRPr="000741BA">
        <w:t xml:space="preserve"> under a</w:t>
      </w:r>
      <w:r w:rsidR="00513635" w:rsidRPr="000741BA">
        <w:t xml:space="preserve"> funding agreement </w:t>
      </w:r>
      <w:r w:rsidR="008D4937" w:rsidRPr="000741BA">
        <w:t xml:space="preserve">(including an agreement under which no fee is payable </w:t>
      </w:r>
      <w:r w:rsidR="00B63F26" w:rsidRPr="000741BA">
        <w:t xml:space="preserve">to the funder or lawyer </w:t>
      </w:r>
      <w:r w:rsidR="008D4937" w:rsidRPr="000741BA">
        <w:t xml:space="preserve">if the </w:t>
      </w:r>
      <w:r w:rsidR="00CB50F1" w:rsidRPr="000741BA">
        <w:t xml:space="preserve">scheme is not successful in seeking </w:t>
      </w:r>
      <w:r w:rsidR="00CB50F1" w:rsidRPr="000741BA">
        <w:rPr>
          <w:shd w:val="clear" w:color="auto" w:fill="FFFFFF"/>
        </w:rPr>
        <w:t>remedies</w:t>
      </w:r>
      <w:r w:rsidR="008D4937" w:rsidRPr="000741BA">
        <w:t xml:space="preserve">) </w:t>
      </w:r>
      <w:r w:rsidR="007A46C0" w:rsidRPr="000741BA">
        <w:t>to enable th</w:t>
      </w:r>
      <w:r w:rsidR="00513635" w:rsidRPr="000741BA">
        <w:t>e</w:t>
      </w:r>
      <w:r w:rsidR="005C59BF" w:rsidRPr="000741BA">
        <w:t xml:space="preserve"> members of the scheme to seek remedies;</w:t>
      </w:r>
    </w:p>
    <w:p w:rsidR="007A46C0" w:rsidRPr="000741BA" w:rsidRDefault="007A46C0" w:rsidP="005C59BF">
      <w:pPr>
        <w:pStyle w:val="P2"/>
      </w:pPr>
      <w:r w:rsidRPr="000741BA">
        <w:tab/>
        <w:t>(v</w:t>
      </w:r>
      <w:r w:rsidR="001129AA" w:rsidRPr="000741BA">
        <w:t>i</w:t>
      </w:r>
      <w:r w:rsidRPr="000741BA">
        <w:t>)</w:t>
      </w:r>
      <w:r w:rsidRPr="000741BA">
        <w:tab/>
        <w:t>the lawye</w:t>
      </w:r>
      <w:r w:rsidR="001129AA" w:rsidRPr="000741BA">
        <w:t>r mentioned in subparagraph (iv</w:t>
      </w:r>
      <w:r w:rsidRPr="000741BA">
        <w:t xml:space="preserve">) and the funder mentioned in subparagraph </w:t>
      </w:r>
      <w:r w:rsidR="001129AA" w:rsidRPr="000741BA">
        <w:t>(</w:t>
      </w:r>
      <w:r w:rsidRPr="000741BA">
        <w:t>v) are not members of the scheme;</w:t>
      </w:r>
    </w:p>
    <w:p w:rsidR="00545760" w:rsidRPr="000741BA" w:rsidRDefault="00545760" w:rsidP="006F0C26">
      <w:pPr>
        <w:pStyle w:val="ZP1"/>
      </w:pPr>
      <w:r w:rsidRPr="000741BA">
        <w:tab/>
      </w:r>
      <w:r w:rsidR="009C5BBE" w:rsidRPr="000741BA">
        <w:t>(c</w:t>
      </w:r>
      <w:r w:rsidRPr="000741BA">
        <w:t>)</w:t>
      </w:r>
      <w:r w:rsidRPr="000741BA">
        <w:tab/>
        <w:t xml:space="preserve">a scheme </w:t>
      </w:r>
      <w:r w:rsidR="00D76C20" w:rsidRPr="000741BA">
        <w:t>that has all of the following features</w:t>
      </w:r>
      <w:r w:rsidRPr="000741BA">
        <w:t>:</w:t>
      </w:r>
    </w:p>
    <w:p w:rsidR="00545760" w:rsidRPr="000741BA" w:rsidRDefault="00545760" w:rsidP="00545760">
      <w:pPr>
        <w:pStyle w:val="P2"/>
      </w:pPr>
      <w:r w:rsidRPr="000741BA">
        <w:tab/>
        <w:t>(i)</w:t>
      </w:r>
      <w:r w:rsidRPr="000741BA">
        <w:tab/>
      </w:r>
      <w:r w:rsidR="005C59BF" w:rsidRPr="000741BA">
        <w:t xml:space="preserve">the scheme relates to </w:t>
      </w:r>
      <w:r w:rsidRPr="000741BA">
        <w:t>a</w:t>
      </w:r>
      <w:r w:rsidR="006518F7" w:rsidRPr="000741BA">
        <w:t>n externally-administered</w:t>
      </w:r>
      <w:r w:rsidRPr="000741BA">
        <w:t xml:space="preserve"> </w:t>
      </w:r>
      <w:r w:rsidR="00132BE4" w:rsidRPr="000741BA">
        <w:rPr>
          <w:shd w:val="clear" w:color="auto" w:fill="FFFFFF"/>
        </w:rPr>
        <w:t>body corporate</w:t>
      </w:r>
      <w:r w:rsidRPr="000741BA">
        <w:t>;</w:t>
      </w:r>
    </w:p>
    <w:p w:rsidR="00C57A64" w:rsidRPr="000741BA" w:rsidRDefault="00545760" w:rsidP="00545760">
      <w:pPr>
        <w:pStyle w:val="P2"/>
      </w:pPr>
      <w:r w:rsidRPr="000741BA">
        <w:lastRenderedPageBreak/>
        <w:tab/>
        <w:t>(ii)</w:t>
      </w:r>
      <w:r w:rsidRPr="000741BA">
        <w:tab/>
        <w:t xml:space="preserve">the creditors or members of the </w:t>
      </w:r>
      <w:r w:rsidR="000B2EB1" w:rsidRPr="000741BA">
        <w:t>body</w:t>
      </w:r>
      <w:r w:rsidR="00132BE4" w:rsidRPr="000741BA">
        <w:t xml:space="preserve"> corporate</w:t>
      </w:r>
      <w:r w:rsidRPr="000741BA">
        <w:t xml:space="preserve"> provide funds</w:t>
      </w:r>
      <w:r w:rsidR="000B2EB1" w:rsidRPr="000741BA">
        <w:t xml:space="preserve"> </w:t>
      </w:r>
      <w:r w:rsidR="00132BE4" w:rsidRPr="000741BA">
        <w:t xml:space="preserve">(including through a trust) </w:t>
      </w:r>
      <w:r w:rsidR="000B2EB1" w:rsidRPr="000741BA">
        <w:t>or indemnities</w:t>
      </w:r>
      <w:r w:rsidRPr="000741BA">
        <w:t xml:space="preserve"> to </w:t>
      </w:r>
      <w:r w:rsidR="00C57A64" w:rsidRPr="000741BA">
        <w:t>the body corporate or external administrator;</w:t>
      </w:r>
    </w:p>
    <w:p w:rsidR="003A45F3" w:rsidRPr="000741BA" w:rsidRDefault="00C57A64" w:rsidP="006F0C26">
      <w:pPr>
        <w:pStyle w:val="ZP2"/>
      </w:pPr>
      <w:r w:rsidRPr="000741BA">
        <w:tab/>
        <w:t>(iii)</w:t>
      </w:r>
      <w:r w:rsidRPr="000741BA">
        <w:tab/>
        <w:t xml:space="preserve">the funds or indemnities </w:t>
      </w:r>
      <w:r w:rsidR="00545760" w:rsidRPr="000741BA">
        <w:t xml:space="preserve">enable the external administrator or the </w:t>
      </w:r>
      <w:r w:rsidR="000B2EB1" w:rsidRPr="000741BA">
        <w:t xml:space="preserve">body </w:t>
      </w:r>
      <w:r w:rsidR="00132BE4" w:rsidRPr="000741BA">
        <w:t xml:space="preserve">corporate </w:t>
      </w:r>
      <w:r w:rsidR="00545760" w:rsidRPr="000741BA">
        <w:t>to</w:t>
      </w:r>
      <w:r w:rsidR="003A45F3" w:rsidRPr="000741BA">
        <w:t>:</w:t>
      </w:r>
    </w:p>
    <w:p w:rsidR="003A45F3" w:rsidRPr="000741BA" w:rsidRDefault="003A45F3" w:rsidP="003A45F3">
      <w:pPr>
        <w:pStyle w:val="P3"/>
      </w:pPr>
      <w:r w:rsidRPr="000741BA">
        <w:tab/>
        <w:t>(A)</w:t>
      </w:r>
      <w:r w:rsidRPr="000741BA">
        <w:tab/>
        <w:t>conduct investigations;</w:t>
      </w:r>
      <w:r w:rsidR="0021451C" w:rsidRPr="000741BA">
        <w:t xml:space="preserve"> or</w:t>
      </w:r>
    </w:p>
    <w:p w:rsidR="003A45F3" w:rsidRPr="000741BA" w:rsidRDefault="003A45F3" w:rsidP="003A45F3">
      <w:pPr>
        <w:pStyle w:val="P3"/>
      </w:pPr>
      <w:r w:rsidRPr="000741BA">
        <w:tab/>
        <w:t>(B)</w:t>
      </w:r>
      <w:r w:rsidRPr="000741BA">
        <w:tab/>
      </w:r>
      <w:r w:rsidR="00132BE4" w:rsidRPr="000741BA">
        <w:t xml:space="preserve">to </w:t>
      </w:r>
      <w:r w:rsidR="000B2EB1" w:rsidRPr="000741BA">
        <w:t xml:space="preserve">seek or </w:t>
      </w:r>
      <w:r w:rsidR="00545760" w:rsidRPr="000741BA">
        <w:t>enforce a remedy against a third party;</w:t>
      </w:r>
      <w:r w:rsidRPr="000741BA">
        <w:t xml:space="preserve"> or</w:t>
      </w:r>
    </w:p>
    <w:p w:rsidR="00545760" w:rsidRPr="000741BA" w:rsidRDefault="003A45F3" w:rsidP="003A45F3">
      <w:pPr>
        <w:pStyle w:val="P3"/>
      </w:pPr>
      <w:r w:rsidRPr="000741BA">
        <w:tab/>
        <w:t>(C)</w:t>
      </w:r>
      <w:r w:rsidRPr="000741BA">
        <w:tab/>
        <w:t xml:space="preserve">to defend proceedings brought </w:t>
      </w:r>
      <w:r w:rsidR="002B3819" w:rsidRPr="000741BA">
        <w:t>against</w:t>
      </w:r>
      <w:r w:rsidR="00CB50F1" w:rsidRPr="000741BA">
        <w:t xml:space="preserve"> the body corporate </w:t>
      </w:r>
      <w:r w:rsidRPr="000741BA">
        <w:t>in relation to the external admin</w:t>
      </w:r>
      <w:r w:rsidR="00CB50F1" w:rsidRPr="000741BA">
        <w:t>istration of the body corporate</w:t>
      </w:r>
      <w:r w:rsidRPr="000741BA">
        <w:t xml:space="preserve"> </w:t>
      </w:r>
      <w:r w:rsidR="00CB50F1" w:rsidRPr="000741BA">
        <w:t>(</w:t>
      </w:r>
      <w:r w:rsidRPr="000741BA">
        <w:t xml:space="preserve">other than in relation to </w:t>
      </w:r>
      <w:r w:rsidR="00513635" w:rsidRPr="000741BA">
        <w:t>allegations</w:t>
      </w:r>
      <w:r w:rsidR="004C5ECE" w:rsidRPr="000741BA">
        <w:t>,</w:t>
      </w:r>
      <w:r w:rsidR="002B3819" w:rsidRPr="000741BA">
        <w:t xml:space="preserve"> made by creditors or members</w:t>
      </w:r>
      <w:r w:rsidR="00513635" w:rsidRPr="000741BA">
        <w:t xml:space="preserve"> </w:t>
      </w:r>
      <w:r w:rsidR="004C5ECE" w:rsidRPr="000741BA">
        <w:t xml:space="preserve">of the body corporate, </w:t>
      </w:r>
      <w:r w:rsidR="00513635" w:rsidRPr="000741BA">
        <w:t xml:space="preserve">of </w:t>
      </w:r>
      <w:r w:rsidRPr="000741BA">
        <w:t xml:space="preserve">negligence or non-performance of duties by </w:t>
      </w:r>
      <w:r w:rsidR="00513635" w:rsidRPr="000741BA">
        <w:t>the external administrator</w:t>
      </w:r>
      <w:r w:rsidR="00CB50F1" w:rsidRPr="000741BA">
        <w:t>)</w:t>
      </w:r>
      <w:r w:rsidRPr="000741BA">
        <w:t>;</w:t>
      </w:r>
    </w:p>
    <w:p w:rsidR="005C59BF" w:rsidRPr="000741BA" w:rsidRDefault="00C57A64" w:rsidP="006518F7">
      <w:pPr>
        <w:pStyle w:val="P2"/>
      </w:pPr>
      <w:r w:rsidRPr="000741BA">
        <w:tab/>
        <w:t>(iv</w:t>
      </w:r>
      <w:r w:rsidR="00545760" w:rsidRPr="000741BA">
        <w:t>)</w:t>
      </w:r>
      <w:r w:rsidR="00545760" w:rsidRPr="000741BA">
        <w:tab/>
      </w:r>
      <w:r w:rsidR="0021451C" w:rsidRPr="000741BA">
        <w:t xml:space="preserve">if a remedy is sought or enforced against a third party, </w:t>
      </w:r>
      <w:r w:rsidR="00545760" w:rsidRPr="000741BA">
        <w:t xml:space="preserve">the remedy will benefit the external administration </w:t>
      </w:r>
      <w:r w:rsidR="00D76C20" w:rsidRPr="000741BA">
        <w:t xml:space="preserve">of the body corporate </w:t>
      </w:r>
      <w:r w:rsidR="00545760" w:rsidRPr="000741BA">
        <w:t>but will not directly benefit the creditors or members.</w:t>
      </w:r>
    </w:p>
    <w:p w:rsidR="00D76C20" w:rsidRPr="000741BA" w:rsidRDefault="00D76C20" w:rsidP="006F0C26">
      <w:pPr>
        <w:pStyle w:val="ZR2"/>
      </w:pPr>
      <w:r w:rsidRPr="000741BA">
        <w:tab/>
        <w:t>(2)</w:t>
      </w:r>
      <w:r w:rsidRPr="000741BA">
        <w:tab/>
        <w:t>In paragraph (1) (</w:t>
      </w:r>
      <w:r w:rsidR="009C5BBE" w:rsidRPr="000741BA">
        <w:t>c</w:t>
      </w:r>
      <w:r w:rsidRPr="000741BA">
        <w:t>):</w:t>
      </w:r>
    </w:p>
    <w:p w:rsidR="00D76C20" w:rsidRPr="000741BA" w:rsidRDefault="00D76C20" w:rsidP="00D76C20">
      <w:pPr>
        <w:pStyle w:val="definition"/>
      </w:pPr>
      <w:r w:rsidRPr="000741BA">
        <w:rPr>
          <w:b/>
          <w:i/>
        </w:rPr>
        <w:t>external administrator</w:t>
      </w:r>
      <w:r w:rsidRPr="000741BA">
        <w:t xml:space="preserve"> includes an administrator, a liquidator</w:t>
      </w:r>
      <w:r w:rsidR="00A33E27" w:rsidRPr="000741BA">
        <w:t xml:space="preserve"> (including a provisional liquidator)</w:t>
      </w:r>
      <w:r w:rsidRPr="000741BA">
        <w:t xml:space="preserve"> a</w:t>
      </w:r>
      <w:r w:rsidR="00DC3F47" w:rsidRPr="000741BA">
        <w:t>nd a controller</w:t>
      </w:r>
      <w:r w:rsidRPr="000741BA">
        <w:t>.</w:t>
      </w:r>
    </w:p>
    <w:p w:rsidR="00E359A9" w:rsidRPr="000741BA" w:rsidRDefault="00E359A9" w:rsidP="00E359A9">
      <w:pPr>
        <w:pStyle w:val="A1S"/>
      </w:pPr>
      <w:r w:rsidRPr="000741BA">
        <w:t>[</w:t>
      </w:r>
      <w:fldSimple w:instr=" SEQ Sch1Item " w:fldLock="1">
        <w:r w:rsidR="000554D4">
          <w:rPr>
            <w:noProof/>
          </w:rPr>
          <w:t>2</w:t>
        </w:r>
      </w:fldSimple>
      <w:r w:rsidRPr="000741BA">
        <w:t>]</w:t>
      </w:r>
      <w:r w:rsidRPr="000741BA">
        <w:tab/>
        <w:t>Sub-subparagraph 7.6.01 (1) (la) (iii)</w:t>
      </w:r>
      <w:r w:rsidR="006F0C26">
        <w:t> </w:t>
      </w:r>
      <w:r w:rsidRPr="000741BA">
        <w:t>(B)</w:t>
      </w:r>
    </w:p>
    <w:p w:rsidR="00E359A9" w:rsidRPr="000741BA" w:rsidRDefault="00E359A9" w:rsidP="00E359A9">
      <w:pPr>
        <w:pStyle w:val="A2S"/>
      </w:pPr>
      <w:r w:rsidRPr="000741BA">
        <w:t>omit</w:t>
      </w:r>
    </w:p>
    <w:p w:rsidR="00E359A9" w:rsidRPr="000741BA" w:rsidRDefault="00E359A9" w:rsidP="00E359A9">
      <w:pPr>
        <w:pStyle w:val="A3S"/>
      </w:pPr>
      <w:r w:rsidRPr="000741BA">
        <w:t>service.</w:t>
      </w:r>
    </w:p>
    <w:p w:rsidR="00E359A9" w:rsidRPr="000741BA" w:rsidRDefault="00E359A9" w:rsidP="00E359A9">
      <w:pPr>
        <w:pStyle w:val="A2S"/>
      </w:pPr>
      <w:r w:rsidRPr="000741BA">
        <w:t>insert</w:t>
      </w:r>
    </w:p>
    <w:p w:rsidR="00E359A9" w:rsidRPr="000741BA" w:rsidRDefault="00E359A9" w:rsidP="00E359A9">
      <w:pPr>
        <w:pStyle w:val="A3S"/>
      </w:pPr>
      <w:r w:rsidRPr="000741BA">
        <w:t>service;</w:t>
      </w:r>
    </w:p>
    <w:p w:rsidR="00E359A9" w:rsidRPr="000741BA" w:rsidRDefault="00E359A9" w:rsidP="00E359A9">
      <w:pPr>
        <w:pStyle w:val="A1S"/>
      </w:pPr>
      <w:r w:rsidRPr="000741BA">
        <w:t>[</w:t>
      </w:r>
      <w:fldSimple w:instr=" SEQ Sch1Item " w:fldLock="1">
        <w:r w:rsidR="000554D4">
          <w:rPr>
            <w:noProof/>
          </w:rPr>
          <w:t>3</w:t>
        </w:r>
      </w:fldSimple>
      <w:r w:rsidRPr="000741BA">
        <w:t>]</w:t>
      </w:r>
      <w:r w:rsidRPr="000741BA">
        <w:tab/>
        <w:t>Sub-subparagraph 7.6.01 (1)</w:t>
      </w:r>
      <w:r w:rsidR="006F0C26">
        <w:t> </w:t>
      </w:r>
      <w:r w:rsidRPr="000741BA">
        <w:t>(oa) (iii) (C)</w:t>
      </w:r>
    </w:p>
    <w:p w:rsidR="00E359A9" w:rsidRPr="000741BA" w:rsidRDefault="00E359A9" w:rsidP="00E359A9">
      <w:pPr>
        <w:pStyle w:val="A2S"/>
      </w:pPr>
      <w:r w:rsidRPr="000741BA">
        <w:t>omit</w:t>
      </w:r>
    </w:p>
    <w:p w:rsidR="00E359A9" w:rsidRPr="000741BA" w:rsidRDefault="00E359A9" w:rsidP="00E359A9">
      <w:pPr>
        <w:pStyle w:val="A3S"/>
      </w:pPr>
      <w:r w:rsidRPr="000741BA">
        <w:t>authority.</w:t>
      </w:r>
    </w:p>
    <w:p w:rsidR="00E359A9" w:rsidRPr="000741BA" w:rsidRDefault="00E359A9" w:rsidP="00E359A9">
      <w:pPr>
        <w:pStyle w:val="A2S"/>
      </w:pPr>
      <w:r w:rsidRPr="000741BA">
        <w:t>insert</w:t>
      </w:r>
    </w:p>
    <w:p w:rsidR="00E359A9" w:rsidRPr="000741BA" w:rsidRDefault="00E359A9" w:rsidP="00E359A9">
      <w:pPr>
        <w:pStyle w:val="A3S"/>
      </w:pPr>
      <w:r w:rsidRPr="000741BA">
        <w:t>authority;</w:t>
      </w:r>
    </w:p>
    <w:p w:rsidR="00E359A9" w:rsidRPr="000741BA" w:rsidRDefault="00E359A9" w:rsidP="00E359A9">
      <w:pPr>
        <w:pStyle w:val="A1S"/>
      </w:pPr>
      <w:r w:rsidRPr="000741BA">
        <w:lastRenderedPageBreak/>
        <w:t>[</w:t>
      </w:r>
      <w:fldSimple w:instr=" SEQ Sch1Item " w:fldLock="1">
        <w:r w:rsidR="000554D4">
          <w:rPr>
            <w:noProof/>
          </w:rPr>
          <w:t>4</w:t>
        </w:r>
      </w:fldSimple>
      <w:r w:rsidRPr="000741BA">
        <w:t>]</w:t>
      </w:r>
      <w:r w:rsidRPr="000741BA">
        <w:tab/>
        <w:t>Subparagraph 7.6.01</w:t>
      </w:r>
      <w:r w:rsidR="006F0C26">
        <w:t> </w:t>
      </w:r>
      <w:r w:rsidRPr="000741BA">
        <w:t>(1) (w) (ii)</w:t>
      </w:r>
    </w:p>
    <w:p w:rsidR="00E359A9" w:rsidRPr="000741BA" w:rsidRDefault="00E359A9" w:rsidP="00E359A9">
      <w:pPr>
        <w:pStyle w:val="A2S"/>
      </w:pPr>
      <w:r w:rsidRPr="000741BA">
        <w:t>omit</w:t>
      </w:r>
    </w:p>
    <w:p w:rsidR="00E359A9" w:rsidRPr="000741BA" w:rsidRDefault="00E359A9" w:rsidP="00E359A9">
      <w:pPr>
        <w:pStyle w:val="A3S"/>
      </w:pPr>
      <w:r w:rsidRPr="000741BA">
        <w:t>client.</w:t>
      </w:r>
    </w:p>
    <w:p w:rsidR="00E359A9" w:rsidRPr="000741BA" w:rsidRDefault="00E359A9" w:rsidP="00E359A9">
      <w:pPr>
        <w:pStyle w:val="A2S"/>
      </w:pPr>
      <w:r w:rsidRPr="000741BA">
        <w:t>insert</w:t>
      </w:r>
    </w:p>
    <w:p w:rsidR="00E359A9" w:rsidRPr="000741BA" w:rsidRDefault="00E359A9" w:rsidP="00E359A9">
      <w:pPr>
        <w:pStyle w:val="A3S"/>
      </w:pPr>
      <w:r w:rsidRPr="000741BA">
        <w:t>client;</w:t>
      </w:r>
    </w:p>
    <w:p w:rsidR="00E359A9" w:rsidRPr="000741BA" w:rsidRDefault="00E359A9" w:rsidP="00E359A9">
      <w:pPr>
        <w:pStyle w:val="A1S"/>
      </w:pPr>
      <w:r w:rsidRPr="000741BA">
        <w:t>[</w:t>
      </w:r>
      <w:fldSimple w:instr=" SEQ Sch1Item " w:fldLock="1">
        <w:r w:rsidR="000554D4">
          <w:rPr>
            <w:noProof/>
          </w:rPr>
          <w:t>5</w:t>
        </w:r>
      </w:fldSimple>
      <w:r w:rsidRPr="000741BA">
        <w:t>]</w:t>
      </w:r>
      <w:r w:rsidRPr="000741BA">
        <w:tab/>
        <w:t>After paragraph 7.6.01 (1)</w:t>
      </w:r>
      <w:r w:rsidR="006F0C26">
        <w:t> </w:t>
      </w:r>
      <w:r w:rsidRPr="000741BA">
        <w:t>(w)</w:t>
      </w:r>
    </w:p>
    <w:p w:rsidR="00E359A9" w:rsidRPr="000741BA" w:rsidRDefault="00E359A9" w:rsidP="00E359A9">
      <w:pPr>
        <w:pStyle w:val="A2S"/>
      </w:pPr>
      <w:r w:rsidRPr="000741BA">
        <w:t>insert</w:t>
      </w:r>
    </w:p>
    <w:p w:rsidR="00E0295D" w:rsidRPr="000741BA" w:rsidRDefault="00D84DA8" w:rsidP="00E40515">
      <w:pPr>
        <w:pStyle w:val="P1"/>
      </w:pPr>
      <w:r w:rsidRPr="000741BA">
        <w:tab/>
      </w:r>
      <w:r w:rsidR="00E0295D" w:rsidRPr="000741BA">
        <w:t>(x)</w:t>
      </w:r>
      <w:r w:rsidR="00E0295D" w:rsidRPr="000741BA">
        <w:tab/>
        <w:t>a financial service provided by a person in relation to a scheme mentioned in paragraph 5C.11.01 (1)</w:t>
      </w:r>
      <w:r w:rsidR="006F0C26">
        <w:t> </w:t>
      </w:r>
      <w:r w:rsidR="00E0295D" w:rsidRPr="000741BA">
        <w:t>(b) or (c)</w:t>
      </w:r>
      <w:r w:rsidR="00E40515" w:rsidRPr="000741BA">
        <w:t>;</w:t>
      </w:r>
    </w:p>
    <w:p w:rsidR="00701959" w:rsidRPr="000741BA" w:rsidRDefault="00E40515" w:rsidP="0064652B">
      <w:pPr>
        <w:pStyle w:val="P1"/>
      </w:pPr>
      <w:r w:rsidRPr="000741BA">
        <w:tab/>
        <w:t>(y)</w:t>
      </w:r>
      <w:r w:rsidRPr="000741BA">
        <w:tab/>
      </w:r>
      <w:r w:rsidR="00284487" w:rsidRPr="000741BA">
        <w:t>a financial service provided by a lawyer under an agreement under which no fee is payable to the lawyer if proceedings are not successful.</w:t>
      </w:r>
    </w:p>
    <w:p w:rsidR="00007C07" w:rsidRPr="000741BA" w:rsidRDefault="00EE0EEB" w:rsidP="00EE0EEB">
      <w:pPr>
        <w:pStyle w:val="A1S"/>
      </w:pPr>
      <w:r w:rsidRPr="000741BA">
        <w:t>[</w:t>
      </w:r>
      <w:fldSimple w:instr=" SEQ Sch1Item " w:fldLock="1">
        <w:r w:rsidR="000554D4">
          <w:rPr>
            <w:noProof/>
          </w:rPr>
          <w:t>6</w:t>
        </w:r>
      </w:fldSimple>
      <w:r w:rsidRPr="000741BA">
        <w:t>]</w:t>
      </w:r>
      <w:r w:rsidRPr="000741BA">
        <w:tab/>
      </w:r>
      <w:r w:rsidR="006C7ACC" w:rsidRPr="000741BA">
        <w:t>After regulation 7.6.01AA</w:t>
      </w:r>
    </w:p>
    <w:p w:rsidR="00007C07" w:rsidRPr="000741BA" w:rsidRDefault="00007C07" w:rsidP="00007C07">
      <w:pPr>
        <w:pStyle w:val="A2S"/>
      </w:pPr>
      <w:r w:rsidRPr="000741BA">
        <w:t>insert</w:t>
      </w:r>
    </w:p>
    <w:p w:rsidR="006C7ACC" w:rsidRPr="000741BA" w:rsidRDefault="006C7ACC" w:rsidP="00AD6285">
      <w:pPr>
        <w:pStyle w:val="HR"/>
        <w:ind w:left="1134" w:hanging="1134"/>
      </w:pPr>
      <w:r w:rsidRPr="00416060">
        <w:rPr>
          <w:rStyle w:val="CharSectno"/>
        </w:rPr>
        <w:t>7.6.01AB</w:t>
      </w:r>
      <w:r w:rsidR="00AD6285">
        <w:rPr>
          <w:rStyle w:val="CharSectno"/>
          <w:rFonts w:cs="Arial"/>
        </w:rPr>
        <w:tab/>
      </w:r>
      <w:r w:rsidRPr="000741BA">
        <w:t xml:space="preserve">Obligation on persons providing </w:t>
      </w:r>
      <w:r w:rsidR="00695942" w:rsidRPr="000741BA">
        <w:t xml:space="preserve">exempt </w:t>
      </w:r>
      <w:r w:rsidRPr="000741BA">
        <w:t>financial service</w:t>
      </w:r>
    </w:p>
    <w:p w:rsidR="00007C07" w:rsidRPr="000741BA" w:rsidRDefault="007212EC" w:rsidP="00007C07">
      <w:pPr>
        <w:pStyle w:val="R1"/>
      </w:pPr>
      <w:r w:rsidRPr="000741BA">
        <w:tab/>
        <w:t>(1)</w:t>
      </w:r>
      <w:r w:rsidRPr="000741BA">
        <w:tab/>
        <w:t>For paragraph 926B</w:t>
      </w:r>
      <w:r w:rsidR="006F0C26">
        <w:t> </w:t>
      </w:r>
      <w:r w:rsidRPr="000741BA">
        <w:t>(1)</w:t>
      </w:r>
      <w:r w:rsidR="006F0C26">
        <w:t> </w:t>
      </w:r>
      <w:r w:rsidR="00007C07" w:rsidRPr="000741BA">
        <w:t>(c)</w:t>
      </w:r>
      <w:r w:rsidR="006F0C26">
        <w:t xml:space="preserve"> of the Act</w:t>
      </w:r>
      <w:r w:rsidR="00007C07" w:rsidRPr="000741BA">
        <w:t xml:space="preserve">, Part 7.6 of the Act applies as if section 911A of the Act were modified </w:t>
      </w:r>
      <w:r w:rsidRPr="000741BA">
        <w:t>to insert the following subsection after subsection (</w:t>
      </w:r>
      <w:r w:rsidR="00BE7F77" w:rsidRPr="000741BA">
        <w:t>5A</w:t>
      </w:r>
      <w:r w:rsidRPr="000741BA">
        <w:t>).</w:t>
      </w:r>
    </w:p>
    <w:p w:rsidR="00A8384F" w:rsidRDefault="00A8384F" w:rsidP="004B410B">
      <w:pPr>
        <w:pStyle w:val="subsection"/>
      </w:pPr>
      <w:r w:rsidRPr="000741BA">
        <w:tab/>
      </w:r>
      <w:r w:rsidR="004B410B">
        <w:t>‘</w:t>
      </w:r>
      <w:r w:rsidRPr="000741BA">
        <w:t>(5B)</w:t>
      </w:r>
      <w:r w:rsidR="004B410B">
        <w:tab/>
      </w:r>
      <w:r w:rsidRPr="000741BA">
        <w:t>If the regulations prescribe an exemption under paragraph (2)</w:t>
      </w:r>
      <w:r w:rsidR="006F0C26">
        <w:t> </w:t>
      </w:r>
      <w:r w:rsidRPr="000741BA">
        <w:t>(k) that covers the provision of a service by a person in relation to a litigation scheme (within the meaning given by the regulations), the regulations may require the person to have adequate arrangements</w:t>
      </w:r>
      <w:r w:rsidR="006A3207" w:rsidRPr="000741BA">
        <w:t>, and follow certain procedures,</w:t>
      </w:r>
      <w:r w:rsidRPr="000741BA">
        <w:t xml:space="preserve"> for managing conflicts of inte</w:t>
      </w:r>
      <w:r w:rsidR="004B410B">
        <w:t>rest in relation to the scheme.’</w:t>
      </w:r>
    </w:p>
    <w:p w:rsidR="00A8384F" w:rsidRPr="000741BA" w:rsidRDefault="00A8384F" w:rsidP="006F0C26">
      <w:pPr>
        <w:pStyle w:val="ZR2"/>
      </w:pPr>
      <w:r w:rsidRPr="000741BA">
        <w:tab/>
        <w:t>(2)</w:t>
      </w:r>
      <w:r w:rsidRPr="000741BA">
        <w:tab/>
        <w:t>For subsection 911A</w:t>
      </w:r>
      <w:r w:rsidR="006F0C26">
        <w:t> </w:t>
      </w:r>
      <w:r w:rsidRPr="000741BA">
        <w:t>(5B) of the Act:</w:t>
      </w:r>
    </w:p>
    <w:p w:rsidR="00A8384F" w:rsidRPr="000741BA" w:rsidRDefault="00A8384F" w:rsidP="00A8384F">
      <w:pPr>
        <w:pStyle w:val="P1"/>
      </w:pPr>
      <w:r w:rsidRPr="000741BA">
        <w:tab/>
        <w:t>(a)</w:t>
      </w:r>
      <w:r w:rsidRPr="000741BA">
        <w:tab/>
        <w:t xml:space="preserve">a </w:t>
      </w:r>
      <w:r w:rsidRPr="000741BA">
        <w:rPr>
          <w:b/>
          <w:i/>
        </w:rPr>
        <w:t>litigation scheme</w:t>
      </w:r>
      <w:r w:rsidRPr="000741BA">
        <w:t xml:space="preserve"> means a scheme </w:t>
      </w:r>
      <w:r w:rsidR="00B6173F" w:rsidRPr="000741BA">
        <w:t>mentioned in paragraph 5C.11.01 (1)</w:t>
      </w:r>
      <w:r w:rsidR="006F0C26">
        <w:t> </w:t>
      </w:r>
      <w:r w:rsidR="00B6173F" w:rsidRPr="000741BA">
        <w:t>(b) or (c)</w:t>
      </w:r>
      <w:r w:rsidRPr="000741BA">
        <w:t>; and</w:t>
      </w:r>
    </w:p>
    <w:p w:rsidR="00A8384F" w:rsidRPr="000741BA" w:rsidRDefault="00A8384F" w:rsidP="006F0C26">
      <w:pPr>
        <w:pStyle w:val="ZP1"/>
      </w:pPr>
      <w:r w:rsidRPr="000741BA">
        <w:lastRenderedPageBreak/>
        <w:tab/>
        <w:t>(b)</w:t>
      </w:r>
      <w:r w:rsidRPr="000741BA">
        <w:tab/>
        <w:t>if a person is providing, or has provided, a financial service covered by the exemption mentioned in paragraph 7.6.01</w:t>
      </w:r>
      <w:r w:rsidR="006F0C26">
        <w:t> </w:t>
      </w:r>
      <w:r w:rsidRPr="000741BA">
        <w:t>(1)</w:t>
      </w:r>
      <w:r w:rsidR="006F0C26">
        <w:t> </w:t>
      </w:r>
      <w:r w:rsidRPr="000741BA">
        <w:t>(x), the person must:</w:t>
      </w:r>
    </w:p>
    <w:p w:rsidR="00A8384F" w:rsidRPr="000741BA" w:rsidRDefault="00A8384F" w:rsidP="00A8384F">
      <w:pPr>
        <w:pStyle w:val="P2"/>
      </w:pPr>
      <w:r w:rsidRPr="000741BA">
        <w:tab/>
        <w:t>(i)</w:t>
      </w:r>
      <w:r w:rsidRPr="000741BA">
        <w:tab/>
        <w:t>maintain, for the duration of the scheme, adequate arrangements for managing any conflict of interest that may arise in relation to activities undertaken by the person, or an agent of the person, in relation to the scheme; and</w:t>
      </w:r>
    </w:p>
    <w:p w:rsidR="00A8384F" w:rsidRPr="000741BA" w:rsidRDefault="00A8384F" w:rsidP="00A8384F">
      <w:pPr>
        <w:pStyle w:val="P2"/>
      </w:pPr>
      <w:r w:rsidRPr="000741BA">
        <w:tab/>
        <w:t>(ii)</w:t>
      </w:r>
      <w:r w:rsidRPr="000741BA">
        <w:tab/>
        <w:t>follow the written procedures mentioned in subregulation</w:t>
      </w:r>
      <w:r w:rsidR="006F0C26">
        <w:t> </w:t>
      </w:r>
      <w:r w:rsidRPr="000741BA">
        <w:t>(4) for the duration of the scheme.</w:t>
      </w:r>
    </w:p>
    <w:p w:rsidR="005905BD" w:rsidRPr="000741BA" w:rsidRDefault="005905BD" w:rsidP="005905BD">
      <w:pPr>
        <w:pStyle w:val="R2"/>
      </w:pPr>
      <w:r w:rsidRPr="000741BA">
        <w:tab/>
        <w:t>(3)</w:t>
      </w:r>
      <w:r w:rsidRPr="000741BA">
        <w:tab/>
        <w:t xml:space="preserve">A person commits an offence if the person contravenes </w:t>
      </w:r>
      <w:r w:rsidR="00B95BF7" w:rsidRPr="000741BA">
        <w:t>paragraph</w:t>
      </w:r>
      <w:r w:rsidRPr="000741BA">
        <w:t xml:space="preserve"> (2)</w:t>
      </w:r>
      <w:r w:rsidR="006F0C26">
        <w:t> </w:t>
      </w:r>
      <w:r w:rsidR="00B95BF7" w:rsidRPr="000741BA">
        <w:t>(b)</w:t>
      </w:r>
      <w:r w:rsidRPr="000741BA">
        <w:t>.</w:t>
      </w:r>
    </w:p>
    <w:p w:rsidR="005F76AF" w:rsidRDefault="00695942" w:rsidP="00EE0EEB">
      <w:pPr>
        <w:pStyle w:val="Penalty"/>
      </w:pPr>
      <w:r w:rsidRPr="000741BA">
        <w:t>Penalty:</w:t>
      </w:r>
      <w:r w:rsidR="006F0C26">
        <w:t>   </w:t>
      </w:r>
      <w:r w:rsidRPr="000741BA">
        <w:t>50 penalty units.</w:t>
      </w:r>
    </w:p>
    <w:p w:rsidR="0081235A" w:rsidRPr="000741BA" w:rsidRDefault="006A3207" w:rsidP="006F0C26">
      <w:pPr>
        <w:pStyle w:val="ZR2"/>
      </w:pPr>
      <w:r w:rsidRPr="000741BA">
        <w:tab/>
        <w:t>(4)</w:t>
      </w:r>
      <w:r w:rsidRPr="000741BA">
        <w:tab/>
        <w:t>For paragraph</w:t>
      </w:r>
      <w:r w:rsidR="006F0C26">
        <w:t> </w:t>
      </w:r>
      <w:r w:rsidRPr="000741BA">
        <w:t>(2)</w:t>
      </w:r>
      <w:r w:rsidR="006F0C26">
        <w:t> </w:t>
      </w:r>
      <w:r w:rsidRPr="000741BA">
        <w:t>(b</w:t>
      </w:r>
      <w:r w:rsidR="0081235A" w:rsidRPr="000741BA">
        <w:t>), a person has adequate arrangements for managing a conflict of interest that may arise if the person can show through documentation that:</w:t>
      </w:r>
    </w:p>
    <w:p w:rsidR="0081235A" w:rsidRPr="000741BA" w:rsidRDefault="0081235A" w:rsidP="0081235A">
      <w:pPr>
        <w:pStyle w:val="P1"/>
      </w:pPr>
      <w:r w:rsidRPr="000741BA">
        <w:tab/>
        <w:t>(a)</w:t>
      </w:r>
      <w:r w:rsidRPr="000741BA">
        <w:tab/>
        <w:t>the person has conducted a review of the person’s business operations that relate to the scheme</w:t>
      </w:r>
      <w:r w:rsidRPr="000741BA">
        <w:rPr>
          <w:b/>
          <w:i/>
        </w:rPr>
        <w:t xml:space="preserve"> </w:t>
      </w:r>
      <w:r w:rsidRPr="000741BA">
        <w:t>to identify and assess potential conflicting interests; and</w:t>
      </w:r>
    </w:p>
    <w:p w:rsidR="0081235A" w:rsidRPr="000741BA" w:rsidRDefault="0081235A" w:rsidP="006F0C26">
      <w:pPr>
        <w:pStyle w:val="ZP1"/>
      </w:pPr>
      <w:r w:rsidRPr="000741BA">
        <w:tab/>
        <w:t>(b)</w:t>
      </w:r>
      <w:r w:rsidRPr="000741BA">
        <w:tab/>
        <w:t>the person:</w:t>
      </w:r>
    </w:p>
    <w:p w:rsidR="0081235A" w:rsidRPr="000741BA" w:rsidRDefault="0081235A" w:rsidP="0081235A">
      <w:pPr>
        <w:pStyle w:val="P2"/>
      </w:pPr>
      <w:r w:rsidRPr="000741BA">
        <w:tab/>
        <w:t>(i)</w:t>
      </w:r>
      <w:r w:rsidRPr="000741BA">
        <w:tab/>
        <w:t>has written procedures for identifying and managing conflicts of interest; and</w:t>
      </w:r>
    </w:p>
    <w:p w:rsidR="0081235A" w:rsidRPr="000741BA" w:rsidRDefault="0081235A" w:rsidP="0081235A">
      <w:pPr>
        <w:pStyle w:val="P2"/>
      </w:pPr>
      <w:r w:rsidRPr="000741BA">
        <w:tab/>
        <w:t>(ii)</w:t>
      </w:r>
      <w:r w:rsidRPr="000741BA">
        <w:tab/>
        <w:t>has effectively implemented the procedures; and</w:t>
      </w:r>
    </w:p>
    <w:p w:rsidR="0081235A" w:rsidRPr="000741BA" w:rsidRDefault="0081235A" w:rsidP="0081235A">
      <w:pPr>
        <w:pStyle w:val="P1"/>
      </w:pPr>
      <w:r w:rsidRPr="000741BA">
        <w:tab/>
        <w:t>(c)</w:t>
      </w:r>
      <w:r w:rsidRPr="000741BA">
        <w:tab/>
        <w:t>the written procedures are regularly reviewed; and</w:t>
      </w:r>
    </w:p>
    <w:p w:rsidR="0081235A" w:rsidRPr="000741BA" w:rsidRDefault="0081235A" w:rsidP="006F0C26">
      <w:pPr>
        <w:pStyle w:val="ZP1"/>
      </w:pPr>
      <w:r w:rsidRPr="000741BA">
        <w:tab/>
        <w:t>(d)</w:t>
      </w:r>
      <w:r w:rsidRPr="000741BA">
        <w:tab/>
        <w:t>the written procedures include procedures about the following:</w:t>
      </w:r>
    </w:p>
    <w:p w:rsidR="0081235A" w:rsidRPr="000741BA" w:rsidRDefault="0081235A" w:rsidP="0081235A">
      <w:pPr>
        <w:pStyle w:val="P2"/>
      </w:pPr>
      <w:r w:rsidRPr="000741BA">
        <w:tab/>
        <w:t>(i)</w:t>
      </w:r>
      <w:r w:rsidRPr="000741BA">
        <w:tab/>
        <w:t>monitoring the person’s operations to identify potential conflicting interests;</w:t>
      </w:r>
    </w:p>
    <w:p w:rsidR="0081235A" w:rsidRPr="000741BA" w:rsidRDefault="0081235A" w:rsidP="006F0C26">
      <w:pPr>
        <w:pStyle w:val="ZP2"/>
      </w:pPr>
      <w:r w:rsidRPr="000741BA">
        <w:tab/>
        <w:t>(ii)</w:t>
      </w:r>
      <w:r w:rsidRPr="000741BA">
        <w:tab/>
        <w:t>how to effectively disclose conflicts of interest to:</w:t>
      </w:r>
    </w:p>
    <w:p w:rsidR="0081235A" w:rsidRPr="000741BA" w:rsidRDefault="0081235A" w:rsidP="0081235A">
      <w:pPr>
        <w:pStyle w:val="P3"/>
      </w:pPr>
      <w:r w:rsidRPr="000741BA">
        <w:tab/>
        <w:t>(A)</w:t>
      </w:r>
      <w:r w:rsidRPr="000741BA">
        <w:tab/>
        <w:t>for a scheme mentioned in paragraph 5C.11.01</w:t>
      </w:r>
      <w:r w:rsidR="006F0C26">
        <w:t> </w:t>
      </w:r>
      <w:r w:rsidRPr="000741BA">
        <w:t>(1)</w:t>
      </w:r>
      <w:r w:rsidR="006F0C26">
        <w:t> </w:t>
      </w:r>
      <w:r w:rsidRPr="000741BA">
        <w:t>(b)</w:t>
      </w:r>
      <w:r w:rsidR="00416060">
        <w:t>—</w:t>
      </w:r>
      <w:r w:rsidRPr="000741BA">
        <w:t>members and prospective members of the scheme; and</w:t>
      </w:r>
    </w:p>
    <w:p w:rsidR="0081235A" w:rsidRPr="000741BA" w:rsidRDefault="0081235A" w:rsidP="0081235A">
      <w:pPr>
        <w:pStyle w:val="P3"/>
      </w:pPr>
      <w:r w:rsidRPr="000741BA">
        <w:tab/>
        <w:t>(B)</w:t>
      </w:r>
      <w:r w:rsidRPr="000741BA">
        <w:tab/>
        <w:t>for a scheme mentioned in paragraph 5C.11.01</w:t>
      </w:r>
      <w:r w:rsidR="006F0C26">
        <w:t> </w:t>
      </w:r>
      <w:r w:rsidRPr="000741BA">
        <w:t>(1)</w:t>
      </w:r>
      <w:r w:rsidR="006F0C26">
        <w:t> </w:t>
      </w:r>
      <w:r w:rsidRPr="000741BA">
        <w:t>(c)</w:t>
      </w:r>
      <w:r w:rsidR="00416060">
        <w:t>—</w:t>
      </w:r>
      <w:r w:rsidRPr="000741BA">
        <w:t xml:space="preserve">the creditors or members of the body corporate who provided funds or indemnities, and any other entity that </w:t>
      </w:r>
      <w:r w:rsidRPr="000741BA">
        <w:lastRenderedPageBreak/>
        <w:t>provided indemnities, to the body corporate or external administrator;</w:t>
      </w:r>
    </w:p>
    <w:p w:rsidR="0081235A" w:rsidRPr="000741BA" w:rsidRDefault="0081235A" w:rsidP="0081235A">
      <w:pPr>
        <w:pStyle w:val="P2"/>
      </w:pPr>
      <w:r w:rsidRPr="000741BA">
        <w:tab/>
        <w:t>(iii)</w:t>
      </w:r>
      <w:r w:rsidRPr="000741BA">
        <w:tab/>
        <w:t>managing situations i</w:t>
      </w:r>
      <w:r w:rsidR="006F0C26">
        <w:t>n which interests may conflict;</w:t>
      </w:r>
    </w:p>
    <w:p w:rsidR="0081235A" w:rsidRPr="000741BA" w:rsidRDefault="0081235A" w:rsidP="006F0C26">
      <w:pPr>
        <w:pStyle w:val="ZP2"/>
      </w:pPr>
      <w:r w:rsidRPr="000741BA">
        <w:tab/>
        <w:t>(iv)</w:t>
      </w:r>
      <w:r w:rsidRPr="000741BA">
        <w:tab/>
        <w:t>protecting the interests of:</w:t>
      </w:r>
    </w:p>
    <w:p w:rsidR="0081235A" w:rsidRPr="000741BA" w:rsidRDefault="0081235A" w:rsidP="0081235A">
      <w:pPr>
        <w:pStyle w:val="P3"/>
      </w:pPr>
      <w:r w:rsidRPr="000741BA">
        <w:tab/>
        <w:t>(A)</w:t>
      </w:r>
      <w:r w:rsidRPr="000741BA">
        <w:tab/>
        <w:t>for a scheme mentioned in paragraph 5C.11.01</w:t>
      </w:r>
      <w:r w:rsidR="006F0C26">
        <w:t> </w:t>
      </w:r>
      <w:r w:rsidRPr="000741BA">
        <w:t>(1)</w:t>
      </w:r>
      <w:r w:rsidR="006F0C26">
        <w:t> </w:t>
      </w:r>
      <w:r w:rsidRPr="000741BA">
        <w:t>(b)</w:t>
      </w:r>
      <w:r w:rsidR="00416060">
        <w:t>—</w:t>
      </w:r>
      <w:r w:rsidRPr="000741BA">
        <w:t>members of the scheme; and</w:t>
      </w:r>
    </w:p>
    <w:p w:rsidR="0081235A" w:rsidRPr="000741BA" w:rsidRDefault="0081235A" w:rsidP="0081235A">
      <w:pPr>
        <w:pStyle w:val="P3"/>
      </w:pPr>
      <w:r w:rsidRPr="000741BA">
        <w:tab/>
        <w:t>(B)</w:t>
      </w:r>
      <w:r w:rsidRPr="000741BA">
        <w:tab/>
        <w:t>for a scheme mentioned in paragraph 5C.11.01 (1)</w:t>
      </w:r>
      <w:r w:rsidR="006F0C26">
        <w:t> </w:t>
      </w:r>
      <w:r w:rsidRPr="000741BA">
        <w:t>(c)</w:t>
      </w:r>
      <w:r w:rsidR="00416060">
        <w:t>—</w:t>
      </w:r>
      <w:r w:rsidRPr="000741BA">
        <w:t>the creditors of the body corporate;</w:t>
      </w:r>
    </w:p>
    <w:p w:rsidR="0081235A" w:rsidRPr="000741BA" w:rsidRDefault="0081235A" w:rsidP="006F0C26">
      <w:pPr>
        <w:pStyle w:val="ZP2"/>
      </w:pPr>
      <w:r w:rsidRPr="000741BA">
        <w:tab/>
        <w:t>(v)</w:t>
      </w:r>
      <w:r w:rsidRPr="000741BA">
        <w:tab/>
        <w:t>for a scheme mentioned in paragraph 5C.11.01</w:t>
      </w:r>
      <w:r w:rsidR="006F0C26">
        <w:t> </w:t>
      </w:r>
      <w:r w:rsidR="00416060">
        <w:t>(1)</w:t>
      </w:r>
      <w:r w:rsidR="006F0C26">
        <w:t> </w:t>
      </w:r>
      <w:r w:rsidR="00416060">
        <w:t>(b):</w:t>
      </w:r>
    </w:p>
    <w:p w:rsidR="0081235A" w:rsidRPr="000741BA" w:rsidRDefault="0081235A" w:rsidP="0081235A">
      <w:pPr>
        <w:pStyle w:val="P3"/>
      </w:pPr>
      <w:r w:rsidRPr="000741BA">
        <w:tab/>
        <w:t>(A)</w:t>
      </w:r>
      <w:r w:rsidRPr="000741BA">
        <w:tab/>
        <w:t>how to deal with situations in which the lawyer acts for both the funder and members; and</w:t>
      </w:r>
    </w:p>
    <w:p w:rsidR="0081235A" w:rsidRPr="000741BA" w:rsidRDefault="0081235A" w:rsidP="0081235A">
      <w:pPr>
        <w:pStyle w:val="P3"/>
      </w:pPr>
      <w:r w:rsidRPr="000741BA">
        <w:tab/>
        <w:t>(B)</w:t>
      </w:r>
      <w:r w:rsidRPr="000741BA">
        <w:tab/>
        <w:t>how to deal with situations in which there is a pre-existing relationship between any of the funder, lawyer and members; and</w:t>
      </w:r>
    </w:p>
    <w:p w:rsidR="0081235A" w:rsidRPr="000741BA" w:rsidRDefault="0081235A" w:rsidP="0081235A">
      <w:pPr>
        <w:pStyle w:val="P3"/>
      </w:pPr>
      <w:r w:rsidRPr="000741BA">
        <w:tab/>
        <w:t>(C)</w:t>
      </w:r>
      <w:r w:rsidRPr="000741BA">
        <w:tab/>
        <w:t xml:space="preserve">reviewing the terms of the funding agreement to ensure the terms are consistent with the </w:t>
      </w:r>
      <w:r w:rsidRPr="000741BA">
        <w:rPr>
          <w:i/>
        </w:rPr>
        <w:t>Competition and Consumer Act 2010</w:t>
      </w:r>
      <w:r w:rsidRPr="000741BA">
        <w:t>; and</w:t>
      </w:r>
    </w:p>
    <w:p w:rsidR="0081235A" w:rsidRPr="000741BA" w:rsidRDefault="0081235A" w:rsidP="0081235A">
      <w:pPr>
        <w:pStyle w:val="P3"/>
      </w:pPr>
      <w:r w:rsidRPr="000741BA">
        <w:tab/>
        <w:t>(D)</w:t>
      </w:r>
      <w:r w:rsidRPr="000741BA">
        <w:tab/>
        <w:t xml:space="preserve">recruiting prospective members; </w:t>
      </w:r>
    </w:p>
    <w:p w:rsidR="0081235A" w:rsidRPr="000741BA" w:rsidRDefault="0081235A" w:rsidP="0081235A">
      <w:pPr>
        <w:pStyle w:val="P2"/>
      </w:pPr>
      <w:r w:rsidRPr="000741BA">
        <w:tab/>
        <w:t>(vi)</w:t>
      </w:r>
      <w:r w:rsidRPr="000741BA">
        <w:tab/>
        <w:t>for a scheme mentioned in paragraph 5C.11.01</w:t>
      </w:r>
      <w:r w:rsidR="006F0C26">
        <w:t> </w:t>
      </w:r>
      <w:r w:rsidRPr="000741BA">
        <w:t>(1)</w:t>
      </w:r>
      <w:r w:rsidR="006F0C26">
        <w:t> </w:t>
      </w:r>
      <w:r w:rsidRPr="000741BA">
        <w:t>(c)</w:t>
      </w:r>
      <w:r w:rsidR="00416060">
        <w:t>—</w:t>
      </w:r>
      <w:r w:rsidRPr="000741BA">
        <w:t>asking creditors of the body corporate to provide funds or indemnities; and</w:t>
      </w:r>
    </w:p>
    <w:p w:rsidR="0081235A" w:rsidRPr="000741BA" w:rsidRDefault="0081235A" w:rsidP="0081235A">
      <w:pPr>
        <w:pStyle w:val="P1"/>
      </w:pPr>
      <w:r w:rsidRPr="000741BA">
        <w:tab/>
        <w:t>(e)</w:t>
      </w:r>
      <w:r w:rsidRPr="000741BA">
        <w:tab/>
        <w:t>for a scheme mentioned in paragraph 5C.11.01</w:t>
      </w:r>
      <w:r w:rsidR="006F0C26">
        <w:t> </w:t>
      </w:r>
      <w:r w:rsidRPr="000741BA">
        <w:t>(1)</w:t>
      </w:r>
      <w:r w:rsidR="006F0C26">
        <w:t> </w:t>
      </w:r>
      <w:r w:rsidRPr="000741BA">
        <w:t xml:space="preserve">(b)—the terms of the funding agreement are regularly reviewed to ensure the terms are consistent with the </w:t>
      </w:r>
      <w:r w:rsidRPr="000741BA">
        <w:rPr>
          <w:i/>
        </w:rPr>
        <w:t>Competition and Consumer Act 2010</w:t>
      </w:r>
      <w:r w:rsidRPr="000741BA">
        <w:t>; and</w:t>
      </w:r>
    </w:p>
    <w:p w:rsidR="0081235A" w:rsidRPr="000741BA" w:rsidRDefault="0081235A" w:rsidP="006F0C26">
      <w:pPr>
        <w:pStyle w:val="ZP1"/>
      </w:pPr>
      <w:r w:rsidRPr="000741BA">
        <w:tab/>
        <w:t>(f)</w:t>
      </w:r>
      <w:r w:rsidRPr="000741BA">
        <w:tab/>
        <w:t>the matters mentioned in paragraphs (a) to (e) are implemented, monitored and managed by:</w:t>
      </w:r>
    </w:p>
    <w:p w:rsidR="0081235A" w:rsidRPr="000741BA" w:rsidRDefault="0081235A" w:rsidP="0081235A">
      <w:pPr>
        <w:pStyle w:val="P2"/>
      </w:pPr>
      <w:r w:rsidRPr="000741BA">
        <w:tab/>
        <w:t>(i)</w:t>
      </w:r>
      <w:r w:rsidRPr="000741BA">
        <w:tab/>
        <w:t>if the person is an entity other than an individual</w:t>
      </w:r>
      <w:r w:rsidR="00416060">
        <w:t>—</w:t>
      </w:r>
      <w:r w:rsidRPr="000741BA">
        <w:t>the senior management or partners of the person; or</w:t>
      </w:r>
    </w:p>
    <w:p w:rsidR="0081235A" w:rsidRPr="000741BA" w:rsidRDefault="0081235A" w:rsidP="0081235A">
      <w:pPr>
        <w:pStyle w:val="P2"/>
      </w:pPr>
      <w:r w:rsidRPr="000741BA">
        <w:tab/>
        <w:t>(ii)</w:t>
      </w:r>
      <w:r w:rsidRPr="000741BA">
        <w:tab/>
        <w:t>if the person is an individual that represents an entity</w:t>
      </w:r>
      <w:r w:rsidR="00416060">
        <w:t>—</w:t>
      </w:r>
      <w:r w:rsidRPr="000741BA">
        <w:t>the senior management or partners of the entity.</w:t>
      </w:r>
    </w:p>
    <w:p w:rsidR="00E359A9" w:rsidRPr="000741BA" w:rsidRDefault="00F212A9" w:rsidP="00F212A9">
      <w:pPr>
        <w:pStyle w:val="A1S"/>
      </w:pPr>
      <w:r w:rsidRPr="000741BA">
        <w:lastRenderedPageBreak/>
        <w:t>[</w:t>
      </w:r>
      <w:fldSimple w:instr=" SEQ Sch1Item " w:fldLock="1">
        <w:r w:rsidR="000554D4">
          <w:rPr>
            <w:noProof/>
          </w:rPr>
          <w:t>7</w:t>
        </w:r>
      </w:fldSimple>
      <w:r w:rsidRPr="000741BA">
        <w:t>]</w:t>
      </w:r>
      <w:r w:rsidRPr="000741BA">
        <w:tab/>
        <w:t xml:space="preserve">Regulation 7.7.21, </w:t>
      </w:r>
      <w:r w:rsidR="006F0C26">
        <w:t>except</w:t>
      </w:r>
      <w:r w:rsidRPr="000741BA">
        <w:t xml:space="preserve"> the heading</w:t>
      </w:r>
    </w:p>
    <w:p w:rsidR="00F212A9" w:rsidRPr="000741BA" w:rsidRDefault="00F212A9" w:rsidP="00F212A9">
      <w:pPr>
        <w:pStyle w:val="A2S"/>
      </w:pPr>
      <w:r w:rsidRPr="000741BA">
        <w:t>substitute</w:t>
      </w:r>
    </w:p>
    <w:p w:rsidR="00F212A9" w:rsidRPr="000741BA" w:rsidRDefault="00F212A9" w:rsidP="006F0C26">
      <w:pPr>
        <w:pStyle w:val="ZR1"/>
      </w:pPr>
      <w:r w:rsidRPr="000741BA">
        <w:tab/>
      </w:r>
      <w:r w:rsidRPr="000741BA">
        <w:tab/>
        <w:t>For paragraph 951C (1)</w:t>
      </w:r>
      <w:r w:rsidR="006F0C26">
        <w:t> </w:t>
      </w:r>
      <w:r w:rsidRPr="000741BA">
        <w:t>(a) of the Act, Part 7.7 of the Act does not apply to:</w:t>
      </w:r>
    </w:p>
    <w:p w:rsidR="00F212A9" w:rsidRPr="000741BA" w:rsidRDefault="00F212A9" w:rsidP="00F212A9">
      <w:pPr>
        <w:pStyle w:val="P1"/>
      </w:pPr>
      <w:r w:rsidRPr="000741BA">
        <w:tab/>
        <w:t>(a)</w:t>
      </w:r>
      <w:r w:rsidRPr="000741BA">
        <w:tab/>
      </w:r>
      <w:r w:rsidR="004F6B67" w:rsidRPr="000741BA">
        <w:t>a financial services licensee or</w:t>
      </w:r>
      <w:r w:rsidRPr="000741BA">
        <w:t xml:space="preserve"> an authorised representative </w:t>
      </w:r>
      <w:r w:rsidR="004F6B67" w:rsidRPr="000741BA">
        <w:t xml:space="preserve">of a financial services licensee to the extent that the licensee or authorised representative is providing </w:t>
      </w:r>
      <w:r w:rsidR="0014139B" w:rsidRPr="000741BA">
        <w:t xml:space="preserve">a </w:t>
      </w:r>
      <w:r w:rsidR="004F6B67" w:rsidRPr="000741BA">
        <w:t>fin</w:t>
      </w:r>
      <w:r w:rsidR="0014139B" w:rsidRPr="000741BA">
        <w:t>ancial service</w:t>
      </w:r>
      <w:r w:rsidR="004F6B67" w:rsidRPr="000741BA">
        <w:t xml:space="preserve"> to </w:t>
      </w:r>
      <w:r w:rsidR="0014139B" w:rsidRPr="000741BA">
        <w:t>a retail client</w:t>
      </w:r>
      <w:r w:rsidR="004F6B67" w:rsidRPr="000741BA">
        <w:t xml:space="preserve"> who </w:t>
      </w:r>
      <w:r w:rsidR="0014139B" w:rsidRPr="000741BA">
        <w:t xml:space="preserve">is </w:t>
      </w:r>
      <w:r w:rsidR="004F6B67" w:rsidRPr="000741BA">
        <w:t>not in this jurisdiction; and</w:t>
      </w:r>
    </w:p>
    <w:p w:rsidR="004F6B67" w:rsidRPr="000741BA" w:rsidRDefault="004F6B67" w:rsidP="00B133CD">
      <w:pPr>
        <w:pStyle w:val="ZP1"/>
      </w:pPr>
      <w:r w:rsidRPr="000741BA">
        <w:tab/>
        <w:t>(b)</w:t>
      </w:r>
      <w:r w:rsidRPr="000741BA">
        <w:tab/>
        <w:t xml:space="preserve">a </w:t>
      </w:r>
      <w:r w:rsidR="00007C07" w:rsidRPr="000741BA">
        <w:t>person</w:t>
      </w:r>
      <w:r w:rsidR="00695942" w:rsidRPr="000741BA">
        <w:t xml:space="preserve"> </w:t>
      </w:r>
      <w:r w:rsidRPr="000741BA">
        <w:t xml:space="preserve">to the extent that the </w:t>
      </w:r>
      <w:r w:rsidR="00007C07" w:rsidRPr="000741BA">
        <w:t>person</w:t>
      </w:r>
      <w:r w:rsidR="00695942" w:rsidRPr="000741BA">
        <w:t xml:space="preserve"> </w:t>
      </w:r>
      <w:r w:rsidRPr="000741BA">
        <w:t xml:space="preserve">is providing </w:t>
      </w:r>
      <w:r w:rsidR="0014139B" w:rsidRPr="000741BA">
        <w:t>a financial service</w:t>
      </w:r>
      <w:r w:rsidRPr="000741BA">
        <w:t xml:space="preserve"> in relation to a scheme mentioned in paragraph 5C.11.01</w:t>
      </w:r>
      <w:r w:rsidR="00261AAB" w:rsidRPr="000741BA">
        <w:t xml:space="preserve"> (1)</w:t>
      </w:r>
      <w:r w:rsidR="006F0C26">
        <w:t> </w:t>
      </w:r>
      <w:r w:rsidRPr="000741BA">
        <w:t>(b)</w:t>
      </w:r>
      <w:r w:rsidR="003A45F3" w:rsidRPr="000741BA">
        <w:t xml:space="preserve"> or (c)</w:t>
      </w:r>
      <w:r w:rsidRPr="000741BA">
        <w:t>.</w:t>
      </w:r>
    </w:p>
    <w:p w:rsidR="004F6B67" w:rsidRPr="000741BA" w:rsidRDefault="004F6B67" w:rsidP="004F6B67">
      <w:pPr>
        <w:pStyle w:val="Note"/>
      </w:pPr>
      <w:r w:rsidRPr="000741BA">
        <w:rPr>
          <w:i/>
        </w:rPr>
        <w:t>Note</w:t>
      </w:r>
      <w:r w:rsidR="006F0C26">
        <w:t>   </w:t>
      </w:r>
      <w:r w:rsidRPr="000741BA">
        <w:t>Regulation 7.9.98 also contains exemptions from the operation of Part 7.7 of the Act.</w:t>
      </w:r>
    </w:p>
    <w:p w:rsidR="009B1825" w:rsidRPr="000741BA" w:rsidRDefault="009B1825" w:rsidP="009B1825">
      <w:pPr>
        <w:pStyle w:val="A1S"/>
      </w:pPr>
      <w:r w:rsidRPr="000741BA">
        <w:t>[</w:t>
      </w:r>
      <w:fldSimple w:instr=" SEQ Sch1Item " w:fldLock="1">
        <w:r w:rsidR="000554D4">
          <w:rPr>
            <w:noProof/>
          </w:rPr>
          <w:t>8</w:t>
        </w:r>
      </w:fldSimple>
      <w:r w:rsidRPr="000741BA">
        <w:t>]</w:t>
      </w:r>
      <w:r w:rsidRPr="000741BA">
        <w:tab/>
      </w:r>
      <w:r w:rsidR="00334BD9" w:rsidRPr="000741BA">
        <w:t>After regulation 7.8.25</w:t>
      </w:r>
    </w:p>
    <w:p w:rsidR="00334BD9" w:rsidRPr="000741BA" w:rsidRDefault="00334BD9" w:rsidP="00334BD9">
      <w:pPr>
        <w:pStyle w:val="A2S"/>
      </w:pPr>
      <w:r w:rsidRPr="000741BA">
        <w:t>insert</w:t>
      </w:r>
    </w:p>
    <w:p w:rsidR="00334BD9" w:rsidRPr="000741BA" w:rsidRDefault="005C5DA8" w:rsidP="00334BD9">
      <w:pPr>
        <w:pStyle w:val="HR"/>
      </w:pPr>
      <w:r w:rsidRPr="00416060">
        <w:rPr>
          <w:rStyle w:val="CharSectno"/>
        </w:rPr>
        <w:t>7.8.26</w:t>
      </w:r>
      <w:r w:rsidR="00AD6285">
        <w:rPr>
          <w:rStyle w:val="CharSectno"/>
          <w:rFonts w:cs="Arial"/>
        </w:rPr>
        <w:tab/>
      </w:r>
      <w:r w:rsidRPr="000741BA">
        <w:t>Exemption</w:t>
      </w:r>
      <w:r w:rsidR="00334BD9" w:rsidRPr="000741BA">
        <w:t xml:space="preserve"> from application of </w:t>
      </w:r>
      <w:r w:rsidRPr="000741BA">
        <w:t>section 992A</w:t>
      </w:r>
      <w:r w:rsidR="00334BD9" w:rsidRPr="000741BA">
        <w:t xml:space="preserve"> of the Act</w:t>
      </w:r>
    </w:p>
    <w:p w:rsidR="00334BD9" w:rsidRPr="000741BA" w:rsidRDefault="00334BD9" w:rsidP="001A5C29">
      <w:pPr>
        <w:pStyle w:val="R1"/>
      </w:pPr>
      <w:r w:rsidRPr="000741BA">
        <w:tab/>
      </w:r>
      <w:r w:rsidRPr="000741BA">
        <w:tab/>
        <w:t>For paragraph 992C</w:t>
      </w:r>
      <w:r w:rsidR="006F0C26">
        <w:t> </w:t>
      </w:r>
      <w:r w:rsidRPr="000741BA">
        <w:t xml:space="preserve">(1) (a) of the Act, section 992A of the </w:t>
      </w:r>
      <w:r w:rsidR="001B7974" w:rsidRPr="000741BA">
        <w:t xml:space="preserve">Act does not apply to a person </w:t>
      </w:r>
      <w:r w:rsidRPr="000741BA">
        <w:t xml:space="preserve">to the extent that the person is offering </w:t>
      </w:r>
      <w:r w:rsidR="0014139B" w:rsidRPr="000741BA">
        <w:t>a financial product</w:t>
      </w:r>
      <w:r w:rsidRPr="000741BA">
        <w:t xml:space="preserve"> for issue or sale in relation to a scheme mentioned in paragraph 5C.11.01</w:t>
      </w:r>
      <w:r w:rsidR="00261AAB" w:rsidRPr="000741BA">
        <w:t xml:space="preserve"> (1)</w:t>
      </w:r>
      <w:r w:rsidR="006F0C26">
        <w:t> </w:t>
      </w:r>
      <w:r w:rsidRPr="000741BA">
        <w:t>(b)</w:t>
      </w:r>
      <w:r w:rsidR="003A45F3" w:rsidRPr="000741BA">
        <w:t xml:space="preserve"> or (c)</w:t>
      </w:r>
      <w:r w:rsidR="001B7974" w:rsidRPr="000741BA">
        <w:t>.</w:t>
      </w:r>
    </w:p>
    <w:p w:rsidR="005C5DA8" w:rsidRPr="000741BA" w:rsidRDefault="005C5DA8" w:rsidP="005C5DA8">
      <w:pPr>
        <w:pStyle w:val="A1S"/>
      </w:pPr>
      <w:r w:rsidRPr="000741BA">
        <w:t>[</w:t>
      </w:r>
      <w:fldSimple w:instr=" SEQ Sch1Item " w:fldLock="1">
        <w:r w:rsidR="000554D4">
          <w:rPr>
            <w:noProof/>
          </w:rPr>
          <w:t>9</w:t>
        </w:r>
      </w:fldSimple>
      <w:r w:rsidRPr="000741BA">
        <w:t>]</w:t>
      </w:r>
      <w:r w:rsidRPr="000741BA">
        <w:tab/>
      </w:r>
      <w:r w:rsidR="0014139B" w:rsidRPr="000741BA">
        <w:t>After regulation 7.9.98</w:t>
      </w:r>
    </w:p>
    <w:p w:rsidR="0014139B" w:rsidRPr="000741BA" w:rsidRDefault="0014139B" w:rsidP="0014139B">
      <w:pPr>
        <w:pStyle w:val="A2S"/>
      </w:pPr>
      <w:r w:rsidRPr="000741BA">
        <w:t>insert</w:t>
      </w:r>
    </w:p>
    <w:p w:rsidR="0014139B" w:rsidRPr="000741BA" w:rsidRDefault="0014139B" w:rsidP="0014139B">
      <w:pPr>
        <w:pStyle w:val="HR"/>
      </w:pPr>
      <w:r w:rsidRPr="00416060">
        <w:rPr>
          <w:rStyle w:val="CharSectno"/>
        </w:rPr>
        <w:t>7.9.98A</w:t>
      </w:r>
      <w:r w:rsidR="00AD6285">
        <w:rPr>
          <w:rStyle w:val="CharSectno"/>
          <w:rFonts w:cs="Arial"/>
        </w:rPr>
        <w:tab/>
      </w:r>
      <w:r w:rsidRPr="000741BA">
        <w:t>Exemption from application of Part 7.9 of the Act</w:t>
      </w:r>
    </w:p>
    <w:p w:rsidR="0061585C" w:rsidRPr="000741BA" w:rsidRDefault="0014139B" w:rsidP="006F0C26">
      <w:pPr>
        <w:pStyle w:val="ZR1"/>
      </w:pPr>
      <w:r w:rsidRPr="000741BA">
        <w:tab/>
      </w:r>
      <w:r w:rsidRPr="000741BA">
        <w:tab/>
        <w:t>For paragraph 1020G</w:t>
      </w:r>
      <w:r w:rsidR="006F0C26">
        <w:t> </w:t>
      </w:r>
      <w:r w:rsidRPr="000741BA">
        <w:t xml:space="preserve">(1) (a) of the Act, Part 7.9 of the </w:t>
      </w:r>
      <w:r w:rsidR="001B7974" w:rsidRPr="000741BA">
        <w:t xml:space="preserve">Act does not apply to a person </w:t>
      </w:r>
      <w:r w:rsidRPr="000741BA">
        <w:t xml:space="preserve">to the extent that the person is </w:t>
      </w:r>
      <w:r w:rsidR="0061585C" w:rsidRPr="000741BA">
        <w:t xml:space="preserve">doing any of the following in relation to </w:t>
      </w:r>
      <w:r w:rsidR="00983014" w:rsidRPr="000741BA">
        <w:t>a scheme mentioned in paragraph</w:t>
      </w:r>
      <w:r w:rsidR="006F0C26">
        <w:t> </w:t>
      </w:r>
      <w:r w:rsidR="0061585C" w:rsidRPr="000741BA">
        <w:t>5C.11.01</w:t>
      </w:r>
      <w:r w:rsidR="006F0C26">
        <w:t> </w:t>
      </w:r>
      <w:r w:rsidR="00261AAB" w:rsidRPr="000741BA">
        <w:t>(1)</w:t>
      </w:r>
      <w:r w:rsidR="006F0C26">
        <w:t> </w:t>
      </w:r>
      <w:r w:rsidR="0061585C" w:rsidRPr="000741BA">
        <w:t>(b)</w:t>
      </w:r>
      <w:r w:rsidR="003A45F3" w:rsidRPr="000741BA">
        <w:t xml:space="preserve"> or (c)</w:t>
      </w:r>
      <w:r w:rsidR="0061585C" w:rsidRPr="000741BA">
        <w:t>:</w:t>
      </w:r>
    </w:p>
    <w:p w:rsidR="00983014" w:rsidRPr="000741BA" w:rsidRDefault="001B7974" w:rsidP="001A5C29">
      <w:pPr>
        <w:pStyle w:val="P1"/>
        <w:keepLines w:val="0"/>
      </w:pPr>
      <w:r w:rsidRPr="000741BA">
        <w:tab/>
        <w:t>(a</w:t>
      </w:r>
      <w:r w:rsidR="0061585C" w:rsidRPr="000741BA">
        <w:t>)</w:t>
      </w:r>
      <w:r w:rsidR="0061585C" w:rsidRPr="000741BA">
        <w:tab/>
        <w:t>issuing or</w:t>
      </w:r>
      <w:r w:rsidR="0014139B" w:rsidRPr="000741BA">
        <w:t xml:space="preserve"> selling </w:t>
      </w:r>
      <w:r w:rsidR="00983014" w:rsidRPr="000741BA">
        <w:t>a financial product;</w:t>
      </w:r>
    </w:p>
    <w:p w:rsidR="0014139B" w:rsidRPr="000741BA" w:rsidRDefault="001B7974" w:rsidP="001A5C29">
      <w:pPr>
        <w:pStyle w:val="P1"/>
        <w:keepLines w:val="0"/>
      </w:pPr>
      <w:r w:rsidRPr="000741BA">
        <w:tab/>
        <w:t>(b</w:t>
      </w:r>
      <w:r w:rsidR="00983014" w:rsidRPr="000741BA">
        <w:t>)</w:t>
      </w:r>
      <w:r w:rsidR="00983014" w:rsidRPr="000741BA">
        <w:tab/>
      </w:r>
      <w:r w:rsidR="0061585C" w:rsidRPr="000741BA">
        <w:t>making a recommendation to acquire a financial product</w:t>
      </w:r>
      <w:r w:rsidR="0014139B" w:rsidRPr="000741BA">
        <w:t>;</w:t>
      </w:r>
    </w:p>
    <w:p w:rsidR="00983014" w:rsidRPr="000741BA" w:rsidRDefault="001B7974" w:rsidP="001A5C29">
      <w:pPr>
        <w:pStyle w:val="P1"/>
        <w:keepLines w:val="0"/>
      </w:pPr>
      <w:r w:rsidRPr="000741BA">
        <w:lastRenderedPageBreak/>
        <w:tab/>
        <w:t>(c</w:t>
      </w:r>
      <w:r w:rsidR="00983014" w:rsidRPr="000741BA">
        <w:t>)</w:t>
      </w:r>
      <w:r w:rsidR="00983014" w:rsidRPr="000741BA">
        <w:tab/>
        <w:t>making an offer relating to the issue or sale of a financial product;</w:t>
      </w:r>
    </w:p>
    <w:p w:rsidR="0014139B" w:rsidRPr="000741BA" w:rsidRDefault="001B7974" w:rsidP="001A5C29">
      <w:pPr>
        <w:pStyle w:val="P1"/>
        <w:keepLines w:val="0"/>
      </w:pPr>
      <w:r w:rsidRPr="000741BA">
        <w:tab/>
        <w:t>(d</w:t>
      </w:r>
      <w:r w:rsidR="00983014" w:rsidRPr="000741BA">
        <w:t>)</w:t>
      </w:r>
      <w:r w:rsidR="00983014" w:rsidRPr="000741BA">
        <w:tab/>
        <w:t>advertising a financial product</w:t>
      </w:r>
      <w:r w:rsidR="00532AFB" w:rsidRPr="000741BA">
        <w:t>.</w:t>
      </w:r>
    </w:p>
    <w:p w:rsidR="0014139B" w:rsidRPr="000741BA" w:rsidRDefault="0014139B" w:rsidP="0014139B">
      <w:pPr>
        <w:pStyle w:val="A1S"/>
      </w:pPr>
      <w:r w:rsidRPr="000741BA">
        <w:t>[</w:t>
      </w:r>
      <w:fldSimple w:instr=" SEQ Sch1Item " w:fldLock="1">
        <w:r w:rsidR="000554D4">
          <w:rPr>
            <w:noProof/>
          </w:rPr>
          <w:t>10</w:t>
        </w:r>
      </w:fldSimple>
      <w:r w:rsidRPr="000741BA">
        <w:t>]</w:t>
      </w:r>
      <w:r w:rsidRPr="000741BA">
        <w:tab/>
      </w:r>
      <w:r w:rsidR="006F0C26">
        <w:t>After r</w:t>
      </w:r>
      <w:r w:rsidR="00842122" w:rsidRPr="000741BA">
        <w:t>egulation 7.10.02</w:t>
      </w:r>
    </w:p>
    <w:p w:rsidR="00842122" w:rsidRPr="000741BA" w:rsidRDefault="00842122" w:rsidP="00FB7BF2">
      <w:pPr>
        <w:pStyle w:val="A2S"/>
      </w:pPr>
      <w:r w:rsidRPr="000741BA">
        <w:t>insert</w:t>
      </w:r>
    </w:p>
    <w:p w:rsidR="00842122" w:rsidRPr="000741BA" w:rsidRDefault="00842122" w:rsidP="00842122">
      <w:pPr>
        <w:pStyle w:val="HR"/>
      </w:pPr>
      <w:r w:rsidRPr="00416060">
        <w:rPr>
          <w:rStyle w:val="CharSectno"/>
        </w:rPr>
        <w:t>7.10.03</w:t>
      </w:r>
      <w:r w:rsidR="00AD6285">
        <w:rPr>
          <w:rStyle w:val="CharSectno"/>
          <w:rFonts w:cs="Arial"/>
        </w:rPr>
        <w:tab/>
      </w:r>
      <w:r w:rsidRPr="000741BA">
        <w:t xml:space="preserve">Exemption from </w:t>
      </w:r>
      <w:r w:rsidR="00611B80" w:rsidRPr="000741BA">
        <w:t xml:space="preserve">application of </w:t>
      </w:r>
      <w:r w:rsidRPr="000741BA">
        <w:t>Part 7.10 of the Act</w:t>
      </w:r>
    </w:p>
    <w:p w:rsidR="00842122" w:rsidRPr="000741BA" w:rsidRDefault="00842122" w:rsidP="00E70D97">
      <w:pPr>
        <w:pStyle w:val="ZR1"/>
      </w:pPr>
      <w:r w:rsidRPr="000741BA">
        <w:tab/>
      </w:r>
      <w:r w:rsidRPr="000741BA">
        <w:tab/>
        <w:t xml:space="preserve">For paragraph 1045A (1) (a) of the Act, Part 7.10 of the </w:t>
      </w:r>
      <w:r w:rsidR="00E70D97" w:rsidRPr="000741BA">
        <w:t xml:space="preserve">Act does not apply to a person </w:t>
      </w:r>
      <w:r w:rsidRPr="000741BA">
        <w:t>to the extent that the person is providing a financial service in relation to a scheme mentioned in paragraph 5C.11.01</w:t>
      </w:r>
      <w:r w:rsidR="00261AAB" w:rsidRPr="000741BA">
        <w:t xml:space="preserve"> (1)</w:t>
      </w:r>
      <w:r w:rsidR="006F0C26">
        <w:t> </w:t>
      </w:r>
      <w:r w:rsidRPr="000741BA">
        <w:t>(b)</w:t>
      </w:r>
      <w:r w:rsidR="003A45F3" w:rsidRPr="000741BA">
        <w:t xml:space="preserve"> or (c)</w:t>
      </w:r>
      <w:r w:rsidR="00532AFB" w:rsidRPr="000741BA">
        <w:t>.</w:t>
      </w:r>
    </w:p>
    <w:p w:rsidR="00441A4C" w:rsidRPr="000741BA" w:rsidRDefault="00441A4C" w:rsidP="008F0574">
      <w:pPr>
        <w:pStyle w:val="SchedSectionBreak"/>
        <w:sectPr w:rsidR="00441A4C" w:rsidRPr="000741BA" w:rsidSect="008F0574">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1985" w:right="2410" w:bottom="3969" w:left="2410" w:header="567" w:footer="3119" w:gutter="0"/>
          <w:cols w:space="708"/>
          <w:docGrid w:linePitch="360"/>
        </w:sectPr>
      </w:pPr>
    </w:p>
    <w:p w:rsidR="00441A4C" w:rsidRPr="000741BA" w:rsidRDefault="00441A4C" w:rsidP="008F0574">
      <w:pPr>
        <w:pStyle w:val="NoteEnd"/>
        <w:keepNext/>
        <w:pBdr>
          <w:top w:val="single" w:sz="4" w:space="3" w:color="auto"/>
        </w:pBdr>
        <w:spacing w:before="480"/>
        <w:rPr>
          <w:rFonts w:ascii="Arial" w:hAnsi="Arial"/>
          <w:b/>
          <w:sz w:val="24"/>
        </w:rPr>
      </w:pPr>
      <w:r w:rsidRPr="000741BA">
        <w:rPr>
          <w:rFonts w:ascii="Arial" w:hAnsi="Arial"/>
          <w:b/>
          <w:sz w:val="24"/>
        </w:rPr>
        <w:lastRenderedPageBreak/>
        <w:t>Note</w:t>
      </w:r>
    </w:p>
    <w:p w:rsidR="00441A4C" w:rsidRPr="000741BA" w:rsidRDefault="00441A4C" w:rsidP="008F0574">
      <w:pPr>
        <w:pStyle w:val="NoteEnd"/>
      </w:pPr>
      <w:r w:rsidRPr="000741BA">
        <w:t>1.</w:t>
      </w:r>
      <w:r w:rsidRPr="000741BA">
        <w:tab/>
        <w:t xml:space="preserve">All legislative instruments and compilations are registered on the Federal Register of Legislative Instruments kept under the </w:t>
      </w:r>
      <w:r w:rsidRPr="000741BA">
        <w:rPr>
          <w:i/>
        </w:rPr>
        <w:t xml:space="preserve">Legislative Instruments Act 2003. </w:t>
      </w:r>
      <w:r w:rsidRPr="000741BA">
        <w:t xml:space="preserve">See </w:t>
      </w:r>
      <w:hyperlink r:id="rId26" w:history="1">
        <w:r w:rsidR="006F0C26" w:rsidRPr="006F0C26">
          <w:rPr>
            <w:rStyle w:val="Hyperlink"/>
          </w:rPr>
          <w:t>www.comlaw</w:t>
        </w:r>
        <w:r w:rsidRPr="006F0C26">
          <w:rPr>
            <w:rStyle w:val="Hyperlink"/>
          </w:rPr>
          <w:t>.gov.au</w:t>
        </w:r>
      </w:hyperlink>
      <w:r w:rsidRPr="000741BA">
        <w:t>.</w:t>
      </w:r>
    </w:p>
    <w:p w:rsidR="00441A4C" w:rsidRPr="000741BA" w:rsidRDefault="00441A4C" w:rsidP="008F0574">
      <w:pPr>
        <w:pStyle w:val="NotesSectionBreak"/>
        <w:sectPr w:rsidR="00441A4C" w:rsidRPr="000741BA" w:rsidSect="008F0574">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1985" w:right="2410" w:bottom="3969" w:left="2410" w:header="567" w:footer="3119" w:gutter="0"/>
          <w:cols w:space="708"/>
          <w:docGrid w:linePitch="360"/>
        </w:sectPr>
      </w:pPr>
    </w:p>
    <w:p w:rsidR="00441A4C" w:rsidRPr="000741BA" w:rsidRDefault="00441A4C" w:rsidP="00441A4C"/>
    <w:sectPr w:rsidR="00441A4C" w:rsidRPr="000741BA" w:rsidSect="00441A4C">
      <w:headerReference w:type="even" r:id="rId33"/>
      <w:headerReference w:type="default" r:id="rId34"/>
      <w:footerReference w:type="even" r:id="rId35"/>
      <w:footerReference w:type="default" r:id="rId36"/>
      <w:footerReference w:type="first" r:id="rId37"/>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A78" w:rsidRDefault="00F21A78">
      <w:r>
        <w:separator/>
      </w:r>
    </w:p>
  </w:endnote>
  <w:endnote w:type="continuationSeparator" w:id="0">
    <w:p w:rsidR="00F21A78" w:rsidRDefault="00F21A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Default="004B410B" w:rsidP="008F0574">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4B410B">
      <w:tc>
        <w:tcPr>
          <w:tcW w:w="1134" w:type="dxa"/>
          <w:shd w:val="clear" w:color="auto" w:fill="auto"/>
        </w:tcPr>
        <w:p w:rsidR="004B410B" w:rsidRPr="007F6065" w:rsidRDefault="004B410B" w:rsidP="008F0574">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0554D4">
            <w:rPr>
              <w:rStyle w:val="PageNumber"/>
              <w:noProof/>
            </w:rPr>
            <w:t>1</w:t>
          </w:r>
          <w:r w:rsidRPr="007F6065">
            <w:rPr>
              <w:rStyle w:val="PageNumber"/>
            </w:rPr>
            <w:fldChar w:fldCharType="end"/>
          </w:r>
        </w:p>
      </w:tc>
      <w:tc>
        <w:tcPr>
          <w:tcW w:w="4820" w:type="dxa"/>
          <w:shd w:val="clear" w:color="auto" w:fill="auto"/>
        </w:tcPr>
        <w:p w:rsidR="004B410B" w:rsidRPr="00EF2F9D" w:rsidRDefault="004B410B" w:rsidP="008F0574">
          <w:pPr>
            <w:pStyle w:val="FooterCitation"/>
          </w:pPr>
          <w:fldSimple w:instr=" REF  Citation\*charformat ">
            <w:r w:rsidR="000554D4" w:rsidRPr="000741BA">
              <w:t>Corporations Amendment Regulation 2012 (No.</w:t>
            </w:r>
            <w:r w:rsidR="000554D4">
              <w:t> 6</w:t>
            </w:r>
            <w:r w:rsidR="000554D4" w:rsidRPr="000741BA">
              <w:t>)</w:t>
            </w:r>
          </w:fldSimple>
        </w:p>
      </w:tc>
      <w:tc>
        <w:tcPr>
          <w:tcW w:w="1191" w:type="dxa"/>
          <w:shd w:val="clear" w:color="auto" w:fill="auto"/>
        </w:tcPr>
        <w:p w:rsidR="004B410B" w:rsidRPr="007F6065" w:rsidRDefault="004B410B" w:rsidP="008F0574">
          <w:pPr>
            <w:pStyle w:val="Footer"/>
            <w:spacing w:before="20"/>
            <w:jc w:val="right"/>
          </w:pPr>
          <w:fldSimple w:instr=" REF Year \*Charformat ">
            <w:r w:rsidR="000554D4" w:rsidRPr="000741BA">
              <w:t>2012</w:t>
            </w:r>
          </w:fldSimple>
          <w:r w:rsidRPr="007F6065">
            <w:t xml:space="preserve">, </w:t>
          </w:r>
          <w:fldSimple w:instr=" REF refno \*Charformat ">
            <w:r w:rsidR="000554D4">
              <w:t>172</w:t>
            </w:r>
          </w:fldSimple>
        </w:p>
      </w:tc>
    </w:tr>
  </w:tbl>
  <w:p w:rsidR="004B410B" w:rsidRDefault="004B410B" w:rsidP="008F0574">
    <w:pPr>
      <w:pStyle w:val="Footer"/>
    </w:pPr>
    <w:r>
      <w:rPr>
        <w:noProof/>
      </w:rPr>
      <w:pict>
        <v:shapetype id="_x0000_t202" coordsize="21600,21600" o:spt="202" path="m,l,21600r21600,l21600,xe">
          <v:stroke joinstyle="miter"/>
          <v:path gradientshapeok="t" o:connecttype="rect"/>
        </v:shapetype>
        <v:shape id="_x0000_s2388" type="#_x0000_t202" style="position:absolute;margin-left:0;margin-top:783.25pt;width:349.5pt;height:41.4pt;z-index:251655168;mso-position-horizontal-relative:text;mso-position-vertical-relative:page" filled="f" stroked="f">
          <v:textbox style="mso-next-textbox:#_x0000_s2388" inset="0,0,0,0">
            <w:txbxContent>
              <w:p w:rsidR="004B410B" w:rsidRPr="000554D4" w:rsidRDefault="004B410B" w:rsidP="000554D4"/>
            </w:txbxContent>
          </v:textbox>
          <w10:wrap anchory="page"/>
        </v:shape>
      </w:pict>
    </w:r>
    <w:r>
      <w:rPr>
        <w:noProof/>
      </w:rPr>
      <w:pict>
        <v:shape id="_x0000_s2387" type="#_x0000_t202" style="position:absolute;margin-left:0;margin-top:784.75pt;width:349.5pt;height:41.4pt;z-index:251654144;mso-position-horizontal-relative:text;mso-position-vertical-relative:text" filled="f" stroked="f">
          <v:textbox style="mso-next-textbox:#_x0000_s2387">
            <w:txbxContent>
              <w:p w:rsidR="004B410B" w:rsidRPr="004675CE" w:rsidRDefault="004B410B" w:rsidP="00416060">
                <w:pPr>
                  <w:pStyle w:val="FooterDraft"/>
                </w:pPr>
              </w:p>
              <w:p w:rsidR="004B410B" w:rsidRPr="004675CE" w:rsidRDefault="00CB5CD7" w:rsidP="008F0574">
                <w:pPr>
                  <w:rPr>
                    <w:rFonts w:ascii="Arial" w:hAnsi="Arial" w:cs="Arial"/>
                    <w:sz w:val="12"/>
                    <w:szCs w:val="12"/>
                  </w:rPr>
                </w:pPr>
                <w:r w:rsidRPr="00CB5CD7">
                  <w:rPr>
                    <w:rFonts w:ascii="Arial" w:hAnsi="Arial" w:cs="Arial"/>
                    <w:noProof/>
                    <w:sz w:val="12"/>
                    <w:szCs w:val="12"/>
                  </w:rPr>
                  <w:t>1009828A-120704Z</w:t>
                </w:r>
              </w:p>
            </w:txbxContent>
          </v:textbox>
        </v:shape>
      </w:pict>
    </w:r>
    <w:r>
      <w:rPr>
        <w:noProof/>
      </w:rPr>
      <w:pict>
        <v:shape id="_x0000_s2386" type="#_x0000_t202" style="position:absolute;margin-left:-36pt;margin-top:188.55pt;width:349.5pt;height:41.4pt;z-index:251653120;mso-position-horizontal-relative:text;mso-position-vertical-relative:text" filled="f" stroked="f">
          <v:textbox style="mso-next-textbox:#_x0000_s2386">
            <w:txbxContent>
              <w:p w:rsidR="004B410B" w:rsidRPr="004675CE" w:rsidRDefault="004B410B" w:rsidP="00416060">
                <w:pPr>
                  <w:pStyle w:val="FooterDraft"/>
                </w:pPr>
              </w:p>
              <w:p w:rsidR="004B410B" w:rsidRPr="004675CE" w:rsidRDefault="00CB5CD7" w:rsidP="008F0574">
                <w:pPr>
                  <w:rPr>
                    <w:rFonts w:ascii="Arial" w:hAnsi="Arial" w:cs="Arial"/>
                    <w:sz w:val="12"/>
                    <w:szCs w:val="12"/>
                  </w:rPr>
                </w:pPr>
                <w:r w:rsidRPr="00CB5CD7">
                  <w:rPr>
                    <w:rFonts w:ascii="Arial" w:hAnsi="Arial" w:cs="Arial"/>
                    <w:noProof/>
                    <w:sz w:val="12"/>
                    <w:szCs w:val="12"/>
                  </w:rPr>
                  <w:t>1009828A-120704Z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Default="004B410B" w:rsidP="008F0574">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4B410B">
      <w:tc>
        <w:tcPr>
          <w:tcW w:w="1134" w:type="dxa"/>
          <w:shd w:val="clear" w:color="auto" w:fill="auto"/>
        </w:tcPr>
        <w:p w:rsidR="004B410B" w:rsidRPr="007F6065" w:rsidRDefault="004B410B" w:rsidP="008F0574">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0554D4">
            <w:rPr>
              <w:rStyle w:val="PageNumber"/>
              <w:noProof/>
            </w:rPr>
            <w:t>1</w:t>
          </w:r>
          <w:r w:rsidRPr="007F6065">
            <w:rPr>
              <w:rStyle w:val="PageNumber"/>
            </w:rPr>
            <w:fldChar w:fldCharType="end"/>
          </w:r>
        </w:p>
      </w:tc>
      <w:tc>
        <w:tcPr>
          <w:tcW w:w="4820" w:type="dxa"/>
          <w:shd w:val="clear" w:color="auto" w:fill="auto"/>
        </w:tcPr>
        <w:p w:rsidR="004B410B" w:rsidRPr="00EF2F9D" w:rsidRDefault="004B410B" w:rsidP="008F0574">
          <w:pPr>
            <w:pStyle w:val="FooterCitation"/>
          </w:pPr>
          <w:fldSimple w:instr=" REF  Citation\*charformat ">
            <w:r w:rsidR="000554D4" w:rsidRPr="000741BA">
              <w:t>Corporations Amendment Regulation 2012 (No.</w:t>
            </w:r>
            <w:r w:rsidR="000554D4">
              <w:t> 6</w:t>
            </w:r>
            <w:r w:rsidR="000554D4" w:rsidRPr="000741BA">
              <w:t>)</w:t>
            </w:r>
          </w:fldSimple>
        </w:p>
      </w:tc>
      <w:tc>
        <w:tcPr>
          <w:tcW w:w="1191" w:type="dxa"/>
          <w:shd w:val="clear" w:color="auto" w:fill="auto"/>
        </w:tcPr>
        <w:p w:rsidR="004B410B" w:rsidRPr="007F6065" w:rsidRDefault="004B410B" w:rsidP="008F0574">
          <w:pPr>
            <w:pStyle w:val="Footer"/>
            <w:spacing w:before="20"/>
            <w:jc w:val="right"/>
          </w:pPr>
          <w:fldSimple w:instr=" REF Year \*Charformat ">
            <w:r w:rsidR="000554D4" w:rsidRPr="000741BA">
              <w:t>2012</w:t>
            </w:r>
          </w:fldSimple>
          <w:r w:rsidRPr="007F6065">
            <w:t xml:space="preserve">, </w:t>
          </w:r>
          <w:fldSimple w:instr=" REF refno \*Charformat ">
            <w:r w:rsidR="000554D4">
              <w:t>172</w:t>
            </w:r>
          </w:fldSimple>
        </w:p>
      </w:tc>
    </w:tr>
  </w:tbl>
  <w:p w:rsidR="004B410B" w:rsidRDefault="004B410B" w:rsidP="008F0574">
    <w:pPr>
      <w:pStyle w:val="Footer"/>
    </w:pPr>
    <w:r>
      <w:rPr>
        <w:noProof/>
      </w:rPr>
      <w:pict>
        <v:shapetype id="_x0000_t202" coordsize="21600,21600" o:spt="202" path="m,l,21600r21600,l21600,xe">
          <v:stroke joinstyle="miter"/>
          <v:path gradientshapeok="t" o:connecttype="rect"/>
        </v:shapetype>
        <v:shape id="_x0000_s2401" type="#_x0000_t202" style="position:absolute;margin-left:0;margin-top:783.25pt;width:349.5pt;height:41.4pt;z-index:251668480;mso-position-horizontal-relative:text;mso-position-vertical-relative:page" filled="f" stroked="f">
          <v:textbox style="mso-next-textbox:#_x0000_s2401" inset="0,0,0,0">
            <w:txbxContent>
              <w:p w:rsidR="004B410B" w:rsidRPr="000554D4" w:rsidRDefault="004B410B" w:rsidP="000554D4"/>
            </w:txbxContent>
          </v:textbox>
          <w10:wrap anchory="page"/>
        </v:shape>
      </w:pict>
    </w:r>
    <w:r>
      <w:rPr>
        <w:noProof/>
      </w:rPr>
      <w:pict>
        <v:shape id="_x0000_s2400" type="#_x0000_t202" style="position:absolute;margin-left:0;margin-top:784.75pt;width:349.5pt;height:41.4pt;z-index:251667456;mso-position-horizontal-relative:text;mso-position-vertical-relative:text" filled="f" stroked="f">
          <v:textbox style="mso-next-textbox:#_x0000_s2400">
            <w:txbxContent>
              <w:p w:rsidR="004B410B" w:rsidRPr="004675CE" w:rsidRDefault="004B410B" w:rsidP="00416060">
                <w:pPr>
                  <w:pStyle w:val="FooterDraft"/>
                </w:pPr>
              </w:p>
              <w:p w:rsidR="004B410B" w:rsidRPr="004675CE" w:rsidRDefault="00CB5CD7" w:rsidP="008F0574">
                <w:pPr>
                  <w:rPr>
                    <w:rFonts w:ascii="Arial" w:hAnsi="Arial" w:cs="Arial"/>
                    <w:sz w:val="12"/>
                    <w:szCs w:val="12"/>
                  </w:rPr>
                </w:pPr>
                <w:r w:rsidRPr="00CB5CD7">
                  <w:rPr>
                    <w:rFonts w:ascii="Arial" w:hAnsi="Arial" w:cs="Arial"/>
                    <w:noProof/>
                    <w:sz w:val="12"/>
                    <w:szCs w:val="12"/>
                  </w:rPr>
                  <w:t>1009828A-120704Z</w:t>
                </w:r>
              </w:p>
            </w:txbxContent>
          </v:textbox>
        </v:shape>
      </w:pict>
    </w:r>
    <w:r>
      <w:rPr>
        <w:noProof/>
      </w:rPr>
      <w:pict>
        <v:shape id="_x0000_s2399" type="#_x0000_t202" style="position:absolute;margin-left:-36pt;margin-top:188.55pt;width:349.5pt;height:41.4pt;z-index:251666432;mso-position-horizontal-relative:text;mso-position-vertical-relative:text" filled="f" stroked="f">
          <v:textbox style="mso-next-textbox:#_x0000_s2399">
            <w:txbxContent>
              <w:p w:rsidR="004B410B" w:rsidRPr="004675CE" w:rsidRDefault="004B410B" w:rsidP="00416060">
                <w:pPr>
                  <w:pStyle w:val="FooterDraft"/>
                </w:pPr>
              </w:p>
              <w:p w:rsidR="004B410B" w:rsidRPr="004675CE" w:rsidRDefault="00CB5CD7" w:rsidP="008F0574">
                <w:pPr>
                  <w:rPr>
                    <w:rFonts w:ascii="Arial" w:hAnsi="Arial" w:cs="Arial"/>
                    <w:sz w:val="12"/>
                    <w:szCs w:val="12"/>
                  </w:rPr>
                </w:pPr>
                <w:r w:rsidRPr="00CB5CD7">
                  <w:rPr>
                    <w:rFonts w:ascii="Arial" w:hAnsi="Arial" w:cs="Arial"/>
                    <w:noProof/>
                    <w:sz w:val="12"/>
                    <w:szCs w:val="12"/>
                  </w:rPr>
                  <w:t>1009828A-120704Z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Pr="00A41806" w:rsidRDefault="004B410B" w:rsidP="008F0574">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4B410B" w:rsidRPr="00A41806">
      <w:tc>
        <w:tcPr>
          <w:tcW w:w="1191" w:type="dxa"/>
          <w:shd w:val="clear" w:color="auto" w:fill="auto"/>
        </w:tcPr>
        <w:p w:rsidR="004B410B" w:rsidRPr="00A41806" w:rsidRDefault="004B410B" w:rsidP="008F0574">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0554D4" w:rsidRPr="000741BA">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0554D4">
            <w:fldChar w:fldCharType="separate"/>
          </w:r>
          <w:r w:rsidR="000554D4">
            <w:t>172</w:t>
          </w:r>
          <w:r w:rsidRPr="00A41806">
            <w:fldChar w:fldCharType="end"/>
          </w:r>
        </w:p>
      </w:tc>
      <w:tc>
        <w:tcPr>
          <w:tcW w:w="4820" w:type="dxa"/>
          <w:shd w:val="clear" w:color="auto" w:fill="auto"/>
        </w:tcPr>
        <w:p w:rsidR="004B410B" w:rsidRPr="00EF2F9D" w:rsidRDefault="004B410B" w:rsidP="008F0574">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0554D4" w:rsidRPr="000741BA">
            <w:t>Corporations Amendment Regulation 2012 (No.</w:t>
          </w:r>
          <w:r w:rsidR="000554D4">
            <w:t> 6</w:t>
          </w:r>
          <w:r w:rsidR="000554D4" w:rsidRPr="000741BA">
            <w:t>)</w:t>
          </w:r>
          <w:r w:rsidRPr="00EF2F9D">
            <w:fldChar w:fldCharType="end"/>
          </w:r>
        </w:p>
      </w:tc>
      <w:tc>
        <w:tcPr>
          <w:tcW w:w="1134" w:type="dxa"/>
          <w:shd w:val="clear" w:color="auto" w:fill="auto"/>
        </w:tcPr>
        <w:p w:rsidR="004B410B" w:rsidRPr="005968DD" w:rsidRDefault="004B410B" w:rsidP="008F0574">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sidR="000554D4">
            <w:rPr>
              <w:rStyle w:val="PageNumber"/>
              <w:noProof/>
            </w:rPr>
            <w:t>1</w:t>
          </w:r>
          <w:r w:rsidRPr="005968DD">
            <w:rPr>
              <w:rStyle w:val="PageNumber"/>
            </w:rPr>
            <w:fldChar w:fldCharType="end"/>
          </w:r>
        </w:p>
      </w:tc>
    </w:tr>
  </w:tbl>
  <w:p w:rsidR="004B410B" w:rsidRPr="00A41806" w:rsidRDefault="004B410B" w:rsidP="008F0574">
    <w:pPr>
      <w:pStyle w:val="Footer"/>
    </w:pPr>
    <w:r>
      <w:pict>
        <v:shapetype id="_x0000_t202" coordsize="21600,21600" o:spt="202" path="m,l,21600r21600,l21600,xe">
          <v:stroke joinstyle="miter"/>
          <v:path gradientshapeok="t" o:connecttype="rect"/>
        </v:shapetype>
        <v:shape id="_x0000_s2398" type="#_x0000_t202" style="position:absolute;margin-left:2pt;margin-top:784.75pt;width:349.5pt;height:41.4pt;z-index:251665408;mso-position-horizontal-relative:text;mso-position-vertical-relative:page" filled="f" stroked="f">
          <v:textbox style="mso-next-textbox:#_x0000_s2398" inset="0,0,0,0">
            <w:txbxContent>
              <w:p w:rsidR="004B410B" w:rsidRPr="000554D4" w:rsidRDefault="004B410B" w:rsidP="000554D4"/>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Pr="00556EB9" w:rsidRDefault="00CB5CD7" w:rsidP="008F0574">
    <w:pPr>
      <w:pStyle w:val="FooterCitation"/>
    </w:pPr>
    <w:r>
      <w:rPr>
        <w:noProof/>
      </w:rPr>
      <w:t>G:\Drafting-Unit 2\#final 10xxxxx\1009828A Corporations Amdt Reg 2012 (No.  )\1009828A-120704Z.doc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Pr="00A41806" w:rsidRDefault="004B410B"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4B410B" w:rsidRPr="00A41806">
      <w:tc>
        <w:tcPr>
          <w:tcW w:w="1134" w:type="dxa"/>
        </w:tcPr>
        <w:p w:rsidR="004B410B" w:rsidRPr="00A41806" w:rsidRDefault="004B410B"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0554D4">
            <w:rPr>
              <w:rStyle w:val="PageNumber"/>
              <w:noProof/>
            </w:rPr>
            <w:t>1</w:t>
          </w:r>
          <w:r w:rsidRPr="00A41806">
            <w:rPr>
              <w:rStyle w:val="PageNumber"/>
            </w:rPr>
            <w:fldChar w:fldCharType="end"/>
          </w:r>
        </w:p>
      </w:tc>
      <w:tc>
        <w:tcPr>
          <w:tcW w:w="4820" w:type="dxa"/>
        </w:tcPr>
        <w:p w:rsidR="004B410B" w:rsidRPr="00EF2F9D" w:rsidRDefault="004B410B" w:rsidP="008C15A7">
          <w:pPr>
            <w:pStyle w:val="FooterCitation"/>
          </w:pPr>
          <w:fldSimple w:instr=" REF  Citation\*charformat ">
            <w:r w:rsidR="000554D4" w:rsidRPr="000741BA">
              <w:t>Corporations Amendment Regulation 2012 (No.</w:t>
            </w:r>
            <w:r w:rsidR="000554D4">
              <w:t> 6</w:t>
            </w:r>
            <w:r w:rsidR="000554D4" w:rsidRPr="000741BA">
              <w:t>)</w:t>
            </w:r>
          </w:fldSimple>
        </w:p>
      </w:tc>
      <w:tc>
        <w:tcPr>
          <w:tcW w:w="1191" w:type="dxa"/>
        </w:tcPr>
        <w:p w:rsidR="004B410B" w:rsidRPr="00A41806" w:rsidRDefault="004B410B" w:rsidP="008C15A7">
          <w:pPr>
            <w:pStyle w:val="Footer"/>
            <w:spacing w:before="20"/>
            <w:jc w:val="right"/>
          </w:pPr>
          <w:fldSimple w:instr=" REF Year \*Charformat ">
            <w:r w:rsidR="000554D4" w:rsidRPr="000741BA">
              <w:t>2012</w:t>
            </w:r>
          </w:fldSimple>
          <w:r w:rsidRPr="00A41806">
            <w:t xml:space="preserve">, </w:t>
          </w:r>
          <w:fldSimple w:instr=" REF refno \*Charformat ">
            <w:r w:rsidR="000554D4">
              <w:t>172</w:t>
            </w:r>
          </w:fldSimple>
        </w:p>
      </w:tc>
    </w:tr>
  </w:tbl>
  <w:p w:rsidR="004B410B" w:rsidRPr="00A41806" w:rsidRDefault="004B410B"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9024;mso-position-horizontal-relative:text;mso-position-vertical-relative:page" filled="f" stroked="f">
          <v:textbox style="mso-next-textbox:#_x0000_s2293" inset="0,0,0,0">
            <w:txbxContent>
              <w:p w:rsidR="004B410B" w:rsidRPr="000554D4" w:rsidRDefault="004B410B" w:rsidP="000554D4"/>
            </w:txbxContent>
          </v:textbox>
          <w10:wrap anchory="page"/>
        </v:shape>
      </w:pict>
    </w:r>
    <w:r>
      <w:pict>
        <v:shape id="_x0000_s2292" type="#_x0000_t202" style="position:absolute;margin-left:0;margin-top:784.75pt;width:349.5pt;height:41.4pt;z-index:251648000;mso-position-horizontal-relative:text;mso-position-vertical-relative:text" filled="f" stroked="f">
          <v:textbox style="mso-next-textbox:#_x0000_s2292">
            <w:txbxContent>
              <w:p w:rsidR="004B410B" w:rsidRPr="004675CE" w:rsidRDefault="004B410B" w:rsidP="008C15A7">
                <w:pPr>
                  <w:jc w:val="center"/>
                  <w:rPr>
                    <w:rFonts w:ascii="Arial" w:hAnsi="Arial" w:cs="Arial"/>
                    <w:b/>
                    <w:sz w:val="40"/>
                    <w:szCs w:val="40"/>
                  </w:rPr>
                </w:pPr>
                <w:r w:rsidRPr="004675CE">
                  <w:rPr>
                    <w:rFonts w:ascii="Arial" w:hAnsi="Arial" w:cs="Arial"/>
                    <w:b/>
                    <w:sz w:val="40"/>
                    <w:szCs w:val="40"/>
                  </w:rPr>
                  <w:t>DRAFT ONLY</w:t>
                </w:r>
              </w:p>
              <w:p w:rsidR="004B410B" w:rsidRPr="004675CE" w:rsidRDefault="00CB5CD7" w:rsidP="008C15A7">
                <w:pPr>
                  <w:rPr>
                    <w:rFonts w:ascii="Arial" w:hAnsi="Arial" w:cs="Arial"/>
                    <w:sz w:val="12"/>
                    <w:szCs w:val="12"/>
                  </w:rPr>
                </w:pPr>
                <w:r w:rsidRPr="00CB5CD7">
                  <w:rPr>
                    <w:rFonts w:ascii="Arial" w:hAnsi="Arial" w:cs="Arial"/>
                    <w:noProof/>
                    <w:sz w:val="12"/>
                    <w:szCs w:val="12"/>
                  </w:rPr>
                  <w:t>1009828A-120704Z</w:t>
                </w:r>
              </w:p>
            </w:txbxContent>
          </v:textbox>
        </v:shape>
      </w:pict>
    </w:r>
    <w:r>
      <w:pict>
        <v:shape id="_x0000_s2291" type="#_x0000_t202" style="position:absolute;margin-left:-36pt;margin-top:188.55pt;width:349.5pt;height:41.4pt;z-index:251646976;mso-position-horizontal-relative:text;mso-position-vertical-relative:text" filled="f" stroked="f">
          <v:textbox style="mso-next-textbox:#_x0000_s2291">
            <w:txbxContent>
              <w:p w:rsidR="004B410B" w:rsidRPr="004675CE" w:rsidRDefault="004B410B" w:rsidP="008C15A7">
                <w:pPr>
                  <w:jc w:val="center"/>
                  <w:rPr>
                    <w:rFonts w:ascii="Arial" w:hAnsi="Arial" w:cs="Arial"/>
                    <w:b/>
                    <w:sz w:val="40"/>
                    <w:szCs w:val="40"/>
                  </w:rPr>
                </w:pPr>
                <w:r w:rsidRPr="004675CE">
                  <w:rPr>
                    <w:rFonts w:ascii="Arial" w:hAnsi="Arial" w:cs="Arial"/>
                    <w:b/>
                    <w:sz w:val="40"/>
                    <w:szCs w:val="40"/>
                  </w:rPr>
                  <w:t>DRAFT ONLY</w:t>
                </w:r>
              </w:p>
              <w:p w:rsidR="004B410B" w:rsidRPr="004675CE" w:rsidRDefault="00CB5CD7" w:rsidP="008C15A7">
                <w:pPr>
                  <w:rPr>
                    <w:rFonts w:ascii="Arial" w:hAnsi="Arial" w:cs="Arial"/>
                    <w:sz w:val="12"/>
                    <w:szCs w:val="12"/>
                  </w:rPr>
                </w:pPr>
                <w:r w:rsidRPr="00CB5CD7">
                  <w:rPr>
                    <w:rFonts w:ascii="Arial" w:hAnsi="Arial" w:cs="Arial"/>
                    <w:noProof/>
                    <w:sz w:val="12"/>
                    <w:szCs w:val="12"/>
                  </w:rPr>
                  <w:t>1009828A-120704Z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Default="004B410B"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4B410B" w:rsidRPr="008D3896">
      <w:tc>
        <w:tcPr>
          <w:tcW w:w="1191" w:type="dxa"/>
        </w:tcPr>
        <w:p w:rsidR="004B410B" w:rsidRPr="008D3896" w:rsidRDefault="004B410B" w:rsidP="00B425A5">
          <w:pPr>
            <w:pStyle w:val="Footer"/>
            <w:spacing w:before="20"/>
          </w:pPr>
          <w:r>
            <w:fldChar w:fldCharType="begin"/>
          </w:r>
          <w:r>
            <w:instrText xml:space="preserve"> if( (REF Year) = "Error!","", (REF Year)) \*Charformat </w:instrText>
          </w:r>
          <w:r>
            <w:fldChar w:fldCharType="end"/>
          </w:r>
          <w:r w:rsidRPr="008D3896">
            <w:t xml:space="preserve">, </w:t>
          </w:r>
          <w:r>
            <w:fldChar w:fldCharType="begin"/>
          </w:r>
          <w:r>
            <w:instrText xml:space="preserve"> if((REF \* Charformat refno)= "Error!","",(REF \* Charformat refno)) </w:instrText>
          </w:r>
          <w:r>
            <w:fldChar w:fldCharType="end"/>
          </w:r>
        </w:p>
      </w:tc>
      <w:tc>
        <w:tcPr>
          <w:tcW w:w="4820" w:type="dxa"/>
        </w:tcPr>
        <w:p w:rsidR="004B410B" w:rsidRPr="00EF2F9D" w:rsidRDefault="004B410B" w:rsidP="000B68A5">
          <w:pPr>
            <w:pStyle w:val="FooterCitation"/>
          </w:pPr>
          <w:r>
            <w:fldChar w:fldCharType="begin"/>
          </w:r>
          <w:r>
            <w:instrText xml:space="preserve"> if((REF \* charformat Citation )= "Error!","",(REF \* charformat Citation )) </w:instrText>
          </w:r>
          <w:r>
            <w:fldChar w:fldCharType="end"/>
          </w:r>
        </w:p>
      </w:tc>
      <w:tc>
        <w:tcPr>
          <w:tcW w:w="1134" w:type="dxa"/>
        </w:tcPr>
        <w:p w:rsidR="004B410B" w:rsidRPr="008D3896" w:rsidRDefault="004B410B"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0554D4">
            <w:rPr>
              <w:rStyle w:val="PageNumber"/>
              <w:noProof/>
            </w:rPr>
            <w:t>1</w:t>
          </w:r>
          <w:r w:rsidRPr="008D3896">
            <w:rPr>
              <w:rStyle w:val="PageNumber"/>
            </w:rPr>
            <w:fldChar w:fldCharType="end"/>
          </w:r>
        </w:p>
      </w:tc>
    </w:tr>
  </w:tbl>
  <w:p w:rsidR="004B410B" w:rsidRDefault="004B410B"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51072;mso-position-horizontal-relative:text;mso-position-vertical-relative:page" filled="f" stroked="f">
          <v:textbox style="mso-next-textbox:#_x0000_s2381" inset="0,0,0,0">
            <w:txbxContent>
              <w:p w:rsidR="004B410B" w:rsidRPr="000554D4" w:rsidRDefault="004B410B" w:rsidP="000554D4"/>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Default="004B410B">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50048;mso-position-vertical-relative:page" filled="f" stroked="f">
          <v:textbox inset="0,0,0,0">
            <w:txbxContent>
              <w:p w:rsidR="004B410B" w:rsidRPr="004675CE" w:rsidRDefault="004B410B">
                <w:pPr>
                  <w:pStyle w:val="FooterDraft"/>
                </w:pPr>
                <w:r w:rsidRPr="004675CE">
                  <w:t>DRAFT ONLY</w:t>
                </w:r>
              </w:p>
              <w:p w:rsidR="004B410B" w:rsidRPr="004675CE" w:rsidRDefault="00CB5CD7">
                <w:pPr>
                  <w:pStyle w:val="FooterInfo"/>
                </w:pPr>
                <w:r>
                  <w:rPr>
                    <w:noProof/>
                  </w:rPr>
                  <w:t>1009828A-120704Z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Pr="00A41806" w:rsidRDefault="004B410B" w:rsidP="008F0574">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4B410B" w:rsidRPr="00A41806">
      <w:tc>
        <w:tcPr>
          <w:tcW w:w="1191" w:type="dxa"/>
          <w:shd w:val="clear" w:color="auto" w:fill="auto"/>
        </w:tcPr>
        <w:p w:rsidR="004B410B" w:rsidRPr="00A41806" w:rsidRDefault="004B410B" w:rsidP="008F0574">
          <w:pPr>
            <w:pStyle w:val="Footer"/>
            <w:spacing w:before="20"/>
          </w:pPr>
          <w:fldSimple w:instr=" REF Year \*Charformat ">
            <w:r w:rsidR="000554D4" w:rsidRPr="000741BA">
              <w:t>2012</w:t>
            </w:r>
          </w:fldSimple>
          <w:r w:rsidRPr="00A41806">
            <w:t xml:space="preserve">, </w:t>
          </w:r>
          <w:fldSimple w:instr=" REF refno \*Charformat ">
            <w:r w:rsidR="000554D4">
              <w:t>172</w:t>
            </w:r>
          </w:fldSimple>
        </w:p>
      </w:tc>
      <w:tc>
        <w:tcPr>
          <w:tcW w:w="4820" w:type="dxa"/>
          <w:shd w:val="clear" w:color="auto" w:fill="auto"/>
        </w:tcPr>
        <w:p w:rsidR="004B410B" w:rsidRPr="00EF2F9D" w:rsidRDefault="004B410B" w:rsidP="008F0574">
          <w:pPr>
            <w:pStyle w:val="FooterCitation"/>
          </w:pPr>
          <w:fldSimple w:instr=" REF  Citation\*charformat ">
            <w:r w:rsidR="000554D4" w:rsidRPr="000741BA">
              <w:t>Corporations Amendment Regulation 2012 (No.</w:t>
            </w:r>
            <w:r w:rsidR="000554D4">
              <w:t> 6</w:t>
            </w:r>
            <w:r w:rsidR="000554D4" w:rsidRPr="000741BA">
              <w:t>)</w:t>
            </w:r>
          </w:fldSimple>
        </w:p>
      </w:tc>
      <w:tc>
        <w:tcPr>
          <w:tcW w:w="1134" w:type="dxa"/>
          <w:shd w:val="clear" w:color="auto" w:fill="auto"/>
        </w:tcPr>
        <w:p w:rsidR="004B410B" w:rsidRPr="0014079B" w:rsidRDefault="004B410B" w:rsidP="008F0574">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0554D4">
            <w:rPr>
              <w:rStyle w:val="PageNumber"/>
              <w:noProof/>
            </w:rPr>
            <w:t>1</w:t>
          </w:r>
          <w:r w:rsidRPr="0014079B">
            <w:rPr>
              <w:rStyle w:val="PageNumber"/>
            </w:rPr>
            <w:fldChar w:fldCharType="end"/>
          </w:r>
        </w:p>
      </w:tc>
    </w:tr>
  </w:tbl>
  <w:p w:rsidR="004B410B" w:rsidRPr="00094457" w:rsidRDefault="004B410B" w:rsidP="008F0574">
    <w:pPr>
      <w:pStyle w:val="Footer"/>
    </w:pPr>
    <w:r>
      <w:pict>
        <v:shapetype id="_x0000_t202" coordsize="21600,21600" o:spt="202" path="m,l,21600r21600,l21600,xe">
          <v:stroke joinstyle="miter"/>
          <v:path gradientshapeok="t" o:connecttype="rect"/>
        </v:shapetype>
        <v:shape id="_x0000_s2385" type="#_x0000_t202" style="position:absolute;margin-left:2pt;margin-top:784.75pt;width:349.5pt;height:41.4pt;z-index:251652096;mso-position-horizontal-relative:text;mso-position-vertical-relative:page" filled="f" stroked="f">
          <v:textbox style="mso-next-textbox:#_x0000_s2385" inset="0,0,0,0">
            <w:txbxContent>
              <w:p w:rsidR="004B410B" w:rsidRPr="000554D4" w:rsidRDefault="004B410B" w:rsidP="000554D4"/>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Default="004B410B" w:rsidP="008F0574">
    <w:pPr>
      <w:pStyle w:val="Footer"/>
    </w:pPr>
    <w:r>
      <w:rPr>
        <w:noProof/>
      </w:rPr>
      <w:pict>
        <v:shapetype id="_x0000_t202" coordsize="21600,21600" o:spt="202" path="m,l,21600r21600,l21600,xe">
          <v:stroke joinstyle="miter"/>
          <v:path gradientshapeok="t" o:connecttype="rect"/>
        </v:shapetype>
        <v:shape id="_x0000_s2389" type="#_x0000_t202" style="position:absolute;margin-left:0;margin-top:784.75pt;width:349.5pt;height:41.4pt;z-index:251656192;mso-position-vertical-relative:page" filled="f" stroked="f">
          <v:textbox style="mso-next-textbox:#_x0000_s2389" inset="0,0,0,0">
            <w:txbxContent>
              <w:p w:rsidR="004B410B" w:rsidRPr="004675CE" w:rsidRDefault="004B410B" w:rsidP="008F0574">
                <w:pPr>
                  <w:pStyle w:val="FooterDraft"/>
                </w:pPr>
              </w:p>
              <w:p w:rsidR="004B410B" w:rsidRPr="004675CE" w:rsidRDefault="00CB5CD7" w:rsidP="008F0574">
                <w:pPr>
                  <w:pStyle w:val="FooterInfo"/>
                </w:pPr>
                <w:r>
                  <w:rPr>
                    <w:noProof/>
                  </w:rPr>
                  <w:t>1009828A-120704Z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Default="004B410B" w:rsidP="008F0574">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4B410B">
      <w:tc>
        <w:tcPr>
          <w:tcW w:w="1134" w:type="dxa"/>
          <w:shd w:val="clear" w:color="auto" w:fill="auto"/>
        </w:tcPr>
        <w:p w:rsidR="004B410B" w:rsidRPr="007F6065" w:rsidRDefault="004B410B" w:rsidP="008F0574">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0554D4">
            <w:rPr>
              <w:rStyle w:val="PageNumber"/>
              <w:noProof/>
            </w:rPr>
            <w:t>2</w:t>
          </w:r>
          <w:r w:rsidRPr="007F6065">
            <w:rPr>
              <w:rStyle w:val="PageNumber"/>
            </w:rPr>
            <w:fldChar w:fldCharType="end"/>
          </w:r>
        </w:p>
      </w:tc>
      <w:tc>
        <w:tcPr>
          <w:tcW w:w="4820" w:type="dxa"/>
          <w:shd w:val="clear" w:color="auto" w:fill="auto"/>
        </w:tcPr>
        <w:p w:rsidR="004B410B" w:rsidRPr="00EF2F9D" w:rsidRDefault="004B410B" w:rsidP="008F0574">
          <w:pPr>
            <w:pStyle w:val="FooterCitation"/>
          </w:pPr>
          <w:fldSimple w:instr=" REF  Citation\*charformat ">
            <w:r w:rsidR="000554D4" w:rsidRPr="000741BA">
              <w:t>Corporations Amendment Regulation 2012 (No.</w:t>
            </w:r>
            <w:r w:rsidR="000554D4">
              <w:t> 6</w:t>
            </w:r>
            <w:r w:rsidR="000554D4" w:rsidRPr="000741BA">
              <w:t>)</w:t>
            </w:r>
          </w:fldSimple>
        </w:p>
      </w:tc>
      <w:tc>
        <w:tcPr>
          <w:tcW w:w="1191" w:type="dxa"/>
          <w:shd w:val="clear" w:color="auto" w:fill="auto"/>
        </w:tcPr>
        <w:p w:rsidR="004B410B" w:rsidRPr="007F6065" w:rsidRDefault="004B410B" w:rsidP="008F0574">
          <w:pPr>
            <w:pStyle w:val="Footer"/>
            <w:spacing w:before="20"/>
            <w:jc w:val="right"/>
          </w:pPr>
          <w:fldSimple w:instr=" REF Year \*Charformat ">
            <w:r w:rsidR="000554D4" w:rsidRPr="000741BA">
              <w:t>2012</w:t>
            </w:r>
          </w:fldSimple>
          <w:r w:rsidRPr="007F6065">
            <w:t xml:space="preserve">, </w:t>
          </w:r>
          <w:fldSimple w:instr=" REF refno \*Charformat ">
            <w:r w:rsidR="000554D4">
              <w:t>172</w:t>
            </w:r>
          </w:fldSimple>
        </w:p>
      </w:tc>
    </w:tr>
  </w:tbl>
  <w:p w:rsidR="004B410B" w:rsidRDefault="004B410B" w:rsidP="008F0574">
    <w:pPr>
      <w:pStyle w:val="Footer"/>
    </w:pPr>
    <w:r>
      <w:rPr>
        <w:noProof/>
      </w:rPr>
      <w:pict>
        <v:shapetype id="_x0000_t202" coordsize="21600,21600" o:spt="202" path="m,l,21600r21600,l21600,xe">
          <v:stroke joinstyle="miter"/>
          <v:path gradientshapeok="t" o:connecttype="rect"/>
        </v:shapetype>
        <v:shape id="_x0000_s2393" type="#_x0000_t202" style="position:absolute;margin-left:0;margin-top:783.25pt;width:349.5pt;height:41.4pt;z-index:251660288;mso-position-horizontal-relative:text;mso-position-vertical-relative:page" filled="f" stroked="f">
          <v:textbox style="mso-next-textbox:#_x0000_s2393" inset="0,0,0,0">
            <w:txbxContent>
              <w:p w:rsidR="004B410B" w:rsidRPr="000554D4" w:rsidRDefault="004B410B" w:rsidP="000554D4"/>
            </w:txbxContent>
          </v:textbox>
          <w10:wrap anchory="page"/>
        </v:shape>
      </w:pict>
    </w:r>
    <w:r>
      <w:rPr>
        <w:noProof/>
      </w:rPr>
      <w:pict>
        <v:shape id="_x0000_s2392" type="#_x0000_t202" style="position:absolute;margin-left:0;margin-top:784.75pt;width:349.5pt;height:41.4pt;z-index:251659264;mso-position-horizontal-relative:text;mso-position-vertical-relative:text" filled="f" stroked="f">
          <v:textbox style="mso-next-textbox:#_x0000_s2392">
            <w:txbxContent>
              <w:p w:rsidR="004B410B" w:rsidRPr="004675CE" w:rsidRDefault="004B410B" w:rsidP="00416060">
                <w:pPr>
                  <w:pStyle w:val="FooterDraft"/>
                </w:pPr>
              </w:p>
              <w:p w:rsidR="004B410B" w:rsidRPr="004675CE" w:rsidRDefault="00CB5CD7" w:rsidP="008F0574">
                <w:pPr>
                  <w:rPr>
                    <w:rFonts w:ascii="Arial" w:hAnsi="Arial" w:cs="Arial"/>
                    <w:sz w:val="12"/>
                    <w:szCs w:val="12"/>
                  </w:rPr>
                </w:pPr>
                <w:r w:rsidRPr="00CB5CD7">
                  <w:rPr>
                    <w:rFonts w:ascii="Arial" w:hAnsi="Arial" w:cs="Arial"/>
                    <w:noProof/>
                    <w:sz w:val="12"/>
                    <w:szCs w:val="12"/>
                  </w:rPr>
                  <w:t>1009828A-120704Z</w:t>
                </w:r>
              </w:p>
            </w:txbxContent>
          </v:textbox>
        </v:shape>
      </w:pict>
    </w:r>
    <w:r>
      <w:rPr>
        <w:noProof/>
      </w:rPr>
      <w:pict>
        <v:shape id="_x0000_s2391" type="#_x0000_t202" style="position:absolute;margin-left:-36pt;margin-top:188.55pt;width:349.5pt;height:41.4pt;z-index:251658240;mso-position-horizontal-relative:text;mso-position-vertical-relative:text" filled="f" stroked="f">
          <v:textbox style="mso-next-textbox:#_x0000_s2391">
            <w:txbxContent>
              <w:p w:rsidR="004B410B" w:rsidRPr="004675CE" w:rsidRDefault="004B410B" w:rsidP="00416060">
                <w:pPr>
                  <w:pStyle w:val="FooterDraft"/>
                </w:pPr>
              </w:p>
              <w:p w:rsidR="004B410B" w:rsidRPr="004675CE" w:rsidRDefault="00CB5CD7" w:rsidP="008F0574">
                <w:pPr>
                  <w:rPr>
                    <w:rFonts w:ascii="Arial" w:hAnsi="Arial" w:cs="Arial"/>
                    <w:sz w:val="12"/>
                    <w:szCs w:val="12"/>
                  </w:rPr>
                </w:pPr>
                <w:r w:rsidRPr="00CB5CD7">
                  <w:rPr>
                    <w:rFonts w:ascii="Arial" w:hAnsi="Arial" w:cs="Arial"/>
                    <w:noProof/>
                    <w:sz w:val="12"/>
                    <w:szCs w:val="12"/>
                  </w:rPr>
                  <w:t>1009828A-120704Z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Pr="00A41806" w:rsidRDefault="004B410B" w:rsidP="008F0574">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4B410B" w:rsidRPr="00A41806">
      <w:tc>
        <w:tcPr>
          <w:tcW w:w="1191" w:type="dxa"/>
          <w:shd w:val="clear" w:color="auto" w:fill="auto"/>
        </w:tcPr>
        <w:p w:rsidR="004B410B" w:rsidRPr="00A41806" w:rsidRDefault="004B410B" w:rsidP="008F0574">
          <w:pPr>
            <w:pStyle w:val="Footer"/>
            <w:spacing w:before="20"/>
          </w:pPr>
          <w:fldSimple w:instr=" REF Year \*Charformat ">
            <w:r w:rsidR="000554D4" w:rsidRPr="000741BA">
              <w:t>2012</w:t>
            </w:r>
          </w:fldSimple>
          <w:r w:rsidRPr="00A41806">
            <w:t xml:space="preserve">, </w:t>
          </w:r>
          <w:fldSimple w:instr=" REF refno \*Charformat ">
            <w:r w:rsidR="000554D4">
              <w:t>172</w:t>
            </w:r>
          </w:fldSimple>
        </w:p>
      </w:tc>
      <w:tc>
        <w:tcPr>
          <w:tcW w:w="4820" w:type="dxa"/>
          <w:shd w:val="clear" w:color="auto" w:fill="auto"/>
        </w:tcPr>
        <w:p w:rsidR="004B410B" w:rsidRPr="00EF2F9D" w:rsidRDefault="004B410B" w:rsidP="008F0574">
          <w:pPr>
            <w:pStyle w:val="FooterCitation"/>
          </w:pPr>
          <w:fldSimple w:instr=" REF  Citation\*charformat ">
            <w:r w:rsidR="000554D4" w:rsidRPr="000741BA">
              <w:t>Corporations Amendment Regulation 2012 (No.</w:t>
            </w:r>
            <w:r w:rsidR="000554D4">
              <w:t> 6</w:t>
            </w:r>
            <w:r w:rsidR="000554D4" w:rsidRPr="000741BA">
              <w:t>)</w:t>
            </w:r>
          </w:fldSimple>
        </w:p>
      </w:tc>
      <w:tc>
        <w:tcPr>
          <w:tcW w:w="1134" w:type="dxa"/>
          <w:shd w:val="clear" w:color="auto" w:fill="auto"/>
        </w:tcPr>
        <w:p w:rsidR="004B410B" w:rsidRPr="00845B98" w:rsidRDefault="004B410B" w:rsidP="008F0574">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0554D4">
            <w:rPr>
              <w:rStyle w:val="PageNumber"/>
              <w:noProof/>
            </w:rPr>
            <w:t>2</w:t>
          </w:r>
          <w:r w:rsidRPr="00845B98">
            <w:rPr>
              <w:rStyle w:val="PageNumber"/>
            </w:rPr>
            <w:fldChar w:fldCharType="end"/>
          </w:r>
        </w:p>
      </w:tc>
    </w:tr>
  </w:tbl>
  <w:p w:rsidR="004B410B" w:rsidRPr="00A41806" w:rsidRDefault="004B410B" w:rsidP="008F0574">
    <w:pPr>
      <w:pStyle w:val="Footer"/>
    </w:pPr>
    <w:r>
      <w:pict>
        <v:shapetype id="_x0000_t202" coordsize="21600,21600" o:spt="202" path="m,l,21600r21600,l21600,xe">
          <v:stroke joinstyle="miter"/>
          <v:path gradientshapeok="t" o:connecttype="rect"/>
        </v:shapetype>
        <v:shape id="_x0000_s2390" type="#_x0000_t202" style="position:absolute;margin-left:2pt;margin-top:784.75pt;width:349.5pt;height:41.4pt;z-index:251657216;mso-position-horizontal-relative:text;mso-position-vertical-relative:page" filled="f" stroked="f">
          <v:textbox style="mso-next-textbox:#_x0000_s2390" inset="0,0,0,0">
            <w:txbxContent>
              <w:p w:rsidR="004B410B" w:rsidRPr="000554D4" w:rsidRDefault="004B410B" w:rsidP="000554D4"/>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Pr="00556EB9" w:rsidRDefault="00CB5CD7" w:rsidP="008F0574">
    <w:pPr>
      <w:pStyle w:val="FooterCitation"/>
    </w:pPr>
    <w:r>
      <w:rPr>
        <w:noProof/>
      </w:rPr>
      <w:t>G:\Drafting-Unit 2\#final 10xxxxx\1009828A Corporations Amdt Reg 2012 (No.  )\1009828A-120704Z.doc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Default="004B410B" w:rsidP="008F0574">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4B410B">
      <w:tc>
        <w:tcPr>
          <w:tcW w:w="1134" w:type="dxa"/>
          <w:shd w:val="clear" w:color="auto" w:fill="auto"/>
        </w:tcPr>
        <w:p w:rsidR="004B410B" w:rsidRPr="007F6065" w:rsidRDefault="004B410B" w:rsidP="008F0574">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0554D4">
            <w:rPr>
              <w:rStyle w:val="PageNumber"/>
              <w:noProof/>
            </w:rPr>
            <w:t>8</w:t>
          </w:r>
          <w:r w:rsidRPr="007F6065">
            <w:rPr>
              <w:rStyle w:val="PageNumber"/>
            </w:rPr>
            <w:fldChar w:fldCharType="end"/>
          </w:r>
        </w:p>
      </w:tc>
      <w:tc>
        <w:tcPr>
          <w:tcW w:w="4820" w:type="dxa"/>
          <w:shd w:val="clear" w:color="auto" w:fill="auto"/>
        </w:tcPr>
        <w:p w:rsidR="004B410B" w:rsidRPr="00EF2F9D" w:rsidRDefault="004B410B" w:rsidP="008F0574">
          <w:pPr>
            <w:pStyle w:val="FooterCitation"/>
          </w:pPr>
          <w:fldSimple w:instr=" REF  Citation\*charformat ">
            <w:r w:rsidR="000554D4" w:rsidRPr="000741BA">
              <w:t>Corporations Amendment Regulation 2012 (No.</w:t>
            </w:r>
            <w:r w:rsidR="000554D4">
              <w:t> 6</w:t>
            </w:r>
            <w:r w:rsidR="000554D4" w:rsidRPr="000741BA">
              <w:t>)</w:t>
            </w:r>
          </w:fldSimple>
        </w:p>
      </w:tc>
      <w:tc>
        <w:tcPr>
          <w:tcW w:w="1191" w:type="dxa"/>
          <w:shd w:val="clear" w:color="auto" w:fill="auto"/>
        </w:tcPr>
        <w:p w:rsidR="004B410B" w:rsidRPr="007F6065" w:rsidRDefault="004B410B" w:rsidP="008F0574">
          <w:pPr>
            <w:pStyle w:val="Footer"/>
            <w:spacing w:before="20"/>
            <w:jc w:val="right"/>
          </w:pPr>
          <w:fldSimple w:instr=" REF Year \*Charformat ">
            <w:r w:rsidR="000554D4" w:rsidRPr="000741BA">
              <w:t>2012</w:t>
            </w:r>
          </w:fldSimple>
          <w:r w:rsidRPr="007F6065">
            <w:t xml:space="preserve">, </w:t>
          </w:r>
          <w:fldSimple w:instr=" REF refno \*Charformat ">
            <w:r w:rsidR="000554D4">
              <w:t>172</w:t>
            </w:r>
          </w:fldSimple>
        </w:p>
      </w:tc>
    </w:tr>
  </w:tbl>
  <w:p w:rsidR="004B410B" w:rsidRDefault="004B410B" w:rsidP="008F0574">
    <w:pPr>
      <w:pStyle w:val="Footer"/>
    </w:pPr>
    <w:r>
      <w:rPr>
        <w:noProof/>
      </w:rPr>
      <w:pict>
        <v:shapetype id="_x0000_t202" coordsize="21600,21600" o:spt="202" path="m,l,21600r21600,l21600,xe">
          <v:stroke joinstyle="miter"/>
          <v:path gradientshapeok="t" o:connecttype="rect"/>
        </v:shapetype>
        <v:shape id="_x0000_s2397" type="#_x0000_t202" style="position:absolute;margin-left:0;margin-top:783.25pt;width:349.5pt;height:41.4pt;z-index:251664384;mso-position-horizontal-relative:text;mso-position-vertical-relative:page" filled="f" stroked="f">
          <v:textbox style="mso-next-textbox:#_x0000_s2397" inset="0,0,0,0">
            <w:txbxContent>
              <w:p w:rsidR="004B410B" w:rsidRPr="000554D4" w:rsidRDefault="004B410B" w:rsidP="000554D4"/>
            </w:txbxContent>
          </v:textbox>
          <w10:wrap anchory="page"/>
        </v:shape>
      </w:pict>
    </w:r>
    <w:r>
      <w:rPr>
        <w:noProof/>
      </w:rPr>
      <w:pict>
        <v:shape id="_x0000_s2396" type="#_x0000_t202" style="position:absolute;margin-left:0;margin-top:784.75pt;width:349.5pt;height:41.4pt;z-index:251663360;mso-position-horizontal-relative:text;mso-position-vertical-relative:text" filled="f" stroked="f">
          <v:textbox style="mso-next-textbox:#_x0000_s2396">
            <w:txbxContent>
              <w:p w:rsidR="004B410B" w:rsidRPr="004675CE" w:rsidRDefault="004B410B" w:rsidP="00416060">
                <w:pPr>
                  <w:pStyle w:val="FooterDraft"/>
                </w:pPr>
              </w:p>
              <w:p w:rsidR="004B410B" w:rsidRPr="004675CE" w:rsidRDefault="00CB5CD7" w:rsidP="008F0574">
                <w:pPr>
                  <w:rPr>
                    <w:rFonts w:ascii="Arial" w:hAnsi="Arial" w:cs="Arial"/>
                    <w:sz w:val="12"/>
                    <w:szCs w:val="12"/>
                  </w:rPr>
                </w:pPr>
                <w:r w:rsidRPr="00CB5CD7">
                  <w:rPr>
                    <w:rFonts w:ascii="Arial" w:hAnsi="Arial" w:cs="Arial"/>
                    <w:noProof/>
                    <w:sz w:val="12"/>
                    <w:szCs w:val="12"/>
                  </w:rPr>
                  <w:t>1009828A-120704Z</w:t>
                </w:r>
              </w:p>
            </w:txbxContent>
          </v:textbox>
        </v:shape>
      </w:pict>
    </w:r>
    <w:r>
      <w:rPr>
        <w:noProof/>
      </w:rPr>
      <w:pict>
        <v:shape id="_x0000_s2395" type="#_x0000_t202" style="position:absolute;margin-left:-36pt;margin-top:188.55pt;width:349.5pt;height:41.4pt;z-index:251662336;mso-position-horizontal-relative:text;mso-position-vertical-relative:text" filled="f" stroked="f">
          <v:textbox style="mso-next-textbox:#_x0000_s2395">
            <w:txbxContent>
              <w:p w:rsidR="004B410B" w:rsidRPr="004675CE" w:rsidRDefault="004B410B" w:rsidP="00416060">
                <w:pPr>
                  <w:pStyle w:val="FooterDraft"/>
                </w:pPr>
              </w:p>
              <w:p w:rsidR="004B410B" w:rsidRPr="004675CE" w:rsidRDefault="00CB5CD7" w:rsidP="008F0574">
                <w:pPr>
                  <w:rPr>
                    <w:rFonts w:ascii="Arial" w:hAnsi="Arial" w:cs="Arial"/>
                    <w:sz w:val="12"/>
                    <w:szCs w:val="12"/>
                  </w:rPr>
                </w:pPr>
                <w:r w:rsidRPr="00CB5CD7">
                  <w:rPr>
                    <w:rFonts w:ascii="Arial" w:hAnsi="Arial" w:cs="Arial"/>
                    <w:noProof/>
                    <w:sz w:val="12"/>
                    <w:szCs w:val="12"/>
                  </w:rPr>
                  <w:t>1009828A-120704Z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Pr="00A41806" w:rsidRDefault="004B410B" w:rsidP="008F0574">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4B410B" w:rsidRPr="00845B98">
      <w:tc>
        <w:tcPr>
          <w:tcW w:w="1191" w:type="dxa"/>
          <w:shd w:val="clear" w:color="auto" w:fill="auto"/>
        </w:tcPr>
        <w:p w:rsidR="004B410B" w:rsidRPr="00A41806" w:rsidRDefault="004B410B" w:rsidP="008F0574">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0554D4" w:rsidRPr="000741BA">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0554D4">
            <w:fldChar w:fldCharType="separate"/>
          </w:r>
          <w:r w:rsidR="000554D4">
            <w:t>172</w:t>
          </w:r>
          <w:r w:rsidRPr="00A41806">
            <w:fldChar w:fldCharType="end"/>
          </w:r>
        </w:p>
      </w:tc>
      <w:tc>
        <w:tcPr>
          <w:tcW w:w="4820" w:type="dxa"/>
          <w:shd w:val="clear" w:color="auto" w:fill="auto"/>
        </w:tcPr>
        <w:p w:rsidR="004B410B" w:rsidRPr="00EF2F9D" w:rsidRDefault="004B410B" w:rsidP="008F0574">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0554D4" w:rsidRPr="000741BA">
            <w:t>Corporations Amendment Regulation 2012 (No.</w:t>
          </w:r>
          <w:r w:rsidR="000554D4">
            <w:t> 6</w:t>
          </w:r>
          <w:r w:rsidR="000554D4" w:rsidRPr="000741BA">
            <w:t>)</w:t>
          </w:r>
          <w:r w:rsidRPr="00EF2F9D">
            <w:fldChar w:fldCharType="end"/>
          </w:r>
        </w:p>
      </w:tc>
      <w:tc>
        <w:tcPr>
          <w:tcW w:w="1134" w:type="dxa"/>
          <w:shd w:val="clear" w:color="auto" w:fill="auto"/>
        </w:tcPr>
        <w:p w:rsidR="004B410B" w:rsidRPr="00845B98" w:rsidRDefault="004B410B" w:rsidP="008F0574">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0554D4">
            <w:rPr>
              <w:rStyle w:val="PageNumber"/>
              <w:noProof/>
            </w:rPr>
            <w:t>9</w:t>
          </w:r>
          <w:r w:rsidRPr="00845B98">
            <w:rPr>
              <w:rStyle w:val="PageNumber"/>
            </w:rPr>
            <w:fldChar w:fldCharType="end"/>
          </w:r>
        </w:p>
      </w:tc>
    </w:tr>
  </w:tbl>
  <w:p w:rsidR="004B410B" w:rsidRPr="00A41806" w:rsidRDefault="004B410B" w:rsidP="008F0574">
    <w:pPr>
      <w:pStyle w:val="Footer"/>
    </w:pPr>
    <w:r>
      <w:pict>
        <v:shapetype id="_x0000_t202" coordsize="21600,21600" o:spt="202" path="m,l,21600r21600,l21600,xe">
          <v:stroke joinstyle="miter"/>
          <v:path gradientshapeok="t" o:connecttype="rect"/>
        </v:shapetype>
        <v:shape id="_x0000_s2394" type="#_x0000_t202" style="position:absolute;margin-left:2pt;margin-top:784.75pt;width:349.5pt;height:41.4pt;z-index:251661312;mso-position-horizontal-relative:text;mso-position-vertical-relative:page" filled="f" stroked="f">
          <v:textbox style="mso-next-textbox:#_x0000_s2394" inset="0,0,0,0">
            <w:txbxContent>
              <w:p w:rsidR="004B410B" w:rsidRPr="000554D4" w:rsidRDefault="004B410B" w:rsidP="000554D4"/>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Pr="00556EB9" w:rsidRDefault="00CB5CD7" w:rsidP="008F0574">
    <w:pPr>
      <w:pStyle w:val="FooterCitation"/>
    </w:pPr>
    <w:r>
      <w:rPr>
        <w:noProof/>
      </w:rPr>
      <w:t>G:\Drafting-Unit 2\#final 10xxxxx\1009828A Corporations Amdt Reg 2012 (No.  )\1009828A-120704Z.doc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A78" w:rsidRDefault="00F21A78">
      <w:r>
        <w:separator/>
      </w:r>
    </w:p>
  </w:footnote>
  <w:footnote w:type="continuationSeparator" w:id="0">
    <w:p w:rsidR="00F21A78" w:rsidRDefault="00F21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4B410B">
      <w:tc>
        <w:tcPr>
          <w:tcW w:w="1531" w:type="dxa"/>
        </w:tcPr>
        <w:p w:rsidR="004B410B" w:rsidRDefault="004B410B">
          <w:pPr>
            <w:pStyle w:val="HeaderLiteEven"/>
          </w:pPr>
        </w:p>
      </w:tc>
      <w:tc>
        <w:tcPr>
          <w:tcW w:w="5636" w:type="dxa"/>
          <w:vAlign w:val="bottom"/>
        </w:tcPr>
        <w:p w:rsidR="004B410B" w:rsidRDefault="004B410B">
          <w:pPr>
            <w:pStyle w:val="HeaderLiteEven"/>
          </w:pPr>
        </w:p>
      </w:tc>
    </w:tr>
    <w:tr w:rsidR="004B410B">
      <w:tc>
        <w:tcPr>
          <w:tcW w:w="1531" w:type="dxa"/>
        </w:tcPr>
        <w:p w:rsidR="004B410B" w:rsidRDefault="004B410B">
          <w:pPr>
            <w:pStyle w:val="HeaderLiteEven"/>
          </w:pPr>
        </w:p>
      </w:tc>
      <w:tc>
        <w:tcPr>
          <w:tcW w:w="5636" w:type="dxa"/>
          <w:vAlign w:val="bottom"/>
        </w:tcPr>
        <w:p w:rsidR="004B410B" w:rsidRDefault="004B410B">
          <w:pPr>
            <w:pStyle w:val="HeaderLiteEven"/>
          </w:pPr>
        </w:p>
      </w:tc>
    </w:tr>
    <w:tr w:rsidR="004B410B">
      <w:tc>
        <w:tcPr>
          <w:tcW w:w="5636" w:type="dxa"/>
          <w:gridSpan w:val="2"/>
          <w:tcBorders>
            <w:bottom w:val="single" w:sz="4" w:space="0" w:color="auto"/>
          </w:tcBorders>
          <w:shd w:val="clear" w:color="auto" w:fill="auto"/>
        </w:tcPr>
        <w:p w:rsidR="004B410B" w:rsidRDefault="004B410B">
          <w:pPr>
            <w:pStyle w:val="HeaderBoldEven"/>
          </w:pPr>
        </w:p>
      </w:tc>
    </w:tr>
  </w:tbl>
  <w:p w:rsidR="004B410B" w:rsidRDefault="004B410B">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4B410B">
      <w:tc>
        <w:tcPr>
          <w:tcW w:w="7167" w:type="dxa"/>
        </w:tcPr>
        <w:p w:rsidR="004B410B" w:rsidRDefault="004B410B">
          <w:pPr>
            <w:pStyle w:val="HeaderLiteOdd"/>
          </w:pPr>
          <w:r>
            <w:t>Note</w:t>
          </w:r>
        </w:p>
      </w:tc>
    </w:tr>
    <w:tr w:rsidR="004B410B">
      <w:tc>
        <w:tcPr>
          <w:tcW w:w="7167" w:type="dxa"/>
        </w:tcPr>
        <w:p w:rsidR="004B410B" w:rsidRDefault="004B410B">
          <w:pPr>
            <w:pStyle w:val="HeaderLiteOdd"/>
          </w:pPr>
        </w:p>
      </w:tc>
    </w:tr>
    <w:tr w:rsidR="004B410B">
      <w:tc>
        <w:tcPr>
          <w:tcW w:w="7167" w:type="dxa"/>
          <w:tcBorders>
            <w:bottom w:val="single" w:sz="4" w:space="0" w:color="auto"/>
          </w:tcBorders>
          <w:shd w:val="clear" w:color="auto" w:fill="auto"/>
        </w:tcPr>
        <w:p w:rsidR="004B410B" w:rsidRDefault="004B410B">
          <w:pPr>
            <w:pStyle w:val="HeaderBoldOdd"/>
          </w:pPr>
        </w:p>
      </w:tc>
    </w:tr>
  </w:tbl>
  <w:p w:rsidR="004B410B" w:rsidRDefault="004B410B"/>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Default="004B410B">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4B410B">
      <w:tc>
        <w:tcPr>
          <w:tcW w:w="1531" w:type="dxa"/>
        </w:tcPr>
        <w:p w:rsidR="004B410B" w:rsidRDefault="004B410B" w:rsidP="004B0996">
          <w:pPr>
            <w:pStyle w:val="HeaderLiteEven"/>
          </w:pPr>
        </w:p>
      </w:tc>
      <w:tc>
        <w:tcPr>
          <w:tcW w:w="5636" w:type="dxa"/>
        </w:tcPr>
        <w:p w:rsidR="004B410B" w:rsidRDefault="004B410B" w:rsidP="004B0996">
          <w:pPr>
            <w:pStyle w:val="HeaderLiteEven"/>
          </w:pPr>
        </w:p>
      </w:tc>
    </w:tr>
    <w:tr w:rsidR="004B410B">
      <w:tc>
        <w:tcPr>
          <w:tcW w:w="1531" w:type="dxa"/>
        </w:tcPr>
        <w:p w:rsidR="004B410B" w:rsidRDefault="004B410B" w:rsidP="004B0996">
          <w:pPr>
            <w:pStyle w:val="HeaderLiteEven"/>
          </w:pPr>
        </w:p>
      </w:tc>
      <w:tc>
        <w:tcPr>
          <w:tcW w:w="5636" w:type="dxa"/>
        </w:tcPr>
        <w:p w:rsidR="004B410B" w:rsidRDefault="004B410B" w:rsidP="004B0996">
          <w:pPr>
            <w:pStyle w:val="HeaderLiteEven"/>
          </w:pPr>
        </w:p>
      </w:tc>
    </w:tr>
    <w:tr w:rsidR="004B410B">
      <w:tc>
        <w:tcPr>
          <w:tcW w:w="1531" w:type="dxa"/>
        </w:tcPr>
        <w:p w:rsidR="004B410B" w:rsidRDefault="004B410B" w:rsidP="004B0996">
          <w:pPr>
            <w:pStyle w:val="HeaderBoldEven"/>
          </w:pPr>
        </w:p>
      </w:tc>
      <w:tc>
        <w:tcPr>
          <w:tcW w:w="5636" w:type="dxa"/>
        </w:tcPr>
        <w:p w:rsidR="004B410B" w:rsidRDefault="004B410B" w:rsidP="004B0996">
          <w:pPr>
            <w:pStyle w:val="HeaderBoldEven"/>
          </w:pPr>
        </w:p>
      </w:tc>
    </w:tr>
  </w:tbl>
  <w:p w:rsidR="004B410B" w:rsidRDefault="004B410B">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4B410B">
      <w:tc>
        <w:tcPr>
          <w:tcW w:w="1531" w:type="dxa"/>
        </w:tcPr>
        <w:p w:rsidR="004B410B" w:rsidRDefault="004B410B">
          <w:pPr>
            <w:pStyle w:val="HeaderLiteOdd"/>
          </w:pPr>
        </w:p>
      </w:tc>
      <w:tc>
        <w:tcPr>
          <w:tcW w:w="1531" w:type="dxa"/>
        </w:tcPr>
        <w:p w:rsidR="004B410B" w:rsidRDefault="004B410B">
          <w:pPr>
            <w:pStyle w:val="HeaderLiteOdd"/>
          </w:pPr>
        </w:p>
      </w:tc>
    </w:tr>
    <w:tr w:rsidR="004B410B">
      <w:tc>
        <w:tcPr>
          <w:tcW w:w="1531" w:type="dxa"/>
        </w:tcPr>
        <w:p w:rsidR="004B410B" w:rsidRDefault="004B410B">
          <w:pPr>
            <w:pStyle w:val="HeaderLiteOdd"/>
          </w:pPr>
        </w:p>
      </w:tc>
      <w:tc>
        <w:tcPr>
          <w:tcW w:w="1531" w:type="dxa"/>
        </w:tcPr>
        <w:p w:rsidR="004B410B" w:rsidRDefault="004B410B">
          <w:pPr>
            <w:pStyle w:val="HeaderLiteOdd"/>
          </w:pPr>
        </w:p>
      </w:tc>
    </w:tr>
    <w:tr w:rsidR="004B410B">
      <w:tc>
        <w:tcPr>
          <w:tcW w:w="5636" w:type="dxa"/>
          <w:tcBorders>
            <w:bottom w:val="single" w:sz="4" w:space="0" w:color="auto"/>
          </w:tcBorders>
        </w:tcPr>
        <w:p w:rsidR="004B410B" w:rsidRDefault="004B410B">
          <w:pPr>
            <w:pStyle w:val="HeaderBoldOdd"/>
          </w:pPr>
        </w:p>
      </w:tc>
      <w:tc>
        <w:tcPr>
          <w:tcW w:w="1531" w:type="dxa"/>
          <w:tcBorders>
            <w:bottom w:val="single" w:sz="4" w:space="0" w:color="auto"/>
          </w:tcBorders>
        </w:tcPr>
        <w:p w:rsidR="004B410B" w:rsidRDefault="004B410B">
          <w:pPr>
            <w:pStyle w:val="HeaderBoldOdd"/>
          </w:pPr>
        </w:p>
      </w:tc>
    </w:tr>
  </w:tbl>
  <w:p w:rsidR="004B410B" w:rsidRDefault="004B41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4B410B">
      <w:tc>
        <w:tcPr>
          <w:tcW w:w="5636" w:type="dxa"/>
          <w:vAlign w:val="bottom"/>
        </w:tcPr>
        <w:p w:rsidR="004B410B" w:rsidRDefault="004B410B">
          <w:pPr>
            <w:pStyle w:val="HeaderLiteOdd"/>
          </w:pPr>
        </w:p>
      </w:tc>
      <w:tc>
        <w:tcPr>
          <w:tcW w:w="1531" w:type="dxa"/>
        </w:tcPr>
        <w:p w:rsidR="004B410B" w:rsidRDefault="004B410B">
          <w:pPr>
            <w:pStyle w:val="HeaderLiteOdd"/>
          </w:pPr>
        </w:p>
      </w:tc>
    </w:tr>
    <w:tr w:rsidR="004B410B">
      <w:tc>
        <w:tcPr>
          <w:tcW w:w="5636" w:type="dxa"/>
          <w:vAlign w:val="bottom"/>
        </w:tcPr>
        <w:p w:rsidR="004B410B" w:rsidRDefault="004B410B">
          <w:pPr>
            <w:pStyle w:val="HeaderLiteOdd"/>
          </w:pPr>
        </w:p>
      </w:tc>
      <w:tc>
        <w:tcPr>
          <w:tcW w:w="1531" w:type="dxa"/>
        </w:tcPr>
        <w:p w:rsidR="004B410B" w:rsidRDefault="004B410B">
          <w:pPr>
            <w:pStyle w:val="HeaderLiteOdd"/>
          </w:pPr>
        </w:p>
      </w:tc>
    </w:tr>
    <w:tr w:rsidR="004B410B">
      <w:tc>
        <w:tcPr>
          <w:tcW w:w="5636" w:type="dxa"/>
          <w:gridSpan w:val="2"/>
          <w:tcBorders>
            <w:bottom w:val="single" w:sz="4" w:space="0" w:color="auto"/>
          </w:tcBorders>
          <w:shd w:val="clear" w:color="auto" w:fill="auto"/>
        </w:tcPr>
        <w:p w:rsidR="004B410B" w:rsidRDefault="004B410B">
          <w:pPr>
            <w:pStyle w:val="HeaderBoldOdd"/>
          </w:pPr>
        </w:p>
      </w:tc>
    </w:tr>
  </w:tbl>
  <w:p w:rsidR="004B410B" w:rsidRDefault="004B41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4B410B">
      <w:tc>
        <w:tcPr>
          <w:tcW w:w="1531" w:type="dxa"/>
        </w:tcPr>
        <w:p w:rsidR="004B410B" w:rsidRDefault="004B410B">
          <w:pPr>
            <w:pStyle w:val="HeaderLiteEven"/>
          </w:pPr>
        </w:p>
      </w:tc>
      <w:tc>
        <w:tcPr>
          <w:tcW w:w="5636" w:type="dxa"/>
          <w:vAlign w:val="bottom"/>
        </w:tcPr>
        <w:p w:rsidR="004B410B" w:rsidRDefault="004B410B">
          <w:pPr>
            <w:pStyle w:val="HeaderLiteEven"/>
          </w:pPr>
        </w:p>
      </w:tc>
    </w:tr>
    <w:tr w:rsidR="004B410B">
      <w:tc>
        <w:tcPr>
          <w:tcW w:w="1531" w:type="dxa"/>
        </w:tcPr>
        <w:p w:rsidR="004B410B" w:rsidRDefault="004B410B">
          <w:pPr>
            <w:pStyle w:val="HeaderLiteEven"/>
          </w:pPr>
        </w:p>
      </w:tc>
      <w:tc>
        <w:tcPr>
          <w:tcW w:w="5636" w:type="dxa"/>
          <w:vAlign w:val="bottom"/>
        </w:tcPr>
        <w:p w:rsidR="004B410B" w:rsidRDefault="004B410B">
          <w:pPr>
            <w:pStyle w:val="HeaderLiteEven"/>
          </w:pPr>
        </w:p>
      </w:tc>
    </w:tr>
    <w:tr w:rsidR="004B410B">
      <w:tc>
        <w:tcPr>
          <w:tcW w:w="7167" w:type="dxa"/>
          <w:gridSpan w:val="2"/>
          <w:tcBorders>
            <w:bottom w:val="single" w:sz="4" w:space="0" w:color="auto"/>
          </w:tcBorders>
          <w:shd w:val="clear" w:color="auto" w:fill="auto"/>
        </w:tcPr>
        <w:p w:rsidR="004B410B" w:rsidRPr="00416060" w:rsidRDefault="004B410B" w:rsidP="008F0574">
          <w:pPr>
            <w:pStyle w:val="HeaderBoldEven"/>
          </w:pPr>
          <w:r>
            <w:t xml:space="preserve">Section </w:t>
          </w:r>
          <w:r w:rsidRPr="00416060">
            <w:fldChar w:fldCharType="begin"/>
          </w:r>
          <w:r w:rsidRPr="00416060">
            <w:instrText xml:space="preserve"> If </w:instrText>
          </w:r>
          <w:fldSimple w:instr=" STYLEREF CharSectnoAm \*Charformat ">
            <w:r w:rsidR="000554D4">
              <w:rPr>
                <w:noProof/>
              </w:rPr>
              <w:instrText>1</w:instrText>
            </w:r>
          </w:fldSimple>
          <w:r w:rsidRPr="00416060">
            <w:instrText xml:space="preserve"> &lt;&gt; "Error*" </w:instrText>
          </w:r>
          <w:fldSimple w:instr=" STYLEREF CharSectnoAm \*Charformat ">
            <w:r w:rsidR="000554D4">
              <w:rPr>
                <w:noProof/>
              </w:rPr>
              <w:instrText>1</w:instrText>
            </w:r>
          </w:fldSimple>
          <w:r w:rsidRPr="00416060">
            <w:instrText xml:space="preserve"> </w:instrText>
          </w:r>
          <w:r w:rsidRPr="00416060">
            <w:fldChar w:fldCharType="separate"/>
          </w:r>
          <w:r w:rsidR="000554D4">
            <w:rPr>
              <w:noProof/>
            </w:rPr>
            <w:t>1</w:t>
          </w:r>
          <w:r w:rsidRPr="00416060">
            <w:fldChar w:fldCharType="end"/>
          </w:r>
        </w:p>
      </w:tc>
    </w:tr>
  </w:tbl>
  <w:p w:rsidR="004B410B" w:rsidRDefault="004B410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4B410B">
      <w:tc>
        <w:tcPr>
          <w:tcW w:w="5636" w:type="dxa"/>
          <w:vAlign w:val="bottom"/>
        </w:tcPr>
        <w:p w:rsidR="004B410B" w:rsidRDefault="004B410B">
          <w:pPr>
            <w:pStyle w:val="HeaderLiteOdd"/>
          </w:pPr>
        </w:p>
      </w:tc>
      <w:tc>
        <w:tcPr>
          <w:tcW w:w="1531" w:type="dxa"/>
        </w:tcPr>
        <w:p w:rsidR="004B410B" w:rsidRDefault="004B410B">
          <w:pPr>
            <w:pStyle w:val="HeaderLiteOdd"/>
          </w:pPr>
        </w:p>
      </w:tc>
    </w:tr>
    <w:tr w:rsidR="004B410B">
      <w:tc>
        <w:tcPr>
          <w:tcW w:w="5636" w:type="dxa"/>
          <w:vAlign w:val="bottom"/>
        </w:tcPr>
        <w:p w:rsidR="004B410B" w:rsidRDefault="004B410B">
          <w:pPr>
            <w:pStyle w:val="HeaderLiteOdd"/>
          </w:pPr>
        </w:p>
      </w:tc>
      <w:tc>
        <w:tcPr>
          <w:tcW w:w="1531" w:type="dxa"/>
        </w:tcPr>
        <w:p w:rsidR="004B410B" w:rsidRDefault="004B410B">
          <w:pPr>
            <w:pStyle w:val="HeaderLiteOdd"/>
          </w:pPr>
        </w:p>
      </w:tc>
    </w:tr>
    <w:tr w:rsidR="004B410B">
      <w:tc>
        <w:tcPr>
          <w:tcW w:w="7167" w:type="dxa"/>
          <w:gridSpan w:val="2"/>
          <w:tcBorders>
            <w:bottom w:val="single" w:sz="4" w:space="0" w:color="auto"/>
          </w:tcBorders>
          <w:shd w:val="clear" w:color="auto" w:fill="auto"/>
        </w:tcPr>
        <w:p w:rsidR="004B410B" w:rsidRPr="00416060" w:rsidRDefault="004B410B">
          <w:pPr>
            <w:pStyle w:val="HeaderBoldOdd"/>
          </w:pPr>
          <w:r>
            <w:t xml:space="preserve">Section </w:t>
          </w:r>
          <w:r w:rsidRPr="00416060">
            <w:fldChar w:fldCharType="begin"/>
          </w:r>
          <w:r w:rsidRPr="00416060">
            <w:instrText xml:space="preserve"> If </w:instrText>
          </w:r>
          <w:fldSimple w:instr=" STYLEREF CharSectnoAm \*Charformat \l ">
            <w:r w:rsidR="000554D4">
              <w:rPr>
                <w:noProof/>
              </w:rPr>
              <w:instrText>1</w:instrText>
            </w:r>
          </w:fldSimple>
          <w:r w:rsidRPr="00416060">
            <w:instrText xml:space="preserve"> &lt;&gt; "Error*" </w:instrText>
          </w:r>
          <w:fldSimple w:instr=" STYLEREF CharSectnoAm \*Charformat \l ">
            <w:r w:rsidR="000554D4">
              <w:rPr>
                <w:noProof/>
              </w:rPr>
              <w:instrText>1</w:instrText>
            </w:r>
          </w:fldSimple>
          <w:r w:rsidRPr="00416060">
            <w:instrText xml:space="preserve"> </w:instrText>
          </w:r>
          <w:r w:rsidRPr="00416060">
            <w:fldChar w:fldCharType="separate"/>
          </w:r>
          <w:r w:rsidR="000554D4">
            <w:rPr>
              <w:noProof/>
            </w:rPr>
            <w:t>1</w:t>
          </w:r>
          <w:r w:rsidRPr="00416060">
            <w:fldChar w:fldCharType="end"/>
          </w:r>
        </w:p>
      </w:tc>
    </w:tr>
  </w:tbl>
  <w:p w:rsidR="004B410B" w:rsidRDefault="004B410B"/>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Default="004B410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4B410B">
      <w:tc>
        <w:tcPr>
          <w:tcW w:w="1531" w:type="dxa"/>
        </w:tcPr>
        <w:p w:rsidR="004B410B" w:rsidRDefault="004B410B">
          <w:pPr>
            <w:pStyle w:val="HeaderLiteEven"/>
          </w:pPr>
          <w:r>
            <w:fldChar w:fldCharType="begin"/>
          </w:r>
          <w:r>
            <w:instrText xml:space="preserve"> If </w:instrText>
          </w:r>
          <w:fldSimple w:instr=" STYLEREF CharAmSchNo \*Charformat ">
            <w:r w:rsidR="000554D4">
              <w:rPr>
                <w:noProof/>
              </w:rPr>
              <w:instrText>Schedule 1</w:instrText>
            </w:r>
          </w:fldSimple>
          <w:r>
            <w:instrText xml:space="preserve"> &lt;&gt; "Error*" </w:instrText>
          </w:r>
          <w:fldSimple w:instr=" STYLEREF CharAmSchNo \*Charformat ">
            <w:r w:rsidR="000554D4">
              <w:rPr>
                <w:noProof/>
              </w:rPr>
              <w:instrText>Schedule 1</w:instrText>
            </w:r>
          </w:fldSimple>
          <w:r>
            <w:instrText xml:space="preserve"> </w:instrText>
          </w:r>
          <w:r>
            <w:fldChar w:fldCharType="separate"/>
          </w:r>
          <w:r w:rsidR="000554D4">
            <w:rPr>
              <w:noProof/>
            </w:rPr>
            <w:t>Schedule 1</w:t>
          </w:r>
          <w:r>
            <w:fldChar w:fldCharType="end"/>
          </w:r>
        </w:p>
      </w:tc>
      <w:tc>
        <w:tcPr>
          <w:tcW w:w="5636" w:type="dxa"/>
          <w:vAlign w:val="bottom"/>
        </w:tcPr>
        <w:p w:rsidR="004B410B" w:rsidRDefault="004B410B">
          <w:pPr>
            <w:pStyle w:val="HeaderLiteEven"/>
          </w:pPr>
          <w:r>
            <w:fldChar w:fldCharType="begin"/>
          </w:r>
          <w:r>
            <w:instrText xml:space="preserve"> If </w:instrText>
          </w:r>
          <w:fldSimple w:instr=" STYLEREF CharAmSchText \*Charformat ">
            <w:r w:rsidR="000554D4">
              <w:rPr>
                <w:noProof/>
              </w:rPr>
              <w:instrText>Amendments</w:instrText>
            </w:r>
          </w:fldSimple>
          <w:r>
            <w:instrText xml:space="preserve"> &lt;&gt; "Error*" </w:instrText>
          </w:r>
          <w:fldSimple w:instr=" STYLEREF CharAmSchText \*Charformat ">
            <w:r w:rsidR="000554D4">
              <w:rPr>
                <w:noProof/>
              </w:rPr>
              <w:instrText>Amendments</w:instrText>
            </w:r>
          </w:fldSimple>
          <w:r>
            <w:instrText xml:space="preserve"> </w:instrText>
          </w:r>
          <w:r>
            <w:fldChar w:fldCharType="separate"/>
          </w:r>
          <w:r w:rsidR="000554D4">
            <w:rPr>
              <w:noProof/>
            </w:rPr>
            <w:t>Amendments</w:t>
          </w:r>
          <w:r>
            <w:fldChar w:fldCharType="end"/>
          </w:r>
        </w:p>
      </w:tc>
    </w:tr>
    <w:tr w:rsidR="004B410B">
      <w:tc>
        <w:tcPr>
          <w:tcW w:w="1531" w:type="dxa"/>
        </w:tcPr>
        <w:p w:rsidR="004B410B" w:rsidRDefault="004B410B">
          <w:pPr>
            <w:pStyle w:val="HeaderLiteEven"/>
          </w:pPr>
        </w:p>
      </w:tc>
      <w:tc>
        <w:tcPr>
          <w:tcW w:w="5636" w:type="dxa"/>
          <w:vAlign w:val="bottom"/>
        </w:tcPr>
        <w:p w:rsidR="004B410B" w:rsidRDefault="004B410B">
          <w:pPr>
            <w:pStyle w:val="HeaderLiteEven"/>
          </w:pPr>
        </w:p>
      </w:tc>
    </w:tr>
    <w:tr w:rsidR="004B410B">
      <w:tc>
        <w:tcPr>
          <w:tcW w:w="7167" w:type="dxa"/>
          <w:gridSpan w:val="2"/>
          <w:tcBorders>
            <w:bottom w:val="single" w:sz="4" w:space="0" w:color="auto"/>
          </w:tcBorders>
          <w:shd w:val="clear" w:color="auto" w:fill="auto"/>
        </w:tcPr>
        <w:p w:rsidR="004B410B" w:rsidRDefault="004B410B" w:rsidP="008F0574">
          <w:pPr>
            <w:pStyle w:val="HeaderBoldEven"/>
          </w:pPr>
        </w:p>
      </w:tc>
    </w:tr>
  </w:tbl>
  <w:p w:rsidR="004B410B" w:rsidRDefault="004B410B"/>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4B410B">
      <w:tc>
        <w:tcPr>
          <w:tcW w:w="5636" w:type="dxa"/>
          <w:vAlign w:val="bottom"/>
        </w:tcPr>
        <w:p w:rsidR="004B410B" w:rsidRDefault="004B410B">
          <w:pPr>
            <w:pStyle w:val="HeaderLiteOdd"/>
          </w:pPr>
          <w:r>
            <w:fldChar w:fldCharType="begin"/>
          </w:r>
          <w:r>
            <w:instrText xml:space="preserve"> If </w:instrText>
          </w:r>
          <w:fldSimple w:instr=" STYLEREF CharAmSchText \*Charformat \l ">
            <w:r w:rsidR="000554D4">
              <w:rPr>
                <w:noProof/>
              </w:rPr>
              <w:instrText>Amendments</w:instrText>
            </w:r>
          </w:fldSimple>
          <w:r>
            <w:instrText xml:space="preserve"> &lt;&gt; "Error*" </w:instrText>
          </w:r>
          <w:fldSimple w:instr=" STYLEREF CharAmSchText \*Charformat \l ">
            <w:r w:rsidR="000554D4">
              <w:rPr>
                <w:noProof/>
              </w:rPr>
              <w:instrText>Amendments</w:instrText>
            </w:r>
          </w:fldSimple>
          <w:r>
            <w:instrText xml:space="preserve"> </w:instrText>
          </w:r>
          <w:r>
            <w:fldChar w:fldCharType="separate"/>
          </w:r>
          <w:r w:rsidR="000554D4">
            <w:rPr>
              <w:noProof/>
            </w:rPr>
            <w:t>Amendments</w:t>
          </w:r>
          <w:r>
            <w:fldChar w:fldCharType="end"/>
          </w:r>
        </w:p>
      </w:tc>
      <w:tc>
        <w:tcPr>
          <w:tcW w:w="1531" w:type="dxa"/>
        </w:tcPr>
        <w:p w:rsidR="004B410B" w:rsidRDefault="004B410B">
          <w:pPr>
            <w:pStyle w:val="HeaderLiteOdd"/>
          </w:pPr>
          <w:r>
            <w:fldChar w:fldCharType="begin"/>
          </w:r>
          <w:r>
            <w:instrText xml:space="preserve"> If </w:instrText>
          </w:r>
          <w:fldSimple w:instr=" STYLEREF CharAmSchNo \*Charformat \l ">
            <w:r w:rsidR="000554D4">
              <w:rPr>
                <w:noProof/>
              </w:rPr>
              <w:instrText>Schedule 1</w:instrText>
            </w:r>
          </w:fldSimple>
          <w:r>
            <w:instrText xml:space="preserve"> &lt;&gt; "Error*" </w:instrText>
          </w:r>
          <w:fldSimple w:instr=" STYLEREF CharAmSchNo \*Charformat \l ">
            <w:r w:rsidR="000554D4">
              <w:rPr>
                <w:noProof/>
              </w:rPr>
              <w:instrText>Schedule 1</w:instrText>
            </w:r>
          </w:fldSimple>
          <w:r>
            <w:instrText xml:space="preserve"> </w:instrText>
          </w:r>
          <w:r>
            <w:fldChar w:fldCharType="separate"/>
          </w:r>
          <w:r w:rsidR="000554D4">
            <w:rPr>
              <w:noProof/>
            </w:rPr>
            <w:t>Schedule 1</w:t>
          </w:r>
          <w:r>
            <w:fldChar w:fldCharType="end"/>
          </w:r>
        </w:p>
      </w:tc>
    </w:tr>
    <w:tr w:rsidR="004B410B">
      <w:tc>
        <w:tcPr>
          <w:tcW w:w="5636" w:type="dxa"/>
          <w:vAlign w:val="bottom"/>
        </w:tcPr>
        <w:p w:rsidR="004B410B" w:rsidRDefault="004B410B">
          <w:pPr>
            <w:pStyle w:val="HeaderLiteOdd"/>
          </w:pPr>
        </w:p>
      </w:tc>
      <w:tc>
        <w:tcPr>
          <w:tcW w:w="1531" w:type="dxa"/>
        </w:tcPr>
        <w:p w:rsidR="004B410B" w:rsidRDefault="004B410B">
          <w:pPr>
            <w:pStyle w:val="HeaderLiteOdd"/>
          </w:pPr>
        </w:p>
      </w:tc>
    </w:tr>
    <w:tr w:rsidR="004B410B">
      <w:tc>
        <w:tcPr>
          <w:tcW w:w="7167" w:type="dxa"/>
          <w:gridSpan w:val="2"/>
          <w:tcBorders>
            <w:bottom w:val="single" w:sz="4" w:space="0" w:color="auto"/>
          </w:tcBorders>
          <w:shd w:val="clear" w:color="auto" w:fill="auto"/>
        </w:tcPr>
        <w:p w:rsidR="004B410B" w:rsidRDefault="004B410B" w:rsidP="008F0574">
          <w:pPr>
            <w:pStyle w:val="HeaderBoldOdd"/>
          </w:pPr>
        </w:p>
      </w:tc>
    </w:tr>
  </w:tbl>
  <w:p w:rsidR="004B410B" w:rsidRDefault="004B410B"/>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B" w:rsidRDefault="004B410B">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4B410B">
      <w:tc>
        <w:tcPr>
          <w:tcW w:w="7167" w:type="dxa"/>
        </w:tcPr>
        <w:p w:rsidR="004B410B" w:rsidRDefault="004B410B">
          <w:pPr>
            <w:pStyle w:val="HeaderLiteEven"/>
          </w:pPr>
          <w:r>
            <w:t>Note</w:t>
          </w:r>
        </w:p>
      </w:tc>
    </w:tr>
    <w:tr w:rsidR="004B410B">
      <w:tc>
        <w:tcPr>
          <w:tcW w:w="7167" w:type="dxa"/>
        </w:tcPr>
        <w:p w:rsidR="004B410B" w:rsidRDefault="004B410B">
          <w:pPr>
            <w:pStyle w:val="HeaderLiteEven"/>
          </w:pPr>
        </w:p>
      </w:tc>
    </w:tr>
    <w:tr w:rsidR="004B410B">
      <w:tc>
        <w:tcPr>
          <w:tcW w:w="7167" w:type="dxa"/>
          <w:tcBorders>
            <w:bottom w:val="single" w:sz="4" w:space="0" w:color="auto"/>
          </w:tcBorders>
          <w:shd w:val="clear" w:color="auto" w:fill="auto"/>
        </w:tcPr>
        <w:p w:rsidR="004B410B" w:rsidRDefault="004B410B">
          <w:pPr>
            <w:pStyle w:val="HeaderBoldEven"/>
          </w:pPr>
        </w:p>
      </w:tc>
    </w:tr>
  </w:tbl>
  <w:p w:rsidR="004B410B" w:rsidRDefault="004B410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0"/>
  <w:evenAndOddHeaders/>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0574"/>
    <w:rsid w:val="00002328"/>
    <w:rsid w:val="000047FD"/>
    <w:rsid w:val="000056EE"/>
    <w:rsid w:val="00007C07"/>
    <w:rsid w:val="00010203"/>
    <w:rsid w:val="00012A4E"/>
    <w:rsid w:val="00013A38"/>
    <w:rsid w:val="0001739E"/>
    <w:rsid w:val="00020180"/>
    <w:rsid w:val="0002059D"/>
    <w:rsid w:val="00023FD2"/>
    <w:rsid w:val="0003434D"/>
    <w:rsid w:val="0003498B"/>
    <w:rsid w:val="00035B25"/>
    <w:rsid w:val="0004081D"/>
    <w:rsid w:val="00045D61"/>
    <w:rsid w:val="000472C2"/>
    <w:rsid w:val="000510B9"/>
    <w:rsid w:val="00051C9B"/>
    <w:rsid w:val="000551A3"/>
    <w:rsid w:val="000554D4"/>
    <w:rsid w:val="00055E25"/>
    <w:rsid w:val="000612FA"/>
    <w:rsid w:val="00065A0E"/>
    <w:rsid w:val="0006722F"/>
    <w:rsid w:val="00071791"/>
    <w:rsid w:val="000721B0"/>
    <w:rsid w:val="000741BA"/>
    <w:rsid w:val="000753EE"/>
    <w:rsid w:val="00075B3D"/>
    <w:rsid w:val="00076B35"/>
    <w:rsid w:val="00085877"/>
    <w:rsid w:val="00086090"/>
    <w:rsid w:val="00086E1D"/>
    <w:rsid w:val="00092342"/>
    <w:rsid w:val="00092802"/>
    <w:rsid w:val="00095CC4"/>
    <w:rsid w:val="000A1C0D"/>
    <w:rsid w:val="000A3C52"/>
    <w:rsid w:val="000B0A20"/>
    <w:rsid w:val="000B26C3"/>
    <w:rsid w:val="000B2EB1"/>
    <w:rsid w:val="000B52F3"/>
    <w:rsid w:val="000B68A5"/>
    <w:rsid w:val="000C0EBC"/>
    <w:rsid w:val="000C2AB1"/>
    <w:rsid w:val="000C56FE"/>
    <w:rsid w:val="000C78B5"/>
    <w:rsid w:val="000D112D"/>
    <w:rsid w:val="000D363E"/>
    <w:rsid w:val="000D7167"/>
    <w:rsid w:val="000D736B"/>
    <w:rsid w:val="000E081D"/>
    <w:rsid w:val="000E470D"/>
    <w:rsid w:val="000E5DA8"/>
    <w:rsid w:val="000F0348"/>
    <w:rsid w:val="000F140F"/>
    <w:rsid w:val="000F3758"/>
    <w:rsid w:val="00102347"/>
    <w:rsid w:val="001061BD"/>
    <w:rsid w:val="00110F98"/>
    <w:rsid w:val="0011161E"/>
    <w:rsid w:val="0011172E"/>
    <w:rsid w:val="00111E48"/>
    <w:rsid w:val="001129AA"/>
    <w:rsid w:val="0011314E"/>
    <w:rsid w:val="00114286"/>
    <w:rsid w:val="00117290"/>
    <w:rsid w:val="00120CF8"/>
    <w:rsid w:val="00121B18"/>
    <w:rsid w:val="00122CA1"/>
    <w:rsid w:val="0012560F"/>
    <w:rsid w:val="00126D00"/>
    <w:rsid w:val="00132161"/>
    <w:rsid w:val="00132BE4"/>
    <w:rsid w:val="00133419"/>
    <w:rsid w:val="00134204"/>
    <w:rsid w:val="001363F5"/>
    <w:rsid w:val="00137EF4"/>
    <w:rsid w:val="0014139B"/>
    <w:rsid w:val="00145C33"/>
    <w:rsid w:val="0014660D"/>
    <w:rsid w:val="001509A9"/>
    <w:rsid w:val="001510F9"/>
    <w:rsid w:val="00152824"/>
    <w:rsid w:val="00153593"/>
    <w:rsid w:val="00153FA5"/>
    <w:rsid w:val="001544DD"/>
    <w:rsid w:val="00156A5A"/>
    <w:rsid w:val="00157E82"/>
    <w:rsid w:val="0016116E"/>
    <w:rsid w:val="0016552E"/>
    <w:rsid w:val="001658F0"/>
    <w:rsid w:val="001661B3"/>
    <w:rsid w:val="00167574"/>
    <w:rsid w:val="00171A0A"/>
    <w:rsid w:val="0017420C"/>
    <w:rsid w:val="00175F72"/>
    <w:rsid w:val="00176457"/>
    <w:rsid w:val="0017669E"/>
    <w:rsid w:val="00176BCE"/>
    <w:rsid w:val="00180CD3"/>
    <w:rsid w:val="0018312D"/>
    <w:rsid w:val="001840EA"/>
    <w:rsid w:val="00190D22"/>
    <w:rsid w:val="00191B57"/>
    <w:rsid w:val="0019315A"/>
    <w:rsid w:val="001A062E"/>
    <w:rsid w:val="001A25BD"/>
    <w:rsid w:val="001A2921"/>
    <w:rsid w:val="001A2B82"/>
    <w:rsid w:val="001A5C29"/>
    <w:rsid w:val="001A745A"/>
    <w:rsid w:val="001B4168"/>
    <w:rsid w:val="001B680B"/>
    <w:rsid w:val="001B750D"/>
    <w:rsid w:val="001B7974"/>
    <w:rsid w:val="001C08DA"/>
    <w:rsid w:val="001C2D2D"/>
    <w:rsid w:val="001C48B6"/>
    <w:rsid w:val="001C52FA"/>
    <w:rsid w:val="001C6C78"/>
    <w:rsid w:val="001D1730"/>
    <w:rsid w:val="001D49E7"/>
    <w:rsid w:val="001D7DD2"/>
    <w:rsid w:val="001E1FF9"/>
    <w:rsid w:val="001E36BC"/>
    <w:rsid w:val="001E4EE3"/>
    <w:rsid w:val="001E551F"/>
    <w:rsid w:val="001F0F35"/>
    <w:rsid w:val="001F1819"/>
    <w:rsid w:val="001F204C"/>
    <w:rsid w:val="001F24CF"/>
    <w:rsid w:val="001F3D0A"/>
    <w:rsid w:val="001F4C30"/>
    <w:rsid w:val="0020253A"/>
    <w:rsid w:val="0020488A"/>
    <w:rsid w:val="0020650F"/>
    <w:rsid w:val="002125DA"/>
    <w:rsid w:val="0021451C"/>
    <w:rsid w:val="0021591E"/>
    <w:rsid w:val="002205EE"/>
    <w:rsid w:val="00220EDA"/>
    <w:rsid w:val="00222DA1"/>
    <w:rsid w:val="00223A7F"/>
    <w:rsid w:val="002250FB"/>
    <w:rsid w:val="00226A30"/>
    <w:rsid w:val="002271DC"/>
    <w:rsid w:val="00230352"/>
    <w:rsid w:val="00236609"/>
    <w:rsid w:val="00240CD1"/>
    <w:rsid w:val="002423E1"/>
    <w:rsid w:val="00253EE7"/>
    <w:rsid w:val="002546FC"/>
    <w:rsid w:val="00254B2F"/>
    <w:rsid w:val="00254C12"/>
    <w:rsid w:val="00260641"/>
    <w:rsid w:val="00261AAB"/>
    <w:rsid w:val="00262431"/>
    <w:rsid w:val="00265010"/>
    <w:rsid w:val="0026554E"/>
    <w:rsid w:val="00265E15"/>
    <w:rsid w:val="00265ED0"/>
    <w:rsid w:val="002673BD"/>
    <w:rsid w:val="00267473"/>
    <w:rsid w:val="00270826"/>
    <w:rsid w:val="0027106F"/>
    <w:rsid w:val="002757D6"/>
    <w:rsid w:val="00284487"/>
    <w:rsid w:val="00285A46"/>
    <w:rsid w:val="002870C2"/>
    <w:rsid w:val="00291886"/>
    <w:rsid w:val="002937F9"/>
    <w:rsid w:val="00293C63"/>
    <w:rsid w:val="002957A9"/>
    <w:rsid w:val="00296435"/>
    <w:rsid w:val="0029646C"/>
    <w:rsid w:val="00296E69"/>
    <w:rsid w:val="00297A9B"/>
    <w:rsid w:val="002A57A4"/>
    <w:rsid w:val="002A6388"/>
    <w:rsid w:val="002A6A58"/>
    <w:rsid w:val="002B2A9A"/>
    <w:rsid w:val="002B3819"/>
    <w:rsid w:val="002C0290"/>
    <w:rsid w:val="002C0E89"/>
    <w:rsid w:val="002C42F1"/>
    <w:rsid w:val="002C73C4"/>
    <w:rsid w:val="002C77BC"/>
    <w:rsid w:val="002C79E4"/>
    <w:rsid w:val="002C7F8D"/>
    <w:rsid w:val="002D35D3"/>
    <w:rsid w:val="002D4CC6"/>
    <w:rsid w:val="002D658C"/>
    <w:rsid w:val="002E1444"/>
    <w:rsid w:val="002E4402"/>
    <w:rsid w:val="002E7CE6"/>
    <w:rsid w:val="002F05DB"/>
    <w:rsid w:val="002F11AE"/>
    <w:rsid w:val="002F149C"/>
    <w:rsid w:val="002F43E8"/>
    <w:rsid w:val="002F7F66"/>
    <w:rsid w:val="00302D1D"/>
    <w:rsid w:val="00304F86"/>
    <w:rsid w:val="0030627F"/>
    <w:rsid w:val="00307011"/>
    <w:rsid w:val="00312BF2"/>
    <w:rsid w:val="003229AA"/>
    <w:rsid w:val="00323901"/>
    <w:rsid w:val="00323E20"/>
    <w:rsid w:val="003242D2"/>
    <w:rsid w:val="00325C10"/>
    <w:rsid w:val="003269CD"/>
    <w:rsid w:val="00327AAB"/>
    <w:rsid w:val="0033106A"/>
    <w:rsid w:val="00332345"/>
    <w:rsid w:val="003328BD"/>
    <w:rsid w:val="003332AF"/>
    <w:rsid w:val="00334BD9"/>
    <w:rsid w:val="00336768"/>
    <w:rsid w:val="00336E26"/>
    <w:rsid w:val="003412DC"/>
    <w:rsid w:val="00343A1B"/>
    <w:rsid w:val="00343EA6"/>
    <w:rsid w:val="00347380"/>
    <w:rsid w:val="00347ABE"/>
    <w:rsid w:val="00351600"/>
    <w:rsid w:val="003526D3"/>
    <w:rsid w:val="00354F0A"/>
    <w:rsid w:val="00355DD3"/>
    <w:rsid w:val="003567D5"/>
    <w:rsid w:val="003570F6"/>
    <w:rsid w:val="00363C3E"/>
    <w:rsid w:val="0036497C"/>
    <w:rsid w:val="00364DB8"/>
    <w:rsid w:val="00365485"/>
    <w:rsid w:val="00365707"/>
    <w:rsid w:val="00366209"/>
    <w:rsid w:val="003722D5"/>
    <w:rsid w:val="00373065"/>
    <w:rsid w:val="00374DBE"/>
    <w:rsid w:val="00377C91"/>
    <w:rsid w:val="0038715C"/>
    <w:rsid w:val="00390E65"/>
    <w:rsid w:val="00393A96"/>
    <w:rsid w:val="00395FAC"/>
    <w:rsid w:val="00396732"/>
    <w:rsid w:val="003A0C0D"/>
    <w:rsid w:val="003A271A"/>
    <w:rsid w:val="003A3291"/>
    <w:rsid w:val="003A33E2"/>
    <w:rsid w:val="003A358A"/>
    <w:rsid w:val="003A3951"/>
    <w:rsid w:val="003A45F3"/>
    <w:rsid w:val="003A4C15"/>
    <w:rsid w:val="003A6922"/>
    <w:rsid w:val="003B55ED"/>
    <w:rsid w:val="003C1016"/>
    <w:rsid w:val="003C1B03"/>
    <w:rsid w:val="003C41F2"/>
    <w:rsid w:val="003C6D45"/>
    <w:rsid w:val="003C700C"/>
    <w:rsid w:val="003D0A16"/>
    <w:rsid w:val="003D1F25"/>
    <w:rsid w:val="003D20DD"/>
    <w:rsid w:val="003D2E1A"/>
    <w:rsid w:val="003D5B35"/>
    <w:rsid w:val="003E5662"/>
    <w:rsid w:val="003E64C5"/>
    <w:rsid w:val="003F18D4"/>
    <w:rsid w:val="003F1A97"/>
    <w:rsid w:val="003F1AF9"/>
    <w:rsid w:val="00402E52"/>
    <w:rsid w:val="00403373"/>
    <w:rsid w:val="00403AE4"/>
    <w:rsid w:val="0040581C"/>
    <w:rsid w:val="004069C8"/>
    <w:rsid w:val="00406A94"/>
    <w:rsid w:val="004070A9"/>
    <w:rsid w:val="00411455"/>
    <w:rsid w:val="004120B2"/>
    <w:rsid w:val="00413420"/>
    <w:rsid w:val="00416060"/>
    <w:rsid w:val="00416A06"/>
    <w:rsid w:val="004207D7"/>
    <w:rsid w:val="00420E93"/>
    <w:rsid w:val="004217F2"/>
    <w:rsid w:val="00424431"/>
    <w:rsid w:val="0042496B"/>
    <w:rsid w:val="00427249"/>
    <w:rsid w:val="00431F26"/>
    <w:rsid w:val="00432A0E"/>
    <w:rsid w:val="00440DE0"/>
    <w:rsid w:val="00441257"/>
    <w:rsid w:val="00441A4C"/>
    <w:rsid w:val="00442444"/>
    <w:rsid w:val="0044328D"/>
    <w:rsid w:val="004454CF"/>
    <w:rsid w:val="0044728E"/>
    <w:rsid w:val="00447FF1"/>
    <w:rsid w:val="0045063A"/>
    <w:rsid w:val="00451138"/>
    <w:rsid w:val="00454BB4"/>
    <w:rsid w:val="00454D0B"/>
    <w:rsid w:val="00456454"/>
    <w:rsid w:val="004577FB"/>
    <w:rsid w:val="004667F7"/>
    <w:rsid w:val="00471344"/>
    <w:rsid w:val="0047221D"/>
    <w:rsid w:val="004742DF"/>
    <w:rsid w:val="00477B83"/>
    <w:rsid w:val="00480BB9"/>
    <w:rsid w:val="00482010"/>
    <w:rsid w:val="004825F7"/>
    <w:rsid w:val="00482B0A"/>
    <w:rsid w:val="00487A4B"/>
    <w:rsid w:val="00492AF6"/>
    <w:rsid w:val="00495EBA"/>
    <w:rsid w:val="00495FD3"/>
    <w:rsid w:val="00496BAA"/>
    <w:rsid w:val="004977A7"/>
    <w:rsid w:val="00497DA1"/>
    <w:rsid w:val="004A2A1A"/>
    <w:rsid w:val="004A4E93"/>
    <w:rsid w:val="004A6A8D"/>
    <w:rsid w:val="004B088C"/>
    <w:rsid w:val="004B0996"/>
    <w:rsid w:val="004B0B6C"/>
    <w:rsid w:val="004B15CE"/>
    <w:rsid w:val="004B1E60"/>
    <w:rsid w:val="004B3683"/>
    <w:rsid w:val="004B410B"/>
    <w:rsid w:val="004B6155"/>
    <w:rsid w:val="004B6A7E"/>
    <w:rsid w:val="004B717C"/>
    <w:rsid w:val="004C0190"/>
    <w:rsid w:val="004C3A75"/>
    <w:rsid w:val="004C3C0E"/>
    <w:rsid w:val="004C5ECE"/>
    <w:rsid w:val="004C6D83"/>
    <w:rsid w:val="004D25B2"/>
    <w:rsid w:val="004D2CCB"/>
    <w:rsid w:val="004D38AA"/>
    <w:rsid w:val="004D4558"/>
    <w:rsid w:val="004D460F"/>
    <w:rsid w:val="004D7150"/>
    <w:rsid w:val="004E01BE"/>
    <w:rsid w:val="004E1500"/>
    <w:rsid w:val="004E3375"/>
    <w:rsid w:val="004E3516"/>
    <w:rsid w:val="004E6672"/>
    <w:rsid w:val="004E70BA"/>
    <w:rsid w:val="004F0A32"/>
    <w:rsid w:val="004F586F"/>
    <w:rsid w:val="004F6B67"/>
    <w:rsid w:val="004F6F63"/>
    <w:rsid w:val="00504E9D"/>
    <w:rsid w:val="005069EE"/>
    <w:rsid w:val="00507C08"/>
    <w:rsid w:val="00512C3B"/>
    <w:rsid w:val="00513635"/>
    <w:rsid w:val="0051543A"/>
    <w:rsid w:val="00517E9B"/>
    <w:rsid w:val="0052196C"/>
    <w:rsid w:val="00524BE1"/>
    <w:rsid w:val="00524C2B"/>
    <w:rsid w:val="005250AE"/>
    <w:rsid w:val="0052732A"/>
    <w:rsid w:val="005303F7"/>
    <w:rsid w:val="00532AFB"/>
    <w:rsid w:val="00535BFA"/>
    <w:rsid w:val="005430FE"/>
    <w:rsid w:val="005440AD"/>
    <w:rsid w:val="00545760"/>
    <w:rsid w:val="005509A5"/>
    <w:rsid w:val="00553BBD"/>
    <w:rsid w:val="00553CCE"/>
    <w:rsid w:val="00553F33"/>
    <w:rsid w:val="005547EB"/>
    <w:rsid w:val="005548F9"/>
    <w:rsid w:val="00555098"/>
    <w:rsid w:val="00560D28"/>
    <w:rsid w:val="00561460"/>
    <w:rsid w:val="00561792"/>
    <w:rsid w:val="005639AC"/>
    <w:rsid w:val="00564001"/>
    <w:rsid w:val="0056559C"/>
    <w:rsid w:val="005665B2"/>
    <w:rsid w:val="00571FCD"/>
    <w:rsid w:val="005732A7"/>
    <w:rsid w:val="00574A09"/>
    <w:rsid w:val="00574CAE"/>
    <w:rsid w:val="00577475"/>
    <w:rsid w:val="00580E49"/>
    <w:rsid w:val="005818B9"/>
    <w:rsid w:val="00583300"/>
    <w:rsid w:val="00584A71"/>
    <w:rsid w:val="005867F2"/>
    <w:rsid w:val="00586E79"/>
    <w:rsid w:val="005905BD"/>
    <w:rsid w:val="00590B66"/>
    <w:rsid w:val="005914FF"/>
    <w:rsid w:val="00594F6A"/>
    <w:rsid w:val="00596A2A"/>
    <w:rsid w:val="00596B78"/>
    <w:rsid w:val="005971F5"/>
    <w:rsid w:val="005A04A5"/>
    <w:rsid w:val="005A0F53"/>
    <w:rsid w:val="005A2A56"/>
    <w:rsid w:val="005A388A"/>
    <w:rsid w:val="005A5E49"/>
    <w:rsid w:val="005B19A9"/>
    <w:rsid w:val="005B2816"/>
    <w:rsid w:val="005C20BB"/>
    <w:rsid w:val="005C3553"/>
    <w:rsid w:val="005C5586"/>
    <w:rsid w:val="005C59BF"/>
    <w:rsid w:val="005C5DA8"/>
    <w:rsid w:val="005C70B1"/>
    <w:rsid w:val="005C713B"/>
    <w:rsid w:val="005C7760"/>
    <w:rsid w:val="005C7BB8"/>
    <w:rsid w:val="005D0A35"/>
    <w:rsid w:val="005D2A59"/>
    <w:rsid w:val="005D40F1"/>
    <w:rsid w:val="005D491C"/>
    <w:rsid w:val="005D5651"/>
    <w:rsid w:val="005D68FA"/>
    <w:rsid w:val="005D6F22"/>
    <w:rsid w:val="005E3C9E"/>
    <w:rsid w:val="005E42DE"/>
    <w:rsid w:val="005E5309"/>
    <w:rsid w:val="005E5BF6"/>
    <w:rsid w:val="005E6D7C"/>
    <w:rsid w:val="005F17D7"/>
    <w:rsid w:val="005F5365"/>
    <w:rsid w:val="005F5554"/>
    <w:rsid w:val="005F667E"/>
    <w:rsid w:val="005F76AF"/>
    <w:rsid w:val="00600534"/>
    <w:rsid w:val="0060499E"/>
    <w:rsid w:val="00605D3D"/>
    <w:rsid w:val="00610CB1"/>
    <w:rsid w:val="00611B80"/>
    <w:rsid w:val="00612688"/>
    <w:rsid w:val="006133D2"/>
    <w:rsid w:val="0061585C"/>
    <w:rsid w:val="0062109B"/>
    <w:rsid w:val="006228F8"/>
    <w:rsid w:val="00625EBE"/>
    <w:rsid w:val="00626972"/>
    <w:rsid w:val="00630C62"/>
    <w:rsid w:val="006323AE"/>
    <w:rsid w:val="006334F8"/>
    <w:rsid w:val="00641768"/>
    <w:rsid w:val="00641CB9"/>
    <w:rsid w:val="00642014"/>
    <w:rsid w:val="0064304E"/>
    <w:rsid w:val="00645165"/>
    <w:rsid w:val="00645A49"/>
    <w:rsid w:val="0064652B"/>
    <w:rsid w:val="006466B7"/>
    <w:rsid w:val="00647421"/>
    <w:rsid w:val="00647FC3"/>
    <w:rsid w:val="006503AC"/>
    <w:rsid w:val="0065051F"/>
    <w:rsid w:val="006518F7"/>
    <w:rsid w:val="00651A97"/>
    <w:rsid w:val="006548E6"/>
    <w:rsid w:val="006560F5"/>
    <w:rsid w:val="00657009"/>
    <w:rsid w:val="00657047"/>
    <w:rsid w:val="0065794A"/>
    <w:rsid w:val="00660FAE"/>
    <w:rsid w:val="00666109"/>
    <w:rsid w:val="00672003"/>
    <w:rsid w:val="00672979"/>
    <w:rsid w:val="00675602"/>
    <w:rsid w:val="00675DB2"/>
    <w:rsid w:val="00680DF0"/>
    <w:rsid w:val="00682E79"/>
    <w:rsid w:val="0068361E"/>
    <w:rsid w:val="00686152"/>
    <w:rsid w:val="00686229"/>
    <w:rsid w:val="00686485"/>
    <w:rsid w:val="0068709B"/>
    <w:rsid w:val="00687A3B"/>
    <w:rsid w:val="00691AD5"/>
    <w:rsid w:val="00695942"/>
    <w:rsid w:val="006A09BA"/>
    <w:rsid w:val="006A1BED"/>
    <w:rsid w:val="006A3207"/>
    <w:rsid w:val="006A4638"/>
    <w:rsid w:val="006A4BA5"/>
    <w:rsid w:val="006B141F"/>
    <w:rsid w:val="006B28EE"/>
    <w:rsid w:val="006B3F9E"/>
    <w:rsid w:val="006B5006"/>
    <w:rsid w:val="006B6FE0"/>
    <w:rsid w:val="006C31CA"/>
    <w:rsid w:val="006C4BED"/>
    <w:rsid w:val="006C53D2"/>
    <w:rsid w:val="006C795D"/>
    <w:rsid w:val="006C7ACC"/>
    <w:rsid w:val="006D0603"/>
    <w:rsid w:val="006D18DE"/>
    <w:rsid w:val="006E23CD"/>
    <w:rsid w:val="006E6AF8"/>
    <w:rsid w:val="006F0C26"/>
    <w:rsid w:val="006F2504"/>
    <w:rsid w:val="006F3D2C"/>
    <w:rsid w:val="006F4850"/>
    <w:rsid w:val="006F74B3"/>
    <w:rsid w:val="007014F3"/>
    <w:rsid w:val="00701959"/>
    <w:rsid w:val="0070264A"/>
    <w:rsid w:val="007037DD"/>
    <w:rsid w:val="00703C8F"/>
    <w:rsid w:val="00711719"/>
    <w:rsid w:val="00714984"/>
    <w:rsid w:val="0071505B"/>
    <w:rsid w:val="00715B04"/>
    <w:rsid w:val="00717563"/>
    <w:rsid w:val="007212EC"/>
    <w:rsid w:val="00725A68"/>
    <w:rsid w:val="00730AB3"/>
    <w:rsid w:val="00732425"/>
    <w:rsid w:val="0073258A"/>
    <w:rsid w:val="00733D1E"/>
    <w:rsid w:val="00733ED9"/>
    <w:rsid w:val="0073521A"/>
    <w:rsid w:val="007352EF"/>
    <w:rsid w:val="00735B24"/>
    <w:rsid w:val="0073761F"/>
    <w:rsid w:val="00741706"/>
    <w:rsid w:val="00742BE4"/>
    <w:rsid w:val="00744B72"/>
    <w:rsid w:val="0074530F"/>
    <w:rsid w:val="007507CB"/>
    <w:rsid w:val="00750F54"/>
    <w:rsid w:val="00751CF8"/>
    <w:rsid w:val="007576E3"/>
    <w:rsid w:val="00757D9D"/>
    <w:rsid w:val="007600AC"/>
    <w:rsid w:val="00761E10"/>
    <w:rsid w:val="00762576"/>
    <w:rsid w:val="007640FB"/>
    <w:rsid w:val="007672EA"/>
    <w:rsid w:val="00767850"/>
    <w:rsid w:val="00772F15"/>
    <w:rsid w:val="007755B6"/>
    <w:rsid w:val="00776570"/>
    <w:rsid w:val="0077765E"/>
    <w:rsid w:val="007778DF"/>
    <w:rsid w:val="007779DE"/>
    <w:rsid w:val="007803FF"/>
    <w:rsid w:val="00782069"/>
    <w:rsid w:val="00782B1F"/>
    <w:rsid w:val="0078324E"/>
    <w:rsid w:val="00784E01"/>
    <w:rsid w:val="00785DFE"/>
    <w:rsid w:val="00787D5F"/>
    <w:rsid w:val="00787E97"/>
    <w:rsid w:val="007916FB"/>
    <w:rsid w:val="00792C57"/>
    <w:rsid w:val="00792D08"/>
    <w:rsid w:val="00793477"/>
    <w:rsid w:val="007952D3"/>
    <w:rsid w:val="0079643C"/>
    <w:rsid w:val="00796A48"/>
    <w:rsid w:val="0079710F"/>
    <w:rsid w:val="00797C09"/>
    <w:rsid w:val="007A0273"/>
    <w:rsid w:val="007A1349"/>
    <w:rsid w:val="007A18FD"/>
    <w:rsid w:val="007A3567"/>
    <w:rsid w:val="007A4099"/>
    <w:rsid w:val="007A46C0"/>
    <w:rsid w:val="007A7801"/>
    <w:rsid w:val="007B0E83"/>
    <w:rsid w:val="007B5948"/>
    <w:rsid w:val="007C012A"/>
    <w:rsid w:val="007C0378"/>
    <w:rsid w:val="007C18C3"/>
    <w:rsid w:val="007C23A0"/>
    <w:rsid w:val="007C27A1"/>
    <w:rsid w:val="007C378E"/>
    <w:rsid w:val="007C49D9"/>
    <w:rsid w:val="007C7ED2"/>
    <w:rsid w:val="007D093F"/>
    <w:rsid w:val="007D1730"/>
    <w:rsid w:val="007D2042"/>
    <w:rsid w:val="007D4230"/>
    <w:rsid w:val="007D4D7B"/>
    <w:rsid w:val="007D5864"/>
    <w:rsid w:val="007D7130"/>
    <w:rsid w:val="007D7C76"/>
    <w:rsid w:val="007E1AC9"/>
    <w:rsid w:val="007E21C3"/>
    <w:rsid w:val="007E5B25"/>
    <w:rsid w:val="007F5937"/>
    <w:rsid w:val="007F6065"/>
    <w:rsid w:val="007F6B43"/>
    <w:rsid w:val="007F6DC2"/>
    <w:rsid w:val="00800E3F"/>
    <w:rsid w:val="00800EE9"/>
    <w:rsid w:val="00802693"/>
    <w:rsid w:val="00805B1D"/>
    <w:rsid w:val="0081235A"/>
    <w:rsid w:val="00812E73"/>
    <w:rsid w:val="00816740"/>
    <w:rsid w:val="008200F1"/>
    <w:rsid w:val="00820E6A"/>
    <w:rsid w:val="00826D3D"/>
    <w:rsid w:val="00831BED"/>
    <w:rsid w:val="0083232E"/>
    <w:rsid w:val="00833881"/>
    <w:rsid w:val="00834026"/>
    <w:rsid w:val="00835B36"/>
    <w:rsid w:val="00836F81"/>
    <w:rsid w:val="00837950"/>
    <w:rsid w:val="008405E8"/>
    <w:rsid w:val="00842122"/>
    <w:rsid w:val="008421EA"/>
    <w:rsid w:val="008529D0"/>
    <w:rsid w:val="00855B7C"/>
    <w:rsid w:val="00861046"/>
    <w:rsid w:val="008621D6"/>
    <w:rsid w:val="00866B49"/>
    <w:rsid w:val="00871BD1"/>
    <w:rsid w:val="00872D79"/>
    <w:rsid w:val="008800E2"/>
    <w:rsid w:val="00880302"/>
    <w:rsid w:val="00884A91"/>
    <w:rsid w:val="00884AF0"/>
    <w:rsid w:val="00885A66"/>
    <w:rsid w:val="008875D3"/>
    <w:rsid w:val="00890489"/>
    <w:rsid w:val="00890A16"/>
    <w:rsid w:val="008911A6"/>
    <w:rsid w:val="00892A8B"/>
    <w:rsid w:val="00897420"/>
    <w:rsid w:val="00897AA9"/>
    <w:rsid w:val="008A0D3A"/>
    <w:rsid w:val="008A0EF2"/>
    <w:rsid w:val="008A1B60"/>
    <w:rsid w:val="008A3D32"/>
    <w:rsid w:val="008A5870"/>
    <w:rsid w:val="008A5DD5"/>
    <w:rsid w:val="008A712A"/>
    <w:rsid w:val="008B02F9"/>
    <w:rsid w:val="008B09DB"/>
    <w:rsid w:val="008B36E6"/>
    <w:rsid w:val="008B454A"/>
    <w:rsid w:val="008B51ED"/>
    <w:rsid w:val="008B7DD7"/>
    <w:rsid w:val="008C117F"/>
    <w:rsid w:val="008C15A7"/>
    <w:rsid w:val="008C1D70"/>
    <w:rsid w:val="008C2B87"/>
    <w:rsid w:val="008C38FE"/>
    <w:rsid w:val="008C628F"/>
    <w:rsid w:val="008C6A56"/>
    <w:rsid w:val="008C6FFC"/>
    <w:rsid w:val="008D027A"/>
    <w:rsid w:val="008D0EDE"/>
    <w:rsid w:val="008D2C3B"/>
    <w:rsid w:val="008D2F4A"/>
    <w:rsid w:val="008D3896"/>
    <w:rsid w:val="008D3FB6"/>
    <w:rsid w:val="008D4309"/>
    <w:rsid w:val="008D4937"/>
    <w:rsid w:val="008D64ED"/>
    <w:rsid w:val="008E02E5"/>
    <w:rsid w:val="008E1131"/>
    <w:rsid w:val="008E45F9"/>
    <w:rsid w:val="008E74ED"/>
    <w:rsid w:val="008E7D39"/>
    <w:rsid w:val="008F0574"/>
    <w:rsid w:val="008F5EC2"/>
    <w:rsid w:val="00901DA5"/>
    <w:rsid w:val="00902FB5"/>
    <w:rsid w:val="0090335E"/>
    <w:rsid w:val="009042F5"/>
    <w:rsid w:val="00905A06"/>
    <w:rsid w:val="00906D49"/>
    <w:rsid w:val="009070F5"/>
    <w:rsid w:val="009123E3"/>
    <w:rsid w:val="009125B8"/>
    <w:rsid w:val="00913ECD"/>
    <w:rsid w:val="009149F1"/>
    <w:rsid w:val="00914CC9"/>
    <w:rsid w:val="00915994"/>
    <w:rsid w:val="00921BDC"/>
    <w:rsid w:val="00922335"/>
    <w:rsid w:val="00923493"/>
    <w:rsid w:val="00924C24"/>
    <w:rsid w:val="00924DED"/>
    <w:rsid w:val="009275E1"/>
    <w:rsid w:val="0093033C"/>
    <w:rsid w:val="00930C1D"/>
    <w:rsid w:val="009329E7"/>
    <w:rsid w:val="00934EFC"/>
    <w:rsid w:val="009356C5"/>
    <w:rsid w:val="0093575D"/>
    <w:rsid w:val="009360BD"/>
    <w:rsid w:val="0093736C"/>
    <w:rsid w:val="00942C0F"/>
    <w:rsid w:val="009437DF"/>
    <w:rsid w:val="00944599"/>
    <w:rsid w:val="00946AE0"/>
    <w:rsid w:val="00950B11"/>
    <w:rsid w:val="00952A82"/>
    <w:rsid w:val="0095322A"/>
    <w:rsid w:val="00954D1B"/>
    <w:rsid w:val="009553F5"/>
    <w:rsid w:val="00960E91"/>
    <w:rsid w:val="00964C82"/>
    <w:rsid w:val="00966704"/>
    <w:rsid w:val="00966987"/>
    <w:rsid w:val="009669B2"/>
    <w:rsid w:val="00966D2A"/>
    <w:rsid w:val="009676B9"/>
    <w:rsid w:val="00970DE9"/>
    <w:rsid w:val="009746D4"/>
    <w:rsid w:val="00982FFF"/>
    <w:rsid w:val="00983014"/>
    <w:rsid w:val="00983F35"/>
    <w:rsid w:val="00985B59"/>
    <w:rsid w:val="00986A7F"/>
    <w:rsid w:val="00987DF2"/>
    <w:rsid w:val="009901D6"/>
    <w:rsid w:val="00992087"/>
    <w:rsid w:val="00992710"/>
    <w:rsid w:val="009955A7"/>
    <w:rsid w:val="00996B0A"/>
    <w:rsid w:val="009A0D26"/>
    <w:rsid w:val="009A4BDC"/>
    <w:rsid w:val="009A5648"/>
    <w:rsid w:val="009A595E"/>
    <w:rsid w:val="009B10B3"/>
    <w:rsid w:val="009B1825"/>
    <w:rsid w:val="009B242B"/>
    <w:rsid w:val="009B252C"/>
    <w:rsid w:val="009B2DA9"/>
    <w:rsid w:val="009B62FC"/>
    <w:rsid w:val="009C5BBE"/>
    <w:rsid w:val="009D24D4"/>
    <w:rsid w:val="009E2539"/>
    <w:rsid w:val="009E3171"/>
    <w:rsid w:val="009E39CE"/>
    <w:rsid w:val="009E5220"/>
    <w:rsid w:val="009E6F97"/>
    <w:rsid w:val="009F3211"/>
    <w:rsid w:val="009F34B9"/>
    <w:rsid w:val="009F3F34"/>
    <w:rsid w:val="009F46E7"/>
    <w:rsid w:val="009F6413"/>
    <w:rsid w:val="00A01333"/>
    <w:rsid w:val="00A01FB2"/>
    <w:rsid w:val="00A05225"/>
    <w:rsid w:val="00A07733"/>
    <w:rsid w:val="00A10662"/>
    <w:rsid w:val="00A12816"/>
    <w:rsid w:val="00A1281A"/>
    <w:rsid w:val="00A12B40"/>
    <w:rsid w:val="00A162E6"/>
    <w:rsid w:val="00A17D1D"/>
    <w:rsid w:val="00A20966"/>
    <w:rsid w:val="00A2158C"/>
    <w:rsid w:val="00A240E5"/>
    <w:rsid w:val="00A26EC4"/>
    <w:rsid w:val="00A30A15"/>
    <w:rsid w:val="00A31BE9"/>
    <w:rsid w:val="00A33BCC"/>
    <w:rsid w:val="00A33E27"/>
    <w:rsid w:val="00A3491E"/>
    <w:rsid w:val="00A37E7E"/>
    <w:rsid w:val="00A40509"/>
    <w:rsid w:val="00A40923"/>
    <w:rsid w:val="00A41806"/>
    <w:rsid w:val="00A428C2"/>
    <w:rsid w:val="00A43AF6"/>
    <w:rsid w:val="00A43AFD"/>
    <w:rsid w:val="00A45C77"/>
    <w:rsid w:val="00A45DF2"/>
    <w:rsid w:val="00A46302"/>
    <w:rsid w:val="00A4716C"/>
    <w:rsid w:val="00A576A5"/>
    <w:rsid w:val="00A5794C"/>
    <w:rsid w:val="00A60B79"/>
    <w:rsid w:val="00A611D5"/>
    <w:rsid w:val="00A61348"/>
    <w:rsid w:val="00A64421"/>
    <w:rsid w:val="00A64D50"/>
    <w:rsid w:val="00A650BA"/>
    <w:rsid w:val="00A6551C"/>
    <w:rsid w:val="00A65E59"/>
    <w:rsid w:val="00A67535"/>
    <w:rsid w:val="00A67927"/>
    <w:rsid w:val="00A70286"/>
    <w:rsid w:val="00A715A3"/>
    <w:rsid w:val="00A7238F"/>
    <w:rsid w:val="00A725A4"/>
    <w:rsid w:val="00A73BAE"/>
    <w:rsid w:val="00A7756B"/>
    <w:rsid w:val="00A8384F"/>
    <w:rsid w:val="00A8663D"/>
    <w:rsid w:val="00A91F48"/>
    <w:rsid w:val="00A939BC"/>
    <w:rsid w:val="00A9492D"/>
    <w:rsid w:val="00A955D9"/>
    <w:rsid w:val="00AA04DF"/>
    <w:rsid w:val="00AA43E4"/>
    <w:rsid w:val="00AA5414"/>
    <w:rsid w:val="00AA64FB"/>
    <w:rsid w:val="00AA75E2"/>
    <w:rsid w:val="00AB0406"/>
    <w:rsid w:val="00AB3442"/>
    <w:rsid w:val="00AB3647"/>
    <w:rsid w:val="00AB370F"/>
    <w:rsid w:val="00AB3AB7"/>
    <w:rsid w:val="00AB492E"/>
    <w:rsid w:val="00AB4AD8"/>
    <w:rsid w:val="00AB539C"/>
    <w:rsid w:val="00AC0714"/>
    <w:rsid w:val="00AC2749"/>
    <w:rsid w:val="00AC4206"/>
    <w:rsid w:val="00AC5561"/>
    <w:rsid w:val="00AC7CC2"/>
    <w:rsid w:val="00AD2FDA"/>
    <w:rsid w:val="00AD3862"/>
    <w:rsid w:val="00AD4C82"/>
    <w:rsid w:val="00AD56FF"/>
    <w:rsid w:val="00AD60D1"/>
    <w:rsid w:val="00AD6285"/>
    <w:rsid w:val="00AD6369"/>
    <w:rsid w:val="00AD7490"/>
    <w:rsid w:val="00AE3BDB"/>
    <w:rsid w:val="00AE5649"/>
    <w:rsid w:val="00AF00F2"/>
    <w:rsid w:val="00AF319F"/>
    <w:rsid w:val="00AF77CA"/>
    <w:rsid w:val="00B022E4"/>
    <w:rsid w:val="00B02301"/>
    <w:rsid w:val="00B02802"/>
    <w:rsid w:val="00B0347E"/>
    <w:rsid w:val="00B07D2B"/>
    <w:rsid w:val="00B11FF4"/>
    <w:rsid w:val="00B1270A"/>
    <w:rsid w:val="00B12ACE"/>
    <w:rsid w:val="00B133CD"/>
    <w:rsid w:val="00B15265"/>
    <w:rsid w:val="00B20DCA"/>
    <w:rsid w:val="00B23D22"/>
    <w:rsid w:val="00B267A3"/>
    <w:rsid w:val="00B2730F"/>
    <w:rsid w:val="00B30277"/>
    <w:rsid w:val="00B30C4A"/>
    <w:rsid w:val="00B30F62"/>
    <w:rsid w:val="00B312AC"/>
    <w:rsid w:val="00B31735"/>
    <w:rsid w:val="00B32109"/>
    <w:rsid w:val="00B341F1"/>
    <w:rsid w:val="00B35329"/>
    <w:rsid w:val="00B35874"/>
    <w:rsid w:val="00B4067E"/>
    <w:rsid w:val="00B41A08"/>
    <w:rsid w:val="00B425A5"/>
    <w:rsid w:val="00B4372D"/>
    <w:rsid w:val="00B440EB"/>
    <w:rsid w:val="00B444CC"/>
    <w:rsid w:val="00B44A30"/>
    <w:rsid w:val="00B50B2D"/>
    <w:rsid w:val="00B564FE"/>
    <w:rsid w:val="00B56B8D"/>
    <w:rsid w:val="00B602AB"/>
    <w:rsid w:val="00B61209"/>
    <w:rsid w:val="00B6173F"/>
    <w:rsid w:val="00B63F26"/>
    <w:rsid w:val="00B64636"/>
    <w:rsid w:val="00B64D46"/>
    <w:rsid w:val="00B65B18"/>
    <w:rsid w:val="00B65D30"/>
    <w:rsid w:val="00B6604D"/>
    <w:rsid w:val="00B664EF"/>
    <w:rsid w:val="00B70791"/>
    <w:rsid w:val="00B70D38"/>
    <w:rsid w:val="00B74EBD"/>
    <w:rsid w:val="00B750D0"/>
    <w:rsid w:val="00B75420"/>
    <w:rsid w:val="00B75D7B"/>
    <w:rsid w:val="00B76F60"/>
    <w:rsid w:val="00B779A9"/>
    <w:rsid w:val="00B82EAA"/>
    <w:rsid w:val="00B83763"/>
    <w:rsid w:val="00B83997"/>
    <w:rsid w:val="00B868FE"/>
    <w:rsid w:val="00B91BFB"/>
    <w:rsid w:val="00B922ED"/>
    <w:rsid w:val="00B947B5"/>
    <w:rsid w:val="00B94967"/>
    <w:rsid w:val="00B95744"/>
    <w:rsid w:val="00B95BF7"/>
    <w:rsid w:val="00BA3AA3"/>
    <w:rsid w:val="00BA454E"/>
    <w:rsid w:val="00BA4CD6"/>
    <w:rsid w:val="00BA4E2C"/>
    <w:rsid w:val="00BA56DA"/>
    <w:rsid w:val="00BA5A9A"/>
    <w:rsid w:val="00BA61EE"/>
    <w:rsid w:val="00BA761C"/>
    <w:rsid w:val="00BB4AFF"/>
    <w:rsid w:val="00BB626D"/>
    <w:rsid w:val="00BC00C1"/>
    <w:rsid w:val="00BC3D9E"/>
    <w:rsid w:val="00BC63F3"/>
    <w:rsid w:val="00BD0739"/>
    <w:rsid w:val="00BD12AB"/>
    <w:rsid w:val="00BD1A10"/>
    <w:rsid w:val="00BD3F1E"/>
    <w:rsid w:val="00BD4BF4"/>
    <w:rsid w:val="00BD5E20"/>
    <w:rsid w:val="00BD79CD"/>
    <w:rsid w:val="00BE032F"/>
    <w:rsid w:val="00BE0401"/>
    <w:rsid w:val="00BE63CA"/>
    <w:rsid w:val="00BE7F77"/>
    <w:rsid w:val="00BF039D"/>
    <w:rsid w:val="00BF12B8"/>
    <w:rsid w:val="00BF45FB"/>
    <w:rsid w:val="00BF65E6"/>
    <w:rsid w:val="00BF6D49"/>
    <w:rsid w:val="00BF6FBD"/>
    <w:rsid w:val="00C00E04"/>
    <w:rsid w:val="00C01793"/>
    <w:rsid w:val="00C01E41"/>
    <w:rsid w:val="00C02DBF"/>
    <w:rsid w:val="00C03332"/>
    <w:rsid w:val="00C0430D"/>
    <w:rsid w:val="00C06014"/>
    <w:rsid w:val="00C071C9"/>
    <w:rsid w:val="00C07648"/>
    <w:rsid w:val="00C114FD"/>
    <w:rsid w:val="00C13C8E"/>
    <w:rsid w:val="00C143E8"/>
    <w:rsid w:val="00C17668"/>
    <w:rsid w:val="00C2147D"/>
    <w:rsid w:val="00C22E62"/>
    <w:rsid w:val="00C23B56"/>
    <w:rsid w:val="00C24D82"/>
    <w:rsid w:val="00C26338"/>
    <w:rsid w:val="00C2651E"/>
    <w:rsid w:val="00C27E19"/>
    <w:rsid w:val="00C321EA"/>
    <w:rsid w:val="00C33891"/>
    <w:rsid w:val="00C33E69"/>
    <w:rsid w:val="00C34767"/>
    <w:rsid w:val="00C34B2A"/>
    <w:rsid w:val="00C3652F"/>
    <w:rsid w:val="00C366E2"/>
    <w:rsid w:val="00C367E9"/>
    <w:rsid w:val="00C47091"/>
    <w:rsid w:val="00C50FB8"/>
    <w:rsid w:val="00C5123D"/>
    <w:rsid w:val="00C52A44"/>
    <w:rsid w:val="00C534C8"/>
    <w:rsid w:val="00C54244"/>
    <w:rsid w:val="00C5685E"/>
    <w:rsid w:val="00C56C15"/>
    <w:rsid w:val="00C57A64"/>
    <w:rsid w:val="00C62ACD"/>
    <w:rsid w:val="00C63BD4"/>
    <w:rsid w:val="00C65016"/>
    <w:rsid w:val="00C70AEF"/>
    <w:rsid w:val="00C70FAF"/>
    <w:rsid w:val="00C73929"/>
    <w:rsid w:val="00C757B2"/>
    <w:rsid w:val="00C82B39"/>
    <w:rsid w:val="00C82D38"/>
    <w:rsid w:val="00C82DFF"/>
    <w:rsid w:val="00C839E5"/>
    <w:rsid w:val="00C83A4D"/>
    <w:rsid w:val="00C83FC3"/>
    <w:rsid w:val="00C84977"/>
    <w:rsid w:val="00C85260"/>
    <w:rsid w:val="00C85A0C"/>
    <w:rsid w:val="00C861D2"/>
    <w:rsid w:val="00C87A85"/>
    <w:rsid w:val="00C92281"/>
    <w:rsid w:val="00C92CDA"/>
    <w:rsid w:val="00C9472B"/>
    <w:rsid w:val="00C95A4E"/>
    <w:rsid w:val="00C96597"/>
    <w:rsid w:val="00C969F3"/>
    <w:rsid w:val="00C97211"/>
    <w:rsid w:val="00CA12A7"/>
    <w:rsid w:val="00CA1EB2"/>
    <w:rsid w:val="00CA2653"/>
    <w:rsid w:val="00CA3386"/>
    <w:rsid w:val="00CB2099"/>
    <w:rsid w:val="00CB418B"/>
    <w:rsid w:val="00CB50F1"/>
    <w:rsid w:val="00CB5CD7"/>
    <w:rsid w:val="00CC0028"/>
    <w:rsid w:val="00CC1069"/>
    <w:rsid w:val="00CC4EF4"/>
    <w:rsid w:val="00CC5842"/>
    <w:rsid w:val="00CC5A7E"/>
    <w:rsid w:val="00CC60E7"/>
    <w:rsid w:val="00CC7753"/>
    <w:rsid w:val="00CD0C0E"/>
    <w:rsid w:val="00CD11C3"/>
    <w:rsid w:val="00CD2143"/>
    <w:rsid w:val="00CD22C1"/>
    <w:rsid w:val="00CD5C01"/>
    <w:rsid w:val="00CE233A"/>
    <w:rsid w:val="00CF012A"/>
    <w:rsid w:val="00CF60F8"/>
    <w:rsid w:val="00D035FA"/>
    <w:rsid w:val="00D10555"/>
    <w:rsid w:val="00D1206A"/>
    <w:rsid w:val="00D128AA"/>
    <w:rsid w:val="00D1618C"/>
    <w:rsid w:val="00D162EB"/>
    <w:rsid w:val="00D222D8"/>
    <w:rsid w:val="00D27EAA"/>
    <w:rsid w:val="00D30298"/>
    <w:rsid w:val="00D304D1"/>
    <w:rsid w:val="00D30B6C"/>
    <w:rsid w:val="00D32079"/>
    <w:rsid w:val="00D329A4"/>
    <w:rsid w:val="00D33DA9"/>
    <w:rsid w:val="00D34D9F"/>
    <w:rsid w:val="00D36966"/>
    <w:rsid w:val="00D40E4E"/>
    <w:rsid w:val="00D4327E"/>
    <w:rsid w:val="00D43C47"/>
    <w:rsid w:val="00D4502B"/>
    <w:rsid w:val="00D507DD"/>
    <w:rsid w:val="00D50A88"/>
    <w:rsid w:val="00D50AA7"/>
    <w:rsid w:val="00D50D04"/>
    <w:rsid w:val="00D51A6A"/>
    <w:rsid w:val="00D52833"/>
    <w:rsid w:val="00D55064"/>
    <w:rsid w:val="00D61C41"/>
    <w:rsid w:val="00D62311"/>
    <w:rsid w:val="00D62BB9"/>
    <w:rsid w:val="00D72203"/>
    <w:rsid w:val="00D72818"/>
    <w:rsid w:val="00D72D29"/>
    <w:rsid w:val="00D76633"/>
    <w:rsid w:val="00D76C20"/>
    <w:rsid w:val="00D81D67"/>
    <w:rsid w:val="00D84DA8"/>
    <w:rsid w:val="00D873E7"/>
    <w:rsid w:val="00D91751"/>
    <w:rsid w:val="00D93293"/>
    <w:rsid w:val="00D93A63"/>
    <w:rsid w:val="00D9415C"/>
    <w:rsid w:val="00D9574F"/>
    <w:rsid w:val="00D96034"/>
    <w:rsid w:val="00D96FAA"/>
    <w:rsid w:val="00D97C6A"/>
    <w:rsid w:val="00D97F3C"/>
    <w:rsid w:val="00DA39B1"/>
    <w:rsid w:val="00DB2833"/>
    <w:rsid w:val="00DB53D0"/>
    <w:rsid w:val="00DB6AD2"/>
    <w:rsid w:val="00DB6EFB"/>
    <w:rsid w:val="00DB78AA"/>
    <w:rsid w:val="00DB7978"/>
    <w:rsid w:val="00DC13C7"/>
    <w:rsid w:val="00DC3F47"/>
    <w:rsid w:val="00DC5255"/>
    <w:rsid w:val="00DC686D"/>
    <w:rsid w:val="00DD33DF"/>
    <w:rsid w:val="00DD3616"/>
    <w:rsid w:val="00DE0A50"/>
    <w:rsid w:val="00DE0B13"/>
    <w:rsid w:val="00DE2A58"/>
    <w:rsid w:val="00DE4482"/>
    <w:rsid w:val="00DE488B"/>
    <w:rsid w:val="00DE505E"/>
    <w:rsid w:val="00DF1937"/>
    <w:rsid w:val="00DF5339"/>
    <w:rsid w:val="00DF7A67"/>
    <w:rsid w:val="00DF7AE2"/>
    <w:rsid w:val="00E0170F"/>
    <w:rsid w:val="00E01972"/>
    <w:rsid w:val="00E0295D"/>
    <w:rsid w:val="00E046CD"/>
    <w:rsid w:val="00E06384"/>
    <w:rsid w:val="00E06A08"/>
    <w:rsid w:val="00E115EE"/>
    <w:rsid w:val="00E147C5"/>
    <w:rsid w:val="00E14C28"/>
    <w:rsid w:val="00E16A2A"/>
    <w:rsid w:val="00E212D0"/>
    <w:rsid w:val="00E21C9C"/>
    <w:rsid w:val="00E22161"/>
    <w:rsid w:val="00E2378E"/>
    <w:rsid w:val="00E26CDE"/>
    <w:rsid w:val="00E3021A"/>
    <w:rsid w:val="00E30BFD"/>
    <w:rsid w:val="00E326F4"/>
    <w:rsid w:val="00E34B83"/>
    <w:rsid w:val="00E34D7A"/>
    <w:rsid w:val="00E359A9"/>
    <w:rsid w:val="00E36DF4"/>
    <w:rsid w:val="00E371BB"/>
    <w:rsid w:val="00E40515"/>
    <w:rsid w:val="00E42DB0"/>
    <w:rsid w:val="00E476B6"/>
    <w:rsid w:val="00E51243"/>
    <w:rsid w:val="00E51B0C"/>
    <w:rsid w:val="00E51FF8"/>
    <w:rsid w:val="00E52100"/>
    <w:rsid w:val="00E529BC"/>
    <w:rsid w:val="00E537B4"/>
    <w:rsid w:val="00E61DD6"/>
    <w:rsid w:val="00E62BED"/>
    <w:rsid w:val="00E672DC"/>
    <w:rsid w:val="00E67C1B"/>
    <w:rsid w:val="00E67ED3"/>
    <w:rsid w:val="00E70D97"/>
    <w:rsid w:val="00E73A1B"/>
    <w:rsid w:val="00E73C62"/>
    <w:rsid w:val="00E76310"/>
    <w:rsid w:val="00E7672E"/>
    <w:rsid w:val="00E80C2C"/>
    <w:rsid w:val="00E83CB5"/>
    <w:rsid w:val="00E86DC1"/>
    <w:rsid w:val="00E876A1"/>
    <w:rsid w:val="00E87D9F"/>
    <w:rsid w:val="00E913CB"/>
    <w:rsid w:val="00E91A76"/>
    <w:rsid w:val="00E94FEE"/>
    <w:rsid w:val="00E95A6B"/>
    <w:rsid w:val="00E97737"/>
    <w:rsid w:val="00EA0056"/>
    <w:rsid w:val="00EA14B9"/>
    <w:rsid w:val="00EB00FD"/>
    <w:rsid w:val="00EB0254"/>
    <w:rsid w:val="00EB31CA"/>
    <w:rsid w:val="00EB7BDE"/>
    <w:rsid w:val="00EC0C5E"/>
    <w:rsid w:val="00EC1470"/>
    <w:rsid w:val="00EC18DC"/>
    <w:rsid w:val="00EC6938"/>
    <w:rsid w:val="00ED0D06"/>
    <w:rsid w:val="00ED148F"/>
    <w:rsid w:val="00ED153A"/>
    <w:rsid w:val="00ED310D"/>
    <w:rsid w:val="00ED3249"/>
    <w:rsid w:val="00ED3B47"/>
    <w:rsid w:val="00ED4273"/>
    <w:rsid w:val="00EE0EEB"/>
    <w:rsid w:val="00EE2E33"/>
    <w:rsid w:val="00EE54A3"/>
    <w:rsid w:val="00EE7017"/>
    <w:rsid w:val="00EE7651"/>
    <w:rsid w:val="00EF2A15"/>
    <w:rsid w:val="00EF2F9D"/>
    <w:rsid w:val="00EF4880"/>
    <w:rsid w:val="00EF4F03"/>
    <w:rsid w:val="00EF5254"/>
    <w:rsid w:val="00EF54E6"/>
    <w:rsid w:val="00F00C4C"/>
    <w:rsid w:val="00F02FB6"/>
    <w:rsid w:val="00F03BA0"/>
    <w:rsid w:val="00F04553"/>
    <w:rsid w:val="00F057F6"/>
    <w:rsid w:val="00F07689"/>
    <w:rsid w:val="00F10548"/>
    <w:rsid w:val="00F126D4"/>
    <w:rsid w:val="00F12B67"/>
    <w:rsid w:val="00F1343A"/>
    <w:rsid w:val="00F13B15"/>
    <w:rsid w:val="00F1449F"/>
    <w:rsid w:val="00F17F13"/>
    <w:rsid w:val="00F21027"/>
    <w:rsid w:val="00F212A9"/>
    <w:rsid w:val="00F21A78"/>
    <w:rsid w:val="00F21BE8"/>
    <w:rsid w:val="00F21DB3"/>
    <w:rsid w:val="00F3058D"/>
    <w:rsid w:val="00F33606"/>
    <w:rsid w:val="00F35143"/>
    <w:rsid w:val="00F35903"/>
    <w:rsid w:val="00F3623A"/>
    <w:rsid w:val="00F3797F"/>
    <w:rsid w:val="00F41EA3"/>
    <w:rsid w:val="00F4594E"/>
    <w:rsid w:val="00F4771F"/>
    <w:rsid w:val="00F504C6"/>
    <w:rsid w:val="00F51AE9"/>
    <w:rsid w:val="00F5332E"/>
    <w:rsid w:val="00F54B0B"/>
    <w:rsid w:val="00F54EC9"/>
    <w:rsid w:val="00F55371"/>
    <w:rsid w:val="00F57858"/>
    <w:rsid w:val="00F60524"/>
    <w:rsid w:val="00F60AAA"/>
    <w:rsid w:val="00F61562"/>
    <w:rsid w:val="00F6571B"/>
    <w:rsid w:val="00F7016F"/>
    <w:rsid w:val="00F7204F"/>
    <w:rsid w:val="00F72662"/>
    <w:rsid w:val="00F7544B"/>
    <w:rsid w:val="00F75911"/>
    <w:rsid w:val="00F8004D"/>
    <w:rsid w:val="00F80AF7"/>
    <w:rsid w:val="00F81BE7"/>
    <w:rsid w:val="00F8464C"/>
    <w:rsid w:val="00F85736"/>
    <w:rsid w:val="00F862C9"/>
    <w:rsid w:val="00F8632C"/>
    <w:rsid w:val="00F87B42"/>
    <w:rsid w:val="00F90052"/>
    <w:rsid w:val="00F912A6"/>
    <w:rsid w:val="00F914FD"/>
    <w:rsid w:val="00F94F72"/>
    <w:rsid w:val="00F96701"/>
    <w:rsid w:val="00FA2260"/>
    <w:rsid w:val="00FA33E4"/>
    <w:rsid w:val="00FA61AA"/>
    <w:rsid w:val="00FA6DE7"/>
    <w:rsid w:val="00FB2A3E"/>
    <w:rsid w:val="00FB515C"/>
    <w:rsid w:val="00FB7BF2"/>
    <w:rsid w:val="00FC1CF1"/>
    <w:rsid w:val="00FC5E4C"/>
    <w:rsid w:val="00FD0E8A"/>
    <w:rsid w:val="00FD189C"/>
    <w:rsid w:val="00FD212A"/>
    <w:rsid w:val="00FD41B2"/>
    <w:rsid w:val="00FD4915"/>
    <w:rsid w:val="00FD4B3A"/>
    <w:rsid w:val="00FD4C92"/>
    <w:rsid w:val="00FE062A"/>
    <w:rsid w:val="00FE3866"/>
    <w:rsid w:val="00FE47A5"/>
    <w:rsid w:val="00FE56AC"/>
    <w:rsid w:val="00FE56E7"/>
    <w:rsid w:val="00FE6284"/>
    <w:rsid w:val="00FF20D1"/>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9D24D4"/>
    <w:rPr>
      <w:color w:val="auto"/>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9D24D4"/>
    <w:rPr>
      <w:color w:val="auto"/>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rsid w:val="00772F15"/>
    <w:pPr>
      <w:keepNext/>
      <w:tabs>
        <w:tab w:val="right" w:pos="7088"/>
      </w:tabs>
      <w:spacing w:before="120"/>
      <w:ind w:left="1701" w:hanging="1701"/>
    </w:pPr>
    <w:rPr>
      <w:rFonts w:ascii="Arial" w:hAnsi="Arial"/>
      <w:b/>
      <w:lang w:eastAsia="en-US"/>
    </w:rPr>
  </w:style>
  <w:style w:type="paragraph" w:styleId="TOC2">
    <w:name w:val="toc 2"/>
    <w:basedOn w:val="Normal"/>
    <w:next w:val="Normal"/>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0D736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 w:type="character" w:customStyle="1" w:styleId="CharSectnoAm">
    <w:name w:val="CharSectnoAm"/>
    <w:basedOn w:val="DefaultParagraphFont"/>
    <w:rsid w:val="00B133CD"/>
  </w:style>
  <w:style w:type="paragraph" w:customStyle="1" w:styleId="subsection">
    <w:name w:val="subsection"/>
    <w:aliases w:val="ss,Subsection"/>
    <w:link w:val="subsectionChar"/>
    <w:rsid w:val="004B410B"/>
    <w:pPr>
      <w:tabs>
        <w:tab w:val="right" w:pos="1021"/>
      </w:tabs>
      <w:spacing w:before="180"/>
      <w:ind w:left="1134" w:hanging="1134"/>
    </w:pPr>
    <w:rPr>
      <w:sz w:val="22"/>
      <w:szCs w:val="24"/>
    </w:rPr>
  </w:style>
  <w:style w:type="character" w:customStyle="1" w:styleId="subsectionChar">
    <w:name w:val="subsection Char"/>
    <w:aliases w:val="ss Char"/>
    <w:basedOn w:val="DefaultParagraphFont"/>
    <w:link w:val="subsection"/>
    <w:rsid w:val="004B410B"/>
    <w:rPr>
      <w:sz w:val="22"/>
      <w:szCs w:val="24"/>
      <w:lang w:val="en-AU" w:eastAsia="en-A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www.comlaw.gov.a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CA426-78E5-49BE-BD7B-488461DF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1655</Words>
  <Characters>8482</Characters>
  <Application>Microsoft Office Word</Application>
  <DocSecurity>0</DocSecurity>
  <Lines>255</Lines>
  <Paragraphs>126</Paragraphs>
  <ScaleCrop>false</ScaleCrop>
  <HeadingPairs>
    <vt:vector size="2" baseType="variant">
      <vt:variant>
        <vt:lpstr>Title</vt:lpstr>
      </vt:variant>
      <vt:variant>
        <vt:i4>1</vt:i4>
      </vt:variant>
    </vt:vector>
  </HeadingPairs>
  <TitlesOfParts>
    <vt:vector size="1" baseType="lpstr">
      <vt:lpstr>Corporations Amendment Regulations 2010 (No.   )</vt:lpstr>
    </vt:vector>
  </TitlesOfParts>
  <Manager/>
  <Company/>
  <LinksUpToDate>false</LinksUpToDate>
  <CharactersWithSpaces>10085</CharactersWithSpaces>
  <SharedDoc>false</SharedDoc>
  <HLinks>
    <vt:vector size="6" baseType="variant">
      <vt:variant>
        <vt:i4>6160468</vt:i4>
      </vt:variant>
      <vt:variant>
        <vt:i4>39</vt:i4>
      </vt:variant>
      <vt:variant>
        <vt:i4>0</vt:i4>
      </vt:variant>
      <vt:variant>
        <vt:i4>5</vt:i4>
      </vt:variant>
      <vt:variant>
        <vt:lpwstr>http://www.comlaw.gov.au/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Amendment Regulations 2010 (No.   )</dc:title>
  <dc:subject/>
  <dc:creator/>
  <cp:keywords/>
  <cp:lastModifiedBy/>
  <cp:revision>1</cp:revision>
  <cp:lastPrinted>2012-07-03T23:32:00Z</cp:lastPrinted>
  <dcterms:created xsi:type="dcterms:W3CDTF">2012-07-10T06:10:00Z</dcterms:created>
  <dcterms:modified xsi:type="dcterms:W3CDTF">2012-07-10T06:10:00Z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162</vt:lpwstr>
  </property>
  <property fmtid="{D5CDD505-2E9C-101B-9397-08002B2CF9AE}" pid="3" name="IndexMatter">
    <vt:lpwstr>1009828A</vt:lpwstr>
  </property>
  <property fmtid="{D5CDD505-2E9C-101B-9397-08002B2CF9AE}" pid="4" name="Editor">
    <vt:bool>true</vt:bool>
  </property>
  <property fmtid="{D5CDD505-2E9C-101B-9397-08002B2CF9AE}" pid="5" name="Final">
    <vt:bool>true</vt:bool>
  </property>
</Properties>
</file>