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EC" w:rsidRPr="0095171D" w:rsidRDefault="00EA7F44">
      <w:pPr>
        <w:tabs>
          <w:tab w:val="left" w:pos="406"/>
        </w:tabs>
      </w:pPr>
      <w:r w:rsidRPr="0095171D">
        <w:rPr>
          <w:noProof/>
        </w:rPr>
        <w:drawing>
          <wp:inline distT="0" distB="0" distL="0" distR="0">
            <wp:extent cx="1419225"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FC10B1" w:rsidRPr="0095171D" w:rsidRDefault="008070EA">
      <w:pPr>
        <w:pStyle w:val="Title"/>
        <w:pBdr>
          <w:bottom w:val="single" w:sz="4" w:space="3" w:color="auto"/>
        </w:pBdr>
        <w:rPr>
          <w:rFonts w:ascii="Times New Roman" w:hAnsi="Times New Roman" w:cs="Times New Roman"/>
        </w:rPr>
      </w:pPr>
      <w:bookmarkStart w:id="0" w:name="Citation"/>
      <w:r w:rsidRPr="0095171D">
        <w:rPr>
          <w:rFonts w:ascii="Times New Roman" w:hAnsi="Times New Roman" w:cs="Times New Roman"/>
        </w:rPr>
        <w:t>Carbon Farming (</w:t>
      </w:r>
      <w:r w:rsidR="00B20A0C" w:rsidRPr="0095171D">
        <w:rPr>
          <w:rFonts w:ascii="Times New Roman" w:hAnsi="Times New Roman" w:cs="Times New Roman"/>
        </w:rPr>
        <w:t>Reduction of Greenhouse Gas Emissions through E</w:t>
      </w:r>
      <w:r w:rsidR="00B837B6" w:rsidRPr="0095171D">
        <w:rPr>
          <w:rFonts w:ascii="Times New Roman" w:hAnsi="Times New Roman" w:cs="Times New Roman"/>
        </w:rPr>
        <w:t xml:space="preserve">arly </w:t>
      </w:r>
      <w:r w:rsidR="00A96846">
        <w:rPr>
          <w:rFonts w:ascii="Times New Roman" w:hAnsi="Times New Roman" w:cs="Times New Roman"/>
        </w:rPr>
        <w:t xml:space="preserve">Dry </w:t>
      </w:r>
      <w:r w:rsidR="00B837B6" w:rsidRPr="0095171D">
        <w:rPr>
          <w:rFonts w:ascii="Times New Roman" w:hAnsi="Times New Roman" w:cs="Times New Roman"/>
        </w:rPr>
        <w:t>Season Savanna Burning</w:t>
      </w:r>
      <w:r w:rsidRPr="0095171D">
        <w:rPr>
          <w:rFonts w:ascii="Times New Roman" w:hAnsi="Times New Roman" w:cs="Times New Roman"/>
        </w:rPr>
        <w:t xml:space="preserve">) </w:t>
      </w:r>
      <w:r w:rsidR="00D146CB" w:rsidRPr="0095171D">
        <w:rPr>
          <w:rFonts w:ascii="Times New Roman" w:hAnsi="Times New Roman" w:cs="Times New Roman"/>
        </w:rPr>
        <w:t>Methodology Determination</w:t>
      </w:r>
      <w:r w:rsidRPr="0095171D">
        <w:rPr>
          <w:rFonts w:ascii="Times New Roman" w:hAnsi="Times New Roman" w:cs="Times New Roman"/>
        </w:rPr>
        <w:t xml:space="preserve"> </w:t>
      </w:r>
      <w:bookmarkEnd w:id="0"/>
      <w:r w:rsidRPr="0095171D">
        <w:rPr>
          <w:rFonts w:ascii="Times New Roman" w:hAnsi="Times New Roman" w:cs="Times New Roman"/>
        </w:rPr>
        <w:t>2012</w:t>
      </w:r>
    </w:p>
    <w:p w:rsidR="00FC10B1" w:rsidRPr="0095171D" w:rsidRDefault="008070EA">
      <w:pPr>
        <w:pBdr>
          <w:bottom w:val="single" w:sz="4" w:space="3" w:color="auto"/>
        </w:pBdr>
        <w:spacing w:before="480"/>
        <w:rPr>
          <w:i/>
          <w:sz w:val="28"/>
          <w:szCs w:val="28"/>
          <w:lang w:val="en-US"/>
        </w:rPr>
      </w:pPr>
      <w:r w:rsidRPr="0095171D">
        <w:rPr>
          <w:i/>
          <w:sz w:val="28"/>
          <w:szCs w:val="28"/>
          <w:lang w:val="en-US"/>
        </w:rPr>
        <w:t>Carbon Credits (Carbon Farming Initiative) Act 2011</w:t>
      </w:r>
    </w:p>
    <w:p w:rsidR="00FC10B1" w:rsidRPr="0095171D" w:rsidRDefault="008070EA">
      <w:pPr>
        <w:spacing w:before="360"/>
        <w:jc w:val="both"/>
      </w:pPr>
      <w:r w:rsidRPr="0095171D">
        <w:t>I, MARK DREYFUS, Parliamentary Secretary for Climate Change and Energy Ef</w:t>
      </w:r>
      <w:r w:rsidR="00B837B6" w:rsidRPr="0095171D">
        <w:t xml:space="preserve">ficiency, make this </w:t>
      </w:r>
      <w:r w:rsidR="00D146CB" w:rsidRPr="0095171D">
        <w:t>Methodology Determination</w:t>
      </w:r>
      <w:r w:rsidRPr="0095171D">
        <w:t xml:space="preserve"> under subsection 106 (1) of the </w:t>
      </w:r>
      <w:r w:rsidRPr="0095171D">
        <w:rPr>
          <w:i/>
        </w:rPr>
        <w:t>Carbon Credits (Carbon Farming Initiative) Act 2011</w:t>
      </w:r>
      <w:r w:rsidRPr="0095171D">
        <w:t>.</w:t>
      </w:r>
    </w:p>
    <w:p w:rsidR="00FC10B1" w:rsidRPr="0095171D" w:rsidRDefault="008070EA" w:rsidP="00152967">
      <w:pPr>
        <w:tabs>
          <w:tab w:val="left" w:pos="720"/>
          <w:tab w:val="left" w:pos="1440"/>
          <w:tab w:val="left" w:pos="2160"/>
          <w:tab w:val="left" w:pos="2880"/>
          <w:tab w:val="left" w:pos="3600"/>
          <w:tab w:val="left" w:pos="4972"/>
        </w:tabs>
        <w:spacing w:before="360"/>
        <w:jc w:val="both"/>
      </w:pPr>
      <w:r w:rsidRPr="0095171D">
        <w:t xml:space="preserve">Dated </w:t>
      </w:r>
      <w:bookmarkStart w:id="1" w:name="Year"/>
      <w:r w:rsidR="001756BA">
        <w:t xml:space="preserve">8 June </w:t>
      </w:r>
      <w:r w:rsidRPr="0095171D">
        <w:t>2012</w:t>
      </w:r>
      <w:bookmarkEnd w:id="1"/>
      <w:r w:rsidR="00152967" w:rsidRPr="0095171D">
        <w:tab/>
      </w:r>
    </w:p>
    <w:p w:rsidR="00FC10B1" w:rsidRPr="0095171D" w:rsidRDefault="00FC10B1" w:rsidP="00152967">
      <w:pPr>
        <w:spacing w:before="360"/>
        <w:jc w:val="both"/>
      </w:pPr>
    </w:p>
    <w:p w:rsidR="00065376" w:rsidRPr="0095171D" w:rsidRDefault="00065376" w:rsidP="00152967">
      <w:pPr>
        <w:spacing w:before="360"/>
        <w:jc w:val="both"/>
      </w:pPr>
      <w:bookmarkStart w:id="2" w:name="Minister"/>
    </w:p>
    <w:p w:rsidR="00065376" w:rsidRPr="0095171D" w:rsidRDefault="00065376" w:rsidP="00152967">
      <w:pPr>
        <w:spacing w:before="360"/>
        <w:jc w:val="both"/>
      </w:pPr>
    </w:p>
    <w:p w:rsidR="00065376" w:rsidRPr="0095171D" w:rsidRDefault="00065376" w:rsidP="00152967">
      <w:pPr>
        <w:spacing w:before="360"/>
        <w:jc w:val="both"/>
      </w:pPr>
    </w:p>
    <w:p w:rsidR="00065376" w:rsidRPr="0095171D" w:rsidRDefault="001756BA" w:rsidP="00152967">
      <w:pPr>
        <w:spacing w:before="360"/>
        <w:jc w:val="both"/>
      </w:pPr>
      <w:r>
        <w:t>MARK DREYFUS</w:t>
      </w:r>
    </w:p>
    <w:bookmarkEnd w:id="2"/>
    <w:p w:rsidR="00152967" w:rsidRPr="0095171D" w:rsidRDefault="00152967" w:rsidP="00152967">
      <w:pPr>
        <w:pBdr>
          <w:bottom w:val="single" w:sz="4" w:space="12" w:color="auto"/>
        </w:pBdr>
        <w:tabs>
          <w:tab w:val="left" w:pos="3119"/>
        </w:tabs>
        <w:spacing w:after="240" w:line="300" w:lineRule="atLeast"/>
      </w:pPr>
      <w:r w:rsidRPr="0095171D">
        <w:t>Parliamentary Secretary for Climate Change and Energy Efficiency</w:t>
      </w:r>
    </w:p>
    <w:p w:rsidR="00E4445C" w:rsidRPr="0095171D" w:rsidRDefault="00B0547F" w:rsidP="00AC7875">
      <w:pPr>
        <w:pStyle w:val="ContentsHead"/>
        <w:rPr>
          <w:rFonts w:ascii="Times New Roman" w:hAnsi="Times New Roman"/>
          <w:b w:val="0"/>
        </w:rPr>
      </w:pPr>
      <w:r w:rsidRPr="00B0547F">
        <w:rPr>
          <w:rFonts w:ascii="Times New Roman" w:hAnsi="Times New Roman"/>
          <w:b w:val="0"/>
        </w:rPr>
        <w:lastRenderedPageBreak/>
        <w:t>Contents</w:t>
      </w:r>
    </w:p>
    <w:p w:rsidR="00FF3384" w:rsidRPr="00BC3CD6" w:rsidRDefault="00B36D41" w:rsidP="0013141D">
      <w:pPr>
        <w:pStyle w:val="TOC1"/>
        <w:rPr>
          <w:rFonts w:eastAsiaTheme="minorEastAsia"/>
          <w:sz w:val="20"/>
          <w:szCs w:val="20"/>
          <w:lang w:eastAsia="en-AU"/>
        </w:rPr>
      </w:pPr>
      <w:r w:rsidRPr="00B36D41">
        <w:rPr>
          <w:sz w:val="20"/>
          <w:szCs w:val="20"/>
        </w:rPr>
        <w:fldChar w:fldCharType="begin"/>
      </w:r>
      <w:r w:rsidR="0051445F" w:rsidRPr="00BC3CD6">
        <w:rPr>
          <w:sz w:val="20"/>
          <w:szCs w:val="20"/>
        </w:rPr>
        <w:instrText xml:space="preserve"> TOC \o "1-9" \t "HC,1, HP,2, HD,3, HS,4,CHS,4, HR,5, RGHead,7, Schedule title,6, Schedule part,8, Schedule Division,8, RX.SC,8, Dictionary Heading,2, Note Heading,9" </w:instrText>
      </w:r>
      <w:r w:rsidRPr="00B36D41">
        <w:rPr>
          <w:sz w:val="20"/>
          <w:szCs w:val="20"/>
        </w:rPr>
        <w:fldChar w:fldCharType="separate"/>
      </w:r>
      <w:r w:rsidR="00FF3384" w:rsidRPr="00BC3CD6">
        <w:rPr>
          <w:sz w:val="20"/>
          <w:szCs w:val="20"/>
        </w:rPr>
        <w:t>Part 1 Preliminary</w:t>
      </w:r>
      <w:r w:rsidR="00FF3384" w:rsidRPr="00BC3CD6">
        <w:rPr>
          <w:sz w:val="20"/>
          <w:szCs w:val="20"/>
        </w:rPr>
        <w:tab/>
      </w:r>
      <w:r w:rsidR="00BC3CD6" w:rsidRPr="00BC3CD6">
        <w:rPr>
          <w:sz w:val="20"/>
          <w:szCs w:val="20"/>
        </w:rPr>
        <w:tab/>
      </w:r>
      <w:r w:rsidRPr="003B1B47">
        <w:rPr>
          <w:sz w:val="20"/>
          <w:szCs w:val="20"/>
        </w:rPr>
        <w:fldChar w:fldCharType="begin"/>
      </w:r>
      <w:r w:rsidR="00FF3384" w:rsidRPr="003B1B47">
        <w:rPr>
          <w:sz w:val="20"/>
          <w:szCs w:val="20"/>
        </w:rPr>
        <w:instrText xml:space="preserve"> PAGEREF _Toc325039143 \h </w:instrText>
      </w:r>
      <w:r w:rsidRPr="003B1B47">
        <w:rPr>
          <w:sz w:val="20"/>
          <w:szCs w:val="20"/>
        </w:rPr>
      </w:r>
      <w:r w:rsidRPr="003B1B47">
        <w:rPr>
          <w:sz w:val="20"/>
          <w:szCs w:val="20"/>
        </w:rPr>
        <w:fldChar w:fldCharType="separate"/>
      </w:r>
      <w:r w:rsidR="001756BA">
        <w:rPr>
          <w:sz w:val="20"/>
          <w:szCs w:val="20"/>
        </w:rPr>
        <w:t>5</w:t>
      </w:r>
      <w:r w:rsidRPr="003B1B47">
        <w:rPr>
          <w:sz w:val="20"/>
          <w:szCs w:val="20"/>
        </w:rPr>
        <w:fldChar w:fldCharType="end"/>
      </w:r>
    </w:p>
    <w:p w:rsidR="00FF3384" w:rsidRPr="00BC3CD6" w:rsidRDefault="00FF3384">
      <w:pPr>
        <w:pStyle w:val="TOC3"/>
        <w:rPr>
          <w:rFonts w:eastAsiaTheme="minorEastAsia"/>
          <w:szCs w:val="20"/>
          <w:lang w:eastAsia="en-AU"/>
        </w:rPr>
      </w:pPr>
      <w:r w:rsidRPr="00BC3CD6">
        <w:rPr>
          <w:szCs w:val="20"/>
        </w:rPr>
        <w:t>1.1</w:t>
      </w:r>
      <w:r w:rsidRPr="00BC3CD6">
        <w:rPr>
          <w:rFonts w:eastAsiaTheme="minorEastAsia"/>
          <w:szCs w:val="20"/>
          <w:lang w:eastAsia="en-AU"/>
        </w:rPr>
        <w:tab/>
      </w:r>
      <w:r w:rsidRPr="00BC3CD6">
        <w:rPr>
          <w:szCs w:val="20"/>
        </w:rPr>
        <w:t>Name of Methodology Determination</w:t>
      </w:r>
      <w:r w:rsidRPr="00BC3CD6">
        <w:rPr>
          <w:szCs w:val="20"/>
        </w:rPr>
        <w:tab/>
      </w:r>
      <w:r w:rsidR="00B36D41" w:rsidRPr="00BC3CD6">
        <w:rPr>
          <w:szCs w:val="20"/>
        </w:rPr>
        <w:fldChar w:fldCharType="begin"/>
      </w:r>
      <w:r w:rsidRPr="00BC3CD6">
        <w:rPr>
          <w:szCs w:val="20"/>
        </w:rPr>
        <w:instrText xml:space="preserve"> PAGEREF _Toc325039144 \h </w:instrText>
      </w:r>
      <w:r w:rsidR="00B36D41" w:rsidRPr="00BC3CD6">
        <w:rPr>
          <w:szCs w:val="20"/>
        </w:rPr>
      </w:r>
      <w:r w:rsidR="00B36D41" w:rsidRPr="00BC3CD6">
        <w:rPr>
          <w:szCs w:val="20"/>
        </w:rPr>
        <w:fldChar w:fldCharType="separate"/>
      </w:r>
      <w:r w:rsidR="001756BA">
        <w:rPr>
          <w:szCs w:val="20"/>
        </w:rPr>
        <w:t>5</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1.2</w:t>
      </w:r>
      <w:r w:rsidRPr="00BC3CD6">
        <w:rPr>
          <w:rFonts w:eastAsiaTheme="minorEastAsia"/>
          <w:szCs w:val="20"/>
          <w:lang w:eastAsia="en-AU"/>
        </w:rPr>
        <w:tab/>
      </w:r>
      <w:r w:rsidRPr="00BC3CD6">
        <w:rPr>
          <w:szCs w:val="20"/>
        </w:rPr>
        <w:t>Commencement</w:t>
      </w:r>
      <w:r w:rsidRPr="00BC3CD6">
        <w:rPr>
          <w:szCs w:val="20"/>
        </w:rPr>
        <w:tab/>
      </w:r>
      <w:r w:rsidR="00B36D41" w:rsidRPr="00BC3CD6">
        <w:rPr>
          <w:szCs w:val="20"/>
        </w:rPr>
        <w:fldChar w:fldCharType="begin"/>
      </w:r>
      <w:r w:rsidRPr="00BC3CD6">
        <w:rPr>
          <w:szCs w:val="20"/>
        </w:rPr>
        <w:instrText xml:space="preserve"> PAGEREF _Toc325039145 \h </w:instrText>
      </w:r>
      <w:r w:rsidR="00B36D41" w:rsidRPr="00BC3CD6">
        <w:rPr>
          <w:szCs w:val="20"/>
        </w:rPr>
      </w:r>
      <w:r w:rsidR="00B36D41" w:rsidRPr="00BC3CD6">
        <w:rPr>
          <w:szCs w:val="20"/>
        </w:rPr>
        <w:fldChar w:fldCharType="separate"/>
      </w:r>
      <w:r w:rsidR="001756BA">
        <w:rPr>
          <w:szCs w:val="20"/>
        </w:rPr>
        <w:t>5</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1.3</w:t>
      </w:r>
      <w:r w:rsidRPr="00BC3CD6">
        <w:rPr>
          <w:rFonts w:eastAsiaTheme="minorEastAsia"/>
          <w:szCs w:val="20"/>
          <w:lang w:eastAsia="en-AU"/>
        </w:rPr>
        <w:tab/>
      </w:r>
      <w:r w:rsidRPr="00BC3CD6">
        <w:rPr>
          <w:szCs w:val="20"/>
        </w:rPr>
        <w:t>Application</w:t>
      </w:r>
      <w:r w:rsidRPr="00BC3CD6">
        <w:rPr>
          <w:szCs w:val="20"/>
        </w:rPr>
        <w:tab/>
      </w:r>
      <w:r w:rsidR="00B36D41" w:rsidRPr="00BC3CD6">
        <w:rPr>
          <w:szCs w:val="20"/>
        </w:rPr>
        <w:fldChar w:fldCharType="begin"/>
      </w:r>
      <w:r w:rsidRPr="00BC3CD6">
        <w:rPr>
          <w:szCs w:val="20"/>
        </w:rPr>
        <w:instrText xml:space="preserve"> PAGEREF _Toc325039146 \h </w:instrText>
      </w:r>
      <w:r w:rsidR="00B36D41" w:rsidRPr="00BC3CD6">
        <w:rPr>
          <w:szCs w:val="20"/>
        </w:rPr>
      </w:r>
      <w:r w:rsidR="00B36D41" w:rsidRPr="00BC3CD6">
        <w:rPr>
          <w:szCs w:val="20"/>
        </w:rPr>
        <w:fldChar w:fldCharType="separate"/>
      </w:r>
      <w:r w:rsidR="001756BA">
        <w:rPr>
          <w:szCs w:val="20"/>
        </w:rPr>
        <w:t>5</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1.4</w:t>
      </w:r>
      <w:r w:rsidRPr="00BC3CD6">
        <w:rPr>
          <w:rFonts w:eastAsiaTheme="minorEastAsia"/>
          <w:szCs w:val="20"/>
          <w:lang w:eastAsia="en-AU"/>
        </w:rPr>
        <w:tab/>
      </w:r>
      <w:r w:rsidRPr="00BC3CD6">
        <w:rPr>
          <w:szCs w:val="20"/>
        </w:rPr>
        <w:t>Definitions</w:t>
      </w:r>
      <w:r w:rsidRPr="00BC3CD6">
        <w:rPr>
          <w:szCs w:val="20"/>
        </w:rPr>
        <w:tab/>
      </w:r>
      <w:r w:rsidR="00B36D41" w:rsidRPr="00BC3CD6">
        <w:rPr>
          <w:szCs w:val="20"/>
        </w:rPr>
        <w:fldChar w:fldCharType="begin"/>
      </w:r>
      <w:r w:rsidRPr="00BC3CD6">
        <w:rPr>
          <w:szCs w:val="20"/>
        </w:rPr>
        <w:instrText xml:space="preserve"> PAGEREF _Toc325039147 \h </w:instrText>
      </w:r>
      <w:r w:rsidR="00B36D41" w:rsidRPr="00BC3CD6">
        <w:rPr>
          <w:szCs w:val="20"/>
        </w:rPr>
      </w:r>
      <w:r w:rsidR="00B36D41" w:rsidRPr="00BC3CD6">
        <w:rPr>
          <w:szCs w:val="20"/>
        </w:rPr>
        <w:fldChar w:fldCharType="separate"/>
      </w:r>
      <w:r w:rsidR="001756BA">
        <w:rPr>
          <w:szCs w:val="20"/>
        </w:rPr>
        <w:t>5</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1.5</w:t>
      </w:r>
      <w:r w:rsidRPr="00BC3CD6">
        <w:rPr>
          <w:rFonts w:eastAsiaTheme="minorEastAsia"/>
          <w:szCs w:val="20"/>
          <w:lang w:eastAsia="en-AU"/>
        </w:rPr>
        <w:tab/>
      </w:r>
      <w:r w:rsidRPr="00BC3CD6">
        <w:rPr>
          <w:szCs w:val="20"/>
        </w:rPr>
        <w:t>Interpretation</w:t>
      </w:r>
      <w:r w:rsidRPr="00BC3CD6">
        <w:rPr>
          <w:szCs w:val="20"/>
        </w:rPr>
        <w:tab/>
      </w:r>
      <w:r w:rsidR="00B36D41" w:rsidRPr="00BC3CD6">
        <w:rPr>
          <w:szCs w:val="20"/>
        </w:rPr>
        <w:fldChar w:fldCharType="begin"/>
      </w:r>
      <w:r w:rsidRPr="00BC3CD6">
        <w:rPr>
          <w:szCs w:val="20"/>
        </w:rPr>
        <w:instrText xml:space="preserve"> PAGEREF _Toc325039148 \h </w:instrText>
      </w:r>
      <w:r w:rsidR="00B36D41" w:rsidRPr="00BC3CD6">
        <w:rPr>
          <w:szCs w:val="20"/>
        </w:rPr>
      </w:r>
      <w:r w:rsidR="00B36D41" w:rsidRPr="00BC3CD6">
        <w:rPr>
          <w:szCs w:val="20"/>
        </w:rPr>
        <w:fldChar w:fldCharType="separate"/>
      </w:r>
      <w:r w:rsidR="001756BA">
        <w:rPr>
          <w:szCs w:val="20"/>
        </w:rPr>
        <w:t>7</w:t>
      </w:r>
      <w:r w:rsidR="00B36D41" w:rsidRPr="00BC3CD6">
        <w:rPr>
          <w:szCs w:val="20"/>
        </w:rPr>
        <w:fldChar w:fldCharType="end"/>
      </w:r>
    </w:p>
    <w:p w:rsidR="00FF3384" w:rsidRPr="00BC3CD6" w:rsidRDefault="00FF3384" w:rsidP="0013141D">
      <w:pPr>
        <w:pStyle w:val="TOC1"/>
        <w:rPr>
          <w:rFonts w:eastAsiaTheme="minorEastAsia"/>
          <w:sz w:val="20"/>
          <w:szCs w:val="20"/>
          <w:lang w:eastAsia="en-AU"/>
        </w:rPr>
      </w:pPr>
      <w:r w:rsidRPr="00BC3CD6">
        <w:rPr>
          <w:sz w:val="20"/>
          <w:szCs w:val="20"/>
        </w:rPr>
        <w:t>Part 2</w:t>
      </w:r>
      <w:r w:rsidRPr="00BC3CD6">
        <w:rPr>
          <w:rFonts w:eastAsiaTheme="minorEastAsia"/>
          <w:sz w:val="20"/>
          <w:szCs w:val="20"/>
          <w:lang w:eastAsia="en-AU"/>
        </w:rPr>
        <w:tab/>
      </w:r>
      <w:r w:rsidRPr="00BC3CD6">
        <w:rPr>
          <w:sz w:val="20"/>
          <w:szCs w:val="20"/>
        </w:rPr>
        <w:t>Project Requirements</w:t>
      </w:r>
      <w:r w:rsidRPr="00BC3CD6">
        <w:rPr>
          <w:sz w:val="20"/>
          <w:szCs w:val="20"/>
        </w:rPr>
        <w:tab/>
      </w:r>
      <w:r w:rsidR="00B36D41" w:rsidRPr="003B1B47">
        <w:rPr>
          <w:sz w:val="20"/>
          <w:szCs w:val="20"/>
        </w:rPr>
        <w:fldChar w:fldCharType="begin"/>
      </w:r>
      <w:r w:rsidRPr="003B1B47">
        <w:rPr>
          <w:sz w:val="20"/>
          <w:szCs w:val="20"/>
        </w:rPr>
        <w:instrText xml:space="preserve"> PAGEREF _Toc325039149 \h </w:instrText>
      </w:r>
      <w:r w:rsidR="00B36D41" w:rsidRPr="003B1B47">
        <w:rPr>
          <w:sz w:val="20"/>
          <w:szCs w:val="20"/>
        </w:rPr>
      </w:r>
      <w:r w:rsidR="00B36D41" w:rsidRPr="003B1B47">
        <w:rPr>
          <w:sz w:val="20"/>
          <w:szCs w:val="20"/>
        </w:rPr>
        <w:fldChar w:fldCharType="separate"/>
      </w:r>
      <w:r w:rsidR="001756BA">
        <w:rPr>
          <w:sz w:val="20"/>
          <w:szCs w:val="20"/>
        </w:rPr>
        <w:t>8</w:t>
      </w:r>
      <w:r w:rsidR="00B36D41" w:rsidRPr="003B1B47">
        <w:rPr>
          <w:sz w:val="20"/>
          <w:szCs w:val="20"/>
        </w:rPr>
        <w:fldChar w:fldCharType="end"/>
      </w:r>
    </w:p>
    <w:p w:rsidR="00FF3384" w:rsidRPr="00BC3CD6" w:rsidRDefault="00FF3384">
      <w:pPr>
        <w:pStyle w:val="TOC3"/>
        <w:rPr>
          <w:rFonts w:eastAsiaTheme="minorEastAsia"/>
          <w:szCs w:val="20"/>
          <w:lang w:eastAsia="en-AU"/>
        </w:rPr>
      </w:pPr>
      <w:r w:rsidRPr="00BC3CD6">
        <w:rPr>
          <w:szCs w:val="20"/>
        </w:rPr>
        <w:t>2.1</w:t>
      </w:r>
      <w:r w:rsidRPr="00BC3CD6">
        <w:rPr>
          <w:rFonts w:eastAsiaTheme="minorEastAsia"/>
          <w:szCs w:val="20"/>
          <w:lang w:eastAsia="en-AU"/>
        </w:rPr>
        <w:tab/>
      </w:r>
      <w:r w:rsidRPr="00BC3CD6">
        <w:rPr>
          <w:szCs w:val="20"/>
        </w:rPr>
        <w:t>Requirements that must be met for an offsets project to be an eligible offsets project</w:t>
      </w:r>
      <w:r w:rsidRPr="00BC3CD6">
        <w:rPr>
          <w:szCs w:val="20"/>
        </w:rPr>
        <w:tab/>
      </w:r>
      <w:r w:rsidR="00B36D41" w:rsidRPr="00BC3CD6">
        <w:rPr>
          <w:szCs w:val="20"/>
        </w:rPr>
        <w:fldChar w:fldCharType="begin"/>
      </w:r>
      <w:r w:rsidRPr="00BC3CD6">
        <w:rPr>
          <w:szCs w:val="20"/>
        </w:rPr>
        <w:instrText xml:space="preserve"> PAGEREF _Toc325039150 \h </w:instrText>
      </w:r>
      <w:r w:rsidR="00B36D41" w:rsidRPr="00BC3CD6">
        <w:rPr>
          <w:szCs w:val="20"/>
        </w:rPr>
      </w:r>
      <w:r w:rsidR="00B36D41" w:rsidRPr="00BC3CD6">
        <w:rPr>
          <w:szCs w:val="20"/>
        </w:rPr>
        <w:fldChar w:fldCharType="separate"/>
      </w:r>
      <w:r w:rsidR="001756BA">
        <w:rPr>
          <w:szCs w:val="20"/>
        </w:rPr>
        <w:t>8</w:t>
      </w:r>
      <w:r w:rsidR="00B36D41" w:rsidRPr="00BC3CD6">
        <w:rPr>
          <w:szCs w:val="20"/>
        </w:rPr>
        <w:fldChar w:fldCharType="end"/>
      </w:r>
    </w:p>
    <w:p w:rsidR="00FF3384" w:rsidRPr="00BC3CD6" w:rsidRDefault="00FF3384" w:rsidP="0013141D">
      <w:pPr>
        <w:pStyle w:val="TOC1"/>
        <w:rPr>
          <w:rFonts w:eastAsiaTheme="minorEastAsia"/>
          <w:sz w:val="20"/>
          <w:szCs w:val="20"/>
          <w:lang w:eastAsia="en-AU"/>
        </w:rPr>
      </w:pPr>
      <w:r w:rsidRPr="00BC3CD6">
        <w:rPr>
          <w:sz w:val="20"/>
          <w:szCs w:val="20"/>
        </w:rPr>
        <w:t>Part 3</w:t>
      </w:r>
      <w:r w:rsidRPr="00BC3CD6">
        <w:rPr>
          <w:rFonts w:eastAsiaTheme="minorEastAsia"/>
          <w:sz w:val="20"/>
          <w:szCs w:val="20"/>
          <w:lang w:eastAsia="en-AU"/>
        </w:rPr>
        <w:tab/>
      </w:r>
      <w:r w:rsidRPr="00BC3CD6">
        <w:rPr>
          <w:sz w:val="20"/>
          <w:szCs w:val="20"/>
        </w:rPr>
        <w:t>Calculating the carbon dioxide equivalent net abatement amount for a project</w:t>
      </w:r>
      <w:r w:rsidRPr="00BC3CD6">
        <w:rPr>
          <w:sz w:val="20"/>
          <w:szCs w:val="20"/>
        </w:rPr>
        <w:tab/>
      </w:r>
      <w:r w:rsidR="00B36D41" w:rsidRPr="003B1B47">
        <w:rPr>
          <w:sz w:val="20"/>
          <w:szCs w:val="20"/>
        </w:rPr>
        <w:fldChar w:fldCharType="begin"/>
      </w:r>
      <w:r w:rsidRPr="003B1B47">
        <w:rPr>
          <w:sz w:val="20"/>
          <w:szCs w:val="20"/>
        </w:rPr>
        <w:instrText xml:space="preserve"> PAGEREF _Toc325039151 \h </w:instrText>
      </w:r>
      <w:r w:rsidR="00B36D41" w:rsidRPr="003B1B47">
        <w:rPr>
          <w:sz w:val="20"/>
          <w:szCs w:val="20"/>
        </w:rPr>
      </w:r>
      <w:r w:rsidR="00B36D41" w:rsidRPr="003B1B47">
        <w:rPr>
          <w:sz w:val="20"/>
          <w:szCs w:val="20"/>
        </w:rPr>
        <w:fldChar w:fldCharType="separate"/>
      </w:r>
      <w:r w:rsidR="001756BA">
        <w:rPr>
          <w:sz w:val="20"/>
          <w:szCs w:val="20"/>
        </w:rPr>
        <w:t>9</w:t>
      </w:r>
      <w:r w:rsidR="00B36D41" w:rsidRPr="003B1B47">
        <w:rPr>
          <w:sz w:val="20"/>
          <w:szCs w:val="20"/>
        </w:rPr>
        <w:fldChar w:fldCharType="end"/>
      </w:r>
    </w:p>
    <w:p w:rsidR="00FF3384" w:rsidRPr="00BC3CD6" w:rsidRDefault="00FF3384" w:rsidP="0013141D">
      <w:pPr>
        <w:pStyle w:val="TOC4"/>
        <w:rPr>
          <w:rFonts w:eastAsiaTheme="minorEastAsia"/>
          <w:sz w:val="20"/>
          <w:szCs w:val="20"/>
          <w:lang w:eastAsia="en-AU"/>
        </w:rPr>
      </w:pPr>
      <w:r w:rsidRPr="00BC3CD6">
        <w:rPr>
          <w:sz w:val="20"/>
          <w:szCs w:val="20"/>
        </w:rPr>
        <w:t>Division 3.1</w:t>
      </w:r>
      <w:r w:rsidRPr="00BC3CD6">
        <w:rPr>
          <w:rFonts w:eastAsiaTheme="minorEastAsia"/>
          <w:sz w:val="20"/>
          <w:szCs w:val="20"/>
          <w:lang w:eastAsia="en-AU"/>
        </w:rPr>
        <w:tab/>
      </w:r>
      <w:r w:rsidRPr="00BC3CD6">
        <w:rPr>
          <w:sz w:val="20"/>
          <w:szCs w:val="20"/>
        </w:rPr>
        <w:t>Preliminary</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_Toc325039152 \h </w:instrText>
      </w:r>
      <w:r w:rsidR="00B36D41" w:rsidRPr="00BC3CD6">
        <w:rPr>
          <w:b w:val="0"/>
          <w:sz w:val="20"/>
          <w:szCs w:val="20"/>
        </w:rPr>
      </w:r>
      <w:r w:rsidR="00B36D41" w:rsidRPr="00BC3CD6">
        <w:rPr>
          <w:b w:val="0"/>
          <w:sz w:val="20"/>
          <w:szCs w:val="20"/>
        </w:rPr>
        <w:fldChar w:fldCharType="separate"/>
      </w:r>
      <w:r w:rsidR="001756BA">
        <w:rPr>
          <w:b w:val="0"/>
          <w:sz w:val="20"/>
          <w:szCs w:val="20"/>
        </w:rPr>
        <w:t>9</w:t>
      </w:r>
      <w:r w:rsidR="00B36D41" w:rsidRPr="00BC3CD6">
        <w:rPr>
          <w:b w:val="0"/>
          <w:sz w:val="20"/>
          <w:szCs w:val="20"/>
        </w:rPr>
        <w:fldChar w:fldCharType="end"/>
      </w:r>
    </w:p>
    <w:p w:rsidR="00FF3384" w:rsidRPr="00BC3CD6" w:rsidRDefault="00FF3384">
      <w:pPr>
        <w:pStyle w:val="TOC3"/>
        <w:rPr>
          <w:rFonts w:eastAsiaTheme="minorEastAsia"/>
          <w:szCs w:val="20"/>
          <w:lang w:eastAsia="en-AU"/>
        </w:rPr>
      </w:pPr>
      <w:r w:rsidRPr="00BC3CD6">
        <w:rPr>
          <w:szCs w:val="20"/>
        </w:rPr>
        <w:t>3.1</w:t>
      </w:r>
      <w:r w:rsidRPr="00BC3CD6">
        <w:rPr>
          <w:rFonts w:eastAsiaTheme="minorEastAsia"/>
          <w:szCs w:val="20"/>
          <w:lang w:eastAsia="en-AU"/>
        </w:rPr>
        <w:tab/>
      </w:r>
      <w:r w:rsidRPr="00BC3CD6">
        <w:rPr>
          <w:szCs w:val="20"/>
        </w:rPr>
        <w:t>General</w:t>
      </w:r>
      <w:r w:rsidRPr="00BC3CD6">
        <w:rPr>
          <w:szCs w:val="20"/>
        </w:rPr>
        <w:tab/>
      </w:r>
      <w:r w:rsidR="00B36D41" w:rsidRPr="00BC3CD6">
        <w:rPr>
          <w:szCs w:val="20"/>
        </w:rPr>
        <w:fldChar w:fldCharType="begin"/>
      </w:r>
      <w:r w:rsidRPr="00BC3CD6">
        <w:rPr>
          <w:szCs w:val="20"/>
        </w:rPr>
        <w:instrText xml:space="preserve"> PAGEREF _Toc325039153 \h </w:instrText>
      </w:r>
      <w:r w:rsidR="00B36D41" w:rsidRPr="00BC3CD6">
        <w:rPr>
          <w:szCs w:val="20"/>
        </w:rPr>
      </w:r>
      <w:r w:rsidR="00B36D41" w:rsidRPr="00BC3CD6">
        <w:rPr>
          <w:szCs w:val="20"/>
        </w:rPr>
        <w:fldChar w:fldCharType="separate"/>
      </w:r>
      <w:r w:rsidR="001756BA">
        <w:rPr>
          <w:szCs w:val="20"/>
        </w:rPr>
        <w:t>9</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w:t>
      </w:r>
      <w:r w:rsidRPr="00BC3CD6">
        <w:rPr>
          <w:rFonts w:eastAsiaTheme="minorEastAsia"/>
          <w:szCs w:val="20"/>
          <w:lang w:eastAsia="en-AU"/>
        </w:rPr>
        <w:tab/>
      </w:r>
      <w:r w:rsidRPr="00BC3CD6">
        <w:rPr>
          <w:szCs w:val="20"/>
        </w:rPr>
        <w:t>Greenhouse gas assessment boundary</w:t>
      </w:r>
      <w:r w:rsidRPr="00BC3CD6">
        <w:rPr>
          <w:szCs w:val="20"/>
        </w:rPr>
        <w:tab/>
      </w:r>
      <w:r w:rsidR="00B36D41" w:rsidRPr="00BC3CD6">
        <w:rPr>
          <w:szCs w:val="20"/>
        </w:rPr>
        <w:fldChar w:fldCharType="begin"/>
      </w:r>
      <w:r w:rsidRPr="00BC3CD6">
        <w:rPr>
          <w:szCs w:val="20"/>
        </w:rPr>
        <w:instrText xml:space="preserve"> PAGEREF _Toc325039154 \h </w:instrText>
      </w:r>
      <w:r w:rsidR="00B36D41" w:rsidRPr="00BC3CD6">
        <w:rPr>
          <w:szCs w:val="20"/>
        </w:rPr>
      </w:r>
      <w:r w:rsidR="00B36D41" w:rsidRPr="00BC3CD6">
        <w:rPr>
          <w:szCs w:val="20"/>
        </w:rPr>
        <w:fldChar w:fldCharType="separate"/>
      </w:r>
      <w:r w:rsidR="001756BA">
        <w:rPr>
          <w:szCs w:val="20"/>
        </w:rPr>
        <w:t>10</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3.3</w:t>
      </w:r>
      <w:r w:rsidRPr="00BC3CD6">
        <w:rPr>
          <w:rFonts w:eastAsiaTheme="minorEastAsia"/>
          <w:szCs w:val="20"/>
          <w:lang w:eastAsia="en-AU"/>
        </w:rPr>
        <w:tab/>
      </w:r>
      <w:r w:rsidRPr="00BC3CD6">
        <w:rPr>
          <w:szCs w:val="20"/>
        </w:rPr>
        <w:t>The start of the late dry season</w:t>
      </w:r>
      <w:r w:rsidRPr="00BC3CD6">
        <w:rPr>
          <w:szCs w:val="20"/>
        </w:rPr>
        <w:tab/>
      </w:r>
      <w:r w:rsidR="00B36D41" w:rsidRPr="00BC3CD6">
        <w:rPr>
          <w:szCs w:val="20"/>
        </w:rPr>
        <w:fldChar w:fldCharType="begin"/>
      </w:r>
      <w:r w:rsidRPr="00BC3CD6">
        <w:rPr>
          <w:szCs w:val="20"/>
        </w:rPr>
        <w:instrText xml:space="preserve"> PAGEREF _Toc325039155 \h </w:instrText>
      </w:r>
      <w:r w:rsidR="00B36D41" w:rsidRPr="00BC3CD6">
        <w:rPr>
          <w:szCs w:val="20"/>
        </w:rPr>
      </w:r>
      <w:r w:rsidR="00B36D41" w:rsidRPr="00BC3CD6">
        <w:rPr>
          <w:szCs w:val="20"/>
        </w:rPr>
        <w:fldChar w:fldCharType="separate"/>
      </w:r>
      <w:r w:rsidR="001756BA">
        <w:rPr>
          <w:szCs w:val="20"/>
        </w:rPr>
        <w:t>10</w:t>
      </w:r>
      <w:r w:rsidR="00B36D41" w:rsidRPr="00BC3CD6">
        <w:rPr>
          <w:szCs w:val="20"/>
        </w:rPr>
        <w:fldChar w:fldCharType="end"/>
      </w:r>
    </w:p>
    <w:p w:rsidR="00FF3384" w:rsidRPr="00BC3CD6" w:rsidRDefault="00FF3384" w:rsidP="0013141D">
      <w:pPr>
        <w:pStyle w:val="TOC4"/>
        <w:rPr>
          <w:rFonts w:eastAsiaTheme="minorEastAsia"/>
          <w:sz w:val="20"/>
          <w:szCs w:val="20"/>
          <w:lang w:eastAsia="en-AU"/>
        </w:rPr>
      </w:pPr>
      <w:r w:rsidRPr="00BC3CD6">
        <w:rPr>
          <w:sz w:val="20"/>
          <w:szCs w:val="20"/>
        </w:rPr>
        <w:t>Division 3.2</w:t>
      </w:r>
      <w:r w:rsidRPr="00BC3CD6">
        <w:rPr>
          <w:rFonts w:eastAsiaTheme="minorEastAsia"/>
          <w:sz w:val="20"/>
          <w:szCs w:val="20"/>
          <w:lang w:eastAsia="en-AU"/>
        </w:rPr>
        <w:tab/>
      </w:r>
      <w:r w:rsidRPr="00BC3CD6">
        <w:rPr>
          <w:sz w:val="20"/>
          <w:szCs w:val="20"/>
        </w:rPr>
        <w:t>Calculations</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_Toc325039156 \h </w:instrText>
      </w:r>
      <w:r w:rsidR="00B36D41" w:rsidRPr="00BC3CD6">
        <w:rPr>
          <w:b w:val="0"/>
          <w:sz w:val="20"/>
          <w:szCs w:val="20"/>
        </w:rPr>
      </w:r>
      <w:r w:rsidR="00B36D41" w:rsidRPr="00BC3CD6">
        <w:rPr>
          <w:b w:val="0"/>
          <w:sz w:val="20"/>
          <w:szCs w:val="20"/>
        </w:rPr>
        <w:fldChar w:fldCharType="separate"/>
      </w:r>
      <w:r w:rsidR="001756BA">
        <w:rPr>
          <w:b w:val="0"/>
          <w:sz w:val="20"/>
          <w:szCs w:val="20"/>
        </w:rPr>
        <w:t>11</w:t>
      </w:r>
      <w:r w:rsidR="00B36D41" w:rsidRPr="00BC3CD6">
        <w:rPr>
          <w:b w:val="0"/>
          <w:sz w:val="20"/>
          <w:szCs w:val="20"/>
        </w:rPr>
        <w:fldChar w:fldCharType="end"/>
      </w:r>
    </w:p>
    <w:p w:rsidR="00FF3384" w:rsidRPr="00BC3CD6" w:rsidRDefault="00FF3384" w:rsidP="009A4450">
      <w:pPr>
        <w:pStyle w:val="TOC5"/>
        <w:rPr>
          <w:rFonts w:eastAsiaTheme="minorEastAsia"/>
          <w:lang w:eastAsia="en-AU"/>
        </w:rPr>
      </w:pPr>
      <w:r w:rsidRPr="00BC3CD6">
        <w:t>Subdivision 3.2.1</w:t>
      </w:r>
      <w:r w:rsidRPr="00BC3CD6">
        <w:rPr>
          <w:rFonts w:eastAsiaTheme="minorEastAsia"/>
          <w:lang w:eastAsia="en-AU"/>
        </w:rPr>
        <w:tab/>
      </w:r>
      <w:r w:rsidRPr="00BC3CD6">
        <w:t>Developing maps and calculating fire scar area</w:t>
      </w:r>
      <w:r w:rsidRPr="00BC3CD6">
        <w:tab/>
      </w:r>
      <w:r w:rsidR="00B36D41" w:rsidRPr="00BC3CD6">
        <w:fldChar w:fldCharType="begin"/>
      </w:r>
      <w:r w:rsidRPr="00BC3CD6">
        <w:instrText xml:space="preserve"> PAGEREF _Toc325039157 \h </w:instrText>
      </w:r>
      <w:r w:rsidR="00B36D41" w:rsidRPr="00BC3CD6">
        <w:fldChar w:fldCharType="separate"/>
      </w:r>
      <w:r w:rsidR="001756BA">
        <w:t>11</w:t>
      </w:r>
      <w:r w:rsidR="00B36D41" w:rsidRPr="00BC3CD6">
        <w:fldChar w:fldCharType="end"/>
      </w:r>
    </w:p>
    <w:p w:rsidR="00FF3384" w:rsidRPr="00BC3CD6" w:rsidRDefault="00FF3384">
      <w:pPr>
        <w:pStyle w:val="TOC3"/>
        <w:rPr>
          <w:rFonts w:eastAsiaTheme="minorEastAsia"/>
          <w:szCs w:val="20"/>
          <w:lang w:eastAsia="en-AU"/>
        </w:rPr>
      </w:pPr>
      <w:r w:rsidRPr="00BC3CD6">
        <w:rPr>
          <w:szCs w:val="20"/>
        </w:rPr>
        <w:t>3.4</w:t>
      </w:r>
      <w:r w:rsidRPr="00BC3CD6">
        <w:rPr>
          <w:rFonts w:eastAsiaTheme="minorEastAsia"/>
          <w:szCs w:val="20"/>
          <w:lang w:eastAsia="en-AU"/>
        </w:rPr>
        <w:tab/>
      </w:r>
      <w:r w:rsidRPr="00BC3CD6">
        <w:rPr>
          <w:szCs w:val="20"/>
        </w:rPr>
        <w:t>Developing maps used to calculate emissions</w:t>
      </w:r>
      <w:r w:rsidRPr="00BC3CD6">
        <w:rPr>
          <w:szCs w:val="20"/>
        </w:rPr>
        <w:tab/>
      </w:r>
      <w:r w:rsidR="00B36D41" w:rsidRPr="00BC3CD6">
        <w:rPr>
          <w:szCs w:val="20"/>
        </w:rPr>
        <w:fldChar w:fldCharType="begin"/>
      </w:r>
      <w:r w:rsidRPr="00BC3CD6">
        <w:rPr>
          <w:szCs w:val="20"/>
        </w:rPr>
        <w:instrText xml:space="preserve"> PAGEREF _Toc325039158 \h </w:instrText>
      </w:r>
      <w:r w:rsidR="00B36D41" w:rsidRPr="00BC3CD6">
        <w:rPr>
          <w:szCs w:val="20"/>
        </w:rPr>
      </w:r>
      <w:r w:rsidR="00B36D41" w:rsidRPr="00BC3CD6">
        <w:rPr>
          <w:szCs w:val="20"/>
        </w:rPr>
        <w:fldChar w:fldCharType="separate"/>
      </w:r>
      <w:r w:rsidR="001756BA">
        <w:rPr>
          <w:szCs w:val="20"/>
        </w:rPr>
        <w:t>11</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3.5</w:t>
      </w:r>
      <w:r w:rsidRPr="00BC3CD6">
        <w:rPr>
          <w:rFonts w:eastAsiaTheme="minorEastAsia"/>
          <w:szCs w:val="20"/>
          <w:lang w:eastAsia="en-AU"/>
        </w:rPr>
        <w:tab/>
      </w:r>
      <w:r w:rsidRPr="00BC3CD6">
        <w:rPr>
          <w:szCs w:val="20"/>
        </w:rPr>
        <w:t>Calculating the fire scar area (A) in the early dry season and the late dry season periods for each vegetation class</w:t>
      </w:r>
      <w:r w:rsidRPr="00BC3CD6">
        <w:rPr>
          <w:szCs w:val="20"/>
        </w:rPr>
        <w:tab/>
      </w:r>
      <w:r w:rsidR="00B36D41" w:rsidRPr="00BC3CD6">
        <w:rPr>
          <w:szCs w:val="20"/>
        </w:rPr>
        <w:fldChar w:fldCharType="begin"/>
      </w:r>
      <w:r w:rsidRPr="00BC3CD6">
        <w:rPr>
          <w:szCs w:val="20"/>
        </w:rPr>
        <w:instrText xml:space="preserve"> PAGEREF _Toc325039159 \h </w:instrText>
      </w:r>
      <w:r w:rsidR="00B36D41" w:rsidRPr="00BC3CD6">
        <w:rPr>
          <w:szCs w:val="20"/>
        </w:rPr>
      </w:r>
      <w:r w:rsidR="00B36D41" w:rsidRPr="00BC3CD6">
        <w:rPr>
          <w:szCs w:val="20"/>
        </w:rPr>
        <w:fldChar w:fldCharType="separate"/>
      </w:r>
      <w:r w:rsidR="001756BA">
        <w:rPr>
          <w:szCs w:val="20"/>
        </w:rPr>
        <w:t>11</w:t>
      </w:r>
      <w:r w:rsidR="00B36D41" w:rsidRPr="00BC3CD6">
        <w:rPr>
          <w:szCs w:val="20"/>
        </w:rPr>
        <w:fldChar w:fldCharType="end"/>
      </w:r>
    </w:p>
    <w:p w:rsidR="00BC3CD6" w:rsidRPr="00BC3CD6" w:rsidRDefault="00BC3CD6">
      <w:pPr>
        <w:rPr>
          <w:b/>
          <w:noProof/>
          <w:sz w:val="20"/>
          <w:szCs w:val="20"/>
          <w:lang w:eastAsia="en-US"/>
        </w:rPr>
      </w:pPr>
      <w:r w:rsidRPr="00BC3CD6">
        <w:rPr>
          <w:sz w:val="20"/>
          <w:szCs w:val="20"/>
        </w:rPr>
        <w:br w:type="page"/>
      </w:r>
    </w:p>
    <w:p w:rsidR="00900A1E" w:rsidRDefault="00FF3384" w:rsidP="00273B24">
      <w:pPr>
        <w:pStyle w:val="TOC5"/>
        <w:ind w:left="1843" w:hanging="1843"/>
        <w:rPr>
          <w:rFonts w:eastAsiaTheme="minorEastAsia"/>
          <w:lang w:eastAsia="en-AU"/>
        </w:rPr>
      </w:pPr>
      <w:r w:rsidRPr="00BC3CD6">
        <w:lastRenderedPageBreak/>
        <w:t>Subdivision 3.2.2</w:t>
      </w:r>
      <w:r w:rsidRPr="00BC3CD6">
        <w:rPr>
          <w:rFonts w:eastAsiaTheme="minorEastAsia"/>
          <w:lang w:eastAsia="en-AU"/>
        </w:rPr>
        <w:tab/>
      </w:r>
      <w:r w:rsidRPr="00BC3CD6">
        <w:t>Calculating annual fire emissions for the baseline period and the project period</w:t>
      </w:r>
      <w:r w:rsidR="003301A3">
        <w:tab/>
      </w:r>
      <w:r w:rsidR="00B36D41" w:rsidRPr="00E86B00">
        <w:fldChar w:fldCharType="begin"/>
      </w:r>
      <w:r w:rsidR="00E86B00" w:rsidRPr="00E86B00">
        <w:instrText xml:space="preserve"> PAGEREF _Toc325039160 \h </w:instrText>
      </w:r>
      <w:r w:rsidR="00B36D41" w:rsidRPr="00E86B00">
        <w:fldChar w:fldCharType="separate"/>
      </w:r>
      <w:r w:rsidR="001756BA">
        <w:t>12</w:t>
      </w:r>
      <w:r w:rsidR="00B36D41" w:rsidRPr="00E86B00">
        <w:fldChar w:fldCharType="end"/>
      </w:r>
    </w:p>
    <w:p w:rsidR="00FF3384" w:rsidRPr="00BC3CD6" w:rsidRDefault="00FF3384">
      <w:pPr>
        <w:pStyle w:val="TOC3"/>
        <w:rPr>
          <w:rFonts w:eastAsiaTheme="minorEastAsia"/>
          <w:szCs w:val="20"/>
          <w:lang w:eastAsia="en-AU"/>
        </w:rPr>
      </w:pPr>
      <w:r w:rsidRPr="00BC3CD6">
        <w:rPr>
          <w:szCs w:val="20"/>
        </w:rPr>
        <w:t>3.6</w:t>
      </w:r>
      <w:r w:rsidRPr="00BC3CD6">
        <w:rPr>
          <w:rFonts w:eastAsiaTheme="minorEastAsia"/>
          <w:szCs w:val="20"/>
          <w:lang w:eastAsia="en-AU"/>
        </w:rPr>
        <w:tab/>
      </w:r>
      <w:r w:rsidRPr="00BC3CD6">
        <w:rPr>
          <w:szCs w:val="20"/>
        </w:rPr>
        <w:t>Calculating annual fire emissions</w:t>
      </w:r>
      <w:r w:rsidRPr="00BC3CD6">
        <w:rPr>
          <w:szCs w:val="20"/>
        </w:rPr>
        <w:tab/>
      </w:r>
      <w:r w:rsidR="00B36D41" w:rsidRPr="00BC3CD6">
        <w:rPr>
          <w:szCs w:val="20"/>
        </w:rPr>
        <w:fldChar w:fldCharType="begin"/>
      </w:r>
      <w:r w:rsidRPr="00BC3CD6">
        <w:rPr>
          <w:szCs w:val="20"/>
        </w:rPr>
        <w:instrText xml:space="preserve"> PAGEREF _Toc325039161 \h </w:instrText>
      </w:r>
      <w:r w:rsidR="00B36D41" w:rsidRPr="00BC3CD6">
        <w:rPr>
          <w:szCs w:val="20"/>
        </w:rPr>
      </w:r>
      <w:r w:rsidR="00B36D41" w:rsidRPr="00BC3CD6">
        <w:rPr>
          <w:szCs w:val="20"/>
        </w:rPr>
        <w:fldChar w:fldCharType="separate"/>
      </w:r>
      <w:r w:rsidR="001756BA">
        <w:rPr>
          <w:szCs w:val="20"/>
        </w:rPr>
        <w:t>12</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3.7</w:t>
      </w:r>
      <w:r w:rsidRPr="00BC3CD6">
        <w:rPr>
          <w:rFonts w:eastAsiaTheme="minorEastAsia"/>
          <w:szCs w:val="20"/>
          <w:lang w:eastAsia="en-AU"/>
        </w:rPr>
        <w:tab/>
      </w:r>
      <w:r w:rsidRPr="00BC3CD6">
        <w:rPr>
          <w:szCs w:val="20"/>
        </w:rPr>
        <w:t>Calculating the area burnt (Ab)</w:t>
      </w:r>
      <w:r w:rsidRPr="00BC3CD6">
        <w:rPr>
          <w:szCs w:val="20"/>
        </w:rPr>
        <w:tab/>
      </w:r>
      <w:r w:rsidR="00B36D41" w:rsidRPr="00BC3CD6">
        <w:rPr>
          <w:szCs w:val="20"/>
        </w:rPr>
        <w:fldChar w:fldCharType="begin"/>
      </w:r>
      <w:r w:rsidRPr="00BC3CD6">
        <w:rPr>
          <w:szCs w:val="20"/>
        </w:rPr>
        <w:instrText xml:space="preserve"> PAGEREF _Toc325039162 \h </w:instrText>
      </w:r>
      <w:r w:rsidR="00B36D41" w:rsidRPr="00BC3CD6">
        <w:rPr>
          <w:szCs w:val="20"/>
        </w:rPr>
      </w:r>
      <w:r w:rsidR="00B36D41" w:rsidRPr="00BC3CD6">
        <w:rPr>
          <w:szCs w:val="20"/>
        </w:rPr>
        <w:fldChar w:fldCharType="separate"/>
      </w:r>
      <w:r w:rsidR="001756BA">
        <w:rPr>
          <w:szCs w:val="20"/>
        </w:rPr>
        <w:t>12</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3.8</w:t>
      </w:r>
      <w:r w:rsidRPr="00BC3CD6">
        <w:rPr>
          <w:rFonts w:eastAsiaTheme="minorEastAsia"/>
          <w:szCs w:val="20"/>
          <w:lang w:eastAsia="en-AU"/>
        </w:rPr>
        <w:tab/>
      </w:r>
      <w:r w:rsidRPr="00BC3CD6">
        <w:rPr>
          <w:szCs w:val="20"/>
        </w:rPr>
        <w:t>Calculating potential emissions (Pe)</w:t>
      </w:r>
      <w:r w:rsidRPr="00BC3CD6">
        <w:rPr>
          <w:szCs w:val="20"/>
        </w:rPr>
        <w:tab/>
      </w:r>
      <w:r w:rsidR="00B36D41" w:rsidRPr="00BC3CD6">
        <w:rPr>
          <w:szCs w:val="20"/>
        </w:rPr>
        <w:fldChar w:fldCharType="begin"/>
      </w:r>
      <w:r w:rsidRPr="00BC3CD6">
        <w:rPr>
          <w:szCs w:val="20"/>
        </w:rPr>
        <w:instrText xml:space="preserve"> PAGEREF _Toc325039163 \h </w:instrText>
      </w:r>
      <w:r w:rsidR="00B36D41" w:rsidRPr="00BC3CD6">
        <w:rPr>
          <w:szCs w:val="20"/>
        </w:rPr>
      </w:r>
      <w:r w:rsidR="00B36D41" w:rsidRPr="00BC3CD6">
        <w:rPr>
          <w:szCs w:val="20"/>
        </w:rPr>
        <w:fldChar w:fldCharType="separate"/>
      </w:r>
      <w:r w:rsidR="001756BA">
        <w:rPr>
          <w:szCs w:val="20"/>
        </w:rPr>
        <w:t>13</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3.9</w:t>
      </w:r>
      <w:r w:rsidRPr="00BC3CD6">
        <w:rPr>
          <w:rFonts w:eastAsiaTheme="minorEastAsia"/>
          <w:szCs w:val="20"/>
          <w:lang w:eastAsia="en-AU"/>
        </w:rPr>
        <w:tab/>
      </w:r>
      <w:r w:rsidRPr="00BC3CD6">
        <w:rPr>
          <w:szCs w:val="20"/>
        </w:rPr>
        <w:t>Burning Efficiency (BEF)</w:t>
      </w:r>
      <w:r w:rsidRPr="00BC3CD6">
        <w:rPr>
          <w:szCs w:val="20"/>
        </w:rPr>
        <w:tab/>
      </w:r>
      <w:r w:rsidR="00B36D41" w:rsidRPr="00BC3CD6">
        <w:rPr>
          <w:szCs w:val="20"/>
        </w:rPr>
        <w:fldChar w:fldCharType="begin"/>
      </w:r>
      <w:r w:rsidRPr="00BC3CD6">
        <w:rPr>
          <w:szCs w:val="20"/>
        </w:rPr>
        <w:instrText xml:space="preserve"> PAGEREF _Toc325039164 \h </w:instrText>
      </w:r>
      <w:r w:rsidR="00B36D41" w:rsidRPr="00BC3CD6">
        <w:rPr>
          <w:szCs w:val="20"/>
        </w:rPr>
      </w:r>
      <w:r w:rsidR="00B36D41" w:rsidRPr="00BC3CD6">
        <w:rPr>
          <w:szCs w:val="20"/>
        </w:rPr>
        <w:fldChar w:fldCharType="separate"/>
      </w:r>
      <w:r w:rsidR="001756BA">
        <w:rPr>
          <w:szCs w:val="20"/>
        </w:rPr>
        <w:t>14</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3.10</w:t>
      </w:r>
      <w:r w:rsidRPr="00BC3CD6">
        <w:rPr>
          <w:rFonts w:eastAsiaTheme="minorEastAsia"/>
          <w:szCs w:val="20"/>
          <w:lang w:eastAsia="en-AU"/>
        </w:rPr>
        <w:tab/>
      </w:r>
      <w:r w:rsidRPr="00BC3CD6">
        <w:rPr>
          <w:szCs w:val="20"/>
        </w:rPr>
        <w:t>Fuel Load (FL)</w:t>
      </w:r>
      <w:r w:rsidRPr="00BC3CD6">
        <w:rPr>
          <w:szCs w:val="20"/>
        </w:rPr>
        <w:tab/>
      </w:r>
      <w:r w:rsidR="00B36D41" w:rsidRPr="00BC3CD6">
        <w:rPr>
          <w:szCs w:val="20"/>
        </w:rPr>
        <w:fldChar w:fldCharType="begin"/>
      </w:r>
      <w:r w:rsidRPr="00BC3CD6">
        <w:rPr>
          <w:szCs w:val="20"/>
        </w:rPr>
        <w:instrText xml:space="preserve"> PAGEREF _Toc325039165 \h </w:instrText>
      </w:r>
      <w:r w:rsidR="00B36D41" w:rsidRPr="00BC3CD6">
        <w:rPr>
          <w:szCs w:val="20"/>
        </w:rPr>
      </w:r>
      <w:r w:rsidR="00B36D41" w:rsidRPr="00BC3CD6">
        <w:rPr>
          <w:szCs w:val="20"/>
        </w:rPr>
        <w:fldChar w:fldCharType="separate"/>
      </w:r>
      <w:r w:rsidR="001756BA">
        <w:rPr>
          <w:szCs w:val="20"/>
        </w:rPr>
        <w:t>15</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3.11</w:t>
      </w:r>
      <w:r w:rsidRPr="00BC3CD6">
        <w:rPr>
          <w:rFonts w:eastAsiaTheme="minorEastAsia"/>
          <w:szCs w:val="20"/>
          <w:lang w:eastAsia="en-AU"/>
        </w:rPr>
        <w:tab/>
      </w:r>
      <w:r w:rsidRPr="00BC3CD6">
        <w:rPr>
          <w:szCs w:val="20"/>
        </w:rPr>
        <w:t>Calculating years since last burnt for a pixel</w:t>
      </w:r>
      <w:r w:rsidRPr="00BC3CD6">
        <w:rPr>
          <w:szCs w:val="20"/>
        </w:rPr>
        <w:tab/>
      </w:r>
      <w:r w:rsidR="00B36D41" w:rsidRPr="00BC3CD6">
        <w:rPr>
          <w:szCs w:val="20"/>
        </w:rPr>
        <w:fldChar w:fldCharType="begin"/>
      </w:r>
      <w:r w:rsidRPr="00BC3CD6">
        <w:rPr>
          <w:szCs w:val="20"/>
        </w:rPr>
        <w:instrText xml:space="preserve"> PAGEREF _Toc325039166 \h </w:instrText>
      </w:r>
      <w:r w:rsidR="00B36D41" w:rsidRPr="00BC3CD6">
        <w:rPr>
          <w:szCs w:val="20"/>
        </w:rPr>
      </w:r>
      <w:r w:rsidR="00B36D41" w:rsidRPr="00BC3CD6">
        <w:rPr>
          <w:szCs w:val="20"/>
        </w:rPr>
        <w:fldChar w:fldCharType="separate"/>
      </w:r>
      <w:r w:rsidR="001756BA">
        <w:rPr>
          <w:szCs w:val="20"/>
        </w:rPr>
        <w:t>15</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3.12</w:t>
      </w:r>
      <w:r w:rsidRPr="00BC3CD6">
        <w:rPr>
          <w:rFonts w:eastAsiaTheme="minorEastAsia"/>
          <w:szCs w:val="20"/>
          <w:lang w:eastAsia="en-AU"/>
        </w:rPr>
        <w:tab/>
      </w:r>
      <w:r w:rsidRPr="00BC3CD6">
        <w:rPr>
          <w:szCs w:val="20"/>
        </w:rPr>
        <w:t>Calculating the frequency distribution of fire history</w:t>
      </w:r>
      <w:r w:rsidRPr="00BC3CD6">
        <w:rPr>
          <w:szCs w:val="20"/>
        </w:rPr>
        <w:tab/>
      </w:r>
      <w:r w:rsidR="00B36D41" w:rsidRPr="00BC3CD6">
        <w:rPr>
          <w:szCs w:val="20"/>
        </w:rPr>
        <w:fldChar w:fldCharType="begin"/>
      </w:r>
      <w:r w:rsidRPr="00BC3CD6">
        <w:rPr>
          <w:szCs w:val="20"/>
        </w:rPr>
        <w:instrText xml:space="preserve"> PAGEREF _Toc325039167 \h </w:instrText>
      </w:r>
      <w:r w:rsidR="00B36D41" w:rsidRPr="00BC3CD6">
        <w:rPr>
          <w:szCs w:val="20"/>
        </w:rPr>
      </w:r>
      <w:r w:rsidR="00B36D41" w:rsidRPr="00BC3CD6">
        <w:rPr>
          <w:szCs w:val="20"/>
        </w:rPr>
        <w:fldChar w:fldCharType="separate"/>
      </w:r>
      <w:r w:rsidR="001756BA">
        <w:rPr>
          <w:szCs w:val="20"/>
        </w:rPr>
        <w:t>17</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3.13</w:t>
      </w:r>
      <w:r w:rsidRPr="00BC3CD6">
        <w:rPr>
          <w:rFonts w:eastAsiaTheme="minorEastAsia"/>
          <w:szCs w:val="20"/>
          <w:lang w:eastAsia="en-AU"/>
        </w:rPr>
        <w:tab/>
      </w:r>
      <w:r w:rsidRPr="00BC3CD6">
        <w:rPr>
          <w:szCs w:val="20"/>
        </w:rPr>
        <w:t>Calculating the fuel load for fine fuels</w:t>
      </w:r>
      <w:r w:rsidRPr="00BC3CD6">
        <w:rPr>
          <w:szCs w:val="20"/>
        </w:rPr>
        <w:tab/>
      </w:r>
      <w:r w:rsidR="00B36D41" w:rsidRPr="00BC3CD6">
        <w:rPr>
          <w:szCs w:val="20"/>
        </w:rPr>
        <w:fldChar w:fldCharType="begin"/>
      </w:r>
      <w:r w:rsidRPr="00BC3CD6">
        <w:rPr>
          <w:szCs w:val="20"/>
        </w:rPr>
        <w:instrText xml:space="preserve"> PAGEREF _Toc325039168 \h </w:instrText>
      </w:r>
      <w:r w:rsidR="00B36D41" w:rsidRPr="00BC3CD6">
        <w:rPr>
          <w:szCs w:val="20"/>
        </w:rPr>
      </w:r>
      <w:r w:rsidR="00B36D41" w:rsidRPr="00BC3CD6">
        <w:rPr>
          <w:szCs w:val="20"/>
        </w:rPr>
        <w:fldChar w:fldCharType="separate"/>
      </w:r>
      <w:r w:rsidR="001756BA">
        <w:rPr>
          <w:szCs w:val="20"/>
        </w:rPr>
        <w:t>17</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3.14</w:t>
      </w:r>
      <w:r w:rsidRPr="00BC3CD6">
        <w:rPr>
          <w:rFonts w:eastAsiaTheme="minorEastAsia"/>
          <w:szCs w:val="20"/>
          <w:lang w:eastAsia="en-AU"/>
        </w:rPr>
        <w:tab/>
      </w:r>
      <w:r w:rsidRPr="00BC3CD6">
        <w:rPr>
          <w:szCs w:val="20"/>
        </w:rPr>
        <w:t>Emission factors (EF)</w:t>
      </w:r>
      <w:r w:rsidRPr="00BC3CD6">
        <w:rPr>
          <w:szCs w:val="20"/>
        </w:rPr>
        <w:tab/>
      </w:r>
      <w:r w:rsidR="00B36D41" w:rsidRPr="00BC3CD6">
        <w:rPr>
          <w:szCs w:val="20"/>
        </w:rPr>
        <w:fldChar w:fldCharType="begin"/>
      </w:r>
      <w:r w:rsidRPr="00BC3CD6">
        <w:rPr>
          <w:szCs w:val="20"/>
        </w:rPr>
        <w:instrText xml:space="preserve"> PAGEREF _Toc325039169 \h </w:instrText>
      </w:r>
      <w:r w:rsidR="00B36D41" w:rsidRPr="00BC3CD6">
        <w:rPr>
          <w:szCs w:val="20"/>
        </w:rPr>
      </w:r>
      <w:r w:rsidR="00B36D41" w:rsidRPr="00BC3CD6">
        <w:rPr>
          <w:szCs w:val="20"/>
        </w:rPr>
        <w:fldChar w:fldCharType="separate"/>
      </w:r>
      <w:r w:rsidR="001756BA">
        <w:rPr>
          <w:szCs w:val="20"/>
        </w:rPr>
        <w:t>18</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3.15</w:t>
      </w:r>
      <w:r w:rsidRPr="00BC3CD6">
        <w:rPr>
          <w:rFonts w:eastAsiaTheme="minorEastAsia"/>
          <w:szCs w:val="20"/>
          <w:lang w:eastAsia="en-AU"/>
        </w:rPr>
        <w:tab/>
      </w:r>
      <w:r w:rsidRPr="00BC3CD6">
        <w:rPr>
          <w:szCs w:val="20"/>
        </w:rPr>
        <w:t>Carbon Content (CC)</w:t>
      </w:r>
      <w:r w:rsidRPr="00BC3CD6">
        <w:rPr>
          <w:szCs w:val="20"/>
        </w:rPr>
        <w:tab/>
      </w:r>
      <w:r w:rsidR="00B36D41" w:rsidRPr="00BC3CD6">
        <w:rPr>
          <w:szCs w:val="20"/>
        </w:rPr>
        <w:fldChar w:fldCharType="begin"/>
      </w:r>
      <w:r w:rsidRPr="00BC3CD6">
        <w:rPr>
          <w:szCs w:val="20"/>
        </w:rPr>
        <w:instrText xml:space="preserve"> PAGEREF _Toc325039170 \h </w:instrText>
      </w:r>
      <w:r w:rsidR="00B36D41" w:rsidRPr="00BC3CD6">
        <w:rPr>
          <w:szCs w:val="20"/>
        </w:rPr>
      </w:r>
      <w:r w:rsidR="00B36D41" w:rsidRPr="00BC3CD6">
        <w:rPr>
          <w:szCs w:val="20"/>
        </w:rPr>
        <w:fldChar w:fldCharType="separate"/>
      </w:r>
      <w:r w:rsidR="001756BA">
        <w:rPr>
          <w:szCs w:val="20"/>
        </w:rPr>
        <w:t>18</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3.16</w:t>
      </w:r>
      <w:r w:rsidRPr="00BC3CD6">
        <w:rPr>
          <w:rFonts w:eastAsiaTheme="minorEastAsia"/>
          <w:szCs w:val="20"/>
          <w:lang w:eastAsia="en-AU"/>
        </w:rPr>
        <w:tab/>
      </w:r>
      <w:r w:rsidRPr="00BC3CD6">
        <w:rPr>
          <w:szCs w:val="20"/>
        </w:rPr>
        <w:t>Nitrogen to Carbon Ratio (NC)</w:t>
      </w:r>
      <w:r w:rsidRPr="00BC3CD6">
        <w:rPr>
          <w:szCs w:val="20"/>
        </w:rPr>
        <w:tab/>
      </w:r>
      <w:r w:rsidR="00B36D41" w:rsidRPr="00BC3CD6">
        <w:rPr>
          <w:szCs w:val="20"/>
        </w:rPr>
        <w:fldChar w:fldCharType="begin"/>
      </w:r>
      <w:r w:rsidRPr="00BC3CD6">
        <w:rPr>
          <w:szCs w:val="20"/>
        </w:rPr>
        <w:instrText xml:space="preserve"> PAGEREF _Toc325039171 \h </w:instrText>
      </w:r>
      <w:r w:rsidR="00B36D41" w:rsidRPr="00BC3CD6">
        <w:rPr>
          <w:szCs w:val="20"/>
        </w:rPr>
      </w:r>
      <w:r w:rsidR="00B36D41" w:rsidRPr="00BC3CD6">
        <w:rPr>
          <w:szCs w:val="20"/>
        </w:rPr>
        <w:fldChar w:fldCharType="separate"/>
      </w:r>
      <w:r w:rsidR="001756BA">
        <w:rPr>
          <w:szCs w:val="20"/>
        </w:rPr>
        <w:t>18</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3.17</w:t>
      </w:r>
      <w:r w:rsidRPr="00BC3CD6">
        <w:rPr>
          <w:rFonts w:eastAsiaTheme="minorEastAsia"/>
          <w:szCs w:val="20"/>
          <w:lang w:eastAsia="en-AU"/>
        </w:rPr>
        <w:tab/>
      </w:r>
      <w:r w:rsidRPr="00BC3CD6">
        <w:rPr>
          <w:szCs w:val="20"/>
        </w:rPr>
        <w:t>Converting the Molecular mass to Elemental Mass (M)</w:t>
      </w:r>
      <w:r w:rsidRPr="00BC3CD6">
        <w:rPr>
          <w:szCs w:val="20"/>
        </w:rPr>
        <w:tab/>
      </w:r>
      <w:r w:rsidR="00B36D41" w:rsidRPr="00BC3CD6">
        <w:rPr>
          <w:szCs w:val="20"/>
        </w:rPr>
        <w:fldChar w:fldCharType="begin"/>
      </w:r>
      <w:r w:rsidRPr="00BC3CD6">
        <w:rPr>
          <w:szCs w:val="20"/>
        </w:rPr>
        <w:instrText xml:space="preserve"> PAGEREF _Toc325039172 \h </w:instrText>
      </w:r>
      <w:r w:rsidR="00B36D41" w:rsidRPr="00BC3CD6">
        <w:rPr>
          <w:szCs w:val="20"/>
        </w:rPr>
      </w:r>
      <w:r w:rsidR="00B36D41" w:rsidRPr="00BC3CD6">
        <w:rPr>
          <w:szCs w:val="20"/>
        </w:rPr>
        <w:fldChar w:fldCharType="separate"/>
      </w:r>
      <w:r w:rsidR="001756BA">
        <w:rPr>
          <w:szCs w:val="20"/>
        </w:rPr>
        <w:t>19</w:t>
      </w:r>
      <w:r w:rsidR="00B36D41" w:rsidRPr="00BC3CD6">
        <w:rPr>
          <w:szCs w:val="20"/>
        </w:rPr>
        <w:fldChar w:fldCharType="end"/>
      </w:r>
    </w:p>
    <w:p w:rsidR="00FF3384" w:rsidRPr="00BC3CD6" w:rsidRDefault="00FF3384" w:rsidP="009A4450">
      <w:pPr>
        <w:pStyle w:val="TOC3"/>
        <w:rPr>
          <w:rFonts w:eastAsiaTheme="minorEastAsia"/>
          <w:szCs w:val="20"/>
          <w:lang w:eastAsia="en-AU"/>
        </w:rPr>
      </w:pPr>
      <w:r w:rsidRPr="00BC3CD6">
        <w:rPr>
          <w:szCs w:val="20"/>
        </w:rPr>
        <w:t>3.18</w:t>
      </w:r>
      <w:r w:rsidRPr="00BC3CD6">
        <w:rPr>
          <w:rFonts w:eastAsiaTheme="minorEastAsia"/>
          <w:szCs w:val="20"/>
          <w:lang w:eastAsia="en-AU"/>
        </w:rPr>
        <w:tab/>
      </w:r>
      <w:r w:rsidRPr="00BC3CD6">
        <w:rPr>
          <w:szCs w:val="20"/>
        </w:rPr>
        <w:t>Calculating the annual fire emissions in tonnes CO</w:t>
      </w:r>
      <w:r w:rsidRPr="00BC3CD6">
        <w:rPr>
          <w:szCs w:val="20"/>
          <w:vertAlign w:val="subscript"/>
        </w:rPr>
        <w:t>2</w:t>
      </w:r>
      <w:r w:rsidRPr="00BC3CD6">
        <w:rPr>
          <w:szCs w:val="20"/>
        </w:rPr>
        <w:t>-e</w:t>
      </w:r>
      <w:r w:rsidRPr="00BC3CD6">
        <w:rPr>
          <w:szCs w:val="20"/>
        </w:rPr>
        <w:tab/>
      </w:r>
      <w:r w:rsidR="00B36D41" w:rsidRPr="00BC3CD6">
        <w:rPr>
          <w:szCs w:val="20"/>
        </w:rPr>
        <w:fldChar w:fldCharType="begin"/>
      </w:r>
      <w:r w:rsidRPr="00BC3CD6">
        <w:rPr>
          <w:szCs w:val="20"/>
        </w:rPr>
        <w:instrText xml:space="preserve"> PAGEREF _Toc325039173 \h </w:instrText>
      </w:r>
      <w:r w:rsidR="00B36D41" w:rsidRPr="00BC3CD6">
        <w:rPr>
          <w:szCs w:val="20"/>
        </w:rPr>
      </w:r>
      <w:r w:rsidR="00B36D41" w:rsidRPr="00BC3CD6">
        <w:rPr>
          <w:szCs w:val="20"/>
        </w:rPr>
        <w:fldChar w:fldCharType="separate"/>
      </w:r>
      <w:r w:rsidR="001756BA">
        <w:rPr>
          <w:szCs w:val="20"/>
        </w:rPr>
        <w:t>19</w:t>
      </w:r>
      <w:r w:rsidR="00B36D41" w:rsidRPr="00BC3CD6">
        <w:rPr>
          <w:szCs w:val="20"/>
        </w:rPr>
        <w:fldChar w:fldCharType="end"/>
      </w:r>
    </w:p>
    <w:p w:rsidR="00900A1E" w:rsidRDefault="00FF3384">
      <w:pPr>
        <w:pStyle w:val="TOC3"/>
        <w:rPr>
          <w:rFonts w:eastAsiaTheme="minorEastAsia"/>
          <w:szCs w:val="20"/>
          <w:lang w:eastAsia="en-AU"/>
        </w:rPr>
      </w:pPr>
      <w:r w:rsidRPr="00BC3CD6">
        <w:rPr>
          <w:szCs w:val="20"/>
        </w:rPr>
        <w:t>3.19</w:t>
      </w:r>
      <w:r w:rsidRPr="00BC3CD6">
        <w:rPr>
          <w:rFonts w:eastAsiaTheme="minorEastAsia"/>
          <w:szCs w:val="20"/>
          <w:lang w:eastAsia="en-AU"/>
        </w:rPr>
        <w:tab/>
      </w:r>
      <w:r w:rsidRPr="00BC3CD6">
        <w:rPr>
          <w:szCs w:val="20"/>
        </w:rPr>
        <w:t>Calculating average baseline emissions</w:t>
      </w:r>
      <w:r w:rsidRPr="00BC3CD6">
        <w:rPr>
          <w:szCs w:val="20"/>
        </w:rPr>
        <w:tab/>
      </w:r>
      <w:r w:rsidR="00B36D41" w:rsidRPr="00BC3CD6">
        <w:rPr>
          <w:szCs w:val="20"/>
        </w:rPr>
        <w:fldChar w:fldCharType="begin"/>
      </w:r>
      <w:r w:rsidRPr="00BC3CD6">
        <w:rPr>
          <w:szCs w:val="20"/>
        </w:rPr>
        <w:instrText xml:space="preserve"> PAGEREF _Toc325039174 \h </w:instrText>
      </w:r>
      <w:r w:rsidR="00B36D41" w:rsidRPr="00BC3CD6">
        <w:rPr>
          <w:szCs w:val="20"/>
        </w:rPr>
      </w:r>
      <w:r w:rsidR="00B36D41" w:rsidRPr="00BC3CD6">
        <w:rPr>
          <w:szCs w:val="20"/>
        </w:rPr>
        <w:fldChar w:fldCharType="separate"/>
      </w:r>
      <w:r w:rsidR="001756BA">
        <w:rPr>
          <w:szCs w:val="20"/>
        </w:rPr>
        <w:t>20</w:t>
      </w:r>
      <w:r w:rsidR="00B36D41" w:rsidRPr="00BC3CD6">
        <w:rPr>
          <w:szCs w:val="20"/>
        </w:rPr>
        <w:fldChar w:fldCharType="end"/>
      </w:r>
    </w:p>
    <w:p w:rsidR="00900A1E" w:rsidRDefault="00FF3384">
      <w:pPr>
        <w:pStyle w:val="TOC5"/>
        <w:spacing w:before="180"/>
        <w:rPr>
          <w:rFonts w:eastAsiaTheme="minorEastAsia"/>
          <w:lang w:eastAsia="en-AU"/>
        </w:rPr>
      </w:pPr>
      <w:r w:rsidRPr="00BC3CD6">
        <w:t>Subdivision 3.2.3</w:t>
      </w:r>
      <w:r w:rsidRPr="00BC3CD6">
        <w:rPr>
          <w:rFonts w:eastAsiaTheme="minorEastAsia"/>
          <w:lang w:eastAsia="en-AU"/>
        </w:rPr>
        <w:tab/>
      </w:r>
      <w:r w:rsidRPr="00BC3CD6">
        <w:t>Calculating total annual project emissions</w:t>
      </w:r>
      <w:r w:rsidRPr="00BC3CD6">
        <w:tab/>
      </w:r>
      <w:r w:rsidR="00B36D41" w:rsidRPr="00BC3CD6">
        <w:fldChar w:fldCharType="begin"/>
      </w:r>
      <w:r w:rsidRPr="00BC3CD6">
        <w:instrText xml:space="preserve"> PAGEREF _Toc325039175 \h </w:instrText>
      </w:r>
      <w:r w:rsidR="00B36D41" w:rsidRPr="00BC3CD6">
        <w:fldChar w:fldCharType="separate"/>
      </w:r>
      <w:r w:rsidR="001756BA">
        <w:t>20</w:t>
      </w:r>
      <w:r w:rsidR="00B36D41" w:rsidRPr="00BC3CD6">
        <w:fldChar w:fldCharType="end"/>
      </w:r>
    </w:p>
    <w:p w:rsidR="00FF3384" w:rsidRPr="00BC3CD6" w:rsidRDefault="00FF3384">
      <w:pPr>
        <w:pStyle w:val="TOC3"/>
        <w:rPr>
          <w:rFonts w:eastAsiaTheme="minorEastAsia"/>
          <w:szCs w:val="20"/>
          <w:lang w:eastAsia="en-AU"/>
        </w:rPr>
      </w:pPr>
      <w:r w:rsidRPr="00BC3CD6">
        <w:rPr>
          <w:szCs w:val="20"/>
        </w:rPr>
        <w:t>3.20</w:t>
      </w:r>
      <w:r w:rsidRPr="00BC3CD6">
        <w:rPr>
          <w:rFonts w:eastAsiaTheme="minorEastAsia"/>
          <w:szCs w:val="20"/>
          <w:lang w:eastAsia="en-AU"/>
        </w:rPr>
        <w:tab/>
      </w:r>
      <w:r w:rsidRPr="00BC3CD6">
        <w:rPr>
          <w:szCs w:val="20"/>
        </w:rPr>
        <w:t>Calculating the emissions from liquid fuel used to establish and manage a project</w:t>
      </w:r>
      <w:r w:rsidRPr="00BC3CD6">
        <w:rPr>
          <w:szCs w:val="20"/>
        </w:rPr>
        <w:tab/>
      </w:r>
      <w:r w:rsidR="00B36D41" w:rsidRPr="00BC3CD6">
        <w:rPr>
          <w:szCs w:val="20"/>
        </w:rPr>
        <w:fldChar w:fldCharType="begin"/>
      </w:r>
      <w:r w:rsidRPr="00BC3CD6">
        <w:rPr>
          <w:szCs w:val="20"/>
        </w:rPr>
        <w:instrText xml:space="preserve"> PAGEREF _Toc325039176 \h </w:instrText>
      </w:r>
      <w:r w:rsidR="00B36D41" w:rsidRPr="00BC3CD6">
        <w:rPr>
          <w:szCs w:val="20"/>
        </w:rPr>
      </w:r>
      <w:r w:rsidR="00B36D41" w:rsidRPr="00BC3CD6">
        <w:rPr>
          <w:szCs w:val="20"/>
        </w:rPr>
        <w:fldChar w:fldCharType="separate"/>
      </w:r>
      <w:r w:rsidR="001756BA">
        <w:rPr>
          <w:szCs w:val="20"/>
        </w:rPr>
        <w:t>20</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3.21</w:t>
      </w:r>
      <w:r w:rsidRPr="00BC3CD6">
        <w:rPr>
          <w:rFonts w:eastAsiaTheme="minorEastAsia"/>
          <w:szCs w:val="20"/>
          <w:lang w:eastAsia="en-AU"/>
        </w:rPr>
        <w:tab/>
      </w:r>
      <w:r w:rsidRPr="00BC3CD6">
        <w:rPr>
          <w:szCs w:val="20"/>
        </w:rPr>
        <w:t>Calculating total project emissions</w:t>
      </w:r>
      <w:r w:rsidRPr="00BC3CD6">
        <w:rPr>
          <w:szCs w:val="20"/>
        </w:rPr>
        <w:tab/>
      </w:r>
      <w:r w:rsidR="00B36D41" w:rsidRPr="00BC3CD6">
        <w:rPr>
          <w:szCs w:val="20"/>
        </w:rPr>
        <w:fldChar w:fldCharType="begin"/>
      </w:r>
      <w:r w:rsidRPr="00BC3CD6">
        <w:rPr>
          <w:szCs w:val="20"/>
        </w:rPr>
        <w:instrText xml:space="preserve"> PAGEREF _Toc325039177 \h </w:instrText>
      </w:r>
      <w:r w:rsidR="00B36D41" w:rsidRPr="00BC3CD6">
        <w:rPr>
          <w:szCs w:val="20"/>
        </w:rPr>
      </w:r>
      <w:r w:rsidR="00B36D41" w:rsidRPr="00BC3CD6">
        <w:rPr>
          <w:szCs w:val="20"/>
        </w:rPr>
        <w:fldChar w:fldCharType="separate"/>
      </w:r>
      <w:r w:rsidR="001756BA">
        <w:rPr>
          <w:szCs w:val="20"/>
        </w:rPr>
        <w:t>21</w:t>
      </w:r>
      <w:r w:rsidR="00B36D41" w:rsidRPr="00BC3CD6">
        <w:rPr>
          <w:szCs w:val="20"/>
        </w:rPr>
        <w:fldChar w:fldCharType="end"/>
      </w:r>
    </w:p>
    <w:p w:rsidR="00BC3CD6" w:rsidRPr="00BC3CD6" w:rsidRDefault="00BC3CD6">
      <w:pPr>
        <w:rPr>
          <w:b/>
          <w:noProof/>
          <w:sz w:val="20"/>
          <w:szCs w:val="20"/>
          <w:lang w:eastAsia="en-US"/>
        </w:rPr>
      </w:pPr>
      <w:r w:rsidRPr="00BC3CD6">
        <w:rPr>
          <w:sz w:val="20"/>
          <w:szCs w:val="20"/>
        </w:rPr>
        <w:br w:type="page"/>
      </w:r>
    </w:p>
    <w:p w:rsidR="00FF3384" w:rsidRPr="00BC3CD6" w:rsidRDefault="00FF3384" w:rsidP="009A4450">
      <w:pPr>
        <w:pStyle w:val="TOC5"/>
        <w:rPr>
          <w:rFonts w:eastAsiaTheme="minorEastAsia"/>
          <w:lang w:eastAsia="en-AU"/>
        </w:rPr>
      </w:pPr>
      <w:r w:rsidRPr="00BC3CD6">
        <w:lastRenderedPageBreak/>
        <w:t>Subdivision 3.2.4</w:t>
      </w:r>
      <w:r w:rsidRPr="00BC3CD6">
        <w:rPr>
          <w:rFonts w:eastAsiaTheme="minorEastAsia"/>
          <w:lang w:eastAsia="en-AU"/>
        </w:rPr>
        <w:tab/>
      </w:r>
      <w:r w:rsidRPr="00BC3CD6">
        <w:t>Calculating net annual greenhouse gas abatement</w:t>
      </w:r>
      <w:r w:rsidRPr="00BC3CD6">
        <w:tab/>
      </w:r>
      <w:r w:rsidR="00B36D41" w:rsidRPr="00BC3CD6">
        <w:fldChar w:fldCharType="begin"/>
      </w:r>
      <w:r w:rsidRPr="00BC3CD6">
        <w:instrText xml:space="preserve"> PAGEREF _Toc325039178 \h </w:instrText>
      </w:r>
      <w:r w:rsidR="00B36D41" w:rsidRPr="00BC3CD6">
        <w:fldChar w:fldCharType="separate"/>
      </w:r>
      <w:r w:rsidR="001756BA">
        <w:t>22</w:t>
      </w:r>
      <w:r w:rsidR="00B36D41" w:rsidRPr="00BC3CD6">
        <w:fldChar w:fldCharType="end"/>
      </w:r>
    </w:p>
    <w:p w:rsidR="00FF3384" w:rsidRPr="00BC3CD6" w:rsidRDefault="00FF3384" w:rsidP="009A4450">
      <w:pPr>
        <w:pStyle w:val="TOC3"/>
        <w:rPr>
          <w:rFonts w:eastAsiaTheme="minorEastAsia"/>
          <w:szCs w:val="20"/>
          <w:lang w:eastAsia="en-AU"/>
        </w:rPr>
      </w:pPr>
      <w:r w:rsidRPr="00BC3CD6">
        <w:rPr>
          <w:szCs w:val="20"/>
        </w:rPr>
        <w:t>3.22</w:t>
      </w:r>
      <w:r w:rsidRPr="00BC3CD6">
        <w:rPr>
          <w:rFonts w:eastAsiaTheme="minorEastAsia"/>
          <w:szCs w:val="20"/>
          <w:lang w:eastAsia="en-AU"/>
        </w:rPr>
        <w:tab/>
      </w:r>
      <w:r w:rsidRPr="00BC3CD6">
        <w:rPr>
          <w:szCs w:val="20"/>
        </w:rPr>
        <w:t>Calculating net annual greenhouse gas abatement</w:t>
      </w:r>
      <w:r w:rsidRPr="00BC3CD6">
        <w:rPr>
          <w:szCs w:val="20"/>
        </w:rPr>
        <w:tab/>
      </w:r>
      <w:r w:rsidR="00B36D41" w:rsidRPr="00BC3CD6">
        <w:rPr>
          <w:szCs w:val="20"/>
        </w:rPr>
        <w:fldChar w:fldCharType="begin"/>
      </w:r>
      <w:r w:rsidRPr="00BC3CD6">
        <w:rPr>
          <w:szCs w:val="20"/>
        </w:rPr>
        <w:instrText xml:space="preserve"> PAGEREF _Toc325039179 \h </w:instrText>
      </w:r>
      <w:r w:rsidR="00B36D41" w:rsidRPr="00BC3CD6">
        <w:rPr>
          <w:szCs w:val="20"/>
        </w:rPr>
      </w:r>
      <w:r w:rsidR="00B36D41" w:rsidRPr="00BC3CD6">
        <w:rPr>
          <w:szCs w:val="20"/>
        </w:rPr>
        <w:fldChar w:fldCharType="separate"/>
      </w:r>
      <w:r w:rsidR="001756BA">
        <w:rPr>
          <w:szCs w:val="20"/>
        </w:rPr>
        <w:t>22</w:t>
      </w:r>
      <w:r w:rsidR="00B36D41" w:rsidRPr="00BC3CD6">
        <w:rPr>
          <w:szCs w:val="20"/>
        </w:rPr>
        <w:fldChar w:fldCharType="end"/>
      </w:r>
    </w:p>
    <w:p w:rsidR="00900A1E" w:rsidRDefault="00FF3384">
      <w:pPr>
        <w:pStyle w:val="TOC4"/>
        <w:spacing w:before="180" w:after="60"/>
        <w:rPr>
          <w:rFonts w:eastAsiaTheme="minorEastAsia"/>
          <w:sz w:val="20"/>
          <w:szCs w:val="20"/>
          <w:lang w:eastAsia="en-AU"/>
        </w:rPr>
      </w:pPr>
      <w:r w:rsidRPr="00BC3CD6">
        <w:rPr>
          <w:sz w:val="20"/>
          <w:szCs w:val="20"/>
        </w:rPr>
        <w:t>Division 3.3</w:t>
      </w:r>
      <w:r w:rsidRPr="00BC3CD6">
        <w:rPr>
          <w:rFonts w:eastAsiaTheme="minorEastAsia"/>
          <w:sz w:val="20"/>
          <w:szCs w:val="20"/>
          <w:lang w:eastAsia="en-AU"/>
        </w:rPr>
        <w:tab/>
      </w:r>
      <w:r w:rsidRPr="00BC3CD6">
        <w:rPr>
          <w:sz w:val="20"/>
          <w:szCs w:val="20"/>
        </w:rPr>
        <w:t>Data collection</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_Toc325039180 \h </w:instrText>
      </w:r>
      <w:r w:rsidR="00B36D41" w:rsidRPr="00BC3CD6">
        <w:rPr>
          <w:b w:val="0"/>
          <w:sz w:val="20"/>
          <w:szCs w:val="20"/>
        </w:rPr>
      </w:r>
      <w:r w:rsidR="00B36D41" w:rsidRPr="00BC3CD6">
        <w:rPr>
          <w:b w:val="0"/>
          <w:sz w:val="20"/>
          <w:szCs w:val="20"/>
        </w:rPr>
        <w:fldChar w:fldCharType="separate"/>
      </w:r>
      <w:r w:rsidR="001756BA">
        <w:rPr>
          <w:b w:val="0"/>
          <w:sz w:val="20"/>
          <w:szCs w:val="20"/>
        </w:rPr>
        <w:t>22</w:t>
      </w:r>
      <w:r w:rsidR="00B36D41" w:rsidRPr="00BC3CD6">
        <w:rPr>
          <w:b w:val="0"/>
          <w:sz w:val="20"/>
          <w:szCs w:val="20"/>
        </w:rPr>
        <w:fldChar w:fldCharType="end"/>
      </w:r>
    </w:p>
    <w:p w:rsidR="00FF3384" w:rsidRPr="00BC3CD6" w:rsidRDefault="00FF3384" w:rsidP="009A4450">
      <w:pPr>
        <w:pStyle w:val="TOC3"/>
        <w:rPr>
          <w:rFonts w:eastAsiaTheme="minorEastAsia"/>
          <w:szCs w:val="20"/>
          <w:lang w:eastAsia="en-AU"/>
        </w:rPr>
      </w:pPr>
      <w:r w:rsidRPr="00BC3CD6">
        <w:rPr>
          <w:szCs w:val="20"/>
        </w:rPr>
        <w:t>3.23</w:t>
      </w:r>
      <w:r w:rsidRPr="00BC3CD6">
        <w:rPr>
          <w:rFonts w:eastAsiaTheme="minorEastAsia"/>
          <w:szCs w:val="20"/>
          <w:lang w:eastAsia="en-AU"/>
        </w:rPr>
        <w:tab/>
      </w:r>
      <w:r w:rsidRPr="00BC3CD6">
        <w:rPr>
          <w:szCs w:val="20"/>
        </w:rPr>
        <w:t>Data collection</w:t>
      </w:r>
      <w:r w:rsidRPr="00BC3CD6">
        <w:rPr>
          <w:szCs w:val="20"/>
        </w:rPr>
        <w:tab/>
      </w:r>
      <w:r w:rsidR="00B36D41" w:rsidRPr="00BC3CD6">
        <w:rPr>
          <w:szCs w:val="20"/>
        </w:rPr>
        <w:fldChar w:fldCharType="begin"/>
      </w:r>
      <w:r w:rsidRPr="00BC3CD6">
        <w:rPr>
          <w:szCs w:val="20"/>
        </w:rPr>
        <w:instrText xml:space="preserve"> PAGEREF _Toc325039181 \h </w:instrText>
      </w:r>
      <w:r w:rsidR="00B36D41" w:rsidRPr="00BC3CD6">
        <w:rPr>
          <w:szCs w:val="20"/>
        </w:rPr>
      </w:r>
      <w:r w:rsidR="00B36D41" w:rsidRPr="00BC3CD6">
        <w:rPr>
          <w:szCs w:val="20"/>
        </w:rPr>
        <w:fldChar w:fldCharType="separate"/>
      </w:r>
      <w:r w:rsidR="001756BA">
        <w:rPr>
          <w:szCs w:val="20"/>
        </w:rPr>
        <w:t>22</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3.24</w:t>
      </w:r>
      <w:r w:rsidRPr="00BC3CD6">
        <w:rPr>
          <w:rFonts w:eastAsiaTheme="minorEastAsia"/>
          <w:szCs w:val="20"/>
          <w:lang w:eastAsia="en-AU"/>
        </w:rPr>
        <w:tab/>
      </w:r>
      <w:r w:rsidRPr="00BC3CD6">
        <w:rPr>
          <w:szCs w:val="20"/>
        </w:rPr>
        <w:t>Requirements for a vegetation map</w:t>
      </w:r>
      <w:r w:rsidRPr="00BC3CD6">
        <w:rPr>
          <w:szCs w:val="20"/>
        </w:rPr>
        <w:tab/>
      </w:r>
      <w:r w:rsidR="00B36D41" w:rsidRPr="00BC3CD6">
        <w:rPr>
          <w:szCs w:val="20"/>
        </w:rPr>
        <w:fldChar w:fldCharType="begin"/>
      </w:r>
      <w:r w:rsidRPr="00BC3CD6">
        <w:rPr>
          <w:szCs w:val="20"/>
        </w:rPr>
        <w:instrText xml:space="preserve"> PAGEREF _Toc325039182 \h </w:instrText>
      </w:r>
      <w:r w:rsidR="00B36D41" w:rsidRPr="00BC3CD6">
        <w:rPr>
          <w:szCs w:val="20"/>
        </w:rPr>
      </w:r>
      <w:r w:rsidR="00B36D41" w:rsidRPr="00BC3CD6">
        <w:rPr>
          <w:szCs w:val="20"/>
        </w:rPr>
        <w:fldChar w:fldCharType="separate"/>
      </w:r>
      <w:r w:rsidR="001756BA">
        <w:rPr>
          <w:szCs w:val="20"/>
        </w:rPr>
        <w:t>23</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3.25</w:t>
      </w:r>
      <w:r w:rsidRPr="00BC3CD6">
        <w:rPr>
          <w:rFonts w:eastAsiaTheme="minorEastAsia"/>
          <w:szCs w:val="20"/>
          <w:lang w:eastAsia="en-AU"/>
        </w:rPr>
        <w:tab/>
      </w:r>
      <w:r w:rsidRPr="00BC3CD6">
        <w:rPr>
          <w:szCs w:val="20"/>
        </w:rPr>
        <w:t>Validation of a vegetation map</w:t>
      </w:r>
      <w:r w:rsidRPr="00BC3CD6">
        <w:rPr>
          <w:szCs w:val="20"/>
        </w:rPr>
        <w:tab/>
      </w:r>
      <w:r w:rsidR="00B36D41" w:rsidRPr="00BC3CD6">
        <w:rPr>
          <w:szCs w:val="20"/>
        </w:rPr>
        <w:fldChar w:fldCharType="begin"/>
      </w:r>
      <w:r w:rsidRPr="00BC3CD6">
        <w:rPr>
          <w:szCs w:val="20"/>
        </w:rPr>
        <w:instrText xml:space="preserve"> PAGEREF _Toc325039183 \h </w:instrText>
      </w:r>
      <w:r w:rsidR="00B36D41" w:rsidRPr="00BC3CD6">
        <w:rPr>
          <w:szCs w:val="20"/>
        </w:rPr>
      </w:r>
      <w:r w:rsidR="00B36D41" w:rsidRPr="00BC3CD6">
        <w:rPr>
          <w:szCs w:val="20"/>
        </w:rPr>
        <w:fldChar w:fldCharType="separate"/>
      </w:r>
      <w:r w:rsidR="001756BA">
        <w:rPr>
          <w:szCs w:val="20"/>
        </w:rPr>
        <w:t>23</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3.26</w:t>
      </w:r>
      <w:r w:rsidRPr="00BC3CD6">
        <w:rPr>
          <w:rFonts w:eastAsiaTheme="minorEastAsia"/>
          <w:szCs w:val="20"/>
          <w:lang w:eastAsia="en-AU"/>
        </w:rPr>
        <w:tab/>
      </w:r>
      <w:r w:rsidRPr="00BC3CD6">
        <w:rPr>
          <w:szCs w:val="20"/>
        </w:rPr>
        <w:t>Monthly fire maps</w:t>
      </w:r>
      <w:r w:rsidRPr="00BC3CD6">
        <w:rPr>
          <w:szCs w:val="20"/>
        </w:rPr>
        <w:tab/>
      </w:r>
      <w:r w:rsidR="00B36D41" w:rsidRPr="00BC3CD6">
        <w:rPr>
          <w:szCs w:val="20"/>
        </w:rPr>
        <w:fldChar w:fldCharType="begin"/>
      </w:r>
      <w:r w:rsidRPr="00BC3CD6">
        <w:rPr>
          <w:szCs w:val="20"/>
        </w:rPr>
        <w:instrText xml:space="preserve"> PAGEREF _Toc325039184 \h </w:instrText>
      </w:r>
      <w:r w:rsidR="00B36D41" w:rsidRPr="00BC3CD6">
        <w:rPr>
          <w:szCs w:val="20"/>
        </w:rPr>
      </w:r>
      <w:r w:rsidR="00B36D41" w:rsidRPr="00BC3CD6">
        <w:rPr>
          <w:szCs w:val="20"/>
        </w:rPr>
        <w:fldChar w:fldCharType="separate"/>
      </w:r>
      <w:r w:rsidR="001756BA">
        <w:rPr>
          <w:szCs w:val="20"/>
        </w:rPr>
        <w:t>24</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3.27</w:t>
      </w:r>
      <w:r w:rsidRPr="00BC3CD6">
        <w:rPr>
          <w:rFonts w:eastAsiaTheme="minorEastAsia"/>
          <w:szCs w:val="20"/>
          <w:lang w:eastAsia="en-AU"/>
        </w:rPr>
        <w:tab/>
      </w:r>
      <w:r w:rsidR="00573982" w:rsidRPr="00BC3CD6">
        <w:rPr>
          <w:rFonts w:eastAsiaTheme="minorEastAsia"/>
          <w:szCs w:val="20"/>
          <w:lang w:eastAsia="en-AU"/>
        </w:rPr>
        <w:t>S</w:t>
      </w:r>
      <w:r w:rsidRPr="00BC3CD6">
        <w:rPr>
          <w:szCs w:val="20"/>
        </w:rPr>
        <w:t>easonal fire maps</w:t>
      </w:r>
      <w:r w:rsidRPr="00BC3CD6">
        <w:rPr>
          <w:szCs w:val="20"/>
        </w:rPr>
        <w:tab/>
      </w:r>
      <w:r w:rsidR="00B36D41" w:rsidRPr="00BC3CD6">
        <w:rPr>
          <w:szCs w:val="20"/>
        </w:rPr>
        <w:fldChar w:fldCharType="begin"/>
      </w:r>
      <w:r w:rsidRPr="00BC3CD6">
        <w:rPr>
          <w:szCs w:val="20"/>
        </w:rPr>
        <w:instrText xml:space="preserve"> PAGEREF _Toc325039185 \h </w:instrText>
      </w:r>
      <w:r w:rsidR="00B36D41" w:rsidRPr="00BC3CD6">
        <w:rPr>
          <w:szCs w:val="20"/>
        </w:rPr>
      </w:r>
      <w:r w:rsidR="00B36D41" w:rsidRPr="00BC3CD6">
        <w:rPr>
          <w:szCs w:val="20"/>
        </w:rPr>
        <w:fldChar w:fldCharType="separate"/>
      </w:r>
      <w:r w:rsidR="001756BA">
        <w:rPr>
          <w:szCs w:val="20"/>
        </w:rPr>
        <w:t>24</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3.28</w:t>
      </w:r>
      <w:r w:rsidRPr="00BC3CD6">
        <w:rPr>
          <w:rFonts w:eastAsiaTheme="minorEastAsia"/>
          <w:szCs w:val="20"/>
          <w:lang w:eastAsia="en-AU"/>
        </w:rPr>
        <w:tab/>
      </w:r>
      <w:r w:rsidR="00573982" w:rsidRPr="00BC3CD6">
        <w:rPr>
          <w:rFonts w:eastAsiaTheme="minorEastAsia"/>
          <w:szCs w:val="20"/>
          <w:lang w:eastAsia="en-AU"/>
        </w:rPr>
        <w:t>S</w:t>
      </w:r>
      <w:r w:rsidRPr="00BC3CD6">
        <w:rPr>
          <w:szCs w:val="20"/>
        </w:rPr>
        <w:t>easonal fire maps not sourced from NAFI</w:t>
      </w:r>
      <w:r w:rsidRPr="00BC3CD6">
        <w:rPr>
          <w:szCs w:val="20"/>
        </w:rPr>
        <w:tab/>
      </w:r>
      <w:r w:rsidR="00B36D41" w:rsidRPr="00BC3CD6">
        <w:rPr>
          <w:szCs w:val="20"/>
        </w:rPr>
        <w:fldChar w:fldCharType="begin"/>
      </w:r>
      <w:r w:rsidRPr="00BC3CD6">
        <w:rPr>
          <w:szCs w:val="20"/>
        </w:rPr>
        <w:instrText xml:space="preserve"> PAGEREF _Toc325039186 \h </w:instrText>
      </w:r>
      <w:r w:rsidR="00B36D41" w:rsidRPr="00BC3CD6">
        <w:rPr>
          <w:szCs w:val="20"/>
        </w:rPr>
      </w:r>
      <w:r w:rsidR="00B36D41" w:rsidRPr="00BC3CD6">
        <w:rPr>
          <w:szCs w:val="20"/>
        </w:rPr>
        <w:fldChar w:fldCharType="separate"/>
      </w:r>
      <w:r w:rsidR="001756BA">
        <w:rPr>
          <w:szCs w:val="20"/>
        </w:rPr>
        <w:t>25</w:t>
      </w:r>
      <w:r w:rsidR="00B36D41" w:rsidRPr="00BC3CD6">
        <w:rPr>
          <w:szCs w:val="20"/>
        </w:rPr>
        <w:fldChar w:fldCharType="end"/>
      </w:r>
    </w:p>
    <w:p w:rsidR="00FF3384" w:rsidRPr="00BC3CD6" w:rsidRDefault="00FF3384" w:rsidP="0013141D">
      <w:pPr>
        <w:pStyle w:val="TOC1"/>
        <w:rPr>
          <w:rFonts w:eastAsiaTheme="minorEastAsia"/>
          <w:sz w:val="20"/>
          <w:szCs w:val="20"/>
          <w:lang w:eastAsia="en-AU"/>
        </w:rPr>
      </w:pPr>
      <w:r w:rsidRPr="00BC3CD6">
        <w:rPr>
          <w:sz w:val="20"/>
          <w:szCs w:val="20"/>
        </w:rPr>
        <w:t>Part 4</w:t>
      </w:r>
      <w:r w:rsidRPr="00BC3CD6">
        <w:rPr>
          <w:rFonts w:eastAsiaTheme="minorEastAsia"/>
          <w:sz w:val="20"/>
          <w:szCs w:val="20"/>
          <w:lang w:eastAsia="en-AU"/>
        </w:rPr>
        <w:tab/>
      </w:r>
      <w:r w:rsidRPr="00BC3CD6">
        <w:rPr>
          <w:sz w:val="20"/>
          <w:szCs w:val="20"/>
        </w:rPr>
        <w:t>Monitoring, record-keeping and reporting requirements</w:t>
      </w:r>
      <w:r w:rsidRPr="00BC3CD6">
        <w:rPr>
          <w:sz w:val="20"/>
          <w:szCs w:val="20"/>
        </w:rPr>
        <w:tab/>
      </w:r>
      <w:r w:rsidR="00B36D41" w:rsidRPr="003B1B47">
        <w:rPr>
          <w:sz w:val="20"/>
          <w:szCs w:val="20"/>
        </w:rPr>
        <w:fldChar w:fldCharType="begin"/>
      </w:r>
      <w:r w:rsidRPr="003B1B47">
        <w:rPr>
          <w:sz w:val="20"/>
          <w:szCs w:val="20"/>
        </w:rPr>
        <w:instrText xml:space="preserve"> PAGEREF _Toc325039187 \h </w:instrText>
      </w:r>
      <w:r w:rsidR="00B36D41" w:rsidRPr="003B1B47">
        <w:rPr>
          <w:sz w:val="20"/>
          <w:szCs w:val="20"/>
        </w:rPr>
      </w:r>
      <w:r w:rsidR="00B36D41" w:rsidRPr="003B1B47">
        <w:rPr>
          <w:sz w:val="20"/>
          <w:szCs w:val="20"/>
        </w:rPr>
        <w:fldChar w:fldCharType="separate"/>
      </w:r>
      <w:r w:rsidR="001756BA">
        <w:rPr>
          <w:sz w:val="20"/>
          <w:szCs w:val="20"/>
        </w:rPr>
        <w:t>26</w:t>
      </w:r>
      <w:r w:rsidR="00B36D41" w:rsidRPr="003B1B47">
        <w:rPr>
          <w:sz w:val="20"/>
          <w:szCs w:val="20"/>
        </w:rPr>
        <w:fldChar w:fldCharType="end"/>
      </w:r>
    </w:p>
    <w:p w:rsidR="00FF3384" w:rsidRPr="00BC3CD6" w:rsidRDefault="00FF3384" w:rsidP="0013141D">
      <w:pPr>
        <w:pStyle w:val="TOC4"/>
        <w:rPr>
          <w:rFonts w:eastAsiaTheme="minorEastAsia"/>
          <w:sz w:val="20"/>
          <w:szCs w:val="20"/>
          <w:lang w:eastAsia="en-AU"/>
        </w:rPr>
      </w:pPr>
      <w:r w:rsidRPr="00BC3CD6">
        <w:rPr>
          <w:sz w:val="20"/>
          <w:szCs w:val="20"/>
        </w:rPr>
        <w:t>Division 4.1</w:t>
      </w:r>
      <w:r w:rsidRPr="00BC3CD6">
        <w:rPr>
          <w:rFonts w:eastAsiaTheme="minorEastAsia"/>
          <w:sz w:val="20"/>
          <w:szCs w:val="20"/>
          <w:lang w:eastAsia="en-AU"/>
        </w:rPr>
        <w:tab/>
      </w:r>
      <w:r w:rsidRPr="00BC3CD6">
        <w:rPr>
          <w:sz w:val="20"/>
          <w:szCs w:val="20"/>
        </w:rPr>
        <w:t>General</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_Toc325039188 \h </w:instrText>
      </w:r>
      <w:r w:rsidR="00B36D41" w:rsidRPr="00BC3CD6">
        <w:rPr>
          <w:b w:val="0"/>
          <w:sz w:val="20"/>
          <w:szCs w:val="20"/>
        </w:rPr>
      </w:r>
      <w:r w:rsidR="00B36D41" w:rsidRPr="00BC3CD6">
        <w:rPr>
          <w:b w:val="0"/>
          <w:sz w:val="20"/>
          <w:szCs w:val="20"/>
        </w:rPr>
        <w:fldChar w:fldCharType="separate"/>
      </w:r>
      <w:r w:rsidR="001756BA">
        <w:rPr>
          <w:b w:val="0"/>
          <w:sz w:val="20"/>
          <w:szCs w:val="20"/>
        </w:rPr>
        <w:t>26</w:t>
      </w:r>
      <w:r w:rsidR="00B36D41" w:rsidRPr="00BC3CD6">
        <w:rPr>
          <w:b w:val="0"/>
          <w:sz w:val="20"/>
          <w:szCs w:val="20"/>
        </w:rPr>
        <w:fldChar w:fldCharType="end"/>
      </w:r>
    </w:p>
    <w:p w:rsidR="00FF3384" w:rsidRPr="00BC3CD6" w:rsidRDefault="00FF3384">
      <w:pPr>
        <w:pStyle w:val="TOC3"/>
        <w:rPr>
          <w:rFonts w:eastAsiaTheme="minorEastAsia"/>
          <w:szCs w:val="20"/>
          <w:lang w:eastAsia="en-AU"/>
        </w:rPr>
      </w:pPr>
      <w:r w:rsidRPr="00BC3CD6">
        <w:rPr>
          <w:szCs w:val="20"/>
        </w:rPr>
        <w:t>4.1</w:t>
      </w:r>
      <w:r w:rsidRPr="00BC3CD6">
        <w:rPr>
          <w:rFonts w:eastAsiaTheme="minorEastAsia"/>
          <w:szCs w:val="20"/>
          <w:lang w:eastAsia="en-AU"/>
        </w:rPr>
        <w:tab/>
      </w:r>
      <w:r w:rsidRPr="00BC3CD6">
        <w:rPr>
          <w:szCs w:val="20"/>
        </w:rPr>
        <w:t>Application</w:t>
      </w:r>
      <w:r w:rsidRPr="00BC3CD6">
        <w:rPr>
          <w:szCs w:val="20"/>
        </w:rPr>
        <w:tab/>
      </w:r>
      <w:r w:rsidR="00B36D41" w:rsidRPr="00BC3CD6">
        <w:rPr>
          <w:szCs w:val="20"/>
        </w:rPr>
        <w:fldChar w:fldCharType="begin"/>
      </w:r>
      <w:r w:rsidRPr="00BC3CD6">
        <w:rPr>
          <w:szCs w:val="20"/>
        </w:rPr>
        <w:instrText xml:space="preserve"> PAGEREF _Toc325039189 \h </w:instrText>
      </w:r>
      <w:r w:rsidR="00B36D41" w:rsidRPr="00BC3CD6">
        <w:rPr>
          <w:szCs w:val="20"/>
        </w:rPr>
      </w:r>
      <w:r w:rsidR="00B36D41" w:rsidRPr="00BC3CD6">
        <w:rPr>
          <w:szCs w:val="20"/>
        </w:rPr>
        <w:fldChar w:fldCharType="separate"/>
      </w:r>
      <w:r w:rsidR="001756BA">
        <w:rPr>
          <w:szCs w:val="20"/>
        </w:rPr>
        <w:t>26</w:t>
      </w:r>
      <w:r w:rsidR="00B36D41" w:rsidRPr="00BC3CD6">
        <w:rPr>
          <w:szCs w:val="20"/>
        </w:rPr>
        <w:fldChar w:fldCharType="end"/>
      </w:r>
    </w:p>
    <w:p w:rsidR="00FF3384" w:rsidRPr="00BC3CD6" w:rsidRDefault="00FF3384" w:rsidP="0013141D">
      <w:pPr>
        <w:pStyle w:val="TOC4"/>
        <w:rPr>
          <w:rFonts w:eastAsiaTheme="minorEastAsia"/>
          <w:sz w:val="20"/>
          <w:szCs w:val="20"/>
          <w:lang w:eastAsia="en-AU"/>
        </w:rPr>
      </w:pPr>
      <w:r w:rsidRPr="00BC3CD6">
        <w:rPr>
          <w:sz w:val="20"/>
          <w:szCs w:val="20"/>
        </w:rPr>
        <w:t>Division 4.2</w:t>
      </w:r>
      <w:r w:rsidRPr="00BC3CD6">
        <w:rPr>
          <w:rFonts w:eastAsiaTheme="minorEastAsia"/>
          <w:sz w:val="20"/>
          <w:szCs w:val="20"/>
          <w:lang w:eastAsia="en-AU"/>
        </w:rPr>
        <w:tab/>
      </w:r>
      <w:r w:rsidRPr="00BC3CD6">
        <w:rPr>
          <w:sz w:val="20"/>
          <w:szCs w:val="20"/>
        </w:rPr>
        <w:t>Record-keeping requirements</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_Toc325039190 \h </w:instrText>
      </w:r>
      <w:r w:rsidR="00B36D41" w:rsidRPr="00BC3CD6">
        <w:rPr>
          <w:b w:val="0"/>
          <w:sz w:val="20"/>
          <w:szCs w:val="20"/>
        </w:rPr>
      </w:r>
      <w:r w:rsidR="00B36D41" w:rsidRPr="00BC3CD6">
        <w:rPr>
          <w:b w:val="0"/>
          <w:sz w:val="20"/>
          <w:szCs w:val="20"/>
        </w:rPr>
        <w:fldChar w:fldCharType="separate"/>
      </w:r>
      <w:r w:rsidR="001756BA">
        <w:rPr>
          <w:b w:val="0"/>
          <w:sz w:val="20"/>
          <w:szCs w:val="20"/>
        </w:rPr>
        <w:t>26</w:t>
      </w:r>
      <w:r w:rsidR="00B36D41" w:rsidRPr="00BC3CD6">
        <w:rPr>
          <w:b w:val="0"/>
          <w:sz w:val="20"/>
          <w:szCs w:val="20"/>
        </w:rPr>
        <w:fldChar w:fldCharType="end"/>
      </w:r>
    </w:p>
    <w:p w:rsidR="00FF3384" w:rsidRPr="00BC3CD6" w:rsidRDefault="00FF3384">
      <w:pPr>
        <w:pStyle w:val="TOC3"/>
        <w:rPr>
          <w:rFonts w:eastAsiaTheme="minorEastAsia"/>
          <w:szCs w:val="20"/>
          <w:lang w:eastAsia="en-AU"/>
        </w:rPr>
      </w:pPr>
      <w:r w:rsidRPr="00BC3CD6">
        <w:rPr>
          <w:szCs w:val="20"/>
        </w:rPr>
        <w:t>4.2</w:t>
      </w:r>
      <w:r w:rsidRPr="00BC3CD6">
        <w:rPr>
          <w:rFonts w:eastAsiaTheme="minorEastAsia"/>
          <w:szCs w:val="20"/>
          <w:lang w:eastAsia="en-AU"/>
        </w:rPr>
        <w:tab/>
      </w:r>
      <w:r w:rsidRPr="00BC3CD6">
        <w:rPr>
          <w:szCs w:val="20"/>
        </w:rPr>
        <w:t>Records that must be kept</w:t>
      </w:r>
      <w:r w:rsidRPr="00BC3CD6">
        <w:rPr>
          <w:szCs w:val="20"/>
        </w:rPr>
        <w:tab/>
      </w:r>
      <w:r w:rsidR="00B36D41" w:rsidRPr="00BC3CD6">
        <w:rPr>
          <w:szCs w:val="20"/>
        </w:rPr>
        <w:fldChar w:fldCharType="begin"/>
      </w:r>
      <w:r w:rsidRPr="00BC3CD6">
        <w:rPr>
          <w:szCs w:val="20"/>
        </w:rPr>
        <w:instrText xml:space="preserve"> PAGEREF _Toc325039191 \h </w:instrText>
      </w:r>
      <w:r w:rsidR="00B36D41" w:rsidRPr="00BC3CD6">
        <w:rPr>
          <w:szCs w:val="20"/>
        </w:rPr>
      </w:r>
      <w:r w:rsidR="00B36D41" w:rsidRPr="00BC3CD6">
        <w:rPr>
          <w:szCs w:val="20"/>
        </w:rPr>
        <w:fldChar w:fldCharType="separate"/>
      </w:r>
      <w:r w:rsidR="001756BA">
        <w:rPr>
          <w:szCs w:val="20"/>
        </w:rPr>
        <w:t>26</w:t>
      </w:r>
      <w:r w:rsidR="00B36D41" w:rsidRPr="00BC3CD6">
        <w:rPr>
          <w:szCs w:val="20"/>
        </w:rPr>
        <w:fldChar w:fldCharType="end"/>
      </w:r>
    </w:p>
    <w:p w:rsidR="00FF3384" w:rsidRPr="00BC3CD6" w:rsidRDefault="00FF3384" w:rsidP="0013141D">
      <w:pPr>
        <w:pStyle w:val="TOC4"/>
        <w:rPr>
          <w:rFonts w:eastAsiaTheme="minorEastAsia"/>
          <w:sz w:val="20"/>
          <w:szCs w:val="20"/>
          <w:lang w:eastAsia="en-AU"/>
        </w:rPr>
      </w:pPr>
      <w:r w:rsidRPr="00BC3CD6">
        <w:rPr>
          <w:sz w:val="20"/>
          <w:szCs w:val="20"/>
        </w:rPr>
        <w:t>Division 4.3</w:t>
      </w:r>
      <w:r w:rsidRPr="00BC3CD6">
        <w:rPr>
          <w:rFonts w:eastAsiaTheme="minorEastAsia"/>
          <w:sz w:val="20"/>
          <w:szCs w:val="20"/>
          <w:lang w:eastAsia="en-AU"/>
        </w:rPr>
        <w:tab/>
      </w:r>
      <w:r w:rsidRPr="00BC3CD6">
        <w:rPr>
          <w:sz w:val="20"/>
          <w:szCs w:val="20"/>
        </w:rPr>
        <w:t>Offsets report requirements</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_Toc325039192 \h </w:instrText>
      </w:r>
      <w:r w:rsidR="00B36D41" w:rsidRPr="00BC3CD6">
        <w:rPr>
          <w:b w:val="0"/>
          <w:sz w:val="20"/>
          <w:szCs w:val="20"/>
        </w:rPr>
      </w:r>
      <w:r w:rsidR="00B36D41" w:rsidRPr="00BC3CD6">
        <w:rPr>
          <w:b w:val="0"/>
          <w:sz w:val="20"/>
          <w:szCs w:val="20"/>
        </w:rPr>
        <w:fldChar w:fldCharType="separate"/>
      </w:r>
      <w:r w:rsidR="001756BA">
        <w:rPr>
          <w:b w:val="0"/>
          <w:sz w:val="20"/>
          <w:szCs w:val="20"/>
        </w:rPr>
        <w:t>28</w:t>
      </w:r>
      <w:r w:rsidR="00B36D41" w:rsidRPr="00BC3CD6">
        <w:rPr>
          <w:b w:val="0"/>
          <w:sz w:val="20"/>
          <w:szCs w:val="20"/>
        </w:rPr>
        <w:fldChar w:fldCharType="end"/>
      </w:r>
    </w:p>
    <w:p w:rsidR="00FF3384" w:rsidRPr="00BC3CD6" w:rsidRDefault="00FF3384">
      <w:pPr>
        <w:pStyle w:val="TOC3"/>
        <w:rPr>
          <w:rFonts w:eastAsiaTheme="minorEastAsia"/>
          <w:szCs w:val="20"/>
          <w:lang w:eastAsia="en-AU"/>
        </w:rPr>
      </w:pPr>
      <w:r w:rsidRPr="00BC3CD6">
        <w:rPr>
          <w:szCs w:val="20"/>
        </w:rPr>
        <w:t>4.3</w:t>
      </w:r>
      <w:r w:rsidRPr="00BC3CD6">
        <w:rPr>
          <w:rFonts w:eastAsiaTheme="minorEastAsia"/>
          <w:szCs w:val="20"/>
          <w:lang w:eastAsia="en-AU"/>
        </w:rPr>
        <w:tab/>
      </w:r>
      <w:r w:rsidRPr="00BC3CD6">
        <w:rPr>
          <w:szCs w:val="20"/>
        </w:rPr>
        <w:t>Information that must be included in the first offsets report</w:t>
      </w:r>
      <w:r w:rsidRPr="00BC3CD6">
        <w:rPr>
          <w:szCs w:val="20"/>
        </w:rPr>
        <w:tab/>
      </w:r>
      <w:r w:rsidR="00B36D41" w:rsidRPr="00BC3CD6">
        <w:rPr>
          <w:szCs w:val="20"/>
        </w:rPr>
        <w:fldChar w:fldCharType="begin"/>
      </w:r>
      <w:r w:rsidRPr="00BC3CD6">
        <w:rPr>
          <w:szCs w:val="20"/>
        </w:rPr>
        <w:instrText xml:space="preserve"> PAGEREF _Toc325039193 \h </w:instrText>
      </w:r>
      <w:r w:rsidR="00B36D41" w:rsidRPr="00BC3CD6">
        <w:rPr>
          <w:szCs w:val="20"/>
        </w:rPr>
      </w:r>
      <w:r w:rsidR="00B36D41" w:rsidRPr="00BC3CD6">
        <w:rPr>
          <w:szCs w:val="20"/>
        </w:rPr>
        <w:fldChar w:fldCharType="separate"/>
      </w:r>
      <w:r w:rsidR="001756BA">
        <w:rPr>
          <w:szCs w:val="20"/>
        </w:rPr>
        <w:t>28</w:t>
      </w:r>
      <w:r w:rsidR="00B36D41" w:rsidRPr="00BC3CD6">
        <w:rPr>
          <w:szCs w:val="20"/>
        </w:rPr>
        <w:fldChar w:fldCharType="end"/>
      </w:r>
    </w:p>
    <w:p w:rsidR="00FF3384" w:rsidRPr="00BC3CD6" w:rsidRDefault="00FF3384">
      <w:pPr>
        <w:pStyle w:val="TOC3"/>
        <w:rPr>
          <w:rFonts w:eastAsiaTheme="minorEastAsia"/>
          <w:szCs w:val="20"/>
          <w:lang w:eastAsia="en-AU"/>
        </w:rPr>
      </w:pPr>
      <w:r w:rsidRPr="00BC3CD6">
        <w:rPr>
          <w:szCs w:val="20"/>
        </w:rPr>
        <w:t>4.4</w:t>
      </w:r>
      <w:r w:rsidRPr="00BC3CD6">
        <w:rPr>
          <w:rFonts w:eastAsiaTheme="minorEastAsia"/>
          <w:szCs w:val="20"/>
          <w:lang w:eastAsia="en-AU"/>
        </w:rPr>
        <w:tab/>
      </w:r>
      <w:r w:rsidRPr="00BC3CD6">
        <w:rPr>
          <w:szCs w:val="20"/>
        </w:rPr>
        <w:t>Subsequent reporting periods</w:t>
      </w:r>
      <w:r w:rsidRPr="00BC3CD6">
        <w:rPr>
          <w:szCs w:val="20"/>
        </w:rPr>
        <w:tab/>
      </w:r>
      <w:r w:rsidR="00B36D41" w:rsidRPr="00BC3CD6">
        <w:rPr>
          <w:szCs w:val="20"/>
        </w:rPr>
        <w:fldChar w:fldCharType="begin"/>
      </w:r>
      <w:r w:rsidRPr="00BC3CD6">
        <w:rPr>
          <w:szCs w:val="20"/>
        </w:rPr>
        <w:instrText xml:space="preserve"> PAGEREF _Toc325039194 \h </w:instrText>
      </w:r>
      <w:r w:rsidR="00B36D41" w:rsidRPr="00BC3CD6">
        <w:rPr>
          <w:szCs w:val="20"/>
        </w:rPr>
      </w:r>
      <w:r w:rsidR="00B36D41" w:rsidRPr="00BC3CD6">
        <w:rPr>
          <w:szCs w:val="20"/>
        </w:rPr>
        <w:fldChar w:fldCharType="separate"/>
      </w:r>
      <w:r w:rsidR="001756BA">
        <w:rPr>
          <w:szCs w:val="20"/>
        </w:rPr>
        <w:t>28</w:t>
      </w:r>
      <w:r w:rsidR="00B36D41" w:rsidRPr="00BC3CD6">
        <w:rPr>
          <w:szCs w:val="20"/>
        </w:rPr>
        <w:fldChar w:fldCharType="end"/>
      </w:r>
    </w:p>
    <w:p w:rsidR="00FF3384" w:rsidRPr="00BC3CD6" w:rsidRDefault="00FF3384" w:rsidP="0013141D">
      <w:pPr>
        <w:pStyle w:val="TOC1"/>
        <w:rPr>
          <w:rFonts w:eastAsiaTheme="minorEastAsia"/>
          <w:sz w:val="20"/>
          <w:szCs w:val="20"/>
          <w:lang w:eastAsia="en-AU"/>
        </w:rPr>
      </w:pPr>
      <w:r w:rsidRPr="00BC3CD6">
        <w:rPr>
          <w:sz w:val="20"/>
          <w:szCs w:val="20"/>
        </w:rPr>
        <w:t>Schedule 1</w:t>
      </w:r>
      <w:r w:rsidRPr="00BC3CD6">
        <w:rPr>
          <w:sz w:val="20"/>
          <w:szCs w:val="20"/>
        </w:rPr>
        <w:tab/>
        <w:t>Vegetation classes</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_Toc325039196 \h </w:instrText>
      </w:r>
      <w:r w:rsidR="00B36D41" w:rsidRPr="00BC3CD6">
        <w:rPr>
          <w:b w:val="0"/>
          <w:sz w:val="20"/>
          <w:szCs w:val="20"/>
        </w:rPr>
      </w:r>
      <w:r w:rsidR="00B36D41" w:rsidRPr="00BC3CD6">
        <w:rPr>
          <w:b w:val="0"/>
          <w:sz w:val="20"/>
          <w:szCs w:val="20"/>
        </w:rPr>
        <w:fldChar w:fldCharType="separate"/>
      </w:r>
      <w:r w:rsidR="001756BA">
        <w:rPr>
          <w:b w:val="0"/>
          <w:sz w:val="20"/>
          <w:szCs w:val="20"/>
        </w:rPr>
        <w:t>30</w:t>
      </w:r>
      <w:r w:rsidR="00B36D41" w:rsidRPr="00BC3CD6">
        <w:rPr>
          <w:b w:val="0"/>
          <w:sz w:val="20"/>
          <w:szCs w:val="20"/>
        </w:rPr>
        <w:fldChar w:fldCharType="end"/>
      </w:r>
    </w:p>
    <w:p w:rsidR="00FF3384" w:rsidRPr="00BC3CD6" w:rsidRDefault="00FF3384" w:rsidP="0013141D">
      <w:pPr>
        <w:pStyle w:val="TOC1"/>
        <w:rPr>
          <w:rFonts w:eastAsiaTheme="minorEastAsia"/>
          <w:sz w:val="20"/>
          <w:szCs w:val="20"/>
          <w:lang w:eastAsia="en-AU"/>
        </w:rPr>
      </w:pPr>
      <w:r w:rsidRPr="00BC3CD6">
        <w:rPr>
          <w:sz w:val="20"/>
          <w:szCs w:val="20"/>
        </w:rPr>
        <w:t xml:space="preserve">Schedule 2 </w:t>
      </w:r>
      <w:r w:rsidRPr="00BC3CD6">
        <w:rPr>
          <w:rFonts w:eastAsiaTheme="minorEastAsia"/>
          <w:sz w:val="20"/>
          <w:szCs w:val="20"/>
          <w:lang w:eastAsia="en-AU"/>
        </w:rPr>
        <w:tab/>
      </w:r>
      <w:r w:rsidRPr="00BC3CD6">
        <w:rPr>
          <w:sz w:val="20"/>
          <w:szCs w:val="20"/>
        </w:rPr>
        <w:t>Forms</w:t>
      </w:r>
      <w:r w:rsidRPr="00BC3CD6">
        <w:rPr>
          <w:sz w:val="20"/>
          <w:szCs w:val="20"/>
        </w:rPr>
        <w:tab/>
      </w:r>
      <w:r w:rsidR="00B36D41" w:rsidRPr="00BC3CD6">
        <w:rPr>
          <w:b w:val="0"/>
          <w:sz w:val="20"/>
          <w:szCs w:val="20"/>
        </w:rPr>
        <w:fldChar w:fldCharType="begin"/>
      </w:r>
      <w:r w:rsidRPr="00BC3CD6">
        <w:rPr>
          <w:b w:val="0"/>
          <w:sz w:val="20"/>
          <w:szCs w:val="20"/>
        </w:rPr>
        <w:instrText xml:space="preserve"> PAGEREF _Toc325039197 \h </w:instrText>
      </w:r>
      <w:r w:rsidR="00B36D41" w:rsidRPr="00BC3CD6">
        <w:rPr>
          <w:b w:val="0"/>
          <w:sz w:val="20"/>
          <w:szCs w:val="20"/>
        </w:rPr>
      </w:r>
      <w:r w:rsidR="00B36D41" w:rsidRPr="00BC3CD6">
        <w:rPr>
          <w:b w:val="0"/>
          <w:sz w:val="20"/>
          <w:szCs w:val="20"/>
        </w:rPr>
        <w:fldChar w:fldCharType="separate"/>
      </w:r>
      <w:r w:rsidR="001756BA">
        <w:rPr>
          <w:b w:val="0"/>
          <w:sz w:val="20"/>
          <w:szCs w:val="20"/>
        </w:rPr>
        <w:t>31</w:t>
      </w:r>
      <w:r w:rsidR="00B36D41" w:rsidRPr="00BC3CD6">
        <w:rPr>
          <w:b w:val="0"/>
          <w:sz w:val="20"/>
          <w:szCs w:val="20"/>
        </w:rPr>
        <w:fldChar w:fldCharType="end"/>
      </w:r>
    </w:p>
    <w:p w:rsidR="00FF3384" w:rsidRPr="00BC3CD6" w:rsidRDefault="00FF3384" w:rsidP="009A4450">
      <w:pPr>
        <w:pStyle w:val="TOC5"/>
        <w:rPr>
          <w:rFonts w:eastAsiaTheme="minorEastAsia"/>
          <w:lang w:eastAsia="en-AU"/>
        </w:rPr>
      </w:pPr>
      <w:r w:rsidRPr="00BC3CD6">
        <w:t xml:space="preserve">Form 1 </w:t>
      </w:r>
      <w:r w:rsidRPr="00BC3CD6">
        <w:rPr>
          <w:rFonts w:eastAsiaTheme="minorEastAsia"/>
          <w:lang w:eastAsia="en-AU"/>
        </w:rPr>
        <w:tab/>
      </w:r>
      <w:r w:rsidRPr="00BC3CD6">
        <w:t>Record of Calculations</w:t>
      </w:r>
      <w:r w:rsidRPr="00BC3CD6">
        <w:tab/>
      </w:r>
      <w:r w:rsidR="00B36D41" w:rsidRPr="00BC3CD6">
        <w:fldChar w:fldCharType="begin"/>
      </w:r>
      <w:r w:rsidRPr="00BC3CD6">
        <w:instrText xml:space="preserve"> PAGEREF _Toc325039198 \h </w:instrText>
      </w:r>
      <w:r w:rsidR="00B36D41" w:rsidRPr="00BC3CD6">
        <w:fldChar w:fldCharType="separate"/>
      </w:r>
      <w:r w:rsidR="001756BA">
        <w:t>31</w:t>
      </w:r>
      <w:r w:rsidR="00B36D41" w:rsidRPr="00BC3CD6">
        <w:fldChar w:fldCharType="end"/>
      </w:r>
    </w:p>
    <w:p w:rsidR="00900A1E" w:rsidRDefault="00FF3384">
      <w:pPr>
        <w:pStyle w:val="TOC5"/>
        <w:rPr>
          <w:rFonts w:eastAsiaTheme="minorEastAsia"/>
          <w:lang w:eastAsia="en-AU"/>
        </w:rPr>
      </w:pPr>
      <w:r w:rsidRPr="00BC3CD6">
        <w:t xml:space="preserve">Form 2 </w:t>
      </w:r>
      <w:r w:rsidRPr="00BC3CD6">
        <w:rPr>
          <w:rFonts w:eastAsiaTheme="minorEastAsia"/>
          <w:lang w:eastAsia="en-AU"/>
        </w:rPr>
        <w:tab/>
      </w:r>
      <w:r w:rsidRPr="00BC3CD6">
        <w:t>Record of Calculations for Offsets Reports</w:t>
      </w:r>
      <w:r w:rsidRPr="00BC3CD6">
        <w:tab/>
      </w:r>
      <w:r w:rsidR="00B36D41" w:rsidRPr="00BC3CD6">
        <w:fldChar w:fldCharType="begin"/>
      </w:r>
      <w:r w:rsidRPr="00BC3CD6">
        <w:instrText xml:space="preserve"> PAGEREF _Toc325039199 \h </w:instrText>
      </w:r>
      <w:r w:rsidR="00B36D41" w:rsidRPr="00BC3CD6">
        <w:fldChar w:fldCharType="separate"/>
      </w:r>
      <w:r w:rsidR="001756BA">
        <w:t>36</w:t>
      </w:r>
      <w:r w:rsidR="00B36D41" w:rsidRPr="00BC3CD6">
        <w:fldChar w:fldCharType="end"/>
      </w:r>
    </w:p>
    <w:p w:rsidR="00E4445C" w:rsidRPr="00BC3CD6" w:rsidRDefault="00B36D41" w:rsidP="00E4445C">
      <w:r w:rsidRPr="00BC3CD6">
        <w:rPr>
          <w:sz w:val="20"/>
          <w:szCs w:val="20"/>
        </w:rPr>
        <w:fldChar w:fldCharType="end"/>
      </w:r>
    </w:p>
    <w:p w:rsidR="00E4445C" w:rsidRPr="0095171D" w:rsidRDefault="00E4445C">
      <w:pPr>
        <w:pBdr>
          <w:bottom w:val="single" w:sz="4" w:space="1" w:color="auto"/>
        </w:pBdr>
        <w:ind w:left="2880" w:right="2880"/>
        <w:jc w:val="center"/>
      </w:pPr>
    </w:p>
    <w:p w:rsidR="00E4445C" w:rsidRPr="0095171D" w:rsidRDefault="00E4445C" w:rsidP="00AC7875">
      <w:pPr>
        <w:pStyle w:val="ContentsSectionBreak"/>
        <w:sectPr w:rsidR="00E4445C" w:rsidRPr="0095171D" w:rsidSect="00B4664D">
          <w:headerReference w:type="even" r:id="rId9"/>
          <w:headerReference w:type="default" r:id="rId10"/>
          <w:footerReference w:type="even" r:id="rId11"/>
          <w:footerReference w:type="default" r:id="rId12"/>
          <w:type w:val="continuous"/>
          <w:pgSz w:w="11907" w:h="16839" w:code="9"/>
          <w:pgMar w:top="1440" w:right="1797" w:bottom="1440" w:left="1797" w:header="709" w:footer="709" w:gutter="0"/>
          <w:cols w:space="708"/>
          <w:titlePg/>
          <w:docGrid w:linePitch="360"/>
        </w:sectPr>
      </w:pPr>
    </w:p>
    <w:p w:rsidR="00A23EF7" w:rsidRPr="0095171D" w:rsidRDefault="00714319" w:rsidP="00886E51">
      <w:pPr>
        <w:pStyle w:val="Heading1"/>
        <w:rPr>
          <w:rFonts w:ascii="Times New Roman" w:hAnsi="Times New Roman" w:cs="Times New Roman"/>
        </w:rPr>
      </w:pPr>
      <w:r w:rsidRPr="00714319">
        <w:rPr>
          <w:rStyle w:val="CharSectno"/>
        </w:rPr>
        <w:lastRenderedPageBreak/>
        <w:br w:type="page"/>
      </w:r>
      <w:bookmarkStart w:id="3" w:name="_Toc325039143"/>
      <w:r w:rsidR="0051445F" w:rsidRPr="0095171D">
        <w:rPr>
          <w:rFonts w:ascii="Times New Roman" w:hAnsi="Times New Roman" w:cs="Times New Roman"/>
        </w:rPr>
        <w:lastRenderedPageBreak/>
        <w:t>Part 1 Preliminary</w:t>
      </w:r>
      <w:bookmarkEnd w:id="3"/>
    </w:p>
    <w:p w:rsidR="00FC10B1" w:rsidRPr="0095171D" w:rsidRDefault="00EB13E3" w:rsidP="00BC708B">
      <w:pPr>
        <w:pStyle w:val="Heading3"/>
        <w:numPr>
          <w:ilvl w:val="1"/>
          <w:numId w:val="36"/>
        </w:numPr>
        <w:rPr>
          <w:rFonts w:ascii="Times New Roman" w:hAnsi="Times New Roman" w:cs="Times New Roman"/>
          <w:sz w:val="24"/>
          <w:szCs w:val="24"/>
        </w:rPr>
      </w:pPr>
      <w:r w:rsidRPr="0095171D">
        <w:rPr>
          <w:rFonts w:ascii="Times New Roman" w:hAnsi="Times New Roman" w:cs="Times New Roman"/>
          <w:sz w:val="24"/>
          <w:szCs w:val="24"/>
        </w:rPr>
        <w:tab/>
      </w:r>
      <w:bookmarkStart w:id="4" w:name="_Toc325039144"/>
      <w:r w:rsidRPr="0095171D">
        <w:rPr>
          <w:rFonts w:ascii="Times New Roman" w:hAnsi="Times New Roman" w:cs="Times New Roman"/>
          <w:sz w:val="24"/>
          <w:szCs w:val="24"/>
        </w:rPr>
        <w:t xml:space="preserve">Name of </w:t>
      </w:r>
      <w:r w:rsidR="00D146CB" w:rsidRPr="0095171D">
        <w:rPr>
          <w:rFonts w:ascii="Times New Roman" w:hAnsi="Times New Roman" w:cs="Times New Roman"/>
          <w:sz w:val="24"/>
          <w:szCs w:val="24"/>
        </w:rPr>
        <w:t>Methodology Determination</w:t>
      </w:r>
      <w:bookmarkEnd w:id="4"/>
    </w:p>
    <w:p w:rsidR="008D7CD1" w:rsidRPr="0095171D" w:rsidRDefault="002F1104">
      <w:pPr>
        <w:pStyle w:val="R1"/>
        <w:tabs>
          <w:tab w:val="clear" w:pos="794"/>
        </w:tabs>
        <w:ind w:left="720" w:firstLine="0"/>
        <w:jc w:val="left"/>
        <w:rPr>
          <w:i/>
        </w:rPr>
      </w:pPr>
      <w:r w:rsidRPr="0095171D">
        <w:t xml:space="preserve">This Methodology Determination is the </w:t>
      </w:r>
      <w:r w:rsidR="00B36D41" w:rsidRPr="0095171D">
        <w:rPr>
          <w:i/>
        </w:rPr>
        <w:fldChar w:fldCharType="begin"/>
      </w:r>
      <w:r w:rsidRPr="0095171D">
        <w:rPr>
          <w:i/>
        </w:rPr>
        <w:instrText xml:space="preserve"> REF Citation \*charformat  \* MERGEFORMAT </w:instrText>
      </w:r>
      <w:r w:rsidR="00B36D41" w:rsidRPr="0095171D">
        <w:rPr>
          <w:i/>
        </w:rPr>
        <w:fldChar w:fldCharType="separate"/>
      </w:r>
      <w:r w:rsidR="001756BA" w:rsidRPr="001756BA">
        <w:rPr>
          <w:i/>
        </w:rPr>
        <w:t xml:space="preserve">Carbon Farming (Reduction of Greenhouse Gas Emissions through Early Dry Season </w:t>
      </w:r>
      <w:proofErr w:type="spellStart"/>
      <w:r w:rsidR="001756BA" w:rsidRPr="001756BA">
        <w:rPr>
          <w:i/>
        </w:rPr>
        <w:t>Savanna</w:t>
      </w:r>
      <w:proofErr w:type="spellEnd"/>
      <w:r w:rsidR="001756BA" w:rsidRPr="001756BA">
        <w:rPr>
          <w:i/>
        </w:rPr>
        <w:t xml:space="preserve"> Burning) Methodology Determination </w:t>
      </w:r>
      <w:r w:rsidR="00B36D41" w:rsidRPr="0095171D">
        <w:rPr>
          <w:i/>
        </w:rPr>
        <w:fldChar w:fldCharType="end"/>
      </w:r>
      <w:r w:rsidR="008D7B24">
        <w:rPr>
          <w:i/>
        </w:rPr>
        <w:t>2012.</w:t>
      </w:r>
    </w:p>
    <w:p w:rsidR="00A23EF7" w:rsidRPr="0095171D" w:rsidRDefault="002F1104" w:rsidP="007466FF">
      <w:pPr>
        <w:pStyle w:val="Heading3"/>
        <w:rPr>
          <w:rFonts w:ascii="Times New Roman" w:hAnsi="Times New Roman" w:cs="Times New Roman"/>
          <w:sz w:val="24"/>
          <w:szCs w:val="24"/>
        </w:rPr>
      </w:pPr>
      <w:bookmarkStart w:id="5" w:name="_Toc325039145"/>
      <w:r w:rsidRPr="0095171D">
        <w:rPr>
          <w:rFonts w:ascii="Times New Roman" w:hAnsi="Times New Roman" w:cs="Times New Roman"/>
          <w:sz w:val="24"/>
          <w:szCs w:val="24"/>
        </w:rPr>
        <w:t>1.2</w:t>
      </w:r>
      <w:r w:rsidRPr="0095171D">
        <w:rPr>
          <w:rFonts w:ascii="Times New Roman" w:hAnsi="Times New Roman" w:cs="Times New Roman"/>
          <w:sz w:val="24"/>
          <w:szCs w:val="24"/>
        </w:rPr>
        <w:tab/>
        <w:t>Commencement</w:t>
      </w:r>
      <w:bookmarkEnd w:id="5"/>
    </w:p>
    <w:p w:rsidR="008D7CD1" w:rsidRDefault="002F1104">
      <w:pPr>
        <w:pStyle w:val="R1"/>
        <w:tabs>
          <w:tab w:val="clear" w:pos="794"/>
        </w:tabs>
        <w:ind w:left="720" w:firstLine="0"/>
        <w:jc w:val="left"/>
      </w:pPr>
      <w:r w:rsidRPr="0095171D">
        <w:t>This Methodology Determination commences on 1 J</w:t>
      </w:r>
      <w:r w:rsidR="00780030">
        <w:t>uly 2010</w:t>
      </w:r>
      <w:r w:rsidRPr="0095171D">
        <w:t>.</w:t>
      </w:r>
    </w:p>
    <w:p w:rsidR="00780030" w:rsidRPr="00780030" w:rsidRDefault="00780030" w:rsidP="00780030">
      <w:pPr>
        <w:pStyle w:val="definition"/>
        <w:ind w:left="2127" w:hanging="687"/>
        <w:jc w:val="left"/>
        <w:rPr>
          <w:i/>
          <w:sz w:val="22"/>
        </w:rPr>
      </w:pPr>
      <w:r w:rsidRPr="0095171D">
        <w:rPr>
          <w:i/>
          <w:sz w:val="22"/>
        </w:rPr>
        <w:t>Note:</w:t>
      </w:r>
      <w:r w:rsidRPr="00780030">
        <w:rPr>
          <w:i/>
          <w:sz w:val="22"/>
        </w:rPr>
        <w:tab/>
      </w:r>
      <w:r w:rsidR="00D55419" w:rsidRPr="00D55419">
        <w:rPr>
          <w:sz w:val="22"/>
        </w:rPr>
        <w:t>B</w:t>
      </w:r>
      <w:r w:rsidR="00AF453F" w:rsidRPr="00AF453F">
        <w:rPr>
          <w:sz w:val="22"/>
        </w:rPr>
        <w:t xml:space="preserve">ecause this Methodology Determination operates on a full calendar year basis, offsets projects under the Methodology Determination </w:t>
      </w:r>
      <w:r w:rsidR="00741F01">
        <w:rPr>
          <w:sz w:val="22"/>
        </w:rPr>
        <w:t xml:space="preserve">will need to </w:t>
      </w:r>
      <w:r w:rsidR="00AF453F" w:rsidRPr="00AF453F">
        <w:rPr>
          <w:sz w:val="22"/>
        </w:rPr>
        <w:t xml:space="preserve">commence after the conclusion of the late dry season that </w:t>
      </w:r>
      <w:r w:rsidR="00A96846">
        <w:rPr>
          <w:sz w:val="22"/>
        </w:rPr>
        <w:t xml:space="preserve">is taken to </w:t>
      </w:r>
      <w:r w:rsidR="00AF453F" w:rsidRPr="00AF453F">
        <w:rPr>
          <w:sz w:val="22"/>
        </w:rPr>
        <w:t>end on 31 December 2010</w:t>
      </w:r>
      <w:r w:rsidR="00AF453F">
        <w:rPr>
          <w:i/>
          <w:sz w:val="22"/>
        </w:rPr>
        <w:t>.</w:t>
      </w:r>
    </w:p>
    <w:p w:rsidR="00A23EF7" w:rsidRPr="0095171D" w:rsidRDefault="002F1104" w:rsidP="007466FF">
      <w:pPr>
        <w:pStyle w:val="Heading3"/>
        <w:rPr>
          <w:rFonts w:ascii="Times New Roman" w:hAnsi="Times New Roman" w:cs="Times New Roman"/>
          <w:sz w:val="24"/>
          <w:szCs w:val="24"/>
        </w:rPr>
      </w:pPr>
      <w:bookmarkStart w:id="6" w:name="_Toc325039146"/>
      <w:r w:rsidRPr="0095171D">
        <w:rPr>
          <w:rFonts w:ascii="Times New Roman" w:hAnsi="Times New Roman" w:cs="Times New Roman"/>
          <w:sz w:val="24"/>
          <w:szCs w:val="24"/>
        </w:rPr>
        <w:t>1.3</w:t>
      </w:r>
      <w:r w:rsidRPr="0095171D">
        <w:rPr>
          <w:rFonts w:ascii="Times New Roman" w:hAnsi="Times New Roman" w:cs="Times New Roman"/>
          <w:sz w:val="24"/>
          <w:szCs w:val="24"/>
        </w:rPr>
        <w:tab/>
        <w:t>Application</w:t>
      </w:r>
      <w:bookmarkEnd w:id="6"/>
    </w:p>
    <w:p w:rsidR="008D7CD1" w:rsidRPr="0095171D" w:rsidRDefault="002F1104">
      <w:pPr>
        <w:pStyle w:val="R1"/>
        <w:tabs>
          <w:tab w:val="clear" w:pos="794"/>
        </w:tabs>
        <w:ind w:left="720" w:firstLine="0"/>
        <w:jc w:val="left"/>
      </w:pPr>
      <w:r w:rsidRPr="0095171D">
        <w:t>This Methodology Determination applies to a project to avoid the emission of methane</w:t>
      </w:r>
      <w:r w:rsidR="00070A4B">
        <w:t xml:space="preserve"> (CH</w:t>
      </w:r>
      <w:r w:rsidR="00430335" w:rsidRPr="00430335">
        <w:rPr>
          <w:vertAlign w:val="subscript"/>
        </w:rPr>
        <w:t>4</w:t>
      </w:r>
      <w:r w:rsidR="00070A4B">
        <w:t>)</w:t>
      </w:r>
      <w:r w:rsidRPr="0095171D">
        <w:t xml:space="preserve"> and nitrous oxide</w:t>
      </w:r>
      <w:r w:rsidR="00070A4B">
        <w:t xml:space="preserve"> (N</w:t>
      </w:r>
      <w:r w:rsidR="00430335" w:rsidRPr="00430335">
        <w:rPr>
          <w:vertAlign w:val="subscript"/>
        </w:rPr>
        <w:t>2</w:t>
      </w:r>
      <w:r w:rsidR="00C03BB7">
        <w:t>O)</w:t>
      </w:r>
      <w:r w:rsidRPr="0095171D">
        <w:t xml:space="preserve"> through the use of strategic early dry season fire management across the savannas in Australia that receive more than 1000 mm </w:t>
      </w:r>
      <w:r w:rsidR="00A96846" w:rsidRPr="0095171D">
        <w:t xml:space="preserve">long-term </w:t>
      </w:r>
      <w:r w:rsidR="00A96846">
        <w:t xml:space="preserve">annual </w:t>
      </w:r>
      <w:r w:rsidRPr="0095171D">
        <w:t>average rainfall.</w:t>
      </w:r>
    </w:p>
    <w:p w:rsidR="00A23EF7" w:rsidRPr="0095171D" w:rsidRDefault="002F1104" w:rsidP="007466FF">
      <w:pPr>
        <w:pStyle w:val="Heading3"/>
        <w:rPr>
          <w:rFonts w:ascii="Times New Roman" w:hAnsi="Times New Roman" w:cs="Times New Roman"/>
          <w:sz w:val="24"/>
          <w:szCs w:val="24"/>
        </w:rPr>
      </w:pPr>
      <w:bookmarkStart w:id="7" w:name="_Toc325039147"/>
      <w:r w:rsidRPr="0095171D">
        <w:rPr>
          <w:rFonts w:ascii="Times New Roman" w:hAnsi="Times New Roman" w:cs="Times New Roman"/>
          <w:sz w:val="24"/>
          <w:szCs w:val="24"/>
        </w:rPr>
        <w:t>1.4</w:t>
      </w:r>
      <w:r w:rsidRPr="0095171D">
        <w:rPr>
          <w:rFonts w:ascii="Times New Roman" w:hAnsi="Times New Roman" w:cs="Times New Roman"/>
          <w:sz w:val="24"/>
          <w:szCs w:val="24"/>
        </w:rPr>
        <w:tab/>
        <w:t>Definitions</w:t>
      </w:r>
      <w:bookmarkEnd w:id="7"/>
    </w:p>
    <w:p w:rsidR="008D7CD1" w:rsidRPr="0095171D" w:rsidRDefault="002F1104">
      <w:pPr>
        <w:pStyle w:val="definition"/>
        <w:ind w:left="720"/>
        <w:rPr>
          <w:rStyle w:val="CharSectno"/>
          <w:b/>
          <w:bCs/>
          <w:sz w:val="26"/>
          <w:szCs w:val="26"/>
        </w:rPr>
      </w:pPr>
      <w:r w:rsidRPr="0095171D">
        <w:rPr>
          <w:rStyle w:val="CharSectno"/>
        </w:rPr>
        <w:t>In this determination:</w:t>
      </w:r>
    </w:p>
    <w:p w:rsidR="003A15F4" w:rsidRPr="00F76347" w:rsidRDefault="00EB13E3" w:rsidP="00B7720C">
      <w:pPr>
        <w:pStyle w:val="definition"/>
        <w:ind w:left="720"/>
      </w:pPr>
      <w:r w:rsidRPr="0095171D">
        <w:rPr>
          <w:b/>
          <w:i/>
        </w:rPr>
        <w:t>Act</w:t>
      </w:r>
      <w:r w:rsidRPr="0095171D">
        <w:t xml:space="preserve"> means the </w:t>
      </w:r>
      <w:r w:rsidRPr="0095171D">
        <w:rPr>
          <w:i/>
        </w:rPr>
        <w:t>Carbon Credits (Carbon Farming Initiative) Act 2011</w:t>
      </w:r>
      <w:r w:rsidR="00F76347" w:rsidRPr="00F76347">
        <w:t>.</w:t>
      </w:r>
    </w:p>
    <w:p w:rsidR="009A1BA2" w:rsidRPr="0095171D" w:rsidRDefault="002F1104" w:rsidP="00B7720C">
      <w:pPr>
        <w:pStyle w:val="definition"/>
        <w:ind w:left="720"/>
        <w:jc w:val="left"/>
      </w:pPr>
      <w:r w:rsidRPr="0095171D">
        <w:rPr>
          <w:b/>
          <w:i/>
        </w:rPr>
        <w:t>annual fire map</w:t>
      </w:r>
      <w:r w:rsidRPr="0095171D">
        <w:rPr>
          <w:i/>
        </w:rPr>
        <w:t xml:space="preserve"> </w:t>
      </w:r>
      <w:r w:rsidRPr="0095171D">
        <w:t>means a fire map which shows fire scars for a calendar year for each vegetation class in the project area.</w:t>
      </w:r>
    </w:p>
    <w:p w:rsidR="003A15F4" w:rsidRPr="0095171D" w:rsidRDefault="00FD1396" w:rsidP="00B7720C">
      <w:pPr>
        <w:pStyle w:val="definition"/>
        <w:ind w:left="720"/>
        <w:jc w:val="left"/>
      </w:pPr>
      <w:proofErr w:type="gramStart"/>
      <w:r w:rsidRPr="0095171D">
        <w:rPr>
          <w:b/>
          <w:i/>
        </w:rPr>
        <w:t>baseline</w:t>
      </w:r>
      <w:proofErr w:type="gramEnd"/>
      <w:r w:rsidRPr="0095171D">
        <w:rPr>
          <w:b/>
          <w:i/>
        </w:rPr>
        <w:t xml:space="preserve"> period </w:t>
      </w:r>
      <w:r w:rsidRPr="0095171D">
        <w:t xml:space="preserve">means the </w:t>
      </w:r>
      <w:r>
        <w:t xml:space="preserve">period of </w:t>
      </w:r>
      <w:r w:rsidRPr="0095171D">
        <w:t xml:space="preserve">ten years </w:t>
      </w:r>
      <w:r>
        <w:t xml:space="preserve">mentioned in </w:t>
      </w:r>
      <w:r w:rsidRPr="0095171D">
        <w:t xml:space="preserve">subsection </w:t>
      </w:r>
      <w:fldSimple w:instr=" REF _Ref317781195 \r \h  \* MERGEFORMAT ">
        <w:r w:rsidR="001756BA">
          <w:t>3.19</w:t>
        </w:r>
      </w:fldSimple>
      <w:r w:rsidR="00181B31">
        <w:t> </w:t>
      </w:r>
      <w:r>
        <w:t xml:space="preserve">(1) or </w:t>
      </w:r>
      <w:fldSimple w:instr=" REF _Ref317781195 \r \h  \* MERGEFORMAT ">
        <w:r w:rsidR="001756BA">
          <w:t>3.19</w:t>
        </w:r>
      </w:fldSimple>
      <w:r w:rsidRPr="0095171D">
        <w:t xml:space="preserve"> </w:t>
      </w:r>
      <w:fldSimple w:instr=" REF _Ref317781188 \r \h  \* MERGEFORMAT ">
        <w:r w:rsidR="001756BA">
          <w:t>(2)</w:t>
        </w:r>
      </w:fldSimple>
      <w:r>
        <w:t>, whichever</w:t>
      </w:r>
      <w:r w:rsidRPr="0095171D">
        <w:t xml:space="preserve"> is applicable</w:t>
      </w:r>
      <w:r>
        <w:t xml:space="preserve"> to the project.</w:t>
      </w:r>
    </w:p>
    <w:p w:rsidR="003A15F4" w:rsidRPr="0095171D" w:rsidRDefault="002F1104" w:rsidP="00B7720C">
      <w:pPr>
        <w:pStyle w:val="definition"/>
        <w:ind w:left="720"/>
        <w:jc w:val="left"/>
      </w:pPr>
      <w:r w:rsidRPr="0095171D">
        <w:rPr>
          <w:b/>
          <w:i/>
        </w:rPr>
        <w:t>coarse fuel</w:t>
      </w:r>
      <w:r w:rsidRPr="0095171D">
        <w:t xml:space="preserve"> means twigs and dead branches of not less than 6 mm in diameter and not more than 50 mm in diameter.</w:t>
      </w:r>
    </w:p>
    <w:p w:rsidR="00C90777" w:rsidRPr="00C90777" w:rsidRDefault="00C90777" w:rsidP="00C90777">
      <w:pPr>
        <w:pStyle w:val="definition"/>
        <w:ind w:left="720"/>
        <w:jc w:val="left"/>
      </w:pPr>
      <w:r>
        <w:rPr>
          <w:b/>
          <w:i/>
        </w:rPr>
        <w:t xml:space="preserve">data waypoint </w:t>
      </w:r>
      <w:r w:rsidR="007308C9" w:rsidRPr="007308C9">
        <w:t xml:space="preserve">means a point within a project area </w:t>
      </w:r>
      <w:r>
        <w:t>w</w:t>
      </w:r>
      <w:r w:rsidR="007308C9" w:rsidRPr="007308C9">
        <w:t>here information is collected</w:t>
      </w:r>
      <w:r w:rsidR="00A228E9">
        <w:t>.</w:t>
      </w:r>
    </w:p>
    <w:p w:rsidR="00A96846" w:rsidRPr="0095171D" w:rsidRDefault="00A96846" w:rsidP="00A96846">
      <w:pPr>
        <w:pStyle w:val="definition"/>
        <w:ind w:left="720"/>
        <w:jc w:val="left"/>
      </w:pPr>
      <w:r w:rsidRPr="0095171D">
        <w:rPr>
          <w:b/>
          <w:i/>
        </w:rPr>
        <w:t>early dry season</w:t>
      </w:r>
      <w:r w:rsidRPr="0095171D">
        <w:t xml:space="preserve"> means the months in a calendar year</w:t>
      </w:r>
      <w:r>
        <w:t xml:space="preserve"> that are not</w:t>
      </w:r>
      <w:r w:rsidRPr="0095171D">
        <w:t xml:space="preserve"> the late dry season.</w:t>
      </w:r>
    </w:p>
    <w:p w:rsidR="003A15F4" w:rsidRPr="0095171D" w:rsidRDefault="002F1104" w:rsidP="00B7720C">
      <w:pPr>
        <w:pStyle w:val="definition"/>
        <w:ind w:left="720"/>
        <w:jc w:val="left"/>
      </w:pPr>
      <w:r w:rsidRPr="0095171D">
        <w:rPr>
          <w:b/>
          <w:i/>
        </w:rPr>
        <w:t xml:space="preserve">early dry season </w:t>
      </w:r>
      <w:r w:rsidR="00FD1396">
        <w:rPr>
          <w:b/>
          <w:i/>
        </w:rPr>
        <w:t xml:space="preserve">(EDS) </w:t>
      </w:r>
      <w:r w:rsidRPr="0095171D">
        <w:rPr>
          <w:b/>
          <w:i/>
        </w:rPr>
        <w:t>burning</w:t>
      </w:r>
      <w:r w:rsidRPr="0095171D">
        <w:t xml:space="preserve"> means a fire or prescribed burn which occurs in the early dry season.</w:t>
      </w:r>
    </w:p>
    <w:p w:rsidR="003A15F4" w:rsidRPr="0095171D" w:rsidRDefault="002F1104" w:rsidP="00B7720C">
      <w:pPr>
        <w:pStyle w:val="definition"/>
        <w:ind w:left="720"/>
        <w:jc w:val="left"/>
      </w:pPr>
      <w:r w:rsidRPr="0095171D">
        <w:rPr>
          <w:b/>
          <w:i/>
        </w:rPr>
        <w:t>fine fuel</w:t>
      </w:r>
      <w:r w:rsidRPr="0095171D">
        <w:t xml:space="preserve"> means grass, leaf litter, bark and small twigs of less than 6 mm in diameter.</w:t>
      </w:r>
    </w:p>
    <w:p w:rsidR="003A15F4" w:rsidRPr="0095171D" w:rsidRDefault="002F1104" w:rsidP="00B7720C">
      <w:pPr>
        <w:pStyle w:val="definition"/>
        <w:ind w:left="720"/>
        <w:jc w:val="left"/>
      </w:pPr>
      <w:r w:rsidRPr="0095171D">
        <w:rPr>
          <w:b/>
          <w:i/>
        </w:rPr>
        <w:t xml:space="preserve">fire map </w:t>
      </w:r>
      <w:r w:rsidRPr="0095171D">
        <w:t>means a geospatial map in raster format which shows the presence and absence of fire scars within the project area by way of pixels representing burnt or unburnt areas.</w:t>
      </w:r>
    </w:p>
    <w:p w:rsidR="003A15F4" w:rsidRPr="0095171D" w:rsidRDefault="002F1104" w:rsidP="00B7720C">
      <w:pPr>
        <w:pStyle w:val="definition"/>
        <w:ind w:left="720"/>
        <w:jc w:val="left"/>
      </w:pPr>
      <w:r w:rsidRPr="0095171D">
        <w:rPr>
          <w:b/>
          <w:i/>
        </w:rPr>
        <w:t xml:space="preserve">fire scar area </w:t>
      </w:r>
      <w:r w:rsidRPr="0095171D">
        <w:t>means the spa</w:t>
      </w:r>
      <w:r w:rsidR="003106DD" w:rsidRPr="0095171D">
        <w:t>tial extent</w:t>
      </w:r>
      <w:r w:rsidRPr="0095171D">
        <w:t>, within a</w:t>
      </w:r>
      <w:r w:rsidR="00415326">
        <w:t xml:space="preserve"> project</w:t>
      </w:r>
      <w:r w:rsidRPr="0095171D">
        <w:t xml:space="preserve">, that </w:t>
      </w:r>
      <w:r w:rsidR="00E86B00" w:rsidRPr="00273B24">
        <w:t>has been</w:t>
      </w:r>
      <w:r w:rsidR="00A96846">
        <w:t xml:space="preserve"> affected by fire</w:t>
      </w:r>
      <w:r w:rsidRPr="0095171D">
        <w:t>.</w:t>
      </w:r>
    </w:p>
    <w:p w:rsidR="003A15F4" w:rsidRPr="0095171D" w:rsidRDefault="002F1104" w:rsidP="00B7720C">
      <w:pPr>
        <w:pStyle w:val="definition"/>
        <w:ind w:left="720"/>
        <w:jc w:val="left"/>
      </w:pPr>
      <w:r w:rsidRPr="0095171D">
        <w:rPr>
          <w:b/>
          <w:i/>
        </w:rPr>
        <w:t>fire scar</w:t>
      </w:r>
      <w:r w:rsidRPr="0095171D">
        <w:t xml:space="preserve"> means an area that has been</w:t>
      </w:r>
      <w:r w:rsidR="003106DD" w:rsidRPr="0095171D">
        <w:t xml:space="preserve"> </w:t>
      </w:r>
      <w:r w:rsidRPr="0095171D">
        <w:t>burnt.</w:t>
      </w:r>
    </w:p>
    <w:p w:rsidR="003C3739" w:rsidRPr="0095171D" w:rsidRDefault="002F1104" w:rsidP="00B7720C">
      <w:pPr>
        <w:pStyle w:val="definition"/>
        <w:ind w:left="720"/>
        <w:jc w:val="left"/>
        <w:rPr>
          <w:i/>
        </w:rPr>
      </w:pPr>
      <w:r w:rsidRPr="0095171D">
        <w:rPr>
          <w:b/>
          <w:i/>
        </w:rPr>
        <w:lastRenderedPageBreak/>
        <w:t xml:space="preserve">fire season </w:t>
      </w:r>
      <w:r w:rsidRPr="0095171D">
        <w:t>means a season that is either the early dry season or</w:t>
      </w:r>
      <w:r w:rsidR="00144F41" w:rsidRPr="0095171D">
        <w:t xml:space="preserve"> the</w:t>
      </w:r>
      <w:r w:rsidRPr="0095171D">
        <w:t xml:space="preserve"> late dry season.</w:t>
      </w:r>
    </w:p>
    <w:p w:rsidR="003A15F4" w:rsidRPr="0095171D" w:rsidRDefault="002F1104" w:rsidP="00ED4498">
      <w:pPr>
        <w:pStyle w:val="definition"/>
        <w:ind w:left="720"/>
        <w:jc w:val="left"/>
      </w:pPr>
      <w:r w:rsidRPr="0095171D">
        <w:rPr>
          <w:b/>
          <w:i/>
        </w:rPr>
        <w:t xml:space="preserve">fuel load estimation period </w:t>
      </w:r>
      <w:r w:rsidRPr="0095171D">
        <w:t>means the five years immediately prior to the baseline period.</w:t>
      </w:r>
    </w:p>
    <w:p w:rsidR="003A15F4" w:rsidRPr="0095171D" w:rsidRDefault="002F1104" w:rsidP="00ED4498">
      <w:pPr>
        <w:pStyle w:val="definition"/>
        <w:tabs>
          <w:tab w:val="left" w:pos="5094"/>
        </w:tabs>
        <w:ind w:left="720"/>
        <w:jc w:val="left"/>
      </w:pPr>
      <w:r w:rsidRPr="0095171D">
        <w:rPr>
          <w:b/>
          <w:i/>
        </w:rPr>
        <w:t>GPS</w:t>
      </w:r>
      <w:r w:rsidRPr="0095171D">
        <w:t xml:space="preserve"> means global positioning system.</w:t>
      </w:r>
    </w:p>
    <w:p w:rsidR="00F02C90" w:rsidRPr="0095171D" w:rsidRDefault="002F1104" w:rsidP="00ED4498">
      <w:pPr>
        <w:pStyle w:val="definition"/>
        <w:ind w:left="720"/>
        <w:jc w:val="left"/>
      </w:pPr>
      <w:r w:rsidRPr="0095171D">
        <w:rPr>
          <w:b/>
          <w:i/>
        </w:rPr>
        <w:t>greenhouse gas assessment boundary</w:t>
      </w:r>
      <w:r w:rsidRPr="0095171D">
        <w:t xml:space="preserve"> means the boundary specified under </w:t>
      </w:r>
      <w:r w:rsidR="00CE1B39" w:rsidRPr="0095171D">
        <w:t>section 3.2.</w:t>
      </w:r>
    </w:p>
    <w:p w:rsidR="00E87F01" w:rsidRPr="0095171D" w:rsidRDefault="00B0547F" w:rsidP="00ED4498">
      <w:pPr>
        <w:pStyle w:val="definition"/>
        <w:ind w:left="720"/>
        <w:jc w:val="left"/>
      </w:pPr>
      <w:r w:rsidRPr="00B0547F">
        <w:rPr>
          <w:b/>
          <w:i/>
        </w:rPr>
        <w:t xml:space="preserve">GWP </w:t>
      </w:r>
      <w:r w:rsidRPr="00B0547F">
        <w:t>means Global Warming Potential</w:t>
      </w:r>
      <w:r w:rsidR="00144F41" w:rsidRPr="0095171D">
        <w:t>.</w:t>
      </w:r>
    </w:p>
    <w:p w:rsidR="003A15F4" w:rsidRPr="0095171D" w:rsidRDefault="00EB13E3" w:rsidP="00ED4498">
      <w:pPr>
        <w:pStyle w:val="definition"/>
        <w:ind w:left="720"/>
        <w:jc w:val="left"/>
      </w:pPr>
      <w:r w:rsidRPr="0095171D">
        <w:rPr>
          <w:b/>
          <w:i/>
        </w:rPr>
        <w:t xml:space="preserve">heavy fuel </w:t>
      </w:r>
      <w:r w:rsidRPr="0095171D">
        <w:t xml:space="preserve">means branches and logs </w:t>
      </w:r>
      <w:r w:rsidR="001C2449" w:rsidRPr="0095171D">
        <w:t xml:space="preserve">of </w:t>
      </w:r>
      <w:r w:rsidRPr="0095171D">
        <w:t>greater than 50 mm in diameter.</w:t>
      </w:r>
    </w:p>
    <w:p w:rsidR="003A15F4" w:rsidRPr="0095171D" w:rsidRDefault="002F1104" w:rsidP="00ED4498">
      <w:pPr>
        <w:pStyle w:val="definition"/>
        <w:ind w:left="720"/>
        <w:jc w:val="left"/>
      </w:pPr>
      <w:proofErr w:type="gramStart"/>
      <w:r w:rsidRPr="0095171D">
        <w:rPr>
          <w:b/>
          <w:i/>
        </w:rPr>
        <w:t>late</w:t>
      </w:r>
      <w:proofErr w:type="gramEnd"/>
      <w:r w:rsidRPr="0095171D">
        <w:rPr>
          <w:b/>
          <w:i/>
        </w:rPr>
        <w:t xml:space="preserve"> dry season</w:t>
      </w:r>
      <w:r w:rsidRPr="0095171D">
        <w:t xml:space="preserve"> means the period, for a region, in a calendar year, determined in accordance </w:t>
      </w:r>
      <w:r w:rsidR="00CE1B39" w:rsidRPr="0095171D">
        <w:t>with section</w:t>
      </w:r>
      <w:r w:rsidRPr="0095171D">
        <w:t xml:space="preserve"> </w:t>
      </w:r>
      <w:fldSimple w:instr=" REF _Ref324839090 \r \h  \* MERGEFORMAT ">
        <w:r w:rsidR="001756BA">
          <w:t>3.3</w:t>
        </w:r>
      </w:fldSimple>
      <w:r w:rsidR="001D6559">
        <w:t xml:space="preserve">. </w:t>
      </w:r>
    </w:p>
    <w:p w:rsidR="00D55419" w:rsidRDefault="00B0547F">
      <w:pPr>
        <w:pStyle w:val="definition"/>
        <w:ind w:left="720"/>
        <w:jc w:val="left"/>
        <w:rPr>
          <w:i/>
        </w:rPr>
      </w:pPr>
      <w:r w:rsidRPr="00B0547F">
        <w:rPr>
          <w:b/>
          <w:i/>
        </w:rPr>
        <w:t>monthly fire map</w:t>
      </w:r>
      <w:r w:rsidR="00430335" w:rsidRPr="00430335">
        <w:rPr>
          <w:b/>
          <w:i/>
        </w:rPr>
        <w:t xml:space="preserve"> </w:t>
      </w:r>
      <w:r w:rsidRPr="00F45C19">
        <w:t>means a fire map relating to one or more calendar months of a year.</w:t>
      </w:r>
      <w:r w:rsidR="00430335" w:rsidRPr="00430335">
        <w:rPr>
          <w:i/>
        </w:rPr>
        <w:t xml:space="preserve"> </w:t>
      </w:r>
    </w:p>
    <w:p w:rsidR="00C666D5" w:rsidRDefault="00430335" w:rsidP="00D55419">
      <w:pPr>
        <w:pStyle w:val="definition"/>
        <w:ind w:left="2410" w:hanging="970"/>
        <w:jc w:val="left"/>
        <w:rPr>
          <w:i/>
        </w:rPr>
      </w:pPr>
      <w:r w:rsidRPr="00430335">
        <w:rPr>
          <w:i/>
        </w:rPr>
        <w:t>Note:</w:t>
      </w:r>
      <w:r w:rsidR="00F45C19">
        <w:rPr>
          <w:i/>
        </w:rPr>
        <w:t xml:space="preserve"> </w:t>
      </w:r>
      <w:r w:rsidR="00D55419">
        <w:rPr>
          <w:i/>
        </w:rPr>
        <w:tab/>
      </w:r>
      <w:r w:rsidR="00E86B00" w:rsidRPr="00E86B00">
        <w:rPr>
          <w:sz w:val="22"/>
          <w:szCs w:val="22"/>
        </w:rPr>
        <w:t xml:space="preserve">Monthly fire maps must also meet the requirements relating to format resolution and other matters set out in section </w:t>
      </w:r>
      <w:fldSimple w:instr=" REF _Ref324839160 \r \h  \* MERGEFORMAT ">
        <w:r w:rsidR="001756BA" w:rsidRPr="001756BA">
          <w:rPr>
            <w:sz w:val="22"/>
            <w:szCs w:val="22"/>
          </w:rPr>
          <w:t>3.26</w:t>
        </w:r>
      </w:fldSimple>
      <w:r w:rsidR="00E86B00" w:rsidRPr="00E86B00">
        <w:rPr>
          <w:i/>
          <w:sz w:val="22"/>
          <w:szCs w:val="22"/>
        </w:rPr>
        <w:t>.</w:t>
      </w:r>
    </w:p>
    <w:p w:rsidR="00B656C8" w:rsidRPr="0095171D" w:rsidRDefault="002F1104">
      <w:pPr>
        <w:pStyle w:val="definition"/>
        <w:tabs>
          <w:tab w:val="left" w:pos="5094"/>
        </w:tabs>
        <w:ind w:left="720"/>
        <w:jc w:val="left"/>
      </w:pPr>
      <w:r w:rsidRPr="0095171D">
        <w:rPr>
          <w:b/>
          <w:i/>
        </w:rPr>
        <w:t xml:space="preserve">NAFI </w:t>
      </w:r>
      <w:r w:rsidRPr="0095171D">
        <w:t>means the North Australian Fire Information</w:t>
      </w:r>
      <w:r w:rsidR="003106DD" w:rsidRPr="0095171D">
        <w:t xml:space="preserve"> website</w:t>
      </w:r>
      <w:r w:rsidRPr="0095171D">
        <w:t>.</w:t>
      </w:r>
      <w:r w:rsidR="00F45C19">
        <w:rPr>
          <w:i/>
          <w:sz w:val="22"/>
        </w:rPr>
        <w:t xml:space="preserve"> </w:t>
      </w:r>
    </w:p>
    <w:p w:rsidR="00C666D5" w:rsidRDefault="002F1104">
      <w:pPr>
        <w:pStyle w:val="definition"/>
        <w:ind w:left="2410" w:hanging="970"/>
        <w:jc w:val="left"/>
      </w:pPr>
      <w:r w:rsidRPr="0095171D">
        <w:rPr>
          <w:i/>
          <w:sz w:val="22"/>
        </w:rPr>
        <w:t>Note:</w:t>
      </w:r>
      <w:r w:rsidR="00B656C8">
        <w:rPr>
          <w:i/>
          <w:sz w:val="22"/>
        </w:rPr>
        <w:tab/>
      </w:r>
      <w:r w:rsidR="00B0547F" w:rsidRPr="00B0547F">
        <w:rPr>
          <w:sz w:val="22"/>
        </w:rPr>
        <w:t xml:space="preserve">NAFI can be accessed at </w:t>
      </w:r>
      <w:r w:rsidR="00E86B00" w:rsidRPr="00E86B00">
        <w:rPr>
          <w:sz w:val="22"/>
          <w:u w:val="single"/>
        </w:rPr>
        <w:t>www.firenorth.org.au</w:t>
      </w:r>
      <w:r w:rsidR="00FD1396" w:rsidRPr="00967C45">
        <w:rPr>
          <w:sz w:val="22"/>
        </w:rPr>
        <w:t>.</w:t>
      </w:r>
    </w:p>
    <w:p w:rsidR="008D7CD1" w:rsidRPr="0095171D" w:rsidRDefault="002F1104">
      <w:pPr>
        <w:pStyle w:val="definition"/>
        <w:ind w:left="720"/>
        <w:jc w:val="left"/>
      </w:pPr>
      <w:r w:rsidRPr="0095171D">
        <w:rPr>
          <w:b/>
          <w:i/>
        </w:rPr>
        <w:t xml:space="preserve">NGER Measurement Determination </w:t>
      </w:r>
      <w:r w:rsidRPr="0095171D">
        <w:t xml:space="preserve">means the applicable determination made under subsection 10 (3) of the </w:t>
      </w:r>
      <w:r w:rsidRPr="0095171D">
        <w:rPr>
          <w:i/>
        </w:rPr>
        <w:t xml:space="preserve">National Greenhouse and Energy Reporting Act 2007 </w:t>
      </w:r>
      <w:r w:rsidRPr="0095171D">
        <w:t>as in force from time to time.</w:t>
      </w:r>
    </w:p>
    <w:p w:rsidR="008D7CD1" w:rsidRPr="0095171D" w:rsidRDefault="002F1104">
      <w:pPr>
        <w:pStyle w:val="definition"/>
        <w:ind w:left="720"/>
        <w:jc w:val="left"/>
        <w:rPr>
          <w:b/>
          <w:i/>
        </w:rPr>
      </w:pPr>
      <w:r w:rsidRPr="0095171D">
        <w:rPr>
          <w:b/>
          <w:i/>
        </w:rPr>
        <w:t xml:space="preserve">NGER Regulations </w:t>
      </w:r>
      <w:r w:rsidRPr="0095171D">
        <w:t xml:space="preserve">means the </w:t>
      </w:r>
      <w:r w:rsidRPr="0095171D">
        <w:rPr>
          <w:i/>
        </w:rPr>
        <w:t>National Greenhouse and Energy Reporting Regulations 200</w:t>
      </w:r>
      <w:r w:rsidR="001A5565" w:rsidRPr="0095171D">
        <w:rPr>
          <w:i/>
        </w:rPr>
        <w:t>8</w:t>
      </w:r>
      <w:r w:rsidRPr="0095171D">
        <w:rPr>
          <w:i/>
        </w:rPr>
        <w:t xml:space="preserve">, </w:t>
      </w:r>
      <w:r w:rsidRPr="000558DA">
        <w:t>as in force from time to time</w:t>
      </w:r>
      <w:r w:rsidRPr="0095171D">
        <w:rPr>
          <w:i/>
        </w:rPr>
        <w:t>.</w:t>
      </w:r>
    </w:p>
    <w:p w:rsidR="008D7CD1" w:rsidRPr="0095171D" w:rsidRDefault="002F1104">
      <w:pPr>
        <w:pStyle w:val="definition"/>
        <w:ind w:left="720"/>
        <w:jc w:val="left"/>
        <w:rPr>
          <w:b/>
        </w:rPr>
      </w:pPr>
      <w:r w:rsidRPr="0095171D">
        <w:rPr>
          <w:b/>
          <w:i/>
        </w:rPr>
        <w:t xml:space="preserve">raster format </w:t>
      </w:r>
      <w:r w:rsidRPr="0095171D">
        <w:t>means, for a map, the division of the map into</w:t>
      </w:r>
      <w:r w:rsidR="003106DD" w:rsidRPr="0095171D">
        <w:t xml:space="preserve"> a grid of</w:t>
      </w:r>
      <w:r w:rsidRPr="0095171D">
        <w:t xml:space="preserve"> pixels that can be coded according to characteristics of, or relating to, the area represented by the pixel.</w:t>
      </w:r>
    </w:p>
    <w:p w:rsidR="008D7CD1" w:rsidRDefault="002F1104">
      <w:pPr>
        <w:pStyle w:val="definition"/>
        <w:ind w:left="720"/>
        <w:jc w:val="left"/>
      </w:pPr>
      <w:r w:rsidRPr="0095171D">
        <w:rPr>
          <w:b/>
          <w:i/>
        </w:rPr>
        <w:t xml:space="preserve">registered greenhouse and energy auditor </w:t>
      </w:r>
      <w:r w:rsidRPr="0095171D">
        <w:t xml:space="preserve">has the meaning given by the </w:t>
      </w:r>
      <w:r w:rsidRPr="0095171D">
        <w:rPr>
          <w:i/>
        </w:rPr>
        <w:t>National Greenhouse and Energy Reporting Act 2007</w:t>
      </w:r>
      <w:r w:rsidR="00B0547F" w:rsidRPr="00B0547F">
        <w:t>, as in force from time to time.</w:t>
      </w:r>
    </w:p>
    <w:p w:rsidR="00FD1396" w:rsidRPr="00FD1396" w:rsidRDefault="00FD1396">
      <w:pPr>
        <w:pStyle w:val="definition"/>
        <w:ind w:left="720"/>
        <w:jc w:val="left"/>
      </w:pPr>
      <w:r>
        <w:rPr>
          <w:b/>
          <w:i/>
        </w:rPr>
        <w:t>Regulations</w:t>
      </w:r>
      <w:r>
        <w:t xml:space="preserve"> means the </w:t>
      </w:r>
      <w:r>
        <w:rPr>
          <w:i/>
        </w:rPr>
        <w:t>Carbon credits (Carbon Farming Initiative) Regulations 2011</w:t>
      </w:r>
      <w:r>
        <w:t>, as in force from time to time.</w:t>
      </w:r>
    </w:p>
    <w:p w:rsidR="003C0D1E" w:rsidRDefault="003C0D1E" w:rsidP="00F45C19">
      <w:pPr>
        <w:pStyle w:val="definition"/>
        <w:ind w:left="720"/>
        <w:jc w:val="left"/>
      </w:pPr>
      <w:r>
        <w:rPr>
          <w:b/>
          <w:i/>
        </w:rPr>
        <w:t>Savanna burning 1000 mm rainfall map</w:t>
      </w:r>
      <w:r>
        <w:t xml:space="preserve"> means </w:t>
      </w:r>
      <w:r w:rsidR="006063AD" w:rsidRPr="00273B24">
        <w:t>the</w:t>
      </w:r>
      <w:r w:rsidR="006063AD" w:rsidRPr="007C06E4">
        <w:t xml:space="preserve"> </w:t>
      </w:r>
      <w:r w:rsidR="00B2064E" w:rsidRPr="007C06E4">
        <w:t>map</w:t>
      </w:r>
      <w:r>
        <w:t xml:space="preserve"> that shows the eligible land area under </w:t>
      </w:r>
      <w:r w:rsidR="00B2064E" w:rsidRPr="007C06E4">
        <w:t xml:space="preserve">this </w:t>
      </w:r>
      <w:r w:rsidR="007C06E4" w:rsidRPr="007C06E4">
        <w:t>M</w:t>
      </w:r>
      <w:r w:rsidR="00B2064E" w:rsidRPr="007C06E4">
        <w:t>ethodology</w:t>
      </w:r>
      <w:r w:rsidR="007C06E4">
        <w:t xml:space="preserve"> Determination</w:t>
      </w:r>
      <w:r>
        <w:t xml:space="preserve"> (above 1000</w:t>
      </w:r>
      <w:r w:rsidR="006063AD">
        <w:t xml:space="preserve"> </w:t>
      </w:r>
      <w:r>
        <w:t xml:space="preserve">mm of rainfall). </w:t>
      </w:r>
    </w:p>
    <w:p w:rsidR="00C666D5" w:rsidRDefault="00B656C8">
      <w:pPr>
        <w:pStyle w:val="definition"/>
        <w:ind w:left="2410" w:hanging="970"/>
        <w:jc w:val="left"/>
      </w:pPr>
      <w:r w:rsidRPr="0095171D">
        <w:rPr>
          <w:i/>
          <w:sz w:val="22"/>
        </w:rPr>
        <w:t>Note:</w:t>
      </w:r>
      <w:r>
        <w:rPr>
          <w:i/>
          <w:sz w:val="22"/>
        </w:rPr>
        <w:tab/>
      </w:r>
      <w:r w:rsidR="00430335" w:rsidRPr="00430335">
        <w:rPr>
          <w:sz w:val="22"/>
        </w:rPr>
        <w:t xml:space="preserve">This map can be found at </w:t>
      </w:r>
      <w:r w:rsidR="00E86B00" w:rsidRPr="00E86B00">
        <w:rPr>
          <w:sz w:val="22"/>
          <w:u w:val="single"/>
        </w:rPr>
        <w:t>www.climatechange.gov.au</w:t>
      </w:r>
      <w:r w:rsidR="00430335" w:rsidRPr="00430335">
        <w:rPr>
          <w:sz w:val="22"/>
        </w:rPr>
        <w:t>.</w:t>
      </w:r>
    </w:p>
    <w:p w:rsidR="00F5477E" w:rsidRDefault="002F1104" w:rsidP="00F45C19">
      <w:pPr>
        <w:pStyle w:val="definition"/>
        <w:ind w:left="720"/>
        <w:jc w:val="left"/>
      </w:pPr>
      <w:r w:rsidRPr="0095171D">
        <w:rPr>
          <w:b/>
          <w:i/>
        </w:rPr>
        <w:t xml:space="preserve">seasonal fire map </w:t>
      </w:r>
      <w:r w:rsidRPr="0095171D">
        <w:t>means a fire map relating to</w:t>
      </w:r>
      <w:r w:rsidR="00144F41" w:rsidRPr="0095171D">
        <w:t xml:space="preserve"> either the early dry season or the late dry season</w:t>
      </w:r>
      <w:r w:rsidRPr="0095171D">
        <w:t>.</w:t>
      </w:r>
    </w:p>
    <w:p w:rsidR="00C666D5" w:rsidRDefault="002F1104">
      <w:pPr>
        <w:pStyle w:val="definition"/>
        <w:ind w:left="2410" w:hanging="992"/>
        <w:jc w:val="left"/>
      </w:pPr>
      <w:r w:rsidRPr="0095171D">
        <w:rPr>
          <w:i/>
          <w:sz w:val="22"/>
        </w:rPr>
        <w:t>Note:</w:t>
      </w:r>
      <w:r w:rsidR="00F45C19">
        <w:rPr>
          <w:b/>
          <w:i/>
          <w:sz w:val="22"/>
        </w:rPr>
        <w:t xml:space="preserve"> </w:t>
      </w:r>
      <w:r w:rsidR="00F5477E">
        <w:rPr>
          <w:b/>
          <w:i/>
          <w:sz w:val="22"/>
        </w:rPr>
        <w:tab/>
      </w:r>
      <w:r w:rsidR="00CD44E8" w:rsidRPr="0095171D">
        <w:rPr>
          <w:sz w:val="22"/>
        </w:rPr>
        <w:t>S</w:t>
      </w:r>
      <w:r w:rsidRPr="0095171D">
        <w:rPr>
          <w:sz w:val="22"/>
        </w:rPr>
        <w:t>easonal fire maps must also meet the requirements relating to format</w:t>
      </w:r>
      <w:r w:rsidR="00B55226">
        <w:rPr>
          <w:sz w:val="22"/>
        </w:rPr>
        <w:t>,</w:t>
      </w:r>
      <w:r w:rsidR="00FD1396">
        <w:rPr>
          <w:sz w:val="22"/>
        </w:rPr>
        <w:t xml:space="preserve"> </w:t>
      </w:r>
      <w:r w:rsidRPr="0095171D">
        <w:rPr>
          <w:sz w:val="22"/>
        </w:rPr>
        <w:t>resolution and other matters set out in</w:t>
      </w:r>
      <w:r w:rsidR="001C1B59" w:rsidRPr="0095171D">
        <w:rPr>
          <w:sz w:val="22"/>
        </w:rPr>
        <w:t xml:space="preserve"> </w:t>
      </w:r>
      <w:r w:rsidR="009C3040" w:rsidRPr="0095171D">
        <w:rPr>
          <w:sz w:val="22"/>
        </w:rPr>
        <w:t>section</w:t>
      </w:r>
      <w:r w:rsidR="00306338">
        <w:rPr>
          <w:sz w:val="22"/>
        </w:rPr>
        <w:t xml:space="preserve"> 3.27</w:t>
      </w:r>
      <w:r w:rsidR="00F54F19">
        <w:rPr>
          <w:sz w:val="22"/>
        </w:rPr>
        <w:t>.</w:t>
      </w:r>
    </w:p>
    <w:p w:rsidR="003A15F4" w:rsidRPr="0095171D" w:rsidRDefault="002F1104" w:rsidP="00B7720C">
      <w:pPr>
        <w:pStyle w:val="definition"/>
        <w:ind w:left="720"/>
        <w:jc w:val="left"/>
      </w:pPr>
      <w:r w:rsidRPr="0095171D">
        <w:rPr>
          <w:b/>
          <w:i/>
        </w:rPr>
        <w:t xml:space="preserve">shrubs </w:t>
      </w:r>
      <w:r w:rsidRPr="0095171D">
        <w:t>means living plants with a stem diameter of less than 50 mm at a height of 1.3 m.</w:t>
      </w:r>
    </w:p>
    <w:p w:rsidR="00450392" w:rsidRPr="0095171D" w:rsidRDefault="00B0547F" w:rsidP="00B7720C">
      <w:pPr>
        <w:pStyle w:val="definition"/>
        <w:ind w:left="720"/>
        <w:jc w:val="left"/>
      </w:pPr>
      <w:r>
        <w:rPr>
          <w:b/>
          <w:i/>
        </w:rPr>
        <w:t>strategic</w:t>
      </w:r>
      <w:r w:rsidRPr="00B0547F">
        <w:rPr>
          <w:b/>
          <w:i/>
        </w:rPr>
        <w:t xml:space="preserve"> early</w:t>
      </w:r>
      <w:r w:rsidR="002F1104" w:rsidRPr="0095171D">
        <w:rPr>
          <w:b/>
          <w:i/>
        </w:rPr>
        <w:t xml:space="preserve"> dry season fire management </w:t>
      </w:r>
      <w:r w:rsidR="002F1104" w:rsidRPr="0095171D">
        <w:t xml:space="preserve">is the planned and purposeful deployment of prescribed early dry season burns in combination with other natural and constructed barriers to stop the spread of fire.  </w:t>
      </w:r>
    </w:p>
    <w:p w:rsidR="00F5477E" w:rsidRPr="0095171D" w:rsidRDefault="002F1104" w:rsidP="00B7720C">
      <w:pPr>
        <w:pStyle w:val="definition"/>
        <w:ind w:left="720"/>
        <w:jc w:val="left"/>
      </w:pPr>
      <w:r w:rsidRPr="0095171D">
        <w:rPr>
          <w:b/>
          <w:i/>
        </w:rPr>
        <w:lastRenderedPageBreak/>
        <w:t>vegetation map</w:t>
      </w:r>
      <w:r w:rsidRPr="0095171D">
        <w:rPr>
          <w:i/>
        </w:rPr>
        <w:t xml:space="preserve"> </w:t>
      </w:r>
      <w:r w:rsidRPr="0095171D">
        <w:t>means a geospatial map in raster format which identifies the class and location of vegetation in the project area.</w:t>
      </w:r>
      <w:r w:rsidR="006633EB">
        <w:rPr>
          <w:i/>
          <w:sz w:val="22"/>
        </w:rPr>
        <w:t xml:space="preserve"> </w:t>
      </w:r>
    </w:p>
    <w:p w:rsidR="00C666D5" w:rsidRDefault="002F1104">
      <w:pPr>
        <w:pStyle w:val="definition"/>
        <w:ind w:left="2410" w:hanging="970"/>
        <w:jc w:val="left"/>
      </w:pPr>
      <w:r w:rsidRPr="0095171D">
        <w:rPr>
          <w:i/>
          <w:sz w:val="22"/>
        </w:rPr>
        <w:t>Note:</w:t>
      </w:r>
      <w:r w:rsidRPr="0095171D">
        <w:rPr>
          <w:sz w:val="22"/>
        </w:rPr>
        <w:t xml:space="preserve"> </w:t>
      </w:r>
      <w:r w:rsidR="00F5477E">
        <w:rPr>
          <w:sz w:val="22"/>
        </w:rPr>
        <w:tab/>
      </w:r>
      <w:r w:rsidR="0060504C">
        <w:rPr>
          <w:sz w:val="22"/>
        </w:rPr>
        <w:t>V</w:t>
      </w:r>
      <w:r w:rsidRPr="0095171D">
        <w:rPr>
          <w:sz w:val="22"/>
        </w:rPr>
        <w:t>egetation maps must also meet the requirements relating to format, resolution and other matters set out in</w:t>
      </w:r>
      <w:r w:rsidR="001C1B59" w:rsidRPr="0095171D">
        <w:rPr>
          <w:sz w:val="22"/>
        </w:rPr>
        <w:t xml:space="preserve"> </w:t>
      </w:r>
      <w:r w:rsidR="00CE1B39" w:rsidRPr="0095171D">
        <w:rPr>
          <w:sz w:val="22"/>
        </w:rPr>
        <w:t xml:space="preserve">section </w:t>
      </w:r>
      <w:fldSimple w:instr=" REF _Ref324839208 \r \h  \* MERGEFORMAT ">
        <w:r w:rsidR="001756BA" w:rsidRPr="001756BA">
          <w:rPr>
            <w:sz w:val="22"/>
          </w:rPr>
          <w:t>3.25</w:t>
        </w:r>
      </w:fldSimple>
      <w:r w:rsidRPr="0095171D">
        <w:rPr>
          <w:sz w:val="22"/>
        </w:rPr>
        <w:t>.</w:t>
      </w:r>
    </w:p>
    <w:p w:rsidR="008D7CD1" w:rsidRPr="0095171D" w:rsidRDefault="002F1104">
      <w:pPr>
        <w:pStyle w:val="definition"/>
        <w:ind w:left="720"/>
        <w:jc w:val="left"/>
      </w:pPr>
      <w:r w:rsidRPr="0095171D">
        <w:rPr>
          <w:b/>
          <w:i/>
        </w:rPr>
        <w:t xml:space="preserve">YSLB </w:t>
      </w:r>
      <w:r w:rsidRPr="0095171D">
        <w:t>means the number of years since a</w:t>
      </w:r>
      <w:r w:rsidR="003106DD" w:rsidRPr="0095171D">
        <w:t xml:space="preserve"> pixel</w:t>
      </w:r>
      <w:r w:rsidRPr="0095171D">
        <w:t xml:space="preserve"> was last burnt.</w:t>
      </w:r>
    </w:p>
    <w:p w:rsidR="008D7CD1" w:rsidRPr="0095171D" w:rsidRDefault="002F1104">
      <w:pPr>
        <w:pStyle w:val="definition"/>
        <w:ind w:left="720"/>
        <w:jc w:val="left"/>
      </w:pPr>
      <w:r w:rsidRPr="0095171D">
        <w:rPr>
          <w:i/>
          <w:sz w:val="22"/>
        </w:rPr>
        <w:t xml:space="preserve">Note:  </w:t>
      </w:r>
      <w:r w:rsidRPr="0095171D">
        <w:rPr>
          <w:sz w:val="22"/>
        </w:rPr>
        <w:t xml:space="preserve">Several other words and expressions used in this Methodology Determination have the meaning given by section 5 of the Act and </w:t>
      </w:r>
      <w:r w:rsidR="00F54F19">
        <w:rPr>
          <w:sz w:val="22"/>
        </w:rPr>
        <w:t xml:space="preserve">by </w:t>
      </w:r>
      <w:r w:rsidRPr="0095171D">
        <w:rPr>
          <w:sz w:val="22"/>
        </w:rPr>
        <w:t>the Regulations.  These terms include:</w:t>
      </w:r>
    </w:p>
    <w:p w:rsidR="00042EFA" w:rsidRPr="0095171D" w:rsidRDefault="002F1104" w:rsidP="00262C57">
      <w:pPr>
        <w:pStyle w:val="definition"/>
        <w:numPr>
          <w:ilvl w:val="0"/>
          <w:numId w:val="7"/>
        </w:numPr>
      </w:pPr>
      <w:r w:rsidRPr="0095171D">
        <w:t>baseline;</w:t>
      </w:r>
    </w:p>
    <w:p w:rsidR="0090500F" w:rsidRPr="0095171D" w:rsidRDefault="002F1104" w:rsidP="00262C57">
      <w:pPr>
        <w:pStyle w:val="definition"/>
        <w:numPr>
          <w:ilvl w:val="0"/>
          <w:numId w:val="7"/>
        </w:numPr>
      </w:pPr>
      <w:r w:rsidRPr="0095171D">
        <w:t>carbon dioxide equivalence;</w:t>
      </w:r>
    </w:p>
    <w:p w:rsidR="00042EFA" w:rsidRPr="0095171D" w:rsidRDefault="002F1104" w:rsidP="00262C57">
      <w:pPr>
        <w:pStyle w:val="definition"/>
        <w:numPr>
          <w:ilvl w:val="0"/>
          <w:numId w:val="7"/>
        </w:numPr>
      </w:pPr>
      <w:r w:rsidRPr="0095171D">
        <w:t>eligible offsets project;</w:t>
      </w:r>
    </w:p>
    <w:p w:rsidR="00042EFA" w:rsidRPr="0095171D" w:rsidRDefault="002F1104" w:rsidP="00262C57">
      <w:pPr>
        <w:pStyle w:val="definition"/>
        <w:numPr>
          <w:ilvl w:val="0"/>
          <w:numId w:val="7"/>
        </w:numPr>
      </w:pPr>
      <w:r w:rsidRPr="0095171D">
        <w:t>emission;</w:t>
      </w:r>
    </w:p>
    <w:p w:rsidR="00042EFA" w:rsidRPr="0095171D" w:rsidRDefault="002F1104" w:rsidP="00262C57">
      <w:pPr>
        <w:pStyle w:val="definition"/>
        <w:numPr>
          <w:ilvl w:val="0"/>
          <w:numId w:val="7"/>
        </w:numPr>
      </w:pPr>
      <w:r w:rsidRPr="0095171D">
        <w:t>greenhouse gas;</w:t>
      </w:r>
    </w:p>
    <w:p w:rsidR="00042EFA" w:rsidRPr="0095171D" w:rsidRDefault="002F1104" w:rsidP="00262C57">
      <w:pPr>
        <w:pStyle w:val="definition"/>
        <w:numPr>
          <w:ilvl w:val="0"/>
          <w:numId w:val="7"/>
        </w:numPr>
      </w:pPr>
      <w:r w:rsidRPr="0095171D">
        <w:t>offsets project;</w:t>
      </w:r>
    </w:p>
    <w:p w:rsidR="00042EFA" w:rsidRPr="0095171D" w:rsidRDefault="002F1104" w:rsidP="00262C57">
      <w:pPr>
        <w:pStyle w:val="definition"/>
        <w:numPr>
          <w:ilvl w:val="0"/>
          <w:numId w:val="7"/>
        </w:numPr>
      </w:pPr>
      <w:r w:rsidRPr="0095171D">
        <w:t>offsets report;</w:t>
      </w:r>
    </w:p>
    <w:p w:rsidR="00042EFA" w:rsidRPr="0095171D" w:rsidRDefault="002F1104" w:rsidP="00262C57">
      <w:pPr>
        <w:pStyle w:val="definition"/>
        <w:numPr>
          <w:ilvl w:val="0"/>
          <w:numId w:val="7"/>
        </w:numPr>
      </w:pPr>
      <w:r w:rsidRPr="0095171D">
        <w:t>project;</w:t>
      </w:r>
    </w:p>
    <w:p w:rsidR="00042EFA" w:rsidRPr="0095171D" w:rsidRDefault="002F1104" w:rsidP="00262C57">
      <w:pPr>
        <w:pStyle w:val="definition"/>
        <w:numPr>
          <w:ilvl w:val="0"/>
          <w:numId w:val="7"/>
        </w:numPr>
      </w:pPr>
      <w:r w:rsidRPr="0095171D">
        <w:t>project area;</w:t>
      </w:r>
    </w:p>
    <w:p w:rsidR="002C7CEC" w:rsidRPr="0095171D" w:rsidRDefault="002F1104" w:rsidP="00262C57">
      <w:pPr>
        <w:pStyle w:val="definition"/>
        <w:numPr>
          <w:ilvl w:val="0"/>
          <w:numId w:val="7"/>
        </w:numPr>
      </w:pPr>
      <w:r w:rsidRPr="0095171D">
        <w:t>project proponent;</w:t>
      </w:r>
    </w:p>
    <w:p w:rsidR="0090500F" w:rsidRPr="0095171D" w:rsidRDefault="002F1104" w:rsidP="00262C57">
      <w:pPr>
        <w:pStyle w:val="definition"/>
        <w:numPr>
          <w:ilvl w:val="0"/>
          <w:numId w:val="7"/>
        </w:numPr>
      </w:pPr>
      <w:r w:rsidRPr="0095171D">
        <w:t>Regulator;</w:t>
      </w:r>
    </w:p>
    <w:p w:rsidR="00A9739F" w:rsidRPr="0095171D" w:rsidRDefault="002F1104" w:rsidP="00262C57">
      <w:pPr>
        <w:pStyle w:val="definition"/>
        <w:numPr>
          <w:ilvl w:val="0"/>
          <w:numId w:val="7"/>
        </w:numPr>
      </w:pPr>
      <w:r w:rsidRPr="0095171D">
        <w:t>reporting period.</w:t>
      </w:r>
    </w:p>
    <w:p w:rsidR="00602C64" w:rsidRPr="0095171D" w:rsidRDefault="002F1104" w:rsidP="00602C64">
      <w:pPr>
        <w:pStyle w:val="Heading3"/>
        <w:rPr>
          <w:rFonts w:ascii="Times New Roman" w:hAnsi="Times New Roman" w:cs="Times New Roman"/>
          <w:sz w:val="24"/>
          <w:szCs w:val="24"/>
        </w:rPr>
      </w:pPr>
      <w:bookmarkStart w:id="8" w:name="_Toc325039148"/>
      <w:r w:rsidRPr="0095171D">
        <w:rPr>
          <w:rFonts w:ascii="Times New Roman" w:hAnsi="Times New Roman" w:cs="Times New Roman"/>
          <w:sz w:val="24"/>
          <w:szCs w:val="24"/>
        </w:rPr>
        <w:t>1.5</w:t>
      </w:r>
      <w:r w:rsidRPr="0095171D">
        <w:rPr>
          <w:rFonts w:ascii="Times New Roman" w:hAnsi="Times New Roman" w:cs="Times New Roman"/>
          <w:sz w:val="24"/>
          <w:szCs w:val="24"/>
        </w:rPr>
        <w:tab/>
        <w:t>Interpretation</w:t>
      </w:r>
      <w:bookmarkEnd w:id="8"/>
    </w:p>
    <w:p w:rsidR="0098154B" w:rsidRDefault="00B0547F" w:rsidP="0004451F">
      <w:pPr>
        <w:pStyle w:val="R1"/>
        <w:ind w:left="426" w:firstLine="0"/>
        <w:jc w:val="left"/>
      </w:pPr>
      <w:r w:rsidRPr="00B0547F">
        <w:t>A reference in this Methodology Determination to a section, subsection, paragraph, subparagraph, Part, Division, subdivision, Schedule, Equation, or a part thereof is, unless otherwise stated, to be read as a reference to such a part or aspect of this Methodology Determination.</w:t>
      </w:r>
    </w:p>
    <w:p w:rsidR="0098154B" w:rsidRDefault="0098154B" w:rsidP="0098154B">
      <w:pPr>
        <w:pStyle w:val="R2"/>
      </w:pPr>
      <w:r>
        <w:br w:type="page"/>
      </w:r>
    </w:p>
    <w:p w:rsidR="00261648" w:rsidRPr="0095171D" w:rsidRDefault="00B0547F" w:rsidP="00CF4C7E">
      <w:pPr>
        <w:pStyle w:val="Heading1"/>
        <w:rPr>
          <w:rFonts w:ascii="Times New Roman" w:hAnsi="Times New Roman" w:cs="Times New Roman"/>
        </w:rPr>
      </w:pPr>
      <w:bookmarkStart w:id="9" w:name="_Toc312251430"/>
      <w:bookmarkStart w:id="10" w:name="_Toc325039149"/>
      <w:r w:rsidRPr="00B0547F">
        <w:rPr>
          <w:rFonts w:ascii="Times New Roman" w:hAnsi="Times New Roman" w:cs="Times New Roman"/>
        </w:rPr>
        <w:lastRenderedPageBreak/>
        <w:t>Part 2</w:t>
      </w:r>
      <w:r w:rsidRPr="00B0547F">
        <w:rPr>
          <w:rFonts w:ascii="Times New Roman" w:hAnsi="Times New Roman" w:cs="Times New Roman"/>
        </w:rPr>
        <w:tab/>
      </w:r>
      <w:bookmarkEnd w:id="9"/>
      <w:r w:rsidRPr="00B0547F">
        <w:rPr>
          <w:rFonts w:ascii="Times New Roman" w:hAnsi="Times New Roman" w:cs="Times New Roman"/>
        </w:rPr>
        <w:t>Project Requirements</w:t>
      </w:r>
      <w:bookmarkEnd w:id="10"/>
      <w:r w:rsidRPr="00B0547F">
        <w:rPr>
          <w:rFonts w:ascii="Times New Roman" w:hAnsi="Times New Roman" w:cs="Times New Roman"/>
        </w:rPr>
        <w:t xml:space="preserve"> </w:t>
      </w:r>
    </w:p>
    <w:p w:rsidR="0090500F" w:rsidRPr="0095171D" w:rsidRDefault="00EB13E3" w:rsidP="00401776">
      <w:pPr>
        <w:pStyle w:val="Heading3"/>
        <w:numPr>
          <w:ilvl w:val="1"/>
          <w:numId w:val="17"/>
        </w:numPr>
        <w:rPr>
          <w:rFonts w:ascii="Times New Roman" w:hAnsi="Times New Roman" w:cs="Times New Roman"/>
          <w:sz w:val="24"/>
          <w:szCs w:val="24"/>
        </w:rPr>
      </w:pPr>
      <w:bookmarkStart w:id="11" w:name="_Toc312251431"/>
      <w:bookmarkStart w:id="12" w:name="_Toc325039150"/>
      <w:r w:rsidRPr="0095171D">
        <w:rPr>
          <w:rFonts w:ascii="Times New Roman" w:hAnsi="Times New Roman" w:cs="Times New Roman"/>
          <w:sz w:val="24"/>
          <w:szCs w:val="24"/>
        </w:rPr>
        <w:t>Requirements that must be met for an offsets project to be an eligible offsets project</w:t>
      </w:r>
      <w:bookmarkEnd w:id="11"/>
      <w:bookmarkEnd w:id="12"/>
    </w:p>
    <w:p w:rsidR="00AE708C" w:rsidRPr="0095171D" w:rsidRDefault="002F1104" w:rsidP="00181B31">
      <w:pPr>
        <w:pStyle w:val="R1"/>
        <w:numPr>
          <w:ilvl w:val="0"/>
          <w:numId w:val="100"/>
        </w:numPr>
        <w:jc w:val="left"/>
      </w:pPr>
      <w:r w:rsidRPr="0095171D">
        <w:t>For paragraph 106 (1) (b) of the Act, this section sets out requirements that must be met for an offsets project to which this Methodology Determination applies to be an eligible offsets project.</w:t>
      </w:r>
    </w:p>
    <w:p w:rsidR="00D9630F" w:rsidRPr="0095171D" w:rsidRDefault="002F1104" w:rsidP="00181B31">
      <w:pPr>
        <w:pStyle w:val="R1"/>
        <w:numPr>
          <w:ilvl w:val="0"/>
          <w:numId w:val="100"/>
        </w:numPr>
        <w:jc w:val="left"/>
      </w:pPr>
      <w:r w:rsidRPr="0095171D">
        <w:t>The project must:</w:t>
      </w:r>
    </w:p>
    <w:p w:rsidR="00E309BE" w:rsidRPr="0095171D" w:rsidRDefault="002F1104" w:rsidP="00BC708B">
      <w:pPr>
        <w:pStyle w:val="P1"/>
        <w:numPr>
          <w:ilvl w:val="0"/>
          <w:numId w:val="42"/>
        </w:numPr>
        <w:jc w:val="left"/>
      </w:pPr>
      <w:r w:rsidRPr="0095171D">
        <w:t xml:space="preserve">be located in an area which, according to the </w:t>
      </w:r>
      <w:r w:rsidR="003C0D1E">
        <w:t xml:space="preserve">savanna burning </w:t>
      </w:r>
      <w:r w:rsidR="003C0D1E">
        <w:rPr>
          <w:b/>
          <w:i/>
        </w:rPr>
        <w:br/>
      </w:r>
      <w:r w:rsidR="003C0D1E">
        <w:t>1000 mm</w:t>
      </w:r>
      <w:r w:rsidRPr="0095171D">
        <w:t xml:space="preserve"> rainfall map, receives more than 1000</w:t>
      </w:r>
      <w:r w:rsidR="003C0D1E">
        <w:t xml:space="preserve"> </w:t>
      </w:r>
      <w:r w:rsidRPr="0095171D">
        <w:t>mm long-term average annual rainfall;</w:t>
      </w:r>
    </w:p>
    <w:p w:rsidR="00D9630F" w:rsidRPr="0095171D" w:rsidRDefault="002F1104" w:rsidP="00BC708B">
      <w:pPr>
        <w:pStyle w:val="P1"/>
        <w:numPr>
          <w:ilvl w:val="0"/>
          <w:numId w:val="42"/>
        </w:numPr>
        <w:jc w:val="left"/>
      </w:pPr>
      <w:r w:rsidRPr="0095171D">
        <w:t xml:space="preserve">contain only </w:t>
      </w:r>
      <w:r w:rsidR="0095171D">
        <w:t xml:space="preserve">one or more of </w:t>
      </w:r>
      <w:r w:rsidRPr="0095171D">
        <w:t>the following vegetation classes as described in Schedule 1:</w:t>
      </w:r>
    </w:p>
    <w:p w:rsidR="00D9630F" w:rsidRPr="0095171D" w:rsidRDefault="002F1104" w:rsidP="00E46A9D">
      <w:pPr>
        <w:pStyle w:val="P1"/>
        <w:numPr>
          <w:ilvl w:val="0"/>
          <w:numId w:val="10"/>
        </w:numPr>
        <w:tabs>
          <w:tab w:val="left" w:pos="1418"/>
        </w:tabs>
        <w:ind w:left="2552" w:hanging="851"/>
        <w:jc w:val="left"/>
      </w:pPr>
      <w:r w:rsidRPr="0095171D">
        <w:t>eucalypt open forest with tussock grass ground layer (EOF);</w:t>
      </w:r>
    </w:p>
    <w:p w:rsidR="00D9630F" w:rsidRPr="0095171D" w:rsidRDefault="002F1104" w:rsidP="00E46A9D">
      <w:pPr>
        <w:pStyle w:val="P1"/>
        <w:numPr>
          <w:ilvl w:val="0"/>
          <w:numId w:val="10"/>
        </w:numPr>
        <w:tabs>
          <w:tab w:val="left" w:pos="1418"/>
        </w:tabs>
        <w:ind w:left="2552" w:hanging="851"/>
        <w:jc w:val="left"/>
      </w:pPr>
      <w:r w:rsidRPr="0095171D">
        <w:t>eucalypt woodland, with tussock grass ground layer (EW);</w:t>
      </w:r>
    </w:p>
    <w:p w:rsidR="00D9630F" w:rsidRPr="0095171D" w:rsidRDefault="002F1104" w:rsidP="00E46A9D">
      <w:pPr>
        <w:pStyle w:val="P1"/>
        <w:numPr>
          <w:ilvl w:val="0"/>
          <w:numId w:val="10"/>
        </w:numPr>
        <w:tabs>
          <w:tab w:val="left" w:pos="1418"/>
        </w:tabs>
        <w:ind w:left="2552" w:hanging="851"/>
        <w:jc w:val="left"/>
      </w:pPr>
      <w:r w:rsidRPr="0095171D">
        <w:t>sandstone woodland with a mixed tussock and/or hummock (</w:t>
      </w:r>
      <w:r w:rsidR="006633EB">
        <w:t>s</w:t>
      </w:r>
      <w:r w:rsidRPr="0095171D">
        <w:t>pinifex) grass ground layer (SW); and</w:t>
      </w:r>
    </w:p>
    <w:p w:rsidR="00730C4B" w:rsidRPr="0095171D" w:rsidRDefault="002F1104" w:rsidP="00E46A9D">
      <w:pPr>
        <w:pStyle w:val="P1"/>
        <w:numPr>
          <w:ilvl w:val="0"/>
          <w:numId w:val="10"/>
        </w:numPr>
        <w:tabs>
          <w:tab w:val="left" w:pos="1418"/>
        </w:tabs>
        <w:ind w:left="2552" w:hanging="851"/>
        <w:jc w:val="left"/>
      </w:pPr>
      <w:r w:rsidRPr="0095171D">
        <w:t>sandstone heath with a ground layer dominated by hummock grasses (</w:t>
      </w:r>
      <w:r w:rsidR="006633EB">
        <w:t>s</w:t>
      </w:r>
      <w:r w:rsidRPr="0095171D">
        <w:t>pinifex) (SH).</w:t>
      </w:r>
    </w:p>
    <w:p w:rsidR="0076592E" w:rsidRPr="0095171D" w:rsidRDefault="002F1104" w:rsidP="00181B31">
      <w:pPr>
        <w:pStyle w:val="R1"/>
        <w:numPr>
          <w:ilvl w:val="0"/>
          <w:numId w:val="100"/>
        </w:numPr>
        <w:jc w:val="left"/>
      </w:pPr>
      <w:r w:rsidRPr="0095171D">
        <w:t xml:space="preserve">The project must </w:t>
      </w:r>
      <w:r w:rsidR="002634FD">
        <w:t>apply</w:t>
      </w:r>
      <w:r w:rsidRPr="0095171D">
        <w:t xml:space="preserve"> strategic early dry season fire management in the project area.</w:t>
      </w:r>
    </w:p>
    <w:p w:rsidR="00E20247" w:rsidRPr="0095171D" w:rsidRDefault="002F1104" w:rsidP="00181B31">
      <w:pPr>
        <w:pStyle w:val="R1"/>
        <w:numPr>
          <w:ilvl w:val="0"/>
          <w:numId w:val="100"/>
        </w:numPr>
        <w:jc w:val="left"/>
      </w:pPr>
      <w:r w:rsidRPr="0095171D">
        <w:t xml:space="preserve">The project must not use other indirect methods for reducing </w:t>
      </w:r>
      <w:r w:rsidR="00172B6E">
        <w:t xml:space="preserve">the </w:t>
      </w:r>
      <w:r w:rsidRPr="0095171D">
        <w:t xml:space="preserve">fire area, such as the introduction of cattle to a project area. </w:t>
      </w:r>
    </w:p>
    <w:p w:rsidR="0010183E" w:rsidRDefault="00BD1442" w:rsidP="00181B31">
      <w:pPr>
        <w:pStyle w:val="R1"/>
        <w:numPr>
          <w:ilvl w:val="0"/>
          <w:numId w:val="100"/>
        </w:numPr>
        <w:jc w:val="left"/>
      </w:pPr>
      <w:r w:rsidRPr="0095171D">
        <w:t>The project cannot reduce the fire area within the project area by inducing an increase in late dry season fires</w:t>
      </w:r>
      <w:r>
        <w:t xml:space="preserve"> in area/s</w:t>
      </w:r>
      <w:r w:rsidR="00A228E9">
        <w:t xml:space="preserve"> bordering</w:t>
      </w:r>
      <w:r w:rsidRPr="0095171D">
        <w:t xml:space="preserve"> the project area</w:t>
      </w:r>
      <w:r w:rsidR="00785426">
        <w:t>.</w:t>
      </w:r>
    </w:p>
    <w:p w:rsidR="0010183E" w:rsidRDefault="0010183E" w:rsidP="0010183E">
      <w:pPr>
        <w:pStyle w:val="R2"/>
      </w:pPr>
      <w:r>
        <w:br w:type="page"/>
      </w:r>
    </w:p>
    <w:p w:rsidR="008565C6" w:rsidRPr="0095171D" w:rsidRDefault="00B0547F">
      <w:pPr>
        <w:pStyle w:val="Heading1"/>
        <w:ind w:left="1440" w:hanging="1440"/>
        <w:rPr>
          <w:rFonts w:ascii="Times New Roman" w:hAnsi="Times New Roman" w:cs="Times New Roman"/>
        </w:rPr>
      </w:pPr>
      <w:bookmarkStart w:id="13" w:name="_Toc323553811"/>
      <w:bookmarkStart w:id="14" w:name="_Toc323553943"/>
      <w:bookmarkStart w:id="15" w:name="_Toc323554075"/>
      <w:bookmarkStart w:id="16" w:name="_Toc323553812"/>
      <w:bookmarkStart w:id="17" w:name="_Toc323553944"/>
      <w:bookmarkStart w:id="18" w:name="_Toc323554076"/>
      <w:bookmarkStart w:id="19" w:name="_Toc323553813"/>
      <w:bookmarkStart w:id="20" w:name="_Toc323553945"/>
      <w:bookmarkStart w:id="21" w:name="_Toc323554077"/>
      <w:bookmarkStart w:id="22" w:name="_Toc323553814"/>
      <w:bookmarkStart w:id="23" w:name="_Toc323553946"/>
      <w:bookmarkStart w:id="24" w:name="_Toc323554078"/>
      <w:bookmarkStart w:id="25" w:name="_Toc323553815"/>
      <w:bookmarkStart w:id="26" w:name="_Toc323553947"/>
      <w:bookmarkStart w:id="27" w:name="_Toc323554079"/>
      <w:bookmarkStart w:id="28" w:name="_Toc323553816"/>
      <w:bookmarkStart w:id="29" w:name="_Toc323553948"/>
      <w:bookmarkStart w:id="30" w:name="_Toc323554080"/>
      <w:bookmarkStart w:id="31" w:name="_Toc323553817"/>
      <w:bookmarkStart w:id="32" w:name="_Toc323553949"/>
      <w:bookmarkStart w:id="33" w:name="_Toc323554081"/>
      <w:bookmarkStart w:id="34" w:name="_Toc323553818"/>
      <w:bookmarkStart w:id="35" w:name="_Toc323553950"/>
      <w:bookmarkStart w:id="36" w:name="_Toc323554082"/>
      <w:bookmarkStart w:id="37" w:name="_Toc323553819"/>
      <w:bookmarkStart w:id="38" w:name="_Toc323553951"/>
      <w:bookmarkStart w:id="39" w:name="_Toc323554083"/>
      <w:bookmarkStart w:id="40" w:name="_Toc323553820"/>
      <w:bookmarkStart w:id="41" w:name="_Toc323553952"/>
      <w:bookmarkStart w:id="42" w:name="_Toc323554084"/>
      <w:bookmarkStart w:id="43" w:name="_Toc323553821"/>
      <w:bookmarkStart w:id="44" w:name="_Toc323553953"/>
      <w:bookmarkStart w:id="45" w:name="_Toc323554085"/>
      <w:bookmarkStart w:id="46" w:name="_Toc323553822"/>
      <w:bookmarkStart w:id="47" w:name="_Toc323553954"/>
      <w:bookmarkStart w:id="48" w:name="_Toc323554086"/>
      <w:bookmarkStart w:id="49" w:name="_Toc323553823"/>
      <w:bookmarkStart w:id="50" w:name="_Toc323553955"/>
      <w:bookmarkStart w:id="51" w:name="_Toc323554087"/>
      <w:bookmarkStart w:id="52" w:name="_Toc323553824"/>
      <w:bookmarkStart w:id="53" w:name="_Toc323553956"/>
      <w:bookmarkStart w:id="54" w:name="_Toc323554088"/>
      <w:bookmarkStart w:id="55" w:name="_Toc323553825"/>
      <w:bookmarkStart w:id="56" w:name="_Toc323553957"/>
      <w:bookmarkStart w:id="57" w:name="_Toc323554089"/>
      <w:bookmarkStart w:id="58" w:name="_Toc323553826"/>
      <w:bookmarkStart w:id="59" w:name="_Toc323553958"/>
      <w:bookmarkStart w:id="60" w:name="_Toc323554090"/>
      <w:bookmarkStart w:id="61" w:name="_Toc323553827"/>
      <w:bookmarkStart w:id="62" w:name="_Toc323553959"/>
      <w:bookmarkStart w:id="63" w:name="_Toc323554091"/>
      <w:bookmarkStart w:id="64" w:name="_Toc323553828"/>
      <w:bookmarkStart w:id="65" w:name="_Toc323553960"/>
      <w:bookmarkStart w:id="66" w:name="_Toc323554092"/>
      <w:bookmarkStart w:id="67" w:name="_Toc323553829"/>
      <w:bookmarkStart w:id="68" w:name="_Toc323553961"/>
      <w:bookmarkStart w:id="69" w:name="_Toc323554093"/>
      <w:bookmarkStart w:id="70" w:name="_Toc323553830"/>
      <w:bookmarkStart w:id="71" w:name="_Toc323553962"/>
      <w:bookmarkStart w:id="72" w:name="_Toc323554094"/>
      <w:bookmarkStart w:id="73" w:name="_Toc323553831"/>
      <w:bookmarkStart w:id="74" w:name="_Toc323553963"/>
      <w:bookmarkStart w:id="75" w:name="_Toc323554095"/>
      <w:bookmarkStart w:id="76" w:name="_Toc323553832"/>
      <w:bookmarkStart w:id="77" w:name="_Toc323553964"/>
      <w:bookmarkStart w:id="78" w:name="_Toc323554096"/>
      <w:bookmarkStart w:id="79" w:name="_Toc323553833"/>
      <w:bookmarkStart w:id="80" w:name="_Toc323553965"/>
      <w:bookmarkStart w:id="81" w:name="_Toc323554097"/>
      <w:bookmarkStart w:id="82" w:name="_Toc323553834"/>
      <w:bookmarkStart w:id="83" w:name="_Toc323553966"/>
      <w:bookmarkStart w:id="84" w:name="_Toc323554098"/>
      <w:bookmarkStart w:id="85" w:name="_Toc323553835"/>
      <w:bookmarkStart w:id="86" w:name="_Toc323553967"/>
      <w:bookmarkStart w:id="87" w:name="_Toc323554099"/>
      <w:bookmarkStart w:id="88" w:name="_Toc323553836"/>
      <w:bookmarkStart w:id="89" w:name="_Toc323553968"/>
      <w:bookmarkStart w:id="90" w:name="_Toc323554100"/>
      <w:bookmarkStart w:id="91" w:name="_Toc323553837"/>
      <w:bookmarkStart w:id="92" w:name="_Toc323553969"/>
      <w:bookmarkStart w:id="93" w:name="_Toc323554101"/>
      <w:bookmarkStart w:id="94" w:name="_Toc323553838"/>
      <w:bookmarkStart w:id="95" w:name="_Toc323553970"/>
      <w:bookmarkStart w:id="96" w:name="_Toc323554102"/>
      <w:bookmarkStart w:id="97" w:name="_Toc323553839"/>
      <w:bookmarkStart w:id="98" w:name="_Toc323553971"/>
      <w:bookmarkStart w:id="99" w:name="_Toc323554103"/>
      <w:bookmarkStart w:id="100" w:name="_Toc323553840"/>
      <w:bookmarkStart w:id="101" w:name="_Toc323553972"/>
      <w:bookmarkStart w:id="102" w:name="_Toc323554104"/>
      <w:bookmarkStart w:id="103" w:name="_Toc323553841"/>
      <w:bookmarkStart w:id="104" w:name="_Toc323553973"/>
      <w:bookmarkStart w:id="105" w:name="_Toc323554105"/>
      <w:bookmarkStart w:id="106" w:name="_Toc323553842"/>
      <w:bookmarkStart w:id="107" w:name="_Toc323553974"/>
      <w:bookmarkStart w:id="108" w:name="_Toc323554106"/>
      <w:bookmarkStart w:id="109" w:name="_Toc323553844"/>
      <w:bookmarkStart w:id="110" w:name="_Toc323553976"/>
      <w:bookmarkStart w:id="111" w:name="_Toc323554108"/>
      <w:bookmarkStart w:id="112" w:name="_Toc323553845"/>
      <w:bookmarkStart w:id="113" w:name="_Toc323553977"/>
      <w:bookmarkStart w:id="114" w:name="_Toc323554109"/>
      <w:bookmarkStart w:id="115" w:name="_Toc323553846"/>
      <w:bookmarkStart w:id="116" w:name="_Toc323553978"/>
      <w:bookmarkStart w:id="117" w:name="_Toc323554110"/>
      <w:bookmarkStart w:id="118" w:name="_Toc323553847"/>
      <w:bookmarkStart w:id="119" w:name="_Toc323553979"/>
      <w:bookmarkStart w:id="120" w:name="_Toc323554111"/>
      <w:bookmarkStart w:id="121" w:name="_Toc323553848"/>
      <w:bookmarkStart w:id="122" w:name="_Toc323553980"/>
      <w:bookmarkStart w:id="123" w:name="_Toc323554112"/>
      <w:bookmarkStart w:id="124" w:name="_Toc323553849"/>
      <w:bookmarkStart w:id="125" w:name="_Toc323553981"/>
      <w:bookmarkStart w:id="126" w:name="_Toc323554113"/>
      <w:bookmarkStart w:id="127" w:name="_Toc323553850"/>
      <w:bookmarkStart w:id="128" w:name="_Toc323553982"/>
      <w:bookmarkStart w:id="129" w:name="_Toc323554114"/>
      <w:bookmarkStart w:id="130" w:name="_Toc323553851"/>
      <w:bookmarkStart w:id="131" w:name="_Toc323553983"/>
      <w:bookmarkStart w:id="132" w:name="_Toc323554115"/>
      <w:bookmarkStart w:id="133" w:name="_Toc323553852"/>
      <w:bookmarkStart w:id="134" w:name="_Toc323553984"/>
      <w:bookmarkStart w:id="135" w:name="_Toc323554116"/>
      <w:bookmarkStart w:id="136" w:name="_Toc323553853"/>
      <w:bookmarkStart w:id="137" w:name="_Toc323553985"/>
      <w:bookmarkStart w:id="138" w:name="_Toc323554117"/>
      <w:bookmarkStart w:id="139" w:name="_Toc323553854"/>
      <w:bookmarkStart w:id="140" w:name="_Toc323553986"/>
      <w:bookmarkStart w:id="141" w:name="_Toc323554118"/>
      <w:bookmarkStart w:id="142" w:name="_Toc323553855"/>
      <w:bookmarkStart w:id="143" w:name="_Toc323553987"/>
      <w:bookmarkStart w:id="144" w:name="_Toc323554119"/>
      <w:bookmarkStart w:id="145" w:name="_Toc323553856"/>
      <w:bookmarkStart w:id="146" w:name="_Toc323553988"/>
      <w:bookmarkStart w:id="147" w:name="_Toc323554120"/>
      <w:bookmarkStart w:id="148" w:name="_Toc323553857"/>
      <w:bookmarkStart w:id="149" w:name="_Toc323553989"/>
      <w:bookmarkStart w:id="150" w:name="_Toc323554121"/>
      <w:bookmarkStart w:id="151" w:name="_Toc323553858"/>
      <w:bookmarkStart w:id="152" w:name="_Toc323553990"/>
      <w:bookmarkStart w:id="153" w:name="_Toc323554122"/>
      <w:bookmarkStart w:id="154" w:name="_Toc323553859"/>
      <w:bookmarkStart w:id="155" w:name="_Toc323553991"/>
      <w:bookmarkStart w:id="156" w:name="_Toc323554123"/>
      <w:bookmarkStart w:id="157" w:name="_Toc323553860"/>
      <w:bookmarkStart w:id="158" w:name="_Toc323553992"/>
      <w:bookmarkStart w:id="159" w:name="_Toc323554124"/>
      <w:bookmarkStart w:id="160" w:name="_Toc323553862"/>
      <w:bookmarkStart w:id="161" w:name="_Toc323553994"/>
      <w:bookmarkStart w:id="162" w:name="_Toc323554126"/>
      <w:bookmarkStart w:id="163" w:name="_Toc323553863"/>
      <w:bookmarkStart w:id="164" w:name="_Toc323553995"/>
      <w:bookmarkStart w:id="165" w:name="_Toc323554127"/>
      <w:bookmarkStart w:id="166" w:name="_Toc323553864"/>
      <w:bookmarkStart w:id="167" w:name="_Toc323553996"/>
      <w:bookmarkStart w:id="168" w:name="_Toc323554128"/>
      <w:bookmarkStart w:id="169" w:name="_Toc323553865"/>
      <w:bookmarkStart w:id="170" w:name="_Toc323553997"/>
      <w:bookmarkStart w:id="171" w:name="_Toc323554129"/>
      <w:bookmarkStart w:id="172" w:name="_Toc323553866"/>
      <w:bookmarkStart w:id="173" w:name="_Toc323553998"/>
      <w:bookmarkStart w:id="174" w:name="_Toc323554130"/>
      <w:bookmarkStart w:id="175" w:name="_Toc323553867"/>
      <w:bookmarkStart w:id="176" w:name="_Toc323553999"/>
      <w:bookmarkStart w:id="177" w:name="_Toc323554131"/>
      <w:bookmarkStart w:id="178" w:name="_Toc323553868"/>
      <w:bookmarkStart w:id="179" w:name="_Toc323554000"/>
      <w:bookmarkStart w:id="180" w:name="_Toc323554132"/>
      <w:bookmarkStart w:id="181" w:name="_Toc323553869"/>
      <w:bookmarkStart w:id="182" w:name="_Toc323554001"/>
      <w:bookmarkStart w:id="183" w:name="_Toc323554133"/>
      <w:bookmarkStart w:id="184" w:name="_Toc323553870"/>
      <w:bookmarkStart w:id="185" w:name="_Toc323554002"/>
      <w:bookmarkStart w:id="186" w:name="_Toc323554134"/>
      <w:bookmarkStart w:id="187" w:name="_Toc323553871"/>
      <w:bookmarkStart w:id="188" w:name="_Toc323554003"/>
      <w:bookmarkStart w:id="189" w:name="_Toc323554135"/>
      <w:bookmarkStart w:id="190" w:name="_Toc323553872"/>
      <w:bookmarkStart w:id="191" w:name="_Toc323554004"/>
      <w:bookmarkStart w:id="192" w:name="_Toc323554136"/>
      <w:bookmarkStart w:id="193" w:name="_Toc323553873"/>
      <w:bookmarkStart w:id="194" w:name="_Toc323554005"/>
      <w:bookmarkStart w:id="195" w:name="_Toc323554137"/>
      <w:bookmarkStart w:id="196" w:name="_Toc323553874"/>
      <w:bookmarkStart w:id="197" w:name="_Toc323554006"/>
      <w:bookmarkStart w:id="198" w:name="_Toc323554138"/>
      <w:bookmarkStart w:id="199" w:name="_Toc323553875"/>
      <w:bookmarkStart w:id="200" w:name="_Toc323554007"/>
      <w:bookmarkStart w:id="201" w:name="_Toc323554139"/>
      <w:bookmarkStart w:id="202" w:name="_Toc323553876"/>
      <w:bookmarkStart w:id="203" w:name="_Toc323554008"/>
      <w:bookmarkStart w:id="204" w:name="_Toc323554140"/>
      <w:bookmarkStart w:id="205" w:name="_Toc323553877"/>
      <w:bookmarkStart w:id="206" w:name="_Toc323554009"/>
      <w:bookmarkStart w:id="207" w:name="_Toc323554141"/>
      <w:bookmarkStart w:id="208" w:name="_Toc323553878"/>
      <w:bookmarkStart w:id="209" w:name="_Toc323554010"/>
      <w:bookmarkStart w:id="210" w:name="_Toc323554142"/>
      <w:bookmarkStart w:id="211" w:name="_Toc323553879"/>
      <w:bookmarkStart w:id="212" w:name="_Toc323554011"/>
      <w:bookmarkStart w:id="213" w:name="_Toc323554143"/>
      <w:bookmarkStart w:id="214" w:name="_Toc323553880"/>
      <w:bookmarkStart w:id="215" w:name="_Toc323554012"/>
      <w:bookmarkStart w:id="216" w:name="_Toc323554144"/>
      <w:bookmarkStart w:id="217" w:name="_Toc323553881"/>
      <w:bookmarkStart w:id="218" w:name="_Toc323554013"/>
      <w:bookmarkStart w:id="219" w:name="_Toc323554145"/>
      <w:bookmarkStart w:id="220" w:name="_Toc323553882"/>
      <w:bookmarkStart w:id="221" w:name="_Toc323554014"/>
      <w:bookmarkStart w:id="222" w:name="_Toc323554146"/>
      <w:bookmarkStart w:id="223" w:name="_Toc323553883"/>
      <w:bookmarkStart w:id="224" w:name="_Toc323554015"/>
      <w:bookmarkStart w:id="225" w:name="_Toc323554147"/>
      <w:bookmarkStart w:id="226" w:name="_Toc323553884"/>
      <w:bookmarkStart w:id="227" w:name="_Toc323554016"/>
      <w:bookmarkStart w:id="228" w:name="_Toc323554148"/>
      <w:bookmarkStart w:id="229" w:name="_Toc323553885"/>
      <w:bookmarkStart w:id="230" w:name="_Toc323554017"/>
      <w:bookmarkStart w:id="231" w:name="_Toc323554149"/>
      <w:bookmarkStart w:id="232" w:name="_Toc323553886"/>
      <w:bookmarkStart w:id="233" w:name="_Toc323554018"/>
      <w:bookmarkStart w:id="234" w:name="_Toc323554150"/>
      <w:bookmarkStart w:id="235" w:name="_Toc323553887"/>
      <w:bookmarkStart w:id="236" w:name="_Toc323554019"/>
      <w:bookmarkStart w:id="237" w:name="_Toc323554151"/>
      <w:bookmarkStart w:id="238" w:name="_Toc323553888"/>
      <w:bookmarkStart w:id="239" w:name="_Toc323554020"/>
      <w:bookmarkStart w:id="240" w:name="_Toc323554152"/>
      <w:bookmarkStart w:id="241" w:name="_Toc32503915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B0547F">
        <w:rPr>
          <w:rFonts w:ascii="Times New Roman" w:hAnsi="Times New Roman" w:cs="Times New Roman"/>
        </w:rPr>
        <w:lastRenderedPageBreak/>
        <w:t>Part 3</w:t>
      </w:r>
      <w:r w:rsidRPr="00B0547F">
        <w:rPr>
          <w:rFonts w:ascii="Times New Roman" w:hAnsi="Times New Roman" w:cs="Times New Roman"/>
        </w:rPr>
        <w:tab/>
        <w:t>Calculating the carbon dioxide equivalent net abatement amount for a project</w:t>
      </w:r>
      <w:bookmarkEnd w:id="241"/>
      <w:r w:rsidRPr="00B0547F">
        <w:rPr>
          <w:rFonts w:ascii="Times New Roman" w:hAnsi="Times New Roman" w:cs="Times New Roman"/>
        </w:rPr>
        <w:t xml:space="preserve"> </w:t>
      </w:r>
    </w:p>
    <w:p w:rsidR="00E75C4C" w:rsidRPr="0095171D" w:rsidRDefault="00B14B51" w:rsidP="000D7783">
      <w:pPr>
        <w:pStyle w:val="Heading4"/>
      </w:pPr>
      <w:bookmarkStart w:id="242" w:name="_Toc312251433"/>
      <w:bookmarkStart w:id="243" w:name="_Toc325039152"/>
      <w:bookmarkStart w:id="244" w:name="_Toc312251438"/>
      <w:r w:rsidRPr="0095171D">
        <w:t>Division 3.1</w:t>
      </w:r>
      <w:r w:rsidRPr="0095171D">
        <w:tab/>
        <w:t>Preliminary</w:t>
      </w:r>
      <w:bookmarkEnd w:id="242"/>
      <w:bookmarkEnd w:id="243"/>
    </w:p>
    <w:p w:rsidR="00E75C4C" w:rsidRPr="0095171D" w:rsidRDefault="002F1104" w:rsidP="000D7783">
      <w:pPr>
        <w:pStyle w:val="Heading3"/>
        <w:numPr>
          <w:ilvl w:val="1"/>
          <w:numId w:val="45"/>
        </w:numPr>
        <w:rPr>
          <w:rFonts w:ascii="Times New Roman" w:hAnsi="Times New Roman"/>
        </w:rPr>
      </w:pPr>
      <w:bookmarkStart w:id="245" w:name="_Toc312251434"/>
      <w:bookmarkStart w:id="246" w:name="_Toc325039153"/>
      <w:bookmarkStart w:id="247" w:name="_Toc312251435"/>
      <w:r w:rsidRPr="000D7783">
        <w:rPr>
          <w:rFonts w:ascii="Times New Roman" w:hAnsi="Times New Roman" w:cs="Times New Roman"/>
          <w:sz w:val="24"/>
          <w:szCs w:val="24"/>
        </w:rPr>
        <w:t>General</w:t>
      </w:r>
      <w:bookmarkEnd w:id="245"/>
      <w:bookmarkEnd w:id="246"/>
    </w:p>
    <w:p w:rsidR="00BC708B" w:rsidRDefault="002F1104" w:rsidP="00BC708B">
      <w:pPr>
        <w:pStyle w:val="R1"/>
        <w:numPr>
          <w:ilvl w:val="0"/>
          <w:numId w:val="62"/>
        </w:numPr>
        <w:jc w:val="left"/>
      </w:pPr>
      <w:r w:rsidRPr="0095171D">
        <w:t xml:space="preserve">For paragraph 106 (1) (c) of the Act, this Part sets out calculations that must be carried out, and other requirements that must be met, to ascertain the </w:t>
      </w:r>
      <w:r w:rsidR="0095171D">
        <w:t xml:space="preserve">annual </w:t>
      </w:r>
      <w:r w:rsidRPr="0095171D">
        <w:t>carbon dioxide equivalent</w:t>
      </w:r>
      <w:r w:rsidR="00C03BB7">
        <w:t xml:space="preserve"> (CO</w:t>
      </w:r>
      <w:r w:rsidR="00430335" w:rsidRPr="00430335">
        <w:rPr>
          <w:vertAlign w:val="subscript"/>
        </w:rPr>
        <w:t>2</w:t>
      </w:r>
      <w:r w:rsidR="004D0181">
        <w:t>-e</w:t>
      </w:r>
      <w:r w:rsidR="00C03BB7">
        <w:t>)</w:t>
      </w:r>
      <w:r w:rsidRPr="0095171D">
        <w:t xml:space="preserve"> net abatement amount for an offsets project to which this Methodology Determination applies.</w:t>
      </w:r>
    </w:p>
    <w:p w:rsidR="00B0547F" w:rsidRDefault="0095171D" w:rsidP="00B0547F">
      <w:pPr>
        <w:pStyle w:val="R2"/>
        <w:numPr>
          <w:ilvl w:val="0"/>
          <w:numId w:val="62"/>
        </w:numPr>
      </w:pPr>
      <w:r>
        <w:t>Calculations performed in accordance with this Part will provide the carbon dioxide equivalent net abatement amount for one calendar year of an offsets project. If the reporting period consists of more than one calendar year, the calculations in this Part must be performed for each year of the reporting period and summed.</w:t>
      </w:r>
    </w:p>
    <w:p w:rsidR="00B0547F" w:rsidRDefault="0095171D" w:rsidP="00B0547F">
      <w:pPr>
        <w:pStyle w:val="R2"/>
        <w:numPr>
          <w:ilvl w:val="0"/>
          <w:numId w:val="62"/>
        </w:numPr>
      </w:pPr>
      <w:r w:rsidRPr="0095171D">
        <w:t>If a project area contains regions with different</w:t>
      </w:r>
      <w:r w:rsidR="002634FD">
        <w:t xml:space="preserve"> start dates of their</w:t>
      </w:r>
      <w:r w:rsidRPr="0095171D">
        <w:t xml:space="preserve"> late dry seasons, the </w:t>
      </w:r>
      <w:r w:rsidR="00C03BB7">
        <w:t>CO</w:t>
      </w:r>
      <w:r w:rsidR="00C03BB7" w:rsidRPr="00C03BB7">
        <w:rPr>
          <w:vertAlign w:val="subscript"/>
        </w:rPr>
        <w:t>2</w:t>
      </w:r>
      <w:r w:rsidR="00C03BB7" w:rsidRPr="00C03BB7">
        <w:t>-e</w:t>
      </w:r>
      <w:r w:rsidRPr="0095171D">
        <w:t xml:space="preserve"> net abatement amount must be calculated separately for each region </w:t>
      </w:r>
      <w:r>
        <w:t xml:space="preserve">for each year of the reporting period </w:t>
      </w:r>
      <w:r w:rsidRPr="0095171D">
        <w:t xml:space="preserve">and then summed to provide the </w:t>
      </w:r>
      <w:r w:rsidR="00C03BB7">
        <w:t>CO</w:t>
      </w:r>
      <w:r w:rsidR="00C03BB7" w:rsidRPr="00C03BB7">
        <w:rPr>
          <w:vertAlign w:val="subscript"/>
        </w:rPr>
        <w:t>2</w:t>
      </w:r>
      <w:r w:rsidR="00C03BB7" w:rsidRPr="00C03BB7">
        <w:t>-e</w:t>
      </w:r>
      <w:r w:rsidRPr="0095171D">
        <w:t xml:space="preserve"> net abatement amount for the project area</w:t>
      </w:r>
      <w:r>
        <w:t xml:space="preserve"> for the reporting period</w:t>
      </w:r>
      <w:r w:rsidRPr="0095171D">
        <w:t>.</w:t>
      </w:r>
    </w:p>
    <w:p w:rsidR="008D7CD1" w:rsidRPr="0095171D" w:rsidRDefault="002F1104">
      <w:pPr>
        <w:pStyle w:val="R1"/>
        <w:keepNext/>
        <w:numPr>
          <w:ilvl w:val="0"/>
          <w:numId w:val="62"/>
        </w:numPr>
        <w:jc w:val="left"/>
      </w:pPr>
      <w:r w:rsidRPr="0095171D">
        <w:t>In carrying out the calculations in this Part:</w:t>
      </w:r>
    </w:p>
    <w:p w:rsidR="008D7CD1" w:rsidRPr="0095171D" w:rsidRDefault="002F1104">
      <w:pPr>
        <w:pStyle w:val="R1"/>
        <w:keepNext/>
        <w:numPr>
          <w:ilvl w:val="0"/>
          <w:numId w:val="68"/>
        </w:numPr>
        <w:tabs>
          <w:tab w:val="clear" w:pos="794"/>
        </w:tabs>
        <w:spacing w:after="120"/>
        <w:jc w:val="left"/>
      </w:pPr>
      <w:r w:rsidRPr="0095171D">
        <w:t>The project must use:</w:t>
      </w:r>
    </w:p>
    <w:p w:rsidR="008D7CD1" w:rsidRPr="0095171D" w:rsidRDefault="002F1104">
      <w:pPr>
        <w:pStyle w:val="R1"/>
        <w:numPr>
          <w:ilvl w:val="2"/>
          <w:numId w:val="62"/>
        </w:numPr>
        <w:jc w:val="left"/>
      </w:pPr>
      <w:r w:rsidRPr="0095171D">
        <w:t xml:space="preserve">a vegetation map for the project that is developed </w:t>
      </w:r>
      <w:r w:rsidR="0095171D">
        <w:t xml:space="preserve">in accordance with section 3.24 </w:t>
      </w:r>
      <w:r w:rsidRPr="0095171D">
        <w:t xml:space="preserve">and validated in accordance </w:t>
      </w:r>
      <w:r w:rsidR="00CE1B39" w:rsidRPr="0095171D">
        <w:t xml:space="preserve">with section </w:t>
      </w:r>
      <w:fldSimple w:instr=" REF _Ref324839255 \r \h  \* MERGEFORMAT ">
        <w:r w:rsidR="001756BA">
          <w:t>3.25</w:t>
        </w:r>
      </w:fldSimple>
      <w:r w:rsidR="00181B31">
        <w:t>;</w:t>
      </w:r>
      <w:r w:rsidRPr="0095171D">
        <w:t xml:space="preserve"> and</w:t>
      </w:r>
    </w:p>
    <w:p w:rsidR="008D7CD1" w:rsidRPr="0095171D" w:rsidRDefault="002F1104">
      <w:pPr>
        <w:pStyle w:val="R1"/>
        <w:numPr>
          <w:ilvl w:val="2"/>
          <w:numId w:val="62"/>
        </w:numPr>
        <w:jc w:val="left"/>
      </w:pPr>
      <w:r w:rsidRPr="0095171D">
        <w:t xml:space="preserve">monthly fire maps that comply with the requirements of </w:t>
      </w:r>
      <w:r w:rsidR="00CD44E8" w:rsidRPr="0095171D">
        <w:t>section 3.26</w:t>
      </w:r>
      <w:r w:rsidRPr="0095171D">
        <w:t xml:space="preserve"> and that are created or sourced for each month of each year in the fuel load estimation period, the baseline period and the reporting period.</w:t>
      </w:r>
    </w:p>
    <w:p w:rsidR="008D7CD1" w:rsidRPr="0095171D" w:rsidRDefault="002F1104">
      <w:pPr>
        <w:pStyle w:val="R1"/>
        <w:keepNext/>
        <w:numPr>
          <w:ilvl w:val="0"/>
          <w:numId w:val="68"/>
        </w:numPr>
        <w:tabs>
          <w:tab w:val="clear" w:pos="794"/>
        </w:tabs>
        <w:spacing w:after="120"/>
        <w:jc w:val="left"/>
      </w:pPr>
      <w:r w:rsidRPr="0095171D">
        <w:t>the data used in the calculations must comply with the data collection requirements specified in this Part;</w:t>
      </w:r>
    </w:p>
    <w:p w:rsidR="00CA5136" w:rsidRPr="0095171D" w:rsidRDefault="002F1104" w:rsidP="00BC708B">
      <w:pPr>
        <w:pStyle w:val="R1"/>
        <w:numPr>
          <w:ilvl w:val="0"/>
          <w:numId w:val="68"/>
        </w:numPr>
        <w:tabs>
          <w:tab w:val="clear" w:pos="794"/>
        </w:tabs>
        <w:spacing w:after="120"/>
        <w:jc w:val="left"/>
      </w:pPr>
      <w:r w:rsidRPr="0095171D">
        <w:t>project proponents must record the results of calculations in the manner and form specified in this Part; and</w:t>
      </w:r>
    </w:p>
    <w:p w:rsidR="00AC0E74" w:rsidRPr="0095171D" w:rsidRDefault="002F1104" w:rsidP="00BC708B">
      <w:pPr>
        <w:pStyle w:val="R1"/>
        <w:numPr>
          <w:ilvl w:val="0"/>
          <w:numId w:val="68"/>
        </w:numPr>
        <w:tabs>
          <w:tab w:val="clear" w:pos="794"/>
        </w:tabs>
        <w:spacing w:after="120"/>
        <w:jc w:val="left"/>
      </w:pPr>
      <w:r w:rsidRPr="0095171D">
        <w:t>if a calculation in this Part refers to a factor or parameter prescribed in the NGER Measurement Determination or the NGER Regulations, the person carrying out the calculations must apply, to the entire offsets reporting period, the NGER Measurement Determination or NGER Regulations in force at the time that the offsets report was submitted or was required to be submitted, whichever occurs first.</w:t>
      </w:r>
    </w:p>
    <w:p w:rsidR="00E75C4C" w:rsidRPr="0095171D" w:rsidRDefault="002F1104" w:rsidP="00401776">
      <w:pPr>
        <w:pStyle w:val="Heading3"/>
        <w:numPr>
          <w:ilvl w:val="1"/>
          <w:numId w:val="45"/>
        </w:numPr>
        <w:rPr>
          <w:rFonts w:ascii="Times New Roman" w:hAnsi="Times New Roman" w:cs="Times New Roman"/>
          <w:sz w:val="24"/>
          <w:szCs w:val="24"/>
        </w:rPr>
      </w:pPr>
      <w:bookmarkStart w:id="248" w:name="_Toc325039154"/>
      <w:r w:rsidRPr="0095171D">
        <w:rPr>
          <w:rFonts w:ascii="Times New Roman" w:hAnsi="Times New Roman" w:cs="Times New Roman"/>
          <w:sz w:val="24"/>
          <w:szCs w:val="24"/>
        </w:rPr>
        <w:lastRenderedPageBreak/>
        <w:t>Greenhouse gas assessment boundary</w:t>
      </w:r>
      <w:bookmarkEnd w:id="247"/>
      <w:bookmarkEnd w:id="248"/>
    </w:p>
    <w:p w:rsidR="00E75C4C" w:rsidRPr="0095171D" w:rsidRDefault="002F1104" w:rsidP="009141AD">
      <w:pPr>
        <w:pStyle w:val="R1"/>
        <w:tabs>
          <w:tab w:val="clear" w:pos="794"/>
        </w:tabs>
        <w:ind w:left="378" w:firstLine="0"/>
        <w:jc w:val="left"/>
      </w:pPr>
      <w:r w:rsidRPr="0095171D">
        <w:t xml:space="preserve">The following greenhouse gases must be taken into account when making calculations under this Part in respect of each of the following kinds of activities within the project. </w:t>
      </w:r>
      <w:r w:rsidR="00172B6E" w:rsidRPr="0095171D">
        <w:t>No other gases</w:t>
      </w:r>
      <w:r w:rsidR="00172B6E">
        <w:t xml:space="preserve"> </w:t>
      </w:r>
      <w:r w:rsidR="00172B6E" w:rsidRPr="0095171D">
        <w:t>may be taken into account</w:t>
      </w:r>
      <w:r w:rsidR="00172B6E">
        <w:t xml:space="preserve"> in respect of project activities,</w:t>
      </w:r>
      <w:r w:rsidR="00172B6E" w:rsidRPr="0095171D">
        <w:t xml:space="preserve"> nor </w:t>
      </w:r>
      <w:r w:rsidR="00172B6E">
        <w:t xml:space="preserve">may </w:t>
      </w:r>
      <w:r w:rsidR="00172B6E" w:rsidRPr="0095171D">
        <w:t>gases from activities</w:t>
      </w:r>
      <w:r w:rsidR="00172B6E">
        <w:t xml:space="preserve"> that are not specified below </w:t>
      </w:r>
      <w:r w:rsidR="00172B6E" w:rsidRPr="0095171D">
        <w:t>be taken into account.</w:t>
      </w:r>
    </w:p>
    <w:p w:rsidR="00E75C4C" w:rsidRPr="0095171D" w:rsidRDefault="00A228E9" w:rsidP="009141AD">
      <w:pPr>
        <w:pStyle w:val="HSR"/>
        <w:spacing w:after="120"/>
        <w:ind w:left="350"/>
        <w:rPr>
          <w:rFonts w:ascii="Times New Roman" w:hAnsi="Times New Roman"/>
        </w:rPr>
      </w:pPr>
      <w:r>
        <w:rPr>
          <w:rFonts w:ascii="Times New Roman" w:hAnsi="Times New Roman"/>
        </w:rPr>
        <w:t>G</w:t>
      </w:r>
      <w:r w:rsidR="002F1104" w:rsidRPr="0095171D">
        <w:rPr>
          <w:rFonts w:ascii="Times New Roman" w:hAnsi="Times New Roman"/>
        </w:rPr>
        <w:t>ases accounted for in the abatement calculations.</w:t>
      </w:r>
    </w:p>
    <w:tbl>
      <w:tblPr>
        <w:tblStyle w:val="TableGrid"/>
        <w:tblW w:w="0" w:type="auto"/>
        <w:tblLook w:val="04A0"/>
      </w:tblPr>
      <w:tblGrid>
        <w:gridCol w:w="5495"/>
        <w:gridCol w:w="2693"/>
      </w:tblGrid>
      <w:tr w:rsidR="00781D20" w:rsidRPr="0095171D" w:rsidTr="00781D20">
        <w:tc>
          <w:tcPr>
            <w:tcW w:w="5495" w:type="dxa"/>
          </w:tcPr>
          <w:p w:rsidR="00781D20" w:rsidRPr="0095171D" w:rsidRDefault="00781D20" w:rsidP="00781D20">
            <w:pPr>
              <w:spacing w:after="120"/>
            </w:pPr>
            <w:r w:rsidRPr="0095171D">
              <w:rPr>
                <w:b/>
              </w:rPr>
              <w:t>Project activity</w:t>
            </w:r>
          </w:p>
        </w:tc>
        <w:tc>
          <w:tcPr>
            <w:tcW w:w="2693" w:type="dxa"/>
          </w:tcPr>
          <w:p w:rsidR="00781D20" w:rsidRPr="0095171D" w:rsidRDefault="002F1104" w:rsidP="00781D20">
            <w:pPr>
              <w:spacing w:after="120"/>
            </w:pPr>
            <w:r w:rsidRPr="0095171D">
              <w:rPr>
                <w:b/>
              </w:rPr>
              <w:t>Greenhouse gas</w:t>
            </w:r>
          </w:p>
        </w:tc>
      </w:tr>
      <w:tr w:rsidR="00781D20" w:rsidRPr="0095171D" w:rsidTr="00781D20">
        <w:tc>
          <w:tcPr>
            <w:tcW w:w="5495" w:type="dxa"/>
          </w:tcPr>
          <w:p w:rsidR="00781D20" w:rsidRPr="0095171D" w:rsidRDefault="002F1104" w:rsidP="00781D20">
            <w:pPr>
              <w:spacing w:after="120"/>
              <w:rPr>
                <w:b/>
              </w:rPr>
            </w:pPr>
            <w:r w:rsidRPr="0095171D">
              <w:t>Burning of flammable living and dead vegetation (fine, coarse and heavy fuels and shrubs) in the project area during the baseline period and project activity period.</w:t>
            </w:r>
          </w:p>
        </w:tc>
        <w:tc>
          <w:tcPr>
            <w:tcW w:w="2693" w:type="dxa"/>
          </w:tcPr>
          <w:p w:rsidR="00781D20" w:rsidRPr="0095171D" w:rsidRDefault="002F1104" w:rsidP="00781D20">
            <w:pPr>
              <w:spacing w:after="120"/>
            </w:pPr>
            <w:r w:rsidRPr="0095171D">
              <w:t>CH</w:t>
            </w:r>
            <w:r w:rsidRPr="0095171D">
              <w:rPr>
                <w:vertAlign w:val="subscript"/>
              </w:rPr>
              <w:t>4</w:t>
            </w:r>
          </w:p>
          <w:p w:rsidR="00781D20" w:rsidRPr="0095171D" w:rsidRDefault="002F1104" w:rsidP="00781D20">
            <w:r w:rsidRPr="0095171D">
              <w:t>N</w:t>
            </w:r>
            <w:r w:rsidRPr="0095171D">
              <w:rPr>
                <w:vertAlign w:val="subscript"/>
              </w:rPr>
              <w:t>2</w:t>
            </w:r>
            <w:r w:rsidRPr="0095171D">
              <w:t>O</w:t>
            </w:r>
          </w:p>
          <w:p w:rsidR="00781D20" w:rsidRPr="0095171D" w:rsidRDefault="00781D20" w:rsidP="00781D20">
            <w:pPr>
              <w:spacing w:after="120"/>
              <w:rPr>
                <w:b/>
              </w:rPr>
            </w:pPr>
          </w:p>
        </w:tc>
      </w:tr>
      <w:tr w:rsidR="00781D20" w:rsidRPr="0095171D" w:rsidTr="00781D20">
        <w:tc>
          <w:tcPr>
            <w:tcW w:w="5495" w:type="dxa"/>
          </w:tcPr>
          <w:p w:rsidR="00781D20" w:rsidRPr="0095171D" w:rsidRDefault="002F1104" w:rsidP="002634FD">
            <w:pPr>
              <w:spacing w:after="120"/>
            </w:pPr>
            <w:r w:rsidRPr="0095171D">
              <w:t>Fuel use to establish and maintain</w:t>
            </w:r>
            <w:r w:rsidR="00CD44E8" w:rsidRPr="0095171D">
              <w:t xml:space="preserve"> the</w:t>
            </w:r>
            <w:r w:rsidRPr="0095171D">
              <w:t xml:space="preserve"> project, </w:t>
            </w:r>
            <w:r w:rsidR="00CD44E8" w:rsidRPr="0095171D">
              <w:t>for example,</w:t>
            </w:r>
            <w:r w:rsidRPr="0095171D">
              <w:t xml:space="preserve"> for helicopters and other </w:t>
            </w:r>
            <w:r w:rsidR="002634FD">
              <w:t>energy-consuming</w:t>
            </w:r>
            <w:r w:rsidRPr="0095171D">
              <w:t xml:space="preserve"> equipment or drip torches.</w:t>
            </w:r>
          </w:p>
        </w:tc>
        <w:tc>
          <w:tcPr>
            <w:tcW w:w="2693" w:type="dxa"/>
          </w:tcPr>
          <w:p w:rsidR="00781D20" w:rsidRPr="0095171D" w:rsidRDefault="002F1104" w:rsidP="00781D20">
            <w:pPr>
              <w:spacing w:after="120"/>
            </w:pPr>
            <w:r w:rsidRPr="0095171D">
              <w:t>Carbon dioxide (CO</w:t>
            </w:r>
            <w:r w:rsidRPr="0095171D">
              <w:rPr>
                <w:vertAlign w:val="subscript"/>
              </w:rPr>
              <w:t>2</w:t>
            </w:r>
            <w:r w:rsidRPr="0095171D">
              <w:t>)</w:t>
            </w:r>
          </w:p>
          <w:p w:rsidR="00781D20" w:rsidRPr="0095171D" w:rsidRDefault="002F1104" w:rsidP="00781D20">
            <w:pPr>
              <w:spacing w:after="120"/>
            </w:pPr>
            <w:r w:rsidRPr="0095171D">
              <w:t>CH</w:t>
            </w:r>
            <w:r w:rsidRPr="0095171D">
              <w:rPr>
                <w:vertAlign w:val="subscript"/>
              </w:rPr>
              <w:t>4</w:t>
            </w:r>
          </w:p>
          <w:p w:rsidR="007E0C4C" w:rsidRDefault="002F1104" w:rsidP="00D55419">
            <w:pPr>
              <w:spacing w:after="120"/>
            </w:pPr>
            <w:r w:rsidRPr="0095171D">
              <w:t>N</w:t>
            </w:r>
            <w:r w:rsidRPr="0095171D">
              <w:rPr>
                <w:vertAlign w:val="subscript"/>
              </w:rPr>
              <w:t>2</w:t>
            </w:r>
            <w:r w:rsidRPr="0095171D">
              <w:t>O</w:t>
            </w:r>
          </w:p>
        </w:tc>
      </w:tr>
    </w:tbl>
    <w:p w:rsidR="00781D20" w:rsidRPr="0095171D" w:rsidRDefault="00781D20" w:rsidP="00781D20"/>
    <w:p w:rsidR="008D7CD1" w:rsidRPr="0095171D" w:rsidRDefault="002F1104">
      <w:pPr>
        <w:pStyle w:val="Heading3"/>
        <w:numPr>
          <w:ilvl w:val="1"/>
          <w:numId w:val="45"/>
        </w:numPr>
        <w:rPr>
          <w:rFonts w:ascii="Times New Roman" w:hAnsi="Times New Roman" w:cs="Times New Roman"/>
          <w:sz w:val="24"/>
          <w:szCs w:val="24"/>
        </w:rPr>
      </w:pPr>
      <w:bookmarkStart w:id="249" w:name="_Ref324839090"/>
      <w:bookmarkStart w:id="250" w:name="_Toc325039155"/>
      <w:bookmarkStart w:id="251" w:name="_Toc312251437"/>
      <w:r w:rsidRPr="0095171D">
        <w:rPr>
          <w:rFonts w:ascii="Times New Roman" w:hAnsi="Times New Roman" w:cs="Times New Roman"/>
          <w:sz w:val="24"/>
          <w:szCs w:val="24"/>
        </w:rPr>
        <w:t>The start of the late dry season</w:t>
      </w:r>
      <w:bookmarkEnd w:id="249"/>
      <w:bookmarkEnd w:id="250"/>
    </w:p>
    <w:p w:rsidR="00FE7E68" w:rsidRPr="0095171D" w:rsidRDefault="002F1104" w:rsidP="00FE7E68">
      <w:pPr>
        <w:pStyle w:val="R1"/>
        <w:numPr>
          <w:ilvl w:val="0"/>
          <w:numId w:val="16"/>
        </w:numPr>
        <w:jc w:val="left"/>
      </w:pPr>
      <w:r w:rsidRPr="0095171D">
        <w:t xml:space="preserve">For each year of the baseline period and the reporting period, the </w:t>
      </w:r>
      <w:r w:rsidR="00D67699">
        <w:t>Department</w:t>
      </w:r>
      <w:r w:rsidRPr="0095171D">
        <w:t xml:space="preserve"> must determine and publish on the Department’s website:</w:t>
      </w:r>
    </w:p>
    <w:p w:rsidR="00FE7E68" w:rsidRPr="0095171D" w:rsidRDefault="002F1104" w:rsidP="00FE7E68">
      <w:pPr>
        <w:pStyle w:val="P1"/>
        <w:numPr>
          <w:ilvl w:val="0"/>
          <w:numId w:val="18"/>
        </w:numPr>
        <w:jc w:val="left"/>
      </w:pPr>
      <w:r w:rsidRPr="0095171D">
        <w:t xml:space="preserve">the </w:t>
      </w:r>
      <w:r w:rsidR="00DB1CA5">
        <w:t xml:space="preserve">defined </w:t>
      </w:r>
      <w:r w:rsidRPr="0095171D">
        <w:t>start date of the late dry season for a region; and</w:t>
      </w:r>
    </w:p>
    <w:p w:rsidR="00FE7E68" w:rsidRPr="0095171D" w:rsidRDefault="002F1104" w:rsidP="00FE7E68">
      <w:pPr>
        <w:pStyle w:val="P1"/>
        <w:numPr>
          <w:ilvl w:val="0"/>
          <w:numId w:val="18"/>
        </w:numPr>
        <w:jc w:val="left"/>
      </w:pPr>
      <w:r w:rsidRPr="0095171D">
        <w:t>the method used to determine the start date.</w:t>
      </w:r>
    </w:p>
    <w:p w:rsidR="00FE7E68" w:rsidRPr="0095171D" w:rsidRDefault="002F1104" w:rsidP="00FE7E68">
      <w:pPr>
        <w:pStyle w:val="Note"/>
        <w:ind w:left="1425"/>
        <w:rPr>
          <w:b/>
        </w:rPr>
      </w:pPr>
      <w:r w:rsidRPr="0095171D">
        <w:rPr>
          <w:i/>
        </w:rPr>
        <w:t>Note</w:t>
      </w:r>
      <w:r w:rsidRPr="0095171D">
        <w:t>   The date is accessible at</w:t>
      </w:r>
      <w:r w:rsidRPr="0095171D">
        <w:rPr>
          <w:u w:val="single"/>
        </w:rPr>
        <w:t xml:space="preserve"> www.climatechange.gov.au</w:t>
      </w:r>
      <w:r w:rsidRPr="0095171D">
        <w:t>.</w:t>
      </w:r>
    </w:p>
    <w:p w:rsidR="008832C4" w:rsidRDefault="002F1104" w:rsidP="00FE7E68">
      <w:pPr>
        <w:pStyle w:val="R1"/>
        <w:numPr>
          <w:ilvl w:val="0"/>
          <w:numId w:val="16"/>
        </w:numPr>
        <w:jc w:val="left"/>
      </w:pPr>
      <w:r w:rsidRPr="0095171D">
        <w:t>The start</w:t>
      </w:r>
      <w:r w:rsidR="00694CFB" w:rsidRPr="0095171D">
        <w:t xml:space="preserve"> date</w:t>
      </w:r>
      <w:r w:rsidRPr="0095171D">
        <w:t xml:space="preserve"> of the late dry season must be no earlier than 1 July and be no later than 31 August.</w:t>
      </w:r>
      <w:r w:rsidR="008832C4">
        <w:t xml:space="preserve"> </w:t>
      </w:r>
    </w:p>
    <w:p w:rsidR="00FE7E68" w:rsidRPr="0095171D" w:rsidRDefault="008832C4" w:rsidP="00FE7E68">
      <w:pPr>
        <w:pStyle w:val="R1"/>
        <w:numPr>
          <w:ilvl w:val="0"/>
          <w:numId w:val="16"/>
        </w:numPr>
        <w:jc w:val="left"/>
      </w:pPr>
      <w:r>
        <w:t>For the purposes of this Methodology Determination the late dry season is taken to end on 31 December in a given year.</w:t>
      </w:r>
    </w:p>
    <w:p w:rsidR="00FE7E68" w:rsidRPr="0095171D" w:rsidRDefault="002F1104" w:rsidP="00FE7E68">
      <w:pPr>
        <w:pStyle w:val="R1"/>
        <w:numPr>
          <w:ilvl w:val="0"/>
          <w:numId w:val="16"/>
        </w:numPr>
        <w:jc w:val="left"/>
      </w:pPr>
      <w:r w:rsidRPr="0095171D">
        <w:t xml:space="preserve">The start date of the late dry season for a region is taken to be 1 August if the </w:t>
      </w:r>
      <w:r w:rsidR="00226B26">
        <w:t>Department</w:t>
      </w:r>
      <w:r w:rsidRPr="0095171D">
        <w:t xml:space="preserve"> does not make a determination under </w:t>
      </w:r>
      <w:r w:rsidR="00CE1B39" w:rsidRPr="0095171D">
        <w:t>subsection (1).</w:t>
      </w:r>
    </w:p>
    <w:p w:rsidR="00FE7E68" w:rsidRDefault="002F1104" w:rsidP="00FE7E68">
      <w:pPr>
        <w:pStyle w:val="R1"/>
        <w:numPr>
          <w:ilvl w:val="0"/>
          <w:numId w:val="16"/>
        </w:numPr>
        <w:jc w:val="left"/>
      </w:pPr>
      <w:r w:rsidRPr="0095171D">
        <w:t xml:space="preserve">The start date of the late dry season for a project area must be recorded in </w:t>
      </w:r>
      <w:r w:rsidR="00CE1B39" w:rsidRPr="0095171D">
        <w:t>Table 9 of</w:t>
      </w:r>
      <w:r w:rsidR="00B0547F" w:rsidRPr="00B0547F">
        <w:t xml:space="preserve"> Form 1 </w:t>
      </w:r>
      <w:r w:rsidR="00962892">
        <w:t xml:space="preserve">and Form 2 </w:t>
      </w:r>
      <w:r w:rsidR="00B0547F" w:rsidRPr="00B0547F">
        <w:t>of</w:t>
      </w:r>
      <w:r w:rsidR="00CE1B39" w:rsidRPr="0095171D">
        <w:t xml:space="preserve"> Schedule 2</w:t>
      </w:r>
      <w:r w:rsidRPr="0095171D">
        <w:t xml:space="preserve"> and must be used in any calculation of emissions for</w:t>
      </w:r>
      <w:r w:rsidR="00694CFB" w:rsidRPr="0095171D">
        <w:t xml:space="preserve"> a project area</w:t>
      </w:r>
      <w:r w:rsidRPr="0095171D">
        <w:t xml:space="preserve"> that is required by this Methodology Determination.</w:t>
      </w:r>
    </w:p>
    <w:p w:rsidR="0098154B" w:rsidRDefault="0098154B">
      <w:r>
        <w:br w:type="page"/>
      </w:r>
    </w:p>
    <w:p w:rsidR="00E75C4C" w:rsidRPr="0095171D" w:rsidRDefault="002F1104" w:rsidP="000D7783">
      <w:pPr>
        <w:pStyle w:val="Heading4"/>
      </w:pPr>
      <w:bookmarkStart w:id="252" w:name="_Toc325039156"/>
      <w:r w:rsidRPr="0095171D">
        <w:lastRenderedPageBreak/>
        <w:t>Division 3.2</w:t>
      </w:r>
      <w:r w:rsidRPr="0095171D">
        <w:tab/>
        <w:t>Calculations</w:t>
      </w:r>
      <w:bookmarkEnd w:id="251"/>
      <w:bookmarkEnd w:id="252"/>
    </w:p>
    <w:p w:rsidR="000809E4" w:rsidRPr="000D7783" w:rsidRDefault="002F1104" w:rsidP="000D7783">
      <w:pPr>
        <w:pStyle w:val="Heading5"/>
        <w:rPr>
          <w:i w:val="0"/>
        </w:rPr>
      </w:pPr>
      <w:bookmarkStart w:id="253" w:name="_Toc325039157"/>
      <w:r w:rsidRPr="000D7783">
        <w:rPr>
          <w:i w:val="0"/>
        </w:rPr>
        <w:t>Subdivision 3.2.</w:t>
      </w:r>
      <w:r w:rsidR="00024707" w:rsidRPr="000D7783">
        <w:rPr>
          <w:i w:val="0"/>
        </w:rPr>
        <w:t>1</w:t>
      </w:r>
      <w:r w:rsidR="000809E4" w:rsidRPr="000D7783">
        <w:rPr>
          <w:i w:val="0"/>
        </w:rPr>
        <w:tab/>
      </w:r>
      <w:r w:rsidR="00B0547F" w:rsidRPr="000D7783">
        <w:rPr>
          <w:i w:val="0"/>
        </w:rPr>
        <w:t>Develop</w:t>
      </w:r>
      <w:r w:rsidR="00580B22" w:rsidRPr="000D7783">
        <w:rPr>
          <w:i w:val="0"/>
        </w:rPr>
        <w:t>ing</w:t>
      </w:r>
      <w:r w:rsidR="00B0547F" w:rsidRPr="000D7783">
        <w:rPr>
          <w:i w:val="0"/>
        </w:rPr>
        <w:t xml:space="preserve"> maps and </w:t>
      </w:r>
      <w:r w:rsidR="00580B22" w:rsidRPr="000D7783">
        <w:rPr>
          <w:i w:val="0"/>
        </w:rPr>
        <w:t>calculating</w:t>
      </w:r>
      <w:r w:rsidR="00B0547F" w:rsidRPr="000D7783">
        <w:rPr>
          <w:i w:val="0"/>
        </w:rPr>
        <w:t xml:space="preserve"> fire scar area</w:t>
      </w:r>
      <w:bookmarkEnd w:id="253"/>
    </w:p>
    <w:p w:rsidR="00BD33AF" w:rsidRPr="0095171D" w:rsidRDefault="00BD33AF" w:rsidP="00BC708B">
      <w:pPr>
        <w:pStyle w:val="Heading3"/>
        <w:numPr>
          <w:ilvl w:val="1"/>
          <w:numId w:val="45"/>
        </w:numPr>
        <w:rPr>
          <w:rFonts w:ascii="Times New Roman" w:hAnsi="Times New Roman" w:cs="Times New Roman"/>
          <w:sz w:val="24"/>
          <w:szCs w:val="24"/>
        </w:rPr>
      </w:pPr>
      <w:bookmarkStart w:id="254" w:name="_Toc324760399"/>
      <w:bookmarkStart w:id="255" w:name="_Toc324838375"/>
      <w:bookmarkStart w:id="256" w:name="_Toc324838704"/>
      <w:bookmarkStart w:id="257" w:name="_Toc324843491"/>
      <w:bookmarkStart w:id="258" w:name="_Toc324860254"/>
      <w:bookmarkStart w:id="259" w:name="_Toc324860361"/>
      <w:bookmarkStart w:id="260" w:name="_Toc324860455"/>
      <w:bookmarkStart w:id="261" w:name="_Toc324860549"/>
      <w:bookmarkStart w:id="262" w:name="_Toc324860644"/>
      <w:bookmarkStart w:id="263" w:name="_Toc324860739"/>
      <w:bookmarkStart w:id="264" w:name="_Toc324860834"/>
      <w:bookmarkStart w:id="265" w:name="_Ref324507026"/>
      <w:bookmarkStart w:id="266" w:name="_Toc325039158"/>
      <w:bookmarkStart w:id="267" w:name="_Ref317782060"/>
      <w:bookmarkStart w:id="268" w:name="_Ref317782094"/>
      <w:bookmarkStart w:id="269" w:name="_Ref317782116"/>
      <w:bookmarkStart w:id="270" w:name="_Ref323828564"/>
      <w:bookmarkEnd w:id="244"/>
      <w:bookmarkEnd w:id="254"/>
      <w:bookmarkEnd w:id="255"/>
      <w:bookmarkEnd w:id="256"/>
      <w:bookmarkEnd w:id="257"/>
      <w:bookmarkEnd w:id="258"/>
      <w:bookmarkEnd w:id="259"/>
      <w:bookmarkEnd w:id="260"/>
      <w:bookmarkEnd w:id="261"/>
      <w:bookmarkEnd w:id="262"/>
      <w:bookmarkEnd w:id="263"/>
      <w:bookmarkEnd w:id="264"/>
      <w:r w:rsidRPr="0095171D">
        <w:rPr>
          <w:rFonts w:ascii="Times New Roman" w:hAnsi="Times New Roman" w:cs="Times New Roman"/>
          <w:sz w:val="24"/>
          <w:szCs w:val="24"/>
        </w:rPr>
        <w:t>Develop</w:t>
      </w:r>
      <w:r w:rsidR="00580B22" w:rsidRPr="0095171D">
        <w:rPr>
          <w:rFonts w:ascii="Times New Roman" w:hAnsi="Times New Roman" w:cs="Times New Roman"/>
          <w:sz w:val="24"/>
          <w:szCs w:val="24"/>
        </w:rPr>
        <w:t>ing</w:t>
      </w:r>
      <w:r w:rsidRPr="0095171D">
        <w:rPr>
          <w:rFonts w:ascii="Times New Roman" w:hAnsi="Times New Roman" w:cs="Times New Roman"/>
          <w:sz w:val="24"/>
          <w:szCs w:val="24"/>
        </w:rPr>
        <w:t xml:space="preserve"> maps used to calculate emissions</w:t>
      </w:r>
      <w:bookmarkEnd w:id="265"/>
      <w:bookmarkEnd w:id="266"/>
    </w:p>
    <w:p w:rsidR="001D09C3" w:rsidRPr="0095171D" w:rsidRDefault="002F1104">
      <w:pPr>
        <w:pStyle w:val="R1"/>
        <w:numPr>
          <w:ilvl w:val="0"/>
          <w:numId w:val="64"/>
        </w:numPr>
        <w:jc w:val="left"/>
      </w:pPr>
      <w:bookmarkStart w:id="271" w:name="_Ref324507033"/>
      <w:r w:rsidRPr="0095171D">
        <w:t xml:space="preserve">A vegetation map for the project area that meets the requirements of a vegetation map given at </w:t>
      </w:r>
      <w:r w:rsidR="00B0547F" w:rsidRPr="00B0547F">
        <w:t xml:space="preserve">section </w:t>
      </w:r>
      <w:fldSimple w:instr=" REF _Ref324839304 \r \h  \* MERGEFORMAT ">
        <w:r w:rsidR="001756BA">
          <w:t>3.24</w:t>
        </w:r>
      </w:fldSimple>
      <w:r w:rsidRPr="0095171D">
        <w:t xml:space="preserve"> and is validated in accordance with </w:t>
      </w:r>
      <w:r w:rsidR="00B0547F" w:rsidRPr="00B0547F">
        <w:t xml:space="preserve">section </w:t>
      </w:r>
      <w:fldSimple w:instr=" REF _Ref324839317 \r \h  \* MERGEFORMAT ">
        <w:r w:rsidR="001756BA">
          <w:t>3.25</w:t>
        </w:r>
      </w:fldSimple>
      <w:r w:rsidRPr="0095171D">
        <w:t xml:space="preserve"> must be developed</w:t>
      </w:r>
      <w:r w:rsidR="00061C19">
        <w:t>,</w:t>
      </w:r>
      <w:r w:rsidRPr="0095171D">
        <w:t xml:space="preserve"> using GIS software.</w:t>
      </w:r>
      <w:bookmarkEnd w:id="271"/>
    </w:p>
    <w:p w:rsidR="00C02BD1" w:rsidRPr="0095171D" w:rsidRDefault="002F1104" w:rsidP="00C02BD1">
      <w:pPr>
        <w:pStyle w:val="R1"/>
        <w:numPr>
          <w:ilvl w:val="0"/>
          <w:numId w:val="64"/>
        </w:numPr>
        <w:jc w:val="left"/>
      </w:pPr>
      <w:r w:rsidRPr="0095171D">
        <w:t>The area of each vegetation class in terms of the</w:t>
      </w:r>
      <w:r w:rsidR="00DE26A6" w:rsidRPr="0095171D">
        <w:t xml:space="preserve"> </w:t>
      </w:r>
      <w:r w:rsidR="003106DD" w:rsidRPr="0095171D">
        <w:t>number</w:t>
      </w:r>
      <w:r w:rsidRPr="0095171D">
        <w:t xml:space="preserve"> of pixels must be calculated using GIS software.</w:t>
      </w:r>
    </w:p>
    <w:p w:rsidR="001D09C3" w:rsidRPr="0095171D" w:rsidRDefault="00694CFB">
      <w:pPr>
        <w:pStyle w:val="R1"/>
        <w:numPr>
          <w:ilvl w:val="0"/>
          <w:numId w:val="64"/>
        </w:numPr>
        <w:jc w:val="left"/>
      </w:pPr>
      <w:r w:rsidRPr="0095171D">
        <w:t>Monthly f</w:t>
      </w:r>
      <w:r w:rsidR="002F1104" w:rsidRPr="0095171D">
        <w:t xml:space="preserve">ire maps meeting the requirements of </w:t>
      </w:r>
      <w:r w:rsidR="00B0547F" w:rsidRPr="00B0547F">
        <w:t xml:space="preserve">section </w:t>
      </w:r>
      <w:fldSimple w:instr=" REF _Ref324839353 \r \h  \* MERGEFORMAT ">
        <w:r w:rsidR="001756BA">
          <w:t>3.26</w:t>
        </w:r>
      </w:fldSimple>
      <w:r w:rsidR="002F1104" w:rsidRPr="0095171D">
        <w:t xml:space="preserve"> must be </w:t>
      </w:r>
      <w:r w:rsidR="00061C19">
        <w:t xml:space="preserve">sourced or </w:t>
      </w:r>
      <w:r w:rsidR="00B0547F" w:rsidRPr="00B0547F">
        <w:t>developed</w:t>
      </w:r>
      <w:r w:rsidR="002F1104" w:rsidRPr="0095171D">
        <w:t xml:space="preserve"> for the</w:t>
      </w:r>
      <w:r w:rsidR="003106DD" w:rsidRPr="0095171D">
        <w:t xml:space="preserve"> fuel estimation period, the</w:t>
      </w:r>
      <w:r w:rsidR="002F1104" w:rsidRPr="0095171D">
        <w:t xml:space="preserve"> baseline period, and the </w:t>
      </w:r>
      <w:r w:rsidRPr="0095171D">
        <w:t>reporting period</w:t>
      </w:r>
      <w:r w:rsidR="002F1104" w:rsidRPr="0095171D">
        <w:t>.</w:t>
      </w:r>
    </w:p>
    <w:p w:rsidR="000809E4" w:rsidRPr="0095171D" w:rsidRDefault="00694CFB" w:rsidP="000809E4">
      <w:pPr>
        <w:pStyle w:val="R1"/>
        <w:numPr>
          <w:ilvl w:val="0"/>
          <w:numId w:val="64"/>
        </w:numPr>
        <w:jc w:val="left"/>
      </w:pPr>
      <w:r w:rsidRPr="0095171D">
        <w:t>Monthly f</w:t>
      </w:r>
      <w:r w:rsidR="002F1104" w:rsidRPr="0095171D">
        <w:t>ire maps must be sourced f</w:t>
      </w:r>
      <w:r w:rsidR="00BD1442">
        <w:t>or</w:t>
      </w:r>
      <w:r w:rsidR="002F1104" w:rsidRPr="0095171D">
        <w:t xml:space="preserve"> every month of every year for the baseline period, the fuel estimation period and the </w:t>
      </w:r>
      <w:r w:rsidRPr="0095171D">
        <w:t xml:space="preserve">reporting </w:t>
      </w:r>
      <w:r w:rsidR="002F1104" w:rsidRPr="0095171D">
        <w:t xml:space="preserve">period to develop the fire maps specified </w:t>
      </w:r>
      <w:r w:rsidR="00CE1B39" w:rsidRPr="0095171D">
        <w:t>at subsection (</w:t>
      </w:r>
      <w:r w:rsidR="00B0547F" w:rsidRPr="00B0547F">
        <w:t>5</w:t>
      </w:r>
      <w:r w:rsidR="00CE1B39" w:rsidRPr="0095171D">
        <w:t>).</w:t>
      </w:r>
    </w:p>
    <w:p w:rsidR="00D9084A" w:rsidRPr="0095171D" w:rsidRDefault="002F1104" w:rsidP="00D9084A">
      <w:pPr>
        <w:pStyle w:val="R1"/>
        <w:numPr>
          <w:ilvl w:val="0"/>
          <w:numId w:val="64"/>
        </w:numPr>
        <w:jc w:val="left"/>
      </w:pPr>
      <w:r w:rsidRPr="0095171D">
        <w:t xml:space="preserve">Seasonal fire maps must be developed in accordance with </w:t>
      </w:r>
      <w:r w:rsidR="00B0547F" w:rsidRPr="00B0547F">
        <w:t xml:space="preserve">section </w:t>
      </w:r>
      <w:fldSimple w:instr=" REF _Ref324839406 \r \h  \* MERGEFORMAT ">
        <w:r w:rsidR="001756BA">
          <w:t>3.27</w:t>
        </w:r>
      </w:fldSimple>
      <w:r w:rsidR="00D9084A" w:rsidRPr="0095171D">
        <w:t xml:space="preserve"> and</w:t>
      </w:r>
      <w:r w:rsidR="001C1B59" w:rsidRPr="0095171D">
        <w:t>,</w:t>
      </w:r>
      <w:r w:rsidR="00D9084A" w:rsidRPr="0095171D">
        <w:t xml:space="preserve"> </w:t>
      </w:r>
      <w:r w:rsidR="001C1B59" w:rsidRPr="0095171D">
        <w:t xml:space="preserve">if not sourced from NAFI, </w:t>
      </w:r>
      <w:r w:rsidR="00D9084A" w:rsidRPr="0095171D">
        <w:t xml:space="preserve">validated in accordance with </w:t>
      </w:r>
      <w:r w:rsidR="00B0547F" w:rsidRPr="00B0547F">
        <w:t xml:space="preserve">section </w:t>
      </w:r>
      <w:fldSimple w:instr=" REF _Ref324839415 \r \h  \* MERGEFORMAT ">
        <w:r w:rsidR="001756BA">
          <w:t>3.28</w:t>
        </w:r>
      </w:fldSimple>
      <w:r w:rsidR="00ED4498">
        <w:t>.</w:t>
      </w:r>
    </w:p>
    <w:p w:rsidR="00AB4980" w:rsidRPr="0095171D" w:rsidRDefault="002F1104" w:rsidP="00AB4980">
      <w:pPr>
        <w:pStyle w:val="Heading3"/>
        <w:numPr>
          <w:ilvl w:val="1"/>
          <w:numId w:val="45"/>
        </w:numPr>
        <w:rPr>
          <w:rFonts w:ascii="Times New Roman" w:hAnsi="Times New Roman" w:cs="Times New Roman"/>
          <w:sz w:val="24"/>
          <w:szCs w:val="24"/>
        </w:rPr>
      </w:pPr>
      <w:bookmarkStart w:id="272" w:name="_Toc324760401"/>
      <w:bookmarkStart w:id="273" w:name="_Toc324838377"/>
      <w:bookmarkStart w:id="274" w:name="_Toc324838706"/>
      <w:bookmarkStart w:id="275" w:name="_Toc324843493"/>
      <w:bookmarkStart w:id="276" w:name="_Toc324860256"/>
      <w:bookmarkStart w:id="277" w:name="_Toc324860363"/>
      <w:bookmarkStart w:id="278" w:name="_Toc324860457"/>
      <w:bookmarkStart w:id="279" w:name="_Toc324860551"/>
      <w:bookmarkStart w:id="280" w:name="_Toc324860646"/>
      <w:bookmarkStart w:id="281" w:name="_Toc324860741"/>
      <w:bookmarkStart w:id="282" w:name="_Toc324860836"/>
      <w:bookmarkStart w:id="283" w:name="_Toc324506891"/>
      <w:bookmarkStart w:id="284" w:name="_Toc324506892"/>
      <w:bookmarkStart w:id="285" w:name="_Toc324506893"/>
      <w:bookmarkStart w:id="286" w:name="_Toc324506894"/>
      <w:bookmarkStart w:id="287" w:name="_Toc324506895"/>
      <w:bookmarkStart w:id="288" w:name="_Toc324506896"/>
      <w:bookmarkStart w:id="289" w:name="_Toc324506897"/>
      <w:bookmarkStart w:id="290" w:name="_Toc324506898"/>
      <w:bookmarkStart w:id="291" w:name="_Toc324760402"/>
      <w:bookmarkStart w:id="292" w:name="_Toc324838378"/>
      <w:bookmarkStart w:id="293" w:name="_Toc324838707"/>
      <w:bookmarkStart w:id="294" w:name="_Toc324843494"/>
      <w:bookmarkStart w:id="295" w:name="_Toc324860257"/>
      <w:bookmarkStart w:id="296" w:name="_Toc324860364"/>
      <w:bookmarkStart w:id="297" w:name="_Toc324860458"/>
      <w:bookmarkStart w:id="298" w:name="_Toc324860552"/>
      <w:bookmarkStart w:id="299" w:name="_Toc324860647"/>
      <w:bookmarkStart w:id="300" w:name="_Toc324860742"/>
      <w:bookmarkStart w:id="301" w:name="_Toc324860837"/>
      <w:bookmarkStart w:id="302" w:name="_Toc324760403"/>
      <w:bookmarkStart w:id="303" w:name="_Toc324838379"/>
      <w:bookmarkStart w:id="304" w:name="_Toc324838708"/>
      <w:bookmarkStart w:id="305" w:name="_Toc324843495"/>
      <w:bookmarkStart w:id="306" w:name="_Toc324860258"/>
      <w:bookmarkStart w:id="307" w:name="_Toc324860365"/>
      <w:bookmarkStart w:id="308" w:name="_Toc324860459"/>
      <w:bookmarkStart w:id="309" w:name="_Toc324860553"/>
      <w:bookmarkStart w:id="310" w:name="_Toc324860648"/>
      <w:bookmarkStart w:id="311" w:name="_Toc324860743"/>
      <w:bookmarkStart w:id="312" w:name="_Toc324860838"/>
      <w:bookmarkStart w:id="313" w:name="_Toc324760404"/>
      <w:bookmarkStart w:id="314" w:name="_Toc324838380"/>
      <w:bookmarkStart w:id="315" w:name="_Toc324838709"/>
      <w:bookmarkStart w:id="316" w:name="_Toc324843496"/>
      <w:bookmarkStart w:id="317" w:name="_Toc324860259"/>
      <w:bookmarkStart w:id="318" w:name="_Toc324860366"/>
      <w:bookmarkStart w:id="319" w:name="_Toc324860460"/>
      <w:bookmarkStart w:id="320" w:name="_Toc324860554"/>
      <w:bookmarkStart w:id="321" w:name="_Toc324860649"/>
      <w:bookmarkStart w:id="322" w:name="_Toc324860744"/>
      <w:bookmarkStart w:id="323" w:name="_Toc324860839"/>
      <w:bookmarkStart w:id="324" w:name="_Toc324760405"/>
      <w:bookmarkStart w:id="325" w:name="_Toc324838381"/>
      <w:bookmarkStart w:id="326" w:name="_Toc324838710"/>
      <w:bookmarkStart w:id="327" w:name="_Toc324843497"/>
      <w:bookmarkStart w:id="328" w:name="_Toc324860260"/>
      <w:bookmarkStart w:id="329" w:name="_Toc324860367"/>
      <w:bookmarkStart w:id="330" w:name="_Toc324860461"/>
      <w:bookmarkStart w:id="331" w:name="_Toc324860555"/>
      <w:bookmarkStart w:id="332" w:name="_Toc324860650"/>
      <w:bookmarkStart w:id="333" w:name="_Toc324860745"/>
      <w:bookmarkStart w:id="334" w:name="_Toc324860840"/>
      <w:bookmarkStart w:id="335" w:name="_Toc324760406"/>
      <w:bookmarkStart w:id="336" w:name="_Toc324838382"/>
      <w:bookmarkStart w:id="337" w:name="_Toc324838711"/>
      <w:bookmarkStart w:id="338" w:name="_Toc324843498"/>
      <w:bookmarkStart w:id="339" w:name="_Toc324860261"/>
      <w:bookmarkStart w:id="340" w:name="_Toc324860368"/>
      <w:bookmarkStart w:id="341" w:name="_Toc324860462"/>
      <w:bookmarkStart w:id="342" w:name="_Toc324860556"/>
      <w:bookmarkStart w:id="343" w:name="_Toc324860651"/>
      <w:bookmarkStart w:id="344" w:name="_Toc324860746"/>
      <w:bookmarkStart w:id="345" w:name="_Toc324860841"/>
      <w:bookmarkStart w:id="346" w:name="_Toc324760407"/>
      <w:bookmarkStart w:id="347" w:name="_Toc324838383"/>
      <w:bookmarkStart w:id="348" w:name="_Toc324838712"/>
      <w:bookmarkStart w:id="349" w:name="_Toc324843499"/>
      <w:bookmarkStart w:id="350" w:name="_Toc324860262"/>
      <w:bookmarkStart w:id="351" w:name="_Toc324860369"/>
      <w:bookmarkStart w:id="352" w:name="_Toc324860463"/>
      <w:bookmarkStart w:id="353" w:name="_Toc324860557"/>
      <w:bookmarkStart w:id="354" w:name="_Toc324860652"/>
      <w:bookmarkStart w:id="355" w:name="_Toc324860747"/>
      <w:bookmarkStart w:id="356" w:name="_Toc324860842"/>
      <w:bookmarkStart w:id="357" w:name="_Toc324760408"/>
      <w:bookmarkStart w:id="358" w:name="_Toc324838384"/>
      <w:bookmarkStart w:id="359" w:name="_Toc324838713"/>
      <w:bookmarkStart w:id="360" w:name="_Toc324843500"/>
      <w:bookmarkStart w:id="361" w:name="_Toc324860263"/>
      <w:bookmarkStart w:id="362" w:name="_Toc324860370"/>
      <w:bookmarkStart w:id="363" w:name="_Toc324860464"/>
      <w:bookmarkStart w:id="364" w:name="_Toc324860558"/>
      <w:bookmarkStart w:id="365" w:name="_Toc324860653"/>
      <w:bookmarkStart w:id="366" w:name="_Toc324860748"/>
      <w:bookmarkStart w:id="367" w:name="_Toc324860843"/>
      <w:bookmarkStart w:id="368" w:name="_Toc324760409"/>
      <w:bookmarkStart w:id="369" w:name="_Toc324838385"/>
      <w:bookmarkStart w:id="370" w:name="_Toc324838714"/>
      <w:bookmarkStart w:id="371" w:name="_Toc324843501"/>
      <w:bookmarkStart w:id="372" w:name="_Toc324860264"/>
      <w:bookmarkStart w:id="373" w:name="_Toc324860371"/>
      <w:bookmarkStart w:id="374" w:name="_Toc324860465"/>
      <w:bookmarkStart w:id="375" w:name="_Toc324860559"/>
      <w:bookmarkStart w:id="376" w:name="_Toc324860654"/>
      <w:bookmarkStart w:id="377" w:name="_Toc324860749"/>
      <w:bookmarkStart w:id="378" w:name="_Toc324860844"/>
      <w:bookmarkStart w:id="379" w:name="_Toc324760410"/>
      <w:bookmarkStart w:id="380" w:name="_Toc324838386"/>
      <w:bookmarkStart w:id="381" w:name="_Toc324838715"/>
      <w:bookmarkStart w:id="382" w:name="_Toc324843502"/>
      <w:bookmarkStart w:id="383" w:name="_Toc324860265"/>
      <w:bookmarkStart w:id="384" w:name="_Toc324860372"/>
      <w:bookmarkStart w:id="385" w:name="_Toc324860466"/>
      <w:bookmarkStart w:id="386" w:name="_Toc324860560"/>
      <w:bookmarkStart w:id="387" w:name="_Toc324860655"/>
      <w:bookmarkStart w:id="388" w:name="_Toc324860750"/>
      <w:bookmarkStart w:id="389" w:name="_Toc324860845"/>
      <w:bookmarkStart w:id="390" w:name="_Toc324760411"/>
      <w:bookmarkStart w:id="391" w:name="_Toc324838387"/>
      <w:bookmarkStart w:id="392" w:name="_Toc324838716"/>
      <w:bookmarkStart w:id="393" w:name="_Toc324843503"/>
      <w:bookmarkStart w:id="394" w:name="_Toc324860266"/>
      <w:bookmarkStart w:id="395" w:name="_Toc324860373"/>
      <w:bookmarkStart w:id="396" w:name="_Toc324860467"/>
      <w:bookmarkStart w:id="397" w:name="_Toc324860561"/>
      <w:bookmarkStart w:id="398" w:name="_Toc324860656"/>
      <w:bookmarkStart w:id="399" w:name="_Toc324860751"/>
      <w:bookmarkStart w:id="400" w:name="_Toc324860846"/>
      <w:bookmarkStart w:id="401" w:name="_Toc324760412"/>
      <w:bookmarkStart w:id="402" w:name="_Toc324838388"/>
      <w:bookmarkStart w:id="403" w:name="_Toc324838717"/>
      <w:bookmarkStart w:id="404" w:name="_Toc324843504"/>
      <w:bookmarkStart w:id="405" w:name="_Toc324860267"/>
      <w:bookmarkStart w:id="406" w:name="_Toc324860374"/>
      <w:bookmarkStart w:id="407" w:name="_Toc324860468"/>
      <w:bookmarkStart w:id="408" w:name="_Toc324860562"/>
      <w:bookmarkStart w:id="409" w:name="_Toc324860657"/>
      <w:bookmarkStart w:id="410" w:name="_Toc324860752"/>
      <w:bookmarkStart w:id="411" w:name="_Toc324860847"/>
      <w:bookmarkStart w:id="412" w:name="_Toc324760413"/>
      <w:bookmarkStart w:id="413" w:name="_Toc324838389"/>
      <w:bookmarkStart w:id="414" w:name="_Toc324838718"/>
      <w:bookmarkStart w:id="415" w:name="_Toc324843505"/>
      <w:bookmarkStart w:id="416" w:name="_Toc324860268"/>
      <w:bookmarkStart w:id="417" w:name="_Toc324860375"/>
      <w:bookmarkStart w:id="418" w:name="_Toc324860469"/>
      <w:bookmarkStart w:id="419" w:name="_Toc324860563"/>
      <w:bookmarkStart w:id="420" w:name="_Toc324860658"/>
      <w:bookmarkStart w:id="421" w:name="_Toc324860753"/>
      <w:bookmarkStart w:id="422" w:name="_Toc324860848"/>
      <w:bookmarkStart w:id="423" w:name="_Toc324760414"/>
      <w:bookmarkStart w:id="424" w:name="_Toc324838390"/>
      <w:bookmarkStart w:id="425" w:name="_Toc324838719"/>
      <w:bookmarkStart w:id="426" w:name="_Toc324843506"/>
      <w:bookmarkStart w:id="427" w:name="_Toc324860269"/>
      <w:bookmarkStart w:id="428" w:name="_Toc324860376"/>
      <w:bookmarkStart w:id="429" w:name="_Toc324860470"/>
      <w:bookmarkStart w:id="430" w:name="_Toc324860564"/>
      <w:bookmarkStart w:id="431" w:name="_Toc324860659"/>
      <w:bookmarkStart w:id="432" w:name="_Toc324860754"/>
      <w:bookmarkStart w:id="433" w:name="_Toc324860849"/>
      <w:bookmarkStart w:id="434" w:name="_Toc324760415"/>
      <w:bookmarkStart w:id="435" w:name="_Toc324838391"/>
      <w:bookmarkStart w:id="436" w:name="_Toc324838720"/>
      <w:bookmarkStart w:id="437" w:name="_Toc324843507"/>
      <w:bookmarkStart w:id="438" w:name="_Toc324860270"/>
      <w:bookmarkStart w:id="439" w:name="_Toc324860377"/>
      <w:bookmarkStart w:id="440" w:name="_Toc324860471"/>
      <w:bookmarkStart w:id="441" w:name="_Toc324860565"/>
      <w:bookmarkStart w:id="442" w:name="_Toc324860660"/>
      <w:bookmarkStart w:id="443" w:name="_Toc324860755"/>
      <w:bookmarkStart w:id="444" w:name="_Toc324860850"/>
      <w:bookmarkStart w:id="445" w:name="_Toc324760416"/>
      <w:bookmarkStart w:id="446" w:name="_Toc324838392"/>
      <w:bookmarkStart w:id="447" w:name="_Toc324838721"/>
      <w:bookmarkStart w:id="448" w:name="_Toc324843508"/>
      <w:bookmarkStart w:id="449" w:name="_Toc324860271"/>
      <w:bookmarkStart w:id="450" w:name="_Toc324860378"/>
      <w:bookmarkStart w:id="451" w:name="_Toc324860472"/>
      <w:bookmarkStart w:id="452" w:name="_Toc324860566"/>
      <w:bookmarkStart w:id="453" w:name="_Toc324860661"/>
      <w:bookmarkStart w:id="454" w:name="_Toc324860756"/>
      <w:bookmarkStart w:id="455" w:name="_Toc324860851"/>
      <w:bookmarkStart w:id="456" w:name="_Toc324760417"/>
      <w:bookmarkStart w:id="457" w:name="_Toc324838393"/>
      <w:bookmarkStart w:id="458" w:name="_Toc324838722"/>
      <w:bookmarkStart w:id="459" w:name="_Toc324843509"/>
      <w:bookmarkStart w:id="460" w:name="_Toc324860272"/>
      <w:bookmarkStart w:id="461" w:name="_Toc324860379"/>
      <w:bookmarkStart w:id="462" w:name="_Toc324860473"/>
      <w:bookmarkStart w:id="463" w:name="_Toc324860567"/>
      <w:bookmarkStart w:id="464" w:name="_Toc324860662"/>
      <w:bookmarkStart w:id="465" w:name="_Toc324860757"/>
      <w:bookmarkStart w:id="466" w:name="_Toc324860852"/>
      <w:bookmarkStart w:id="467" w:name="_Toc324760418"/>
      <w:bookmarkStart w:id="468" w:name="_Toc324838394"/>
      <w:bookmarkStart w:id="469" w:name="_Toc324838723"/>
      <w:bookmarkStart w:id="470" w:name="_Toc324843510"/>
      <w:bookmarkStart w:id="471" w:name="_Toc324860273"/>
      <w:bookmarkStart w:id="472" w:name="_Toc324860380"/>
      <w:bookmarkStart w:id="473" w:name="_Toc324860474"/>
      <w:bookmarkStart w:id="474" w:name="_Toc324860568"/>
      <w:bookmarkStart w:id="475" w:name="_Toc324860663"/>
      <w:bookmarkStart w:id="476" w:name="_Toc324860758"/>
      <w:bookmarkStart w:id="477" w:name="_Toc324860853"/>
      <w:bookmarkStart w:id="478" w:name="_Toc324760419"/>
      <w:bookmarkStart w:id="479" w:name="_Toc324838395"/>
      <w:bookmarkStart w:id="480" w:name="_Toc324838724"/>
      <w:bookmarkStart w:id="481" w:name="_Toc324843511"/>
      <w:bookmarkStart w:id="482" w:name="_Toc324860274"/>
      <w:bookmarkStart w:id="483" w:name="_Toc324860381"/>
      <w:bookmarkStart w:id="484" w:name="_Toc324860475"/>
      <w:bookmarkStart w:id="485" w:name="_Toc324860569"/>
      <w:bookmarkStart w:id="486" w:name="_Toc324860664"/>
      <w:bookmarkStart w:id="487" w:name="_Toc324860759"/>
      <w:bookmarkStart w:id="488" w:name="_Toc324860854"/>
      <w:bookmarkStart w:id="489" w:name="_Toc324760420"/>
      <w:bookmarkStart w:id="490" w:name="_Toc324838396"/>
      <w:bookmarkStart w:id="491" w:name="_Toc324838725"/>
      <w:bookmarkStart w:id="492" w:name="_Toc324843512"/>
      <w:bookmarkStart w:id="493" w:name="_Toc324860275"/>
      <w:bookmarkStart w:id="494" w:name="_Toc324860382"/>
      <w:bookmarkStart w:id="495" w:name="_Toc324860476"/>
      <w:bookmarkStart w:id="496" w:name="_Toc324860570"/>
      <w:bookmarkStart w:id="497" w:name="_Toc324860665"/>
      <w:bookmarkStart w:id="498" w:name="_Toc324860760"/>
      <w:bookmarkStart w:id="499" w:name="_Toc324860855"/>
      <w:bookmarkStart w:id="500" w:name="_Toc324760421"/>
      <w:bookmarkStart w:id="501" w:name="_Toc324838397"/>
      <w:bookmarkStart w:id="502" w:name="_Toc324838726"/>
      <w:bookmarkStart w:id="503" w:name="_Toc324843513"/>
      <w:bookmarkStart w:id="504" w:name="_Toc324860276"/>
      <w:bookmarkStart w:id="505" w:name="_Toc324860383"/>
      <w:bookmarkStart w:id="506" w:name="_Toc324860477"/>
      <w:bookmarkStart w:id="507" w:name="_Toc324860571"/>
      <w:bookmarkStart w:id="508" w:name="_Toc324860666"/>
      <w:bookmarkStart w:id="509" w:name="_Toc324860761"/>
      <w:bookmarkStart w:id="510" w:name="_Toc324860856"/>
      <w:bookmarkStart w:id="511" w:name="_Toc324760422"/>
      <w:bookmarkStart w:id="512" w:name="_Toc324838398"/>
      <w:bookmarkStart w:id="513" w:name="_Toc324838727"/>
      <w:bookmarkStart w:id="514" w:name="_Toc324843514"/>
      <w:bookmarkStart w:id="515" w:name="_Toc324860277"/>
      <w:bookmarkStart w:id="516" w:name="_Toc324860384"/>
      <w:bookmarkStart w:id="517" w:name="_Toc324860478"/>
      <w:bookmarkStart w:id="518" w:name="_Toc324860572"/>
      <w:bookmarkStart w:id="519" w:name="_Toc324860667"/>
      <w:bookmarkStart w:id="520" w:name="_Toc324860762"/>
      <w:bookmarkStart w:id="521" w:name="_Toc324860857"/>
      <w:bookmarkStart w:id="522" w:name="_Toc324760423"/>
      <w:bookmarkStart w:id="523" w:name="_Toc324838399"/>
      <w:bookmarkStart w:id="524" w:name="_Toc324838728"/>
      <w:bookmarkStart w:id="525" w:name="_Toc324843515"/>
      <w:bookmarkStart w:id="526" w:name="_Toc324860278"/>
      <w:bookmarkStart w:id="527" w:name="_Toc324860385"/>
      <w:bookmarkStart w:id="528" w:name="_Toc324860479"/>
      <w:bookmarkStart w:id="529" w:name="_Toc324860573"/>
      <w:bookmarkStart w:id="530" w:name="_Toc324860668"/>
      <w:bookmarkStart w:id="531" w:name="_Toc324860763"/>
      <w:bookmarkStart w:id="532" w:name="_Toc324860858"/>
      <w:bookmarkStart w:id="533" w:name="_Toc324760424"/>
      <w:bookmarkStart w:id="534" w:name="_Toc324838400"/>
      <w:bookmarkStart w:id="535" w:name="_Toc324838729"/>
      <w:bookmarkStart w:id="536" w:name="_Toc324843516"/>
      <w:bookmarkStart w:id="537" w:name="_Toc324860279"/>
      <w:bookmarkStart w:id="538" w:name="_Toc324860386"/>
      <w:bookmarkStart w:id="539" w:name="_Toc324860480"/>
      <w:bookmarkStart w:id="540" w:name="_Toc324860574"/>
      <w:bookmarkStart w:id="541" w:name="_Toc324860669"/>
      <w:bookmarkStart w:id="542" w:name="_Toc324860764"/>
      <w:bookmarkStart w:id="543" w:name="_Toc324860859"/>
      <w:bookmarkStart w:id="544" w:name="_Toc324760425"/>
      <w:bookmarkStart w:id="545" w:name="_Toc324838401"/>
      <w:bookmarkStart w:id="546" w:name="_Toc324838730"/>
      <w:bookmarkStart w:id="547" w:name="_Toc324843517"/>
      <w:bookmarkStart w:id="548" w:name="_Toc324860280"/>
      <w:bookmarkStart w:id="549" w:name="_Toc324860387"/>
      <w:bookmarkStart w:id="550" w:name="_Toc324860481"/>
      <w:bookmarkStart w:id="551" w:name="_Toc324860575"/>
      <w:bookmarkStart w:id="552" w:name="_Toc324860670"/>
      <w:bookmarkStart w:id="553" w:name="_Toc324860765"/>
      <w:bookmarkStart w:id="554" w:name="_Toc324860860"/>
      <w:bookmarkStart w:id="555" w:name="_Toc324506901"/>
      <w:bookmarkStart w:id="556" w:name="_Toc325039159"/>
      <w:bookmarkStart w:id="557" w:name="_Toc312251440"/>
      <w:bookmarkEnd w:id="267"/>
      <w:bookmarkEnd w:id="268"/>
      <w:bookmarkEnd w:id="269"/>
      <w:bookmarkEnd w:id="270"/>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95171D">
        <w:rPr>
          <w:rFonts w:ascii="Times New Roman" w:hAnsi="Times New Roman" w:cs="Times New Roman"/>
          <w:sz w:val="24"/>
          <w:szCs w:val="24"/>
        </w:rPr>
        <w:t>Calculat</w:t>
      </w:r>
      <w:r w:rsidR="00580B22" w:rsidRPr="0095171D">
        <w:rPr>
          <w:rFonts w:ascii="Times New Roman" w:hAnsi="Times New Roman" w:cs="Times New Roman"/>
          <w:sz w:val="24"/>
          <w:szCs w:val="24"/>
        </w:rPr>
        <w:t>ing</w:t>
      </w:r>
      <w:r w:rsidRPr="0095171D">
        <w:rPr>
          <w:rFonts w:ascii="Times New Roman" w:hAnsi="Times New Roman" w:cs="Times New Roman"/>
          <w:sz w:val="24"/>
          <w:szCs w:val="24"/>
        </w:rPr>
        <w:t xml:space="preserve"> the fire scar area (A) in the early dry season and the late dry season</w:t>
      </w:r>
      <w:r w:rsidR="003106DD" w:rsidRPr="0095171D">
        <w:rPr>
          <w:rFonts w:ascii="Times New Roman" w:hAnsi="Times New Roman" w:cs="Times New Roman"/>
          <w:sz w:val="24"/>
          <w:szCs w:val="24"/>
        </w:rPr>
        <w:t xml:space="preserve"> periods</w:t>
      </w:r>
      <w:r w:rsidRPr="0095171D">
        <w:rPr>
          <w:rFonts w:ascii="Times New Roman" w:hAnsi="Times New Roman" w:cs="Times New Roman"/>
          <w:sz w:val="24"/>
          <w:szCs w:val="24"/>
        </w:rPr>
        <w:t xml:space="preserve"> for each vegetation class</w:t>
      </w:r>
      <w:bookmarkEnd w:id="556"/>
    </w:p>
    <w:p w:rsidR="00AB4980" w:rsidRPr="0095171D" w:rsidRDefault="002F1104" w:rsidP="00AB4980">
      <w:pPr>
        <w:pStyle w:val="R1"/>
        <w:numPr>
          <w:ilvl w:val="0"/>
          <w:numId w:val="92"/>
        </w:numPr>
        <w:jc w:val="left"/>
      </w:pPr>
      <w:r w:rsidRPr="0095171D">
        <w:t>The fire scar area in a project area must be calculated in hectares for each fire season</w:t>
      </w:r>
      <w:r w:rsidR="00867163" w:rsidRPr="0095171D">
        <w:t xml:space="preserve"> for each calendar year of the baseline period and the reporting period</w:t>
      </w:r>
      <w:r w:rsidRPr="0095171D">
        <w:t xml:space="preserve"> according to vegetation class, using GIS software. </w:t>
      </w:r>
    </w:p>
    <w:p w:rsidR="00AB4980" w:rsidRPr="0095171D" w:rsidRDefault="002F1104" w:rsidP="00AB4980">
      <w:pPr>
        <w:pStyle w:val="R1"/>
        <w:numPr>
          <w:ilvl w:val="0"/>
          <w:numId w:val="92"/>
        </w:numPr>
        <w:jc w:val="left"/>
      </w:pPr>
      <w:r w:rsidRPr="0095171D">
        <w:t xml:space="preserve">Subsection (1) must be implemented by overlaying the vegetation map described in </w:t>
      </w:r>
      <w:r w:rsidR="00B0547F" w:rsidRPr="00B0547F">
        <w:t xml:space="preserve">section 3.4 </w:t>
      </w:r>
      <w:fldSimple w:instr=" REF _Ref324507033 \r \h  \* MERGEFORMAT ">
        <w:r w:rsidR="001756BA">
          <w:t>(1)</w:t>
        </w:r>
      </w:fldSimple>
      <w:r w:rsidRPr="0095171D">
        <w:t xml:space="preserve"> with the seasonal fire maps described in </w:t>
      </w:r>
      <w:r w:rsidR="00B0547F" w:rsidRPr="00B0547F">
        <w:t>section 3.4 (5</w:t>
      </w:r>
      <w:r w:rsidR="00CE1B39" w:rsidRPr="0095171D">
        <w:t>),</w:t>
      </w:r>
      <w:r w:rsidRPr="0095171D">
        <w:t xml:space="preserve"> to produce a raster map that allocates a vegetation class and a fire season to each pixel</w:t>
      </w:r>
      <w:r w:rsidR="00C55B1E">
        <w:t xml:space="preserve"> that is part of a fire scar</w:t>
      </w:r>
      <w:r w:rsidRPr="0095171D">
        <w:t>.</w:t>
      </w:r>
    </w:p>
    <w:p w:rsidR="00AB4980" w:rsidRPr="0095171D" w:rsidRDefault="002F1104" w:rsidP="00AB4980">
      <w:pPr>
        <w:pStyle w:val="R1"/>
        <w:numPr>
          <w:ilvl w:val="0"/>
          <w:numId w:val="92"/>
        </w:numPr>
        <w:jc w:val="left"/>
      </w:pPr>
      <w:r w:rsidRPr="0095171D">
        <w:t xml:space="preserve">The </w:t>
      </w:r>
      <w:r w:rsidR="00C55B1E">
        <w:t>fire scar area</w:t>
      </w:r>
      <w:r w:rsidRPr="0095171D">
        <w:t xml:space="preserve"> in the raster map </w:t>
      </w:r>
      <w:r w:rsidR="00C55B1E">
        <w:t xml:space="preserve">in subsection (2) </w:t>
      </w:r>
      <w:r w:rsidRPr="0095171D">
        <w:t xml:space="preserve">must be converted to hectares using GIS software and the results of this calculation must be recorded in </w:t>
      </w:r>
      <w:r w:rsidR="00CE1B39" w:rsidRPr="0095171D">
        <w:t xml:space="preserve">Table </w:t>
      </w:r>
      <w:r w:rsidR="00B0547F" w:rsidRPr="00B0547F">
        <w:t>10</w:t>
      </w:r>
      <w:r w:rsidR="00CE1B39" w:rsidRPr="0095171D">
        <w:t xml:space="preserve"> of Form 1 </w:t>
      </w:r>
      <w:r w:rsidR="00B0547F" w:rsidRPr="00B0547F">
        <w:t>of</w:t>
      </w:r>
      <w:r w:rsidR="00CE1B39" w:rsidRPr="0095171D">
        <w:t xml:space="preserve"> Schedule 2</w:t>
      </w:r>
      <w:r w:rsidR="00C55B1E">
        <w:t xml:space="preserve"> for each year of the baseline period and the reporting period</w:t>
      </w:r>
      <w:r w:rsidR="00CE1B39" w:rsidRPr="0095171D">
        <w:t xml:space="preserve">. </w:t>
      </w:r>
    </w:p>
    <w:p w:rsidR="0098154B" w:rsidRDefault="0098154B">
      <w:pPr>
        <w:rPr>
          <w:b/>
          <w:bCs/>
          <w:iCs/>
          <w:sz w:val="26"/>
          <w:szCs w:val="26"/>
        </w:rPr>
      </w:pPr>
      <w:bookmarkStart w:id="558" w:name="_Toc325039160"/>
      <w:r>
        <w:rPr>
          <w:i/>
        </w:rPr>
        <w:br w:type="page"/>
      </w:r>
    </w:p>
    <w:p w:rsidR="00B0547F" w:rsidRPr="000D7783" w:rsidRDefault="002F1104" w:rsidP="000D7783">
      <w:pPr>
        <w:pStyle w:val="Heading5"/>
        <w:rPr>
          <w:i w:val="0"/>
        </w:rPr>
      </w:pPr>
      <w:r w:rsidRPr="000D7783">
        <w:rPr>
          <w:i w:val="0"/>
        </w:rPr>
        <w:lastRenderedPageBreak/>
        <w:t>Subdivision 3.2.2</w:t>
      </w:r>
      <w:r w:rsidRPr="000D7783">
        <w:rPr>
          <w:i w:val="0"/>
        </w:rPr>
        <w:tab/>
        <w:t>Calculat</w:t>
      </w:r>
      <w:r w:rsidR="00580B22" w:rsidRPr="000D7783">
        <w:rPr>
          <w:i w:val="0"/>
        </w:rPr>
        <w:t>ing</w:t>
      </w:r>
      <w:r w:rsidR="00B14B51" w:rsidRPr="000D7783">
        <w:rPr>
          <w:i w:val="0"/>
        </w:rPr>
        <w:t xml:space="preserve"> </w:t>
      </w:r>
      <w:r w:rsidR="000874BB" w:rsidRPr="000D7783">
        <w:rPr>
          <w:i w:val="0"/>
        </w:rPr>
        <w:t>a</w:t>
      </w:r>
      <w:r w:rsidR="00B14B51" w:rsidRPr="000D7783">
        <w:rPr>
          <w:i w:val="0"/>
        </w:rPr>
        <w:t>nnual</w:t>
      </w:r>
      <w:r w:rsidR="00CD4FE4" w:rsidRPr="000D7783">
        <w:rPr>
          <w:i w:val="0"/>
        </w:rPr>
        <w:t xml:space="preserve"> fire</w:t>
      </w:r>
      <w:r w:rsidR="00B14B51" w:rsidRPr="000D7783">
        <w:rPr>
          <w:i w:val="0"/>
        </w:rPr>
        <w:t xml:space="preserve"> emissions </w:t>
      </w:r>
      <w:bookmarkEnd w:id="557"/>
      <w:r w:rsidR="008628B4" w:rsidRPr="000D7783">
        <w:rPr>
          <w:i w:val="0"/>
        </w:rPr>
        <w:t>for</w:t>
      </w:r>
      <w:r w:rsidR="008A0F7E" w:rsidRPr="000D7783">
        <w:rPr>
          <w:i w:val="0"/>
        </w:rPr>
        <w:t xml:space="preserve"> the</w:t>
      </w:r>
      <w:r w:rsidR="008628B4" w:rsidRPr="000D7783">
        <w:rPr>
          <w:i w:val="0"/>
        </w:rPr>
        <w:t xml:space="preserve"> baseline</w:t>
      </w:r>
      <w:r w:rsidR="008A0F7E" w:rsidRPr="000D7783">
        <w:rPr>
          <w:i w:val="0"/>
        </w:rPr>
        <w:t xml:space="preserve"> period</w:t>
      </w:r>
      <w:r w:rsidR="008628B4" w:rsidRPr="000D7783">
        <w:rPr>
          <w:i w:val="0"/>
        </w:rPr>
        <w:t xml:space="preserve"> and</w:t>
      </w:r>
      <w:r w:rsidR="00A15864" w:rsidRPr="000D7783">
        <w:rPr>
          <w:i w:val="0"/>
        </w:rPr>
        <w:t xml:space="preserve"> the</w:t>
      </w:r>
      <w:r w:rsidR="008628B4" w:rsidRPr="000D7783">
        <w:rPr>
          <w:i w:val="0"/>
        </w:rPr>
        <w:t xml:space="preserve"> </w:t>
      </w:r>
      <w:r w:rsidR="000A3FE5" w:rsidRPr="000D7783">
        <w:rPr>
          <w:i w:val="0"/>
        </w:rPr>
        <w:t xml:space="preserve">project </w:t>
      </w:r>
      <w:r w:rsidR="00A15864" w:rsidRPr="000D7783">
        <w:rPr>
          <w:i w:val="0"/>
        </w:rPr>
        <w:t>period</w:t>
      </w:r>
      <w:bookmarkEnd w:id="558"/>
    </w:p>
    <w:p w:rsidR="0002198C" w:rsidRPr="0095171D" w:rsidRDefault="00EB13E3" w:rsidP="00BC708B">
      <w:pPr>
        <w:pStyle w:val="Heading3"/>
        <w:numPr>
          <w:ilvl w:val="1"/>
          <w:numId w:val="45"/>
        </w:numPr>
        <w:rPr>
          <w:rFonts w:ascii="Times New Roman" w:hAnsi="Times New Roman" w:cs="Times New Roman"/>
          <w:sz w:val="24"/>
          <w:szCs w:val="24"/>
        </w:rPr>
      </w:pPr>
      <w:bookmarkStart w:id="559" w:name="_Ref317781881"/>
      <w:bookmarkStart w:id="560" w:name="_Ref317783082"/>
      <w:bookmarkStart w:id="561" w:name="_Ref317839179"/>
      <w:bookmarkStart w:id="562" w:name="_Ref317842758"/>
      <w:bookmarkStart w:id="563" w:name="_Toc325039161"/>
      <w:r w:rsidRPr="0095171D">
        <w:rPr>
          <w:rFonts w:ascii="Times New Roman" w:hAnsi="Times New Roman" w:cs="Times New Roman"/>
          <w:sz w:val="24"/>
          <w:szCs w:val="24"/>
        </w:rPr>
        <w:t>Calculat</w:t>
      </w:r>
      <w:r w:rsidR="00580B22" w:rsidRPr="0095171D">
        <w:rPr>
          <w:rFonts w:ascii="Times New Roman" w:hAnsi="Times New Roman" w:cs="Times New Roman"/>
          <w:sz w:val="24"/>
          <w:szCs w:val="24"/>
        </w:rPr>
        <w:t>ing</w:t>
      </w:r>
      <w:r w:rsidRPr="0095171D">
        <w:rPr>
          <w:rFonts w:ascii="Times New Roman" w:hAnsi="Times New Roman" w:cs="Times New Roman"/>
          <w:sz w:val="24"/>
          <w:szCs w:val="24"/>
        </w:rPr>
        <w:t xml:space="preserve"> annual</w:t>
      </w:r>
      <w:r w:rsidR="001E1268" w:rsidRPr="0095171D">
        <w:rPr>
          <w:rFonts w:ascii="Times New Roman" w:hAnsi="Times New Roman" w:cs="Times New Roman"/>
          <w:sz w:val="24"/>
          <w:szCs w:val="24"/>
        </w:rPr>
        <w:t xml:space="preserve"> fire</w:t>
      </w:r>
      <w:r w:rsidRPr="0095171D">
        <w:rPr>
          <w:rFonts w:ascii="Times New Roman" w:hAnsi="Times New Roman" w:cs="Times New Roman"/>
          <w:sz w:val="24"/>
          <w:szCs w:val="24"/>
        </w:rPr>
        <w:t xml:space="preserve"> emissions</w:t>
      </w:r>
      <w:bookmarkEnd w:id="559"/>
      <w:bookmarkEnd w:id="560"/>
      <w:bookmarkEnd w:id="561"/>
      <w:bookmarkEnd w:id="562"/>
      <w:bookmarkEnd w:id="563"/>
    </w:p>
    <w:p w:rsidR="00DA6A99" w:rsidRPr="0095171D" w:rsidRDefault="00B14B51" w:rsidP="00DA6A99">
      <w:pPr>
        <w:pStyle w:val="R1"/>
        <w:numPr>
          <w:ilvl w:val="0"/>
          <w:numId w:val="28"/>
        </w:numPr>
        <w:jc w:val="left"/>
      </w:pPr>
      <w:r w:rsidRPr="0095171D">
        <w:t>The annual emissions of greenhouse gas</w:t>
      </w:r>
      <w:r w:rsidR="00CD0DF3" w:rsidRPr="0095171D">
        <w:t>es</w:t>
      </w:r>
      <w:r w:rsidR="001E1268" w:rsidRPr="0095171D">
        <w:t xml:space="preserve"> from fire</w:t>
      </w:r>
      <w:r w:rsidRPr="0095171D">
        <w:t xml:space="preserve"> for an offsets project</w:t>
      </w:r>
      <w:r w:rsidR="00C31C9D" w:rsidRPr="0095171D">
        <w:t xml:space="preserve"> must be</w:t>
      </w:r>
      <w:r w:rsidR="002F1104" w:rsidRPr="0095171D">
        <w:t xml:space="preserve"> calculated</w:t>
      </w:r>
      <w:r w:rsidR="00A15864" w:rsidRPr="0095171D">
        <w:t xml:space="preserve"> for each calendar year of the baseline period and the reporting period</w:t>
      </w:r>
      <w:r w:rsidR="002F1104" w:rsidRPr="0095171D">
        <w:t xml:space="preserve"> using the following formula:</w:t>
      </w:r>
    </w:p>
    <w:p w:rsidR="008D7CD1" w:rsidRPr="0095171D" w:rsidRDefault="008D7CD1">
      <w:pPr>
        <w:pStyle w:val="R2"/>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0"/>
        <w:gridCol w:w="1870"/>
      </w:tblGrid>
      <w:tr w:rsidR="00392F18" w:rsidRPr="0095171D" w:rsidTr="00A15864">
        <w:tc>
          <w:tcPr>
            <w:tcW w:w="5700" w:type="dxa"/>
          </w:tcPr>
          <w:p w:rsidR="00B0547F" w:rsidRPr="00744CA1" w:rsidRDefault="00C55B1E" w:rsidP="00CB00CE">
            <w:pPr>
              <w:spacing w:before="120" w:after="120"/>
              <w:jc w:val="center"/>
              <w:rPr>
                <w:b/>
                <w:lang w:val="es-AR"/>
              </w:rPr>
            </w:pPr>
            <w:r w:rsidRPr="00744CA1">
              <w:rPr>
                <w:b/>
                <w:lang w:val="es-AR"/>
              </w:rPr>
              <w:t>E</w:t>
            </w:r>
            <w:r w:rsidRPr="00744CA1">
              <w:rPr>
                <w:b/>
                <w:vertAlign w:val="subscript"/>
                <w:lang w:val="es-AR"/>
              </w:rPr>
              <w:t>fire</w:t>
            </w:r>
            <w:r w:rsidRPr="00744CA1">
              <w:rPr>
                <w:b/>
                <w:lang w:val="es-AR"/>
              </w:rPr>
              <w:t>CO</w:t>
            </w:r>
            <w:r w:rsidRPr="00744CA1">
              <w:rPr>
                <w:b/>
                <w:vertAlign w:val="subscript"/>
                <w:lang w:val="es-AR"/>
              </w:rPr>
              <w:t>2</w:t>
            </w:r>
            <w:r w:rsidRPr="00744CA1">
              <w:rPr>
                <w:b/>
                <w:lang w:val="es-AR"/>
              </w:rPr>
              <w:t>-e</w:t>
            </w:r>
            <w:r w:rsidRPr="00744CA1" w:rsidDel="00C55B1E">
              <w:rPr>
                <w:b/>
                <w:lang w:val="es-AR"/>
              </w:rPr>
              <w:t xml:space="preserve"> </w:t>
            </w:r>
            <w:r w:rsidR="00B14B51" w:rsidRPr="00744CA1">
              <w:rPr>
                <w:b/>
                <w:lang w:val="es-AR"/>
              </w:rPr>
              <w:t>= A</w:t>
            </w:r>
            <w:r w:rsidRPr="00744CA1">
              <w:rPr>
                <w:b/>
                <w:lang w:val="es-AR"/>
              </w:rPr>
              <w:t>b</w:t>
            </w:r>
            <w:r w:rsidR="00B14B51" w:rsidRPr="00744CA1">
              <w:rPr>
                <w:b/>
                <w:lang w:val="es-AR"/>
              </w:rPr>
              <w:t xml:space="preserve"> x P</w:t>
            </w:r>
            <w:r w:rsidRPr="00744CA1">
              <w:rPr>
                <w:b/>
                <w:lang w:val="es-AR"/>
              </w:rPr>
              <w:t>e</w:t>
            </w:r>
          </w:p>
        </w:tc>
        <w:tc>
          <w:tcPr>
            <w:tcW w:w="1870" w:type="dxa"/>
          </w:tcPr>
          <w:p w:rsidR="00B0547F" w:rsidRDefault="002F1104" w:rsidP="00CB00CE">
            <w:pPr>
              <w:spacing w:before="120" w:after="120"/>
              <w:jc w:val="center"/>
              <w:rPr>
                <w:b/>
              </w:rPr>
            </w:pPr>
            <w:r w:rsidRPr="0095171D">
              <w:rPr>
                <w:b/>
              </w:rPr>
              <w:t>Equation 1</w:t>
            </w:r>
          </w:p>
        </w:tc>
      </w:tr>
    </w:tbl>
    <w:p w:rsidR="00392F18" w:rsidRPr="0095171D" w:rsidRDefault="002F1104" w:rsidP="00392F18">
      <w:pPr>
        <w:pStyle w:val="R2"/>
        <w:ind w:left="786" w:firstLine="0"/>
      </w:pPr>
      <w:r w:rsidRPr="0095171D">
        <w:t>where:</w:t>
      </w:r>
    </w:p>
    <w:p w:rsidR="00A15864" w:rsidRPr="0095171D" w:rsidRDefault="00C55B1E" w:rsidP="009141AD">
      <w:pPr>
        <w:pStyle w:val="R2"/>
        <w:tabs>
          <w:tab w:val="clear" w:pos="794"/>
        </w:tabs>
        <w:ind w:left="2127" w:hanging="1329"/>
      </w:pPr>
      <w:r w:rsidRPr="0095171D">
        <w:rPr>
          <w:b/>
        </w:rPr>
        <w:t>E</w:t>
      </w:r>
      <w:r w:rsidRPr="0095171D">
        <w:rPr>
          <w:b/>
          <w:vertAlign w:val="subscript"/>
        </w:rPr>
        <w:t>fire</w:t>
      </w:r>
      <w:r w:rsidRPr="0095171D">
        <w:rPr>
          <w:b/>
        </w:rPr>
        <w:t>CO</w:t>
      </w:r>
      <w:r w:rsidRPr="0095171D">
        <w:rPr>
          <w:b/>
          <w:vertAlign w:val="subscript"/>
        </w:rPr>
        <w:t>2</w:t>
      </w:r>
      <w:r w:rsidRPr="0095171D">
        <w:rPr>
          <w:b/>
        </w:rPr>
        <w:t>-e</w:t>
      </w:r>
      <w:r w:rsidRPr="0095171D" w:rsidDel="00C55B1E">
        <w:rPr>
          <w:b/>
        </w:rPr>
        <w:t xml:space="preserve"> </w:t>
      </w:r>
      <w:r>
        <w:rPr>
          <w:b/>
        </w:rPr>
        <w:t xml:space="preserve">= </w:t>
      </w:r>
      <w:r w:rsidR="00B7511D">
        <w:rPr>
          <w:b/>
        </w:rPr>
        <w:tab/>
      </w:r>
      <w:r w:rsidR="00B0547F" w:rsidRPr="00B0547F">
        <w:t>annual fire emissions</w:t>
      </w:r>
      <w:r>
        <w:t>, t</w:t>
      </w:r>
      <w:r w:rsidR="00A15864" w:rsidRPr="0095171D">
        <w:t xml:space="preserve">he annual emissions of greenhouse gases </w:t>
      </w:r>
      <w:r w:rsidR="008A4831">
        <w:t>(tonnes CO</w:t>
      </w:r>
      <w:r w:rsidR="00B0547F" w:rsidRPr="00B0547F">
        <w:rPr>
          <w:vertAlign w:val="subscript"/>
        </w:rPr>
        <w:t>2</w:t>
      </w:r>
      <w:r w:rsidR="00B42E1E" w:rsidRPr="00B7511D">
        <w:t>-</w:t>
      </w:r>
      <w:r w:rsidR="008A4831">
        <w:t xml:space="preserve">e) </w:t>
      </w:r>
      <w:r w:rsidR="00A15864" w:rsidRPr="0095171D">
        <w:t>from fire for an offsets project over a calendar year.</w:t>
      </w:r>
    </w:p>
    <w:p w:rsidR="00392F18" w:rsidRPr="0095171D" w:rsidRDefault="002F1104" w:rsidP="009141AD">
      <w:pPr>
        <w:pStyle w:val="R2"/>
        <w:tabs>
          <w:tab w:val="clear" w:pos="794"/>
        </w:tabs>
        <w:ind w:left="2127" w:hanging="1329"/>
      </w:pPr>
      <w:r w:rsidRPr="0095171D">
        <w:rPr>
          <w:b/>
        </w:rPr>
        <w:t>A</w:t>
      </w:r>
      <w:r w:rsidR="00C55B1E">
        <w:rPr>
          <w:b/>
        </w:rPr>
        <w:t xml:space="preserve">b = </w:t>
      </w:r>
      <w:r w:rsidR="009141AD">
        <w:rPr>
          <w:b/>
        </w:rPr>
        <w:tab/>
      </w:r>
      <w:r w:rsidR="00B0547F" w:rsidRPr="00B0547F">
        <w:t xml:space="preserve">area burnt, </w:t>
      </w:r>
      <w:r w:rsidR="00B14B51" w:rsidRPr="00C55B1E">
        <w:t>the</w:t>
      </w:r>
      <w:r w:rsidR="00B14B51" w:rsidRPr="0095171D">
        <w:t xml:space="preserve"> fire scar area in hectares</w:t>
      </w:r>
      <w:r w:rsidR="00CB1B2F" w:rsidRPr="0095171D">
        <w:t>,</w:t>
      </w:r>
      <w:r w:rsidR="00B14B51" w:rsidRPr="0095171D">
        <w:t xml:space="preserve"> taking patchiness into account</w:t>
      </w:r>
      <w:r w:rsidR="008A4831">
        <w:t xml:space="preserve">, </w:t>
      </w:r>
      <w:r w:rsidRPr="0095171D">
        <w:t xml:space="preserve">calculated </w:t>
      </w:r>
      <w:r w:rsidR="00DB1CA5">
        <w:t>as per</w:t>
      </w:r>
      <w:r w:rsidR="00DB1CA5" w:rsidRPr="0095171D">
        <w:t xml:space="preserve"> </w:t>
      </w:r>
      <w:r w:rsidR="00181B31">
        <w:t>section 3.7</w:t>
      </w:r>
      <w:r w:rsidRPr="0095171D">
        <w:t>.</w:t>
      </w:r>
    </w:p>
    <w:p w:rsidR="00392F18" w:rsidRPr="0095171D" w:rsidRDefault="002F1104" w:rsidP="009141AD">
      <w:pPr>
        <w:pStyle w:val="R2"/>
        <w:tabs>
          <w:tab w:val="clear" w:pos="794"/>
        </w:tabs>
        <w:ind w:left="2127" w:hanging="1329"/>
      </w:pPr>
      <w:r w:rsidRPr="0095171D">
        <w:rPr>
          <w:b/>
        </w:rPr>
        <w:t>P</w:t>
      </w:r>
      <w:r w:rsidR="00C55B1E">
        <w:rPr>
          <w:b/>
        </w:rPr>
        <w:t xml:space="preserve">e </w:t>
      </w:r>
      <w:r w:rsidR="00B0547F" w:rsidRPr="00B0547F">
        <w:t xml:space="preserve">= </w:t>
      </w:r>
      <w:r w:rsidR="009141AD">
        <w:tab/>
      </w:r>
      <w:r w:rsidR="00B0547F" w:rsidRPr="00B0547F">
        <w:t xml:space="preserve">potential emissions, </w:t>
      </w:r>
      <w:r w:rsidRPr="00C55B1E">
        <w:t>the</w:t>
      </w:r>
      <w:r w:rsidRPr="0095171D">
        <w:t xml:space="preserve"> emissions per unit area that would occur if that area was burnt (tonnes per hectare, t/ha</w:t>
      </w:r>
      <w:r w:rsidRPr="00E43629">
        <w:rPr>
          <w:vertAlign w:val="superscript"/>
        </w:rPr>
        <w:t>-1</w:t>
      </w:r>
      <w:r w:rsidRPr="00E43629">
        <w:t>)</w:t>
      </w:r>
      <w:r w:rsidRPr="00E43629">
        <w:rPr>
          <w:vertAlign w:val="superscript"/>
        </w:rPr>
        <w:t xml:space="preserve"> </w:t>
      </w:r>
      <w:r w:rsidR="00DB1CA5">
        <w:t xml:space="preserve">comprising the sum of </w:t>
      </w:r>
      <m:oMath>
        <m:sSub>
          <m:sSubPr>
            <m:ctrlPr>
              <w:rPr>
                <w:rFonts w:ascii="Cambria Math" w:hAnsi="Cambria Math"/>
                <w:sz w:val="22"/>
                <w:szCs w:val="22"/>
              </w:rPr>
            </m:ctrlPr>
          </m:sSubPr>
          <m:e>
            <m:r>
              <m:rPr>
                <m:sty m:val="p"/>
              </m:rPr>
              <w:rPr>
                <w:rFonts w:ascii="Cambria Math"/>
                <w:sz w:val="22"/>
                <w:szCs w:val="22"/>
              </w:rPr>
              <m:t>Pe</m:t>
            </m:r>
          </m:e>
          <m:sub>
            <m:sSub>
              <m:sSubPr>
                <m:ctrlPr>
                  <w:rPr>
                    <w:rFonts w:ascii="Cambria Math" w:hAnsi="Cambria Math"/>
                    <w:sz w:val="22"/>
                    <w:szCs w:val="22"/>
                  </w:rPr>
                </m:ctrlPr>
              </m:sSubPr>
              <m:e>
                <m:r>
                  <m:rPr>
                    <m:sty m:val="p"/>
                  </m:rPr>
                  <w:rPr>
                    <w:rFonts w:ascii="Cambria Math"/>
                    <w:sz w:val="22"/>
                    <w:szCs w:val="22"/>
                  </w:rPr>
                  <m:t>CH</m:t>
                </m:r>
              </m:e>
              <m:sub>
                <m:r>
                  <m:rPr>
                    <m:sty m:val="p"/>
                  </m:rPr>
                  <w:rPr>
                    <w:rFonts w:ascii="Cambria Math"/>
                    <w:sz w:val="22"/>
                    <w:szCs w:val="22"/>
                  </w:rPr>
                  <m:t>4</m:t>
                </m:r>
              </m:sub>
            </m:sSub>
          </m:sub>
        </m:sSub>
      </m:oMath>
      <w:r w:rsidR="00B0547F" w:rsidRPr="00E43629">
        <w:rPr>
          <w:sz w:val="22"/>
          <w:szCs w:val="22"/>
        </w:rPr>
        <w:t xml:space="preserve"> </w:t>
      </w:r>
      <w:r w:rsidR="00DB1CA5">
        <w:rPr>
          <w:sz w:val="22"/>
          <w:szCs w:val="22"/>
        </w:rPr>
        <w:t>and</w:t>
      </w:r>
      <w:r w:rsidR="00DB1CA5" w:rsidRPr="00E43629">
        <w:rPr>
          <w:sz w:val="22"/>
          <w:szCs w:val="22"/>
        </w:rPr>
        <w:t xml:space="preserve"> </w:t>
      </w:r>
      <m:oMath>
        <m:sSub>
          <m:sSubPr>
            <m:ctrlPr>
              <w:rPr>
                <w:rFonts w:ascii="Cambria Math" w:hAnsi="Cambria Math"/>
                <w:sz w:val="22"/>
                <w:szCs w:val="22"/>
              </w:rPr>
            </m:ctrlPr>
          </m:sSubPr>
          <m:e>
            <m:r>
              <m:rPr>
                <m:sty m:val="p"/>
              </m:rPr>
              <w:rPr>
                <w:rFonts w:ascii="Cambria Math"/>
                <w:sz w:val="22"/>
                <w:szCs w:val="22"/>
              </w:rPr>
              <m:t>Pe</m:t>
            </m:r>
          </m:e>
          <m:sub>
            <m:sSub>
              <m:sSubPr>
                <m:ctrlPr>
                  <w:rPr>
                    <w:rFonts w:ascii="Cambria Math" w:hAnsi="Cambria Math"/>
                    <w:sz w:val="22"/>
                    <w:szCs w:val="22"/>
                  </w:rPr>
                </m:ctrlPr>
              </m:sSubPr>
              <m:e>
                <m:r>
                  <m:rPr>
                    <m:sty m:val="p"/>
                  </m:rPr>
                  <w:rPr>
                    <w:rFonts w:ascii="Cambria Math"/>
                    <w:sz w:val="22"/>
                    <w:szCs w:val="22"/>
                  </w:rPr>
                  <m:t>N</m:t>
                </m:r>
              </m:e>
              <m:sub>
                <m:r>
                  <m:rPr>
                    <m:sty m:val="p"/>
                  </m:rPr>
                  <w:rPr>
                    <w:rFonts w:ascii="Cambria Math"/>
                    <w:sz w:val="22"/>
                    <w:szCs w:val="22"/>
                  </w:rPr>
                  <m:t>2</m:t>
                </m:r>
              </m:sub>
            </m:sSub>
            <m:r>
              <m:rPr>
                <m:sty m:val="p"/>
              </m:rPr>
              <w:rPr>
                <w:rFonts w:ascii="Cambria Math"/>
                <w:sz w:val="22"/>
                <w:szCs w:val="22"/>
              </w:rPr>
              <m:t>0</m:t>
            </m:r>
          </m:sub>
        </m:sSub>
      </m:oMath>
      <w:r w:rsidR="004E2F81" w:rsidRPr="00E43629">
        <w:rPr>
          <w:sz w:val="22"/>
          <w:szCs w:val="22"/>
        </w:rPr>
        <w:t xml:space="preserve">, </w:t>
      </w:r>
      <w:r w:rsidRPr="00E43629">
        <w:t>calculated</w:t>
      </w:r>
      <w:r w:rsidRPr="0095171D">
        <w:t xml:space="preserve"> </w:t>
      </w:r>
      <w:r w:rsidR="00DB1CA5">
        <w:t>as per</w:t>
      </w:r>
      <w:r w:rsidR="00DB1CA5" w:rsidRPr="0095171D">
        <w:t xml:space="preserve"> </w:t>
      </w:r>
      <w:r w:rsidR="00B0547F" w:rsidRPr="00B0547F">
        <w:t>section</w:t>
      </w:r>
      <w:r w:rsidR="009141AD">
        <w:t> </w:t>
      </w:r>
      <w:r w:rsidR="00B0547F" w:rsidRPr="00B0547F">
        <w:t>3.8.</w:t>
      </w:r>
    </w:p>
    <w:p w:rsidR="00392F18" w:rsidRPr="0095171D" w:rsidRDefault="002F1104" w:rsidP="00BC708B">
      <w:pPr>
        <w:pStyle w:val="R1"/>
        <w:numPr>
          <w:ilvl w:val="0"/>
          <w:numId w:val="28"/>
        </w:numPr>
        <w:jc w:val="left"/>
      </w:pPr>
      <w:r w:rsidRPr="0095171D">
        <w:t>Annual</w:t>
      </w:r>
      <w:r w:rsidR="00811577" w:rsidRPr="0095171D">
        <w:t xml:space="preserve"> fire</w:t>
      </w:r>
      <w:r w:rsidR="00B14B51" w:rsidRPr="0095171D">
        <w:t xml:space="preserve"> emissions must be calculated</w:t>
      </w:r>
      <w:r w:rsidR="00CD0DF3" w:rsidRPr="0095171D">
        <w:t xml:space="preserve"> annually</w:t>
      </w:r>
      <w:r w:rsidR="00B14B51" w:rsidRPr="0095171D">
        <w:t xml:space="preserve"> </w:t>
      </w:r>
      <w:r w:rsidR="00CD0DF3" w:rsidRPr="0095171D">
        <w:t>for each greenhouse gas</w:t>
      </w:r>
      <w:r w:rsidRPr="0095171D">
        <w:t xml:space="preserve"> (CH</w:t>
      </w:r>
      <w:r w:rsidRPr="0095171D">
        <w:rPr>
          <w:vertAlign w:val="subscript"/>
        </w:rPr>
        <w:t>4</w:t>
      </w:r>
      <w:r w:rsidRPr="0095171D">
        <w:t xml:space="preserve"> and N</w:t>
      </w:r>
      <w:r w:rsidRPr="0095171D">
        <w:rPr>
          <w:vertAlign w:val="subscript"/>
        </w:rPr>
        <w:t>2</w:t>
      </w:r>
      <w:r w:rsidRPr="0095171D">
        <w:t>O) according to each vegetation class and fire season in accordance with s</w:t>
      </w:r>
      <w:r w:rsidR="000A3FE5">
        <w:t>ection</w:t>
      </w:r>
      <w:r w:rsidR="001E1268" w:rsidRPr="0095171D">
        <w:t xml:space="preserve"> </w:t>
      </w:r>
      <w:r w:rsidR="00CE1B39" w:rsidRPr="0095171D">
        <w:t>3.18</w:t>
      </w:r>
      <w:r w:rsidR="00B14B51" w:rsidRPr="0095171D">
        <w:t>.</w:t>
      </w:r>
    </w:p>
    <w:p w:rsidR="00D84F07" w:rsidRPr="0095171D" w:rsidRDefault="00401E5E" w:rsidP="00BC708B">
      <w:pPr>
        <w:pStyle w:val="R1"/>
        <w:numPr>
          <w:ilvl w:val="0"/>
          <w:numId w:val="28"/>
        </w:numPr>
        <w:jc w:val="left"/>
      </w:pPr>
      <w:bookmarkStart w:id="564" w:name="_Ref317843121"/>
      <w:r>
        <w:t>This calculation is undertaken by multiplying</w:t>
      </w:r>
      <w:r w:rsidRPr="00401E5E">
        <w:rPr>
          <w:iCs/>
        </w:rPr>
        <w:t xml:space="preserve"> </w:t>
      </w:r>
      <w:r>
        <w:rPr>
          <w:iCs/>
        </w:rPr>
        <w:t>the values in Table 11 with the corresponding values in Table 21 as described in section 3.18.</w:t>
      </w:r>
      <w:r>
        <w:t xml:space="preserve"> </w:t>
      </w:r>
      <w:r w:rsidR="002F1104" w:rsidRPr="0095171D">
        <w:t xml:space="preserve">The results must be recorded in </w:t>
      </w:r>
      <w:r w:rsidR="00CE1B39" w:rsidRPr="0095171D">
        <w:t>Table 22 of Form 1 and Form 2 of</w:t>
      </w:r>
      <w:r w:rsidR="00636884">
        <w:t xml:space="preserve"> </w:t>
      </w:r>
      <w:r w:rsidR="00CE1B39" w:rsidRPr="0095171D">
        <w:t>Schedule 2.</w:t>
      </w:r>
      <w:bookmarkEnd w:id="564"/>
    </w:p>
    <w:p w:rsidR="00EC4EAB" w:rsidRPr="0095171D" w:rsidRDefault="002F1104" w:rsidP="007C2AD6">
      <w:pPr>
        <w:pStyle w:val="Heading3"/>
        <w:numPr>
          <w:ilvl w:val="1"/>
          <w:numId w:val="45"/>
        </w:numPr>
        <w:rPr>
          <w:rFonts w:ascii="Times New Roman" w:hAnsi="Times New Roman" w:cs="Times New Roman"/>
          <w:sz w:val="24"/>
          <w:szCs w:val="24"/>
        </w:rPr>
      </w:pPr>
      <w:bookmarkStart w:id="565" w:name="_Ref317839219"/>
      <w:bookmarkStart w:id="566" w:name="_Toc325039162"/>
      <w:r w:rsidRPr="0095171D">
        <w:rPr>
          <w:rFonts w:ascii="Times New Roman" w:hAnsi="Times New Roman" w:cs="Times New Roman"/>
          <w:sz w:val="24"/>
          <w:szCs w:val="24"/>
        </w:rPr>
        <w:t>Calculat</w:t>
      </w:r>
      <w:r w:rsidR="00580B22" w:rsidRPr="0095171D">
        <w:rPr>
          <w:rFonts w:ascii="Times New Roman" w:hAnsi="Times New Roman" w:cs="Times New Roman"/>
          <w:sz w:val="24"/>
          <w:szCs w:val="24"/>
        </w:rPr>
        <w:t>ing</w:t>
      </w:r>
      <w:r w:rsidRPr="0095171D">
        <w:rPr>
          <w:rFonts w:ascii="Times New Roman" w:hAnsi="Times New Roman" w:cs="Times New Roman"/>
          <w:sz w:val="24"/>
          <w:szCs w:val="24"/>
        </w:rPr>
        <w:t xml:space="preserve"> the </w:t>
      </w:r>
      <w:r w:rsidR="00811577" w:rsidRPr="0095171D">
        <w:rPr>
          <w:rFonts w:ascii="Times New Roman" w:hAnsi="Times New Roman" w:cs="Times New Roman"/>
          <w:sz w:val="24"/>
          <w:szCs w:val="24"/>
        </w:rPr>
        <w:t>area burnt</w:t>
      </w:r>
      <w:bookmarkEnd w:id="565"/>
      <w:r w:rsidR="006404C7">
        <w:rPr>
          <w:rFonts w:ascii="Times New Roman" w:hAnsi="Times New Roman" w:cs="Times New Roman"/>
          <w:sz w:val="24"/>
          <w:szCs w:val="24"/>
        </w:rPr>
        <w:t xml:space="preserve"> (Ab)</w:t>
      </w:r>
      <w:bookmarkEnd w:id="566"/>
    </w:p>
    <w:p w:rsidR="00681F98" w:rsidRPr="0095171D" w:rsidRDefault="00B14B51" w:rsidP="00BC708B">
      <w:pPr>
        <w:pStyle w:val="R1"/>
        <w:numPr>
          <w:ilvl w:val="0"/>
          <w:numId w:val="29"/>
        </w:numPr>
        <w:jc w:val="left"/>
      </w:pPr>
      <w:r w:rsidRPr="0095171D">
        <w:t xml:space="preserve">The </w:t>
      </w:r>
      <w:r w:rsidR="00811577" w:rsidRPr="0095171D">
        <w:t>area burnt</w:t>
      </w:r>
      <w:r w:rsidRPr="0095171D">
        <w:t xml:space="preserve"> for </w:t>
      </w:r>
      <w:r w:rsidR="00904E35" w:rsidRPr="0095171D">
        <w:t>the purposes of Equation 1</w:t>
      </w:r>
      <w:r w:rsidRPr="0095171D">
        <w:t xml:space="preserve"> </w:t>
      </w:r>
      <w:r w:rsidR="002F1104" w:rsidRPr="0095171D">
        <w:t>is the amount calculated using the following formula:</w:t>
      </w:r>
    </w:p>
    <w:p w:rsidR="00681F98" w:rsidRPr="0095171D" w:rsidRDefault="00681F98" w:rsidP="00681F98">
      <w:pPr>
        <w:pStyle w:val="R2"/>
        <w:ind w:left="786" w:firstLine="0"/>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8"/>
        <w:gridCol w:w="1872"/>
      </w:tblGrid>
      <w:tr w:rsidR="00681F98" w:rsidRPr="0095171D" w:rsidTr="00C45C56">
        <w:tc>
          <w:tcPr>
            <w:tcW w:w="5698" w:type="dxa"/>
          </w:tcPr>
          <w:p w:rsidR="00B0547F" w:rsidRDefault="002F1104" w:rsidP="00CB00CE">
            <w:pPr>
              <w:spacing w:before="120" w:after="120"/>
              <w:jc w:val="center"/>
              <w:rPr>
                <w:b/>
              </w:rPr>
            </w:pPr>
            <w:r w:rsidRPr="0095171D">
              <w:rPr>
                <w:b/>
              </w:rPr>
              <w:t>A</w:t>
            </w:r>
            <w:r w:rsidR="004E2F81">
              <w:rPr>
                <w:b/>
              </w:rPr>
              <w:t>b</w:t>
            </w:r>
            <w:r w:rsidR="00B14B51" w:rsidRPr="0095171D">
              <w:rPr>
                <w:b/>
              </w:rPr>
              <w:t xml:space="preserve"> =</w:t>
            </w:r>
            <w:r w:rsidR="00B14B51" w:rsidRPr="0095171D">
              <w:rPr>
                <w:b/>
                <w:vertAlign w:val="subscript"/>
              </w:rPr>
              <w:t xml:space="preserve"> </w:t>
            </w:r>
            <w:r w:rsidR="00B14B51" w:rsidRPr="0095171D">
              <w:rPr>
                <w:b/>
              </w:rPr>
              <w:t>A x P</w:t>
            </w:r>
          </w:p>
        </w:tc>
        <w:tc>
          <w:tcPr>
            <w:tcW w:w="1872" w:type="dxa"/>
          </w:tcPr>
          <w:p w:rsidR="00B0547F" w:rsidRDefault="002F1104" w:rsidP="00B0547F">
            <w:pPr>
              <w:spacing w:before="120" w:after="120"/>
              <w:jc w:val="center"/>
              <w:rPr>
                <w:b/>
              </w:rPr>
            </w:pPr>
            <w:r w:rsidRPr="0095171D">
              <w:rPr>
                <w:b/>
              </w:rPr>
              <w:t>Equation 2</w:t>
            </w:r>
          </w:p>
        </w:tc>
      </w:tr>
    </w:tbl>
    <w:p w:rsidR="00B0547F" w:rsidRDefault="00B14B51" w:rsidP="00B0547F">
      <w:pPr>
        <w:pStyle w:val="R2"/>
        <w:spacing w:before="120"/>
        <w:ind w:left="786" w:firstLine="0"/>
      </w:pPr>
      <w:r w:rsidRPr="0095171D">
        <w:t>where:</w:t>
      </w:r>
    </w:p>
    <w:p w:rsidR="00C45C56" w:rsidRPr="0095171D" w:rsidRDefault="00C45C56" w:rsidP="00745F8E">
      <w:pPr>
        <w:pStyle w:val="R2"/>
        <w:tabs>
          <w:tab w:val="clear" w:pos="794"/>
        </w:tabs>
        <w:spacing w:before="120" w:line="240" w:lineRule="auto"/>
        <w:ind w:left="2154" w:hanging="1366"/>
      </w:pPr>
      <w:r w:rsidRPr="0095171D">
        <w:rPr>
          <w:b/>
        </w:rPr>
        <w:t>A</w:t>
      </w:r>
      <w:r w:rsidR="004E2F81">
        <w:rPr>
          <w:b/>
        </w:rPr>
        <w:t xml:space="preserve">b </w:t>
      </w:r>
      <w:r w:rsidR="00B0547F" w:rsidRPr="00B0547F">
        <w:t xml:space="preserve">= </w:t>
      </w:r>
      <w:r w:rsidR="00745F8E">
        <w:tab/>
      </w:r>
      <w:r w:rsidR="00B0547F" w:rsidRPr="00B0547F">
        <w:t xml:space="preserve">area burnt, </w:t>
      </w:r>
      <w:r w:rsidRPr="004E2F81">
        <w:t>the</w:t>
      </w:r>
      <w:r w:rsidRPr="0095171D">
        <w:t xml:space="preserve"> fire </w:t>
      </w:r>
      <w:r w:rsidR="00636884">
        <w:t>affected</w:t>
      </w:r>
      <w:r w:rsidR="00636884" w:rsidRPr="0095171D">
        <w:t xml:space="preserve"> </w:t>
      </w:r>
      <w:r w:rsidRPr="0095171D">
        <w:t>area in hectares</w:t>
      </w:r>
      <w:r w:rsidR="004E2F81">
        <w:t>, taking patchiness into account</w:t>
      </w:r>
      <w:r w:rsidRPr="0095171D">
        <w:t>.</w:t>
      </w:r>
    </w:p>
    <w:p w:rsidR="00681F98" w:rsidRPr="0095171D" w:rsidRDefault="00C45C56" w:rsidP="00745F8E">
      <w:pPr>
        <w:pStyle w:val="R2"/>
        <w:tabs>
          <w:tab w:val="clear" w:pos="794"/>
        </w:tabs>
        <w:spacing w:before="120" w:line="240" w:lineRule="auto"/>
        <w:ind w:left="2154" w:hanging="1366"/>
      </w:pPr>
      <w:r w:rsidRPr="0095171D">
        <w:rPr>
          <w:b/>
        </w:rPr>
        <w:t xml:space="preserve">A </w:t>
      </w:r>
      <w:r w:rsidRPr="0095171D">
        <w:t xml:space="preserve">= </w:t>
      </w:r>
      <w:r w:rsidR="00745F8E">
        <w:tab/>
      </w:r>
      <w:r w:rsidRPr="0095171D">
        <w:t>fire scar area</w:t>
      </w:r>
      <w:r w:rsidR="000A3FE5">
        <w:t xml:space="preserve"> with</w:t>
      </w:r>
      <w:r w:rsidR="002F1104" w:rsidRPr="0095171D">
        <w:t xml:space="preserve">in the project area in each fire season for each vegetation class, measured in hectares calculated using </w:t>
      </w:r>
      <w:r w:rsidR="00CE1B39" w:rsidRPr="0095171D">
        <w:t>section 3.</w:t>
      </w:r>
      <w:r w:rsidR="00B0547F" w:rsidRPr="00B0547F">
        <w:t>5</w:t>
      </w:r>
      <w:r w:rsidR="002F1104" w:rsidRPr="0095171D">
        <w:t xml:space="preserve"> and </w:t>
      </w:r>
      <w:r w:rsidR="00CE1B39" w:rsidRPr="0095171D">
        <w:t xml:space="preserve">recorded in Table </w:t>
      </w:r>
      <w:r w:rsidR="00B0547F" w:rsidRPr="00B0547F">
        <w:t>10</w:t>
      </w:r>
      <w:r w:rsidR="00CE1B39" w:rsidRPr="0095171D">
        <w:t xml:space="preserve"> of Form 1 of Schedule 2.</w:t>
      </w:r>
    </w:p>
    <w:p w:rsidR="00681F98" w:rsidRPr="0095171D" w:rsidRDefault="002F1104" w:rsidP="00745F8E">
      <w:pPr>
        <w:pStyle w:val="R2"/>
        <w:tabs>
          <w:tab w:val="clear" w:pos="794"/>
        </w:tabs>
        <w:spacing w:before="120" w:line="240" w:lineRule="auto"/>
        <w:ind w:left="2154" w:hanging="1366"/>
      </w:pPr>
      <w:r w:rsidRPr="0095171D">
        <w:rPr>
          <w:b/>
        </w:rPr>
        <w:lastRenderedPageBreak/>
        <w:t>P</w:t>
      </w:r>
      <w:r w:rsidR="00C45C56" w:rsidRPr="0095171D">
        <w:t xml:space="preserve"> </w:t>
      </w:r>
      <w:r w:rsidRPr="0095171D">
        <w:t xml:space="preserve">= </w:t>
      </w:r>
      <w:r w:rsidR="00745F8E">
        <w:tab/>
      </w:r>
      <w:r w:rsidR="00C45C56" w:rsidRPr="0095171D">
        <w:t xml:space="preserve">patchiness, </w:t>
      </w:r>
      <w:r w:rsidRPr="0095171D">
        <w:t xml:space="preserve">the fraction of the fire scar area that is presumed to be burnt </w:t>
      </w:r>
      <w:r w:rsidR="004E2F81">
        <w:t xml:space="preserve">when fire occurs </w:t>
      </w:r>
      <w:r w:rsidRPr="0095171D">
        <w:t>— for the early dry season, patchiness is</w:t>
      </w:r>
      <w:r w:rsidR="00636884">
        <w:t xml:space="preserve"> taken to be</w:t>
      </w:r>
      <w:r w:rsidRPr="0095171D">
        <w:t xml:space="preserve"> 0.709 and for the late dry season, patchiness is </w:t>
      </w:r>
      <w:r w:rsidR="00636884">
        <w:t xml:space="preserve">taken to be </w:t>
      </w:r>
      <w:r w:rsidRPr="0095171D">
        <w:t>0.889.</w:t>
      </w:r>
    </w:p>
    <w:p w:rsidR="00681F98" w:rsidRPr="0095171D" w:rsidRDefault="002F1104" w:rsidP="00BC708B">
      <w:pPr>
        <w:pStyle w:val="R1"/>
        <w:numPr>
          <w:ilvl w:val="0"/>
          <w:numId w:val="29"/>
        </w:numPr>
        <w:jc w:val="left"/>
      </w:pPr>
      <w:r w:rsidRPr="0095171D">
        <w:t>The</w:t>
      </w:r>
      <w:r w:rsidR="00811577" w:rsidRPr="0095171D">
        <w:t xml:space="preserve"> area burnt</w:t>
      </w:r>
      <w:r w:rsidR="00B14B51" w:rsidRPr="0095171D">
        <w:t xml:space="preserve"> must be calculated</w:t>
      </w:r>
      <w:r w:rsidR="00CD0DF3" w:rsidRPr="0095171D">
        <w:t xml:space="preserve"> annually</w:t>
      </w:r>
      <w:r w:rsidR="00B14B51" w:rsidRPr="0095171D">
        <w:t xml:space="preserve"> for </w:t>
      </w:r>
      <w:r w:rsidRPr="0095171D">
        <w:t xml:space="preserve">each </w:t>
      </w:r>
      <w:r w:rsidR="00636884">
        <w:t>combination of fire season and</w:t>
      </w:r>
      <w:r w:rsidRPr="0095171D">
        <w:t xml:space="preserve"> vegetation class.</w:t>
      </w:r>
    </w:p>
    <w:p w:rsidR="00681F98" w:rsidRPr="0095171D" w:rsidRDefault="002F1104" w:rsidP="00BC708B">
      <w:pPr>
        <w:pStyle w:val="R1"/>
        <w:numPr>
          <w:ilvl w:val="0"/>
          <w:numId w:val="29"/>
        </w:numPr>
        <w:jc w:val="left"/>
      </w:pPr>
      <w:bookmarkStart w:id="567" w:name="_Ref317843135"/>
      <w:r w:rsidRPr="0095171D">
        <w:t xml:space="preserve">The results must be recorded in </w:t>
      </w:r>
      <w:r w:rsidR="00CE1B39" w:rsidRPr="0095171D">
        <w:t>Table 11 of Form 1 and Form 2 of Schedule</w:t>
      </w:r>
      <w:r w:rsidR="00487F85">
        <w:t> </w:t>
      </w:r>
      <w:r w:rsidR="00CE1B39" w:rsidRPr="0095171D">
        <w:t>2.</w:t>
      </w:r>
      <w:bookmarkEnd w:id="567"/>
    </w:p>
    <w:p w:rsidR="00C8628D" w:rsidRPr="0095171D" w:rsidRDefault="00B0547F" w:rsidP="007C2AD6">
      <w:pPr>
        <w:pStyle w:val="Heading3"/>
        <w:numPr>
          <w:ilvl w:val="1"/>
          <w:numId w:val="45"/>
        </w:numPr>
        <w:rPr>
          <w:rFonts w:ascii="Times New Roman" w:hAnsi="Times New Roman" w:cs="Times New Roman"/>
          <w:sz w:val="24"/>
          <w:szCs w:val="24"/>
        </w:rPr>
      </w:pPr>
      <w:bookmarkStart w:id="568" w:name="_Ref317782750"/>
      <w:bookmarkStart w:id="569" w:name="_Toc325039163"/>
      <w:r w:rsidRPr="00B0547F">
        <w:rPr>
          <w:rFonts w:ascii="Times New Roman" w:hAnsi="Times New Roman" w:cs="Times New Roman"/>
          <w:sz w:val="24"/>
          <w:szCs w:val="24"/>
        </w:rPr>
        <w:t>Calculating p</w:t>
      </w:r>
      <w:r w:rsidR="0051445F" w:rsidRPr="0095171D">
        <w:rPr>
          <w:rFonts w:ascii="Times New Roman" w:hAnsi="Times New Roman" w:cs="Times New Roman"/>
          <w:sz w:val="24"/>
          <w:szCs w:val="24"/>
        </w:rPr>
        <w:t xml:space="preserve">otential </w:t>
      </w:r>
      <w:r w:rsidRPr="00B0547F">
        <w:rPr>
          <w:rFonts w:ascii="Times New Roman" w:hAnsi="Times New Roman" w:cs="Times New Roman"/>
          <w:sz w:val="24"/>
          <w:szCs w:val="24"/>
        </w:rPr>
        <w:t>e</w:t>
      </w:r>
      <w:r w:rsidR="0051445F" w:rsidRPr="0095171D">
        <w:rPr>
          <w:rFonts w:ascii="Times New Roman" w:hAnsi="Times New Roman" w:cs="Times New Roman"/>
          <w:sz w:val="24"/>
          <w:szCs w:val="24"/>
        </w:rPr>
        <w:t>missions (Pe)</w:t>
      </w:r>
      <w:bookmarkEnd w:id="568"/>
      <w:bookmarkEnd w:id="569"/>
    </w:p>
    <w:p w:rsidR="00204D7B" w:rsidRPr="0095171D" w:rsidRDefault="002F1104" w:rsidP="00BC708B">
      <w:pPr>
        <w:pStyle w:val="R1"/>
        <w:numPr>
          <w:ilvl w:val="0"/>
          <w:numId w:val="30"/>
        </w:numPr>
        <w:jc w:val="left"/>
      </w:pPr>
      <w:bookmarkStart w:id="570" w:name="_Ref317782834"/>
      <w:r w:rsidRPr="0095171D">
        <w:t xml:space="preserve">The potential emissions for the purposes of Equation 1 must be calculated </w:t>
      </w:r>
      <w:r w:rsidR="000A3FE5" w:rsidRPr="0095171D">
        <w:t xml:space="preserve">for each </w:t>
      </w:r>
      <w:r w:rsidR="00636884">
        <w:t xml:space="preserve">combination of </w:t>
      </w:r>
      <w:r w:rsidR="000A3FE5" w:rsidRPr="0095171D">
        <w:t xml:space="preserve">vegetation class, fuel size class and fire season </w:t>
      </w:r>
      <w:r w:rsidRPr="0095171D">
        <w:t>using the following formulas:</w:t>
      </w:r>
      <w:bookmarkEnd w:id="570"/>
    </w:p>
    <w:p w:rsidR="00B0547F" w:rsidRDefault="002F1104" w:rsidP="00B0547F">
      <w:pPr>
        <w:pStyle w:val="R2"/>
        <w:numPr>
          <w:ilvl w:val="3"/>
          <w:numId w:val="62"/>
        </w:numPr>
        <w:ind w:left="2268" w:hanging="567"/>
      </w:pPr>
      <w:r w:rsidRPr="0095171D">
        <w:t>for CH</w:t>
      </w:r>
      <w:r w:rsidRPr="0095171D">
        <w:rPr>
          <w:vertAlign w:val="subscript"/>
        </w:rPr>
        <w:t>4</w:t>
      </w:r>
      <w:r w:rsidRPr="0095171D">
        <w:t xml:space="preserve"> using </w:t>
      </w:r>
      <w:r w:rsidR="008A4831">
        <w:t>the following e</w:t>
      </w:r>
      <w:r w:rsidRPr="0095171D">
        <w:t>quation:</w:t>
      </w:r>
    </w:p>
    <w:p w:rsidR="00155404" w:rsidRPr="0095171D" w:rsidRDefault="00155404" w:rsidP="00155404">
      <w:pPr>
        <w:pStyle w:val="R2"/>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1758"/>
      </w:tblGrid>
      <w:tr w:rsidR="005A4147" w:rsidRPr="0095171D" w:rsidTr="00CE69D1">
        <w:tc>
          <w:tcPr>
            <w:tcW w:w="5812" w:type="dxa"/>
          </w:tcPr>
          <w:p w:rsidR="00B0547F" w:rsidRDefault="002F1104" w:rsidP="00B0547F">
            <w:pPr>
              <w:spacing w:before="120" w:after="120"/>
              <w:rPr>
                <w:b/>
              </w:rPr>
            </w:pPr>
            <w:r w:rsidRPr="0095171D">
              <w:rPr>
                <w:b/>
              </w:rPr>
              <w:t xml:space="preserve">       </w:t>
            </w: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Pr="0095171D">
              <w:rPr>
                <w:b/>
              </w:rPr>
              <w:t xml:space="preserve"> = BEF x FL x </w:t>
            </w: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Pr="0095171D">
              <w:rPr>
                <w:b/>
              </w:rPr>
              <w:t xml:space="preserve"> x CC x </w:t>
            </w:r>
            <m:oMath>
              <m:sSub>
                <m:sSubPr>
                  <m:ctrlPr>
                    <w:rPr>
                      <w:rFonts w:ascii="Cambria Math" w:hAnsi="Cambria Math"/>
                      <w:b/>
                    </w:rPr>
                  </m:ctrlPr>
                </m:sSubPr>
                <m:e>
                  <m:r>
                    <m:rPr>
                      <m:sty m:val="b"/>
                    </m:rPr>
                    <w:rPr>
                      <w:rFonts w:ascii="Cambria Math"/>
                    </w:rPr>
                    <m:t>M</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p>
        </w:tc>
        <w:tc>
          <w:tcPr>
            <w:tcW w:w="1758" w:type="dxa"/>
          </w:tcPr>
          <w:p w:rsidR="00B0547F" w:rsidRDefault="002F1104" w:rsidP="00B0547F">
            <w:pPr>
              <w:spacing w:before="120"/>
              <w:jc w:val="center"/>
              <w:rPr>
                <w:b/>
              </w:rPr>
            </w:pPr>
            <w:r w:rsidRPr="0095171D">
              <w:rPr>
                <w:b/>
              </w:rPr>
              <w:t>Equation 3</w:t>
            </w:r>
          </w:p>
        </w:tc>
      </w:tr>
    </w:tbl>
    <w:p w:rsidR="00B0547F" w:rsidRDefault="00B72158" w:rsidP="00B0547F">
      <w:pPr>
        <w:pStyle w:val="R2"/>
        <w:numPr>
          <w:ilvl w:val="3"/>
          <w:numId w:val="62"/>
        </w:numPr>
        <w:ind w:left="2268" w:hanging="567"/>
      </w:pPr>
      <w:bookmarkStart w:id="571" w:name="_Ref317782852"/>
      <w:r w:rsidRPr="0095171D">
        <w:t>for N</w:t>
      </w:r>
      <w:r w:rsidR="00430335" w:rsidRPr="00430335">
        <w:rPr>
          <w:vertAlign w:val="subscript"/>
        </w:rPr>
        <w:t>2</w:t>
      </w:r>
      <w:r w:rsidRPr="0095171D">
        <w:t>O</w:t>
      </w:r>
      <w:r w:rsidR="002F1104" w:rsidRPr="0095171D">
        <w:t xml:space="preserve"> using </w:t>
      </w:r>
      <w:r w:rsidR="008A4831">
        <w:t>the following e</w:t>
      </w:r>
      <w:r w:rsidR="002F1104" w:rsidRPr="0095171D">
        <w:t>quation:</w:t>
      </w:r>
      <w:bookmarkEnd w:id="571"/>
    </w:p>
    <w:p w:rsidR="00613904" w:rsidRPr="0095171D" w:rsidRDefault="00613904" w:rsidP="00613904">
      <w:pPr>
        <w:pStyle w:val="R2"/>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1758"/>
      </w:tblGrid>
      <w:tr w:rsidR="00613904" w:rsidRPr="0095171D" w:rsidTr="00CE69D1">
        <w:tc>
          <w:tcPr>
            <w:tcW w:w="5812" w:type="dxa"/>
          </w:tcPr>
          <w:p w:rsidR="00B0547F" w:rsidRDefault="002F1104" w:rsidP="00B0547F">
            <w:pPr>
              <w:spacing w:before="120" w:after="120"/>
              <w:rPr>
                <w:b/>
              </w:rPr>
            </w:pPr>
            <w:r w:rsidRPr="0095171D">
              <w:rPr>
                <w:b/>
              </w:rPr>
              <w:t xml:space="preserve">         </w:t>
            </w: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r w:rsidRPr="0095171D">
              <w:rPr>
                <w:b/>
              </w:rPr>
              <w:t xml:space="preserve"> = BEF x FL x</w:t>
            </w:r>
            <w:r w:rsidR="00E14EB5" w:rsidRPr="0095171D">
              <w:rPr>
                <w:b/>
              </w:rPr>
              <w:t xml:space="preserve"> </w:t>
            </w: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r w:rsidRPr="0095171D">
              <w:rPr>
                <w:b/>
              </w:rPr>
              <w:t xml:space="preserve"> x CC x NC x </w:t>
            </w:r>
            <m:oMath>
              <m:sSub>
                <m:sSubPr>
                  <m:ctrlPr>
                    <w:rPr>
                      <w:rFonts w:ascii="Cambria Math" w:hAnsi="Cambria Math"/>
                      <w:b/>
                    </w:rPr>
                  </m:ctrlPr>
                </m:sSubPr>
                <m:e>
                  <m:r>
                    <m:rPr>
                      <m:sty m:val="b"/>
                    </m:rPr>
                    <w:rPr>
                      <w:rFonts w:ascii="Cambria Math"/>
                    </w:rPr>
                    <m:t>M</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p>
        </w:tc>
        <w:tc>
          <w:tcPr>
            <w:tcW w:w="1758" w:type="dxa"/>
          </w:tcPr>
          <w:p w:rsidR="00B0547F" w:rsidRDefault="002F1104" w:rsidP="00B0547F">
            <w:pPr>
              <w:spacing w:before="120"/>
              <w:jc w:val="center"/>
              <w:rPr>
                <w:b/>
              </w:rPr>
            </w:pPr>
            <w:r w:rsidRPr="0095171D">
              <w:rPr>
                <w:b/>
              </w:rPr>
              <w:t>Equation 4</w:t>
            </w:r>
          </w:p>
        </w:tc>
      </w:tr>
    </w:tbl>
    <w:p w:rsidR="00B0547F" w:rsidRDefault="002F1104" w:rsidP="00B0547F">
      <w:pPr>
        <w:pStyle w:val="R2"/>
        <w:spacing w:before="120"/>
        <w:ind w:left="788" w:firstLine="0"/>
      </w:pPr>
      <w:r w:rsidRPr="0095171D">
        <w:t>where:</w:t>
      </w:r>
      <w:r w:rsidR="008A4831">
        <w:br/>
      </w:r>
    </w:p>
    <w:p w:rsidR="00CE69D1" w:rsidRPr="007E0C4C" w:rsidRDefault="00B36D41" w:rsidP="00745F8E">
      <w:pPr>
        <w:spacing w:before="120"/>
        <w:ind w:left="2160" w:hanging="1440"/>
      </w:pP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00B0547F" w:rsidRPr="007E0C4C">
        <w:rPr>
          <w:b/>
          <w:vertAlign w:val="subscript"/>
        </w:rPr>
        <w:t xml:space="preserve"> </w:t>
      </w:r>
      <w:r w:rsidR="00430335" w:rsidRPr="00430335">
        <w:t xml:space="preserve">= </w:t>
      </w:r>
      <w:r w:rsidR="00967C45">
        <w:tab/>
      </w:r>
      <w:r w:rsidR="00430335" w:rsidRPr="00430335">
        <w:t xml:space="preserve">potential emissions of </w:t>
      </w:r>
      <w:r w:rsidR="004D0181" w:rsidRPr="007E0C4C">
        <w:t>CH</w:t>
      </w:r>
      <w:r w:rsidR="004D0181" w:rsidRPr="007E0C4C">
        <w:rPr>
          <w:vertAlign w:val="subscript"/>
        </w:rPr>
        <w:t>4</w:t>
      </w:r>
      <w:r w:rsidR="00430335" w:rsidRPr="00430335">
        <w:t xml:space="preserve"> (tonnes per hectare) for a given vegetation class, fuel size class and fire season.</w:t>
      </w:r>
    </w:p>
    <w:p w:rsidR="00CE69D1" w:rsidRPr="007E0C4C" w:rsidRDefault="00B36D41" w:rsidP="00745F8E">
      <w:pPr>
        <w:spacing w:before="120"/>
        <w:ind w:left="2160" w:hanging="1440"/>
        <w:rPr>
          <w:b/>
        </w:rPr>
      </w:pP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r w:rsidR="00EB49B2" w:rsidRPr="007E0C4C">
        <w:rPr>
          <w:vertAlign w:val="subscript"/>
        </w:rPr>
        <w:t xml:space="preserve"> </w:t>
      </w:r>
      <w:r w:rsidR="00EB49B2" w:rsidRPr="007E0C4C">
        <w:t xml:space="preserve">= </w:t>
      </w:r>
      <w:r w:rsidR="00967C45">
        <w:tab/>
      </w:r>
      <w:r w:rsidR="00EB49B2" w:rsidRPr="007E0C4C">
        <w:t xml:space="preserve">potential emissions of </w:t>
      </w:r>
      <w:r w:rsidR="00C03BB7" w:rsidRPr="007E0C4C">
        <w:t>N</w:t>
      </w:r>
      <w:r w:rsidR="00430335">
        <w:rPr>
          <w:vertAlign w:val="subscript"/>
        </w:rPr>
        <w:t>2</w:t>
      </w:r>
      <w:r w:rsidR="00430335">
        <w:t xml:space="preserve">O (tonnes per hectare) for a given vegetation class, fuel size class and fire season. </w:t>
      </w:r>
    </w:p>
    <w:p w:rsidR="00555D5D" w:rsidRPr="007E0C4C" w:rsidRDefault="00430335" w:rsidP="00745F8E">
      <w:pPr>
        <w:spacing w:before="120"/>
        <w:ind w:left="2160" w:hanging="1440"/>
      </w:pPr>
      <w:r>
        <w:rPr>
          <w:b/>
        </w:rPr>
        <w:t>BEF</w:t>
      </w:r>
      <w:r>
        <w:t xml:space="preserve"> = </w:t>
      </w:r>
      <w:r w:rsidR="00967C45">
        <w:tab/>
      </w:r>
      <w:r>
        <w:t>burning efficiency, being the mass proportion of the mass of combusted fuel that is volatilised in a fire, taken from Table 1 in section 3.9.</w:t>
      </w:r>
    </w:p>
    <w:p w:rsidR="00555D5D" w:rsidRPr="007E0C4C" w:rsidRDefault="00430335" w:rsidP="00745F8E">
      <w:pPr>
        <w:spacing w:before="120"/>
        <w:ind w:left="720"/>
      </w:pPr>
      <w:r>
        <w:rPr>
          <w:b/>
        </w:rPr>
        <w:t>FL</w:t>
      </w:r>
      <w:r>
        <w:t xml:space="preserve"> = </w:t>
      </w:r>
      <w:r w:rsidR="00967C45">
        <w:tab/>
      </w:r>
      <w:r w:rsidR="00967C45">
        <w:tab/>
      </w:r>
      <w:r>
        <w:t>fuel load (t ha</w:t>
      </w:r>
      <w:r>
        <w:rPr>
          <w:vertAlign w:val="superscript"/>
        </w:rPr>
        <w:t>-1</w:t>
      </w:r>
      <w:r>
        <w:t>) taken from Table 2 in section 3.10.</w:t>
      </w:r>
    </w:p>
    <w:p w:rsidR="00555D5D" w:rsidRPr="0095171D" w:rsidRDefault="00B36D41" w:rsidP="00745F8E">
      <w:pPr>
        <w:spacing w:before="120"/>
        <w:ind w:left="2160" w:hanging="1440"/>
      </w:pP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002F1104" w:rsidRPr="007E0C4C">
        <w:t xml:space="preserve"> = </w:t>
      </w:r>
      <w:r w:rsidR="00967C45">
        <w:tab/>
      </w:r>
      <w:r w:rsidR="002F1104" w:rsidRPr="007E0C4C">
        <w:t xml:space="preserve">emission factor for </w:t>
      </w:r>
      <w:r w:rsidR="004D0181" w:rsidRPr="007E0C4C">
        <w:t>CH</w:t>
      </w:r>
      <w:r w:rsidR="004D0181" w:rsidRPr="007E0C4C">
        <w:rPr>
          <w:vertAlign w:val="subscript"/>
        </w:rPr>
        <w:t>4</w:t>
      </w:r>
      <w:r w:rsidR="00430335">
        <w:t xml:space="preserve"> for the specified vegetation class and fuel size</w:t>
      </w:r>
      <w:r w:rsidR="002F1104" w:rsidRPr="0095171D">
        <w:t xml:space="preserve"> class taken from </w:t>
      </w:r>
      <w:r w:rsidR="000A3FE5">
        <w:t>T</w:t>
      </w:r>
      <w:r w:rsidR="00B0547F" w:rsidRPr="00B0547F">
        <w:t>able 4 in section 3.14</w:t>
      </w:r>
      <w:r w:rsidR="00CE1B39" w:rsidRPr="0095171D">
        <w:t>.</w:t>
      </w:r>
    </w:p>
    <w:p w:rsidR="00C26170" w:rsidRPr="0095171D" w:rsidRDefault="00B36D41" w:rsidP="00745F8E">
      <w:pPr>
        <w:spacing w:before="120"/>
        <w:ind w:left="2160" w:hanging="1440"/>
      </w:pP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 xml:space="preserve">0 </m:t>
            </m:r>
          </m:sub>
        </m:sSub>
      </m:oMath>
      <w:r w:rsidR="002F1104" w:rsidRPr="0095171D">
        <w:t xml:space="preserve">= </w:t>
      </w:r>
      <w:r w:rsidR="00967C45">
        <w:tab/>
      </w:r>
      <w:r w:rsidR="002F1104" w:rsidRPr="0095171D">
        <w:t xml:space="preserve">emission factor for </w:t>
      </w:r>
      <w:r w:rsidR="00430335" w:rsidRPr="00430335">
        <w:rPr>
          <w:sz w:val="22"/>
        </w:rPr>
        <w:t>N</w:t>
      </w:r>
      <w:r w:rsidR="00430335" w:rsidRPr="00430335">
        <w:rPr>
          <w:sz w:val="22"/>
          <w:vertAlign w:val="subscript"/>
        </w:rPr>
        <w:t>2</w:t>
      </w:r>
      <w:r w:rsidR="00430335" w:rsidRPr="00430335">
        <w:rPr>
          <w:sz w:val="22"/>
        </w:rPr>
        <w:t>O</w:t>
      </w:r>
      <w:r w:rsidR="002F1104" w:rsidRPr="0095171D">
        <w:t xml:space="preserve"> for </w:t>
      </w:r>
      <w:r w:rsidR="00636884">
        <w:t>the specified</w:t>
      </w:r>
      <w:r w:rsidR="00636884" w:rsidRPr="0095171D">
        <w:t xml:space="preserve"> </w:t>
      </w:r>
      <w:r w:rsidR="002F1104" w:rsidRPr="0095171D">
        <w:t xml:space="preserve">vegetation class and fuel size class taken from </w:t>
      </w:r>
      <w:r w:rsidR="000A3FE5">
        <w:t>T</w:t>
      </w:r>
      <w:r w:rsidR="00B0547F" w:rsidRPr="00B0547F">
        <w:t>able 5 in section 3.14</w:t>
      </w:r>
      <w:r w:rsidR="00CE1B39" w:rsidRPr="0095171D">
        <w:t>.</w:t>
      </w:r>
    </w:p>
    <w:p w:rsidR="00555D5D" w:rsidRPr="0095171D" w:rsidRDefault="002F1104" w:rsidP="00745F8E">
      <w:pPr>
        <w:spacing w:before="120"/>
        <w:ind w:left="2156" w:hanging="1436"/>
      </w:pPr>
      <w:r w:rsidRPr="0095171D">
        <w:rPr>
          <w:b/>
        </w:rPr>
        <w:t>CC</w:t>
      </w:r>
      <w:r w:rsidRPr="0095171D">
        <w:t xml:space="preserve"> = </w:t>
      </w:r>
      <w:r w:rsidR="00745F8E">
        <w:tab/>
      </w:r>
      <w:r w:rsidRPr="0095171D">
        <w:t xml:space="preserve">carbon content of fuel for </w:t>
      </w:r>
      <w:r w:rsidR="00636884">
        <w:t>the specified</w:t>
      </w:r>
      <w:r w:rsidR="00636884" w:rsidRPr="0095171D">
        <w:t xml:space="preserve"> </w:t>
      </w:r>
      <w:r w:rsidRPr="0095171D">
        <w:t xml:space="preserve">fuel size class taken from </w:t>
      </w:r>
      <w:r w:rsidR="000A3FE5">
        <w:t>T</w:t>
      </w:r>
      <w:r w:rsidR="00B0547F" w:rsidRPr="00B0547F">
        <w:t>able</w:t>
      </w:r>
      <w:r w:rsidR="007E0C4C">
        <w:t> </w:t>
      </w:r>
      <w:r w:rsidR="00B0547F" w:rsidRPr="00B0547F">
        <w:t>6 in section 3.15</w:t>
      </w:r>
      <w:r w:rsidR="00CE1B39" w:rsidRPr="0095171D">
        <w:t>.</w:t>
      </w:r>
    </w:p>
    <w:p w:rsidR="00083D6D" w:rsidRPr="0095171D" w:rsidRDefault="002F1104" w:rsidP="00745F8E">
      <w:pPr>
        <w:spacing w:before="120"/>
        <w:ind w:left="2156" w:hanging="1436"/>
      </w:pPr>
      <w:r w:rsidRPr="0095171D">
        <w:rPr>
          <w:b/>
        </w:rPr>
        <w:t>NC</w:t>
      </w:r>
      <w:r w:rsidRPr="0095171D">
        <w:t xml:space="preserve"> = </w:t>
      </w:r>
      <w:r w:rsidR="00745F8E">
        <w:tab/>
      </w:r>
      <w:r w:rsidRPr="0095171D">
        <w:t xml:space="preserve">elemental nitrogen to carbon ratio for </w:t>
      </w:r>
      <w:r w:rsidR="00636884">
        <w:t>the specified</w:t>
      </w:r>
      <w:r w:rsidR="00636884" w:rsidRPr="0095171D">
        <w:t xml:space="preserve"> </w:t>
      </w:r>
      <w:r w:rsidRPr="0095171D">
        <w:t xml:space="preserve">fuel size class taken from </w:t>
      </w:r>
      <w:r w:rsidR="000A3FE5">
        <w:t>T</w:t>
      </w:r>
      <w:r w:rsidR="00B0547F" w:rsidRPr="00B0547F">
        <w:t>able 7 in section 3.16</w:t>
      </w:r>
      <w:r w:rsidR="00CE1B39" w:rsidRPr="0095171D">
        <w:t>.</w:t>
      </w:r>
    </w:p>
    <w:p w:rsidR="00555D5D" w:rsidRPr="0095171D" w:rsidRDefault="002F1104" w:rsidP="00745F8E">
      <w:pPr>
        <w:spacing w:before="120"/>
        <w:ind w:left="2156" w:hanging="1436"/>
      </w:pPr>
      <w:r w:rsidRPr="0095171D">
        <w:rPr>
          <w:b/>
        </w:rPr>
        <w:lastRenderedPageBreak/>
        <w:t>M</w:t>
      </w:r>
      <w:r w:rsidRPr="0095171D">
        <w:t xml:space="preserve"> = </w:t>
      </w:r>
      <w:r w:rsidR="00745F8E">
        <w:tab/>
      </w:r>
      <w:r w:rsidRPr="0095171D">
        <w:t xml:space="preserve">ratio of molecular mass to the elemental mass </w:t>
      </w:r>
      <w:r w:rsidR="00747933" w:rsidRPr="0095171D">
        <w:t xml:space="preserve">for </w:t>
      </w:r>
      <w:r w:rsidR="00430335" w:rsidRPr="00430335">
        <w:rPr>
          <w:sz w:val="22"/>
        </w:rPr>
        <w:t>CH</w:t>
      </w:r>
      <w:r w:rsidR="00430335" w:rsidRPr="00430335">
        <w:rPr>
          <w:sz w:val="22"/>
          <w:vertAlign w:val="subscript"/>
        </w:rPr>
        <w:t>4</w:t>
      </w:r>
      <w:r w:rsidR="00430335" w:rsidRPr="00430335">
        <w:rPr>
          <w:sz w:val="22"/>
        </w:rPr>
        <w:t xml:space="preserve"> </w:t>
      </w:r>
      <w:r w:rsidR="00747933" w:rsidRPr="0095171D">
        <w:t xml:space="preserve">and </w:t>
      </w:r>
      <w:r w:rsidR="00430335" w:rsidRPr="00430335">
        <w:rPr>
          <w:sz w:val="22"/>
        </w:rPr>
        <w:t>N</w:t>
      </w:r>
      <w:r w:rsidR="00430335" w:rsidRPr="00430335">
        <w:rPr>
          <w:sz w:val="22"/>
          <w:vertAlign w:val="subscript"/>
        </w:rPr>
        <w:t>2</w:t>
      </w:r>
      <w:r w:rsidR="00430335" w:rsidRPr="00430335">
        <w:rPr>
          <w:sz w:val="22"/>
        </w:rPr>
        <w:t>O</w:t>
      </w:r>
      <w:r w:rsidR="00747933" w:rsidRPr="0095171D">
        <w:t xml:space="preserve"> taken from </w:t>
      </w:r>
      <w:r w:rsidR="000A3FE5">
        <w:t>T</w:t>
      </w:r>
      <w:r w:rsidR="00CE1B39" w:rsidRPr="0095171D">
        <w:t>able 8</w:t>
      </w:r>
      <w:r w:rsidR="00747933" w:rsidRPr="0095171D">
        <w:t xml:space="preserve"> in </w:t>
      </w:r>
      <w:r w:rsidR="00CE1B39" w:rsidRPr="0095171D">
        <w:t>section 3.17</w:t>
      </w:r>
      <w:r w:rsidR="005849F0">
        <w:t>.</w:t>
      </w:r>
    </w:p>
    <w:p w:rsidR="008D7CD1" w:rsidRPr="0095171D" w:rsidRDefault="002F1104">
      <w:pPr>
        <w:pStyle w:val="R1"/>
        <w:numPr>
          <w:ilvl w:val="0"/>
          <w:numId w:val="30"/>
        </w:numPr>
        <w:jc w:val="left"/>
      </w:pPr>
      <w:r w:rsidRPr="0095171D">
        <w:t xml:space="preserve">The potential emissions for </w:t>
      </w:r>
      <w:r w:rsidR="00070A4B">
        <w:t>CH</w:t>
      </w:r>
      <w:r w:rsidR="00070A4B" w:rsidRPr="00070A4B">
        <w:rPr>
          <w:vertAlign w:val="subscript"/>
        </w:rPr>
        <w:t>4</w:t>
      </w:r>
      <w:r w:rsidRPr="0095171D">
        <w:t xml:space="preserve"> in the early dry season for each </w:t>
      </w:r>
      <w:r w:rsidR="00636884">
        <w:t xml:space="preserve">combination of </w:t>
      </w:r>
      <w:r w:rsidRPr="0095171D">
        <w:t>vegetation class</w:t>
      </w:r>
      <w:r w:rsidR="00372F88" w:rsidRPr="0095171D">
        <w:t xml:space="preserve"> and fuel size class</w:t>
      </w:r>
      <w:r w:rsidRPr="0095171D">
        <w:t xml:space="preserve"> must be recorded in </w:t>
      </w:r>
      <w:r w:rsidR="000A3FE5">
        <w:t>Table</w:t>
      </w:r>
      <w:r w:rsidR="00CE1B39" w:rsidRPr="0095171D">
        <w:t xml:space="preserve"> 17 of Form 1 of Schedule 2.</w:t>
      </w:r>
    </w:p>
    <w:p w:rsidR="008D7CD1" w:rsidRPr="0095171D" w:rsidRDefault="002F1104">
      <w:pPr>
        <w:pStyle w:val="R1"/>
        <w:numPr>
          <w:ilvl w:val="0"/>
          <w:numId w:val="30"/>
        </w:numPr>
        <w:jc w:val="left"/>
      </w:pPr>
      <w:r w:rsidRPr="0095171D">
        <w:t xml:space="preserve">The potential emissions for </w:t>
      </w:r>
      <w:r w:rsidR="00070A4B">
        <w:t>CH</w:t>
      </w:r>
      <w:r w:rsidR="00070A4B" w:rsidRPr="00070A4B">
        <w:rPr>
          <w:vertAlign w:val="subscript"/>
        </w:rPr>
        <w:t>4</w:t>
      </w:r>
      <w:r w:rsidRPr="0095171D">
        <w:t xml:space="preserve"> in the late dry season for each </w:t>
      </w:r>
      <w:r w:rsidR="00636884">
        <w:t xml:space="preserve">combination of </w:t>
      </w:r>
      <w:r w:rsidRPr="0095171D">
        <w:t>vegetation class</w:t>
      </w:r>
      <w:r w:rsidR="00372F88" w:rsidRPr="0095171D">
        <w:t xml:space="preserve"> and fuel size class</w:t>
      </w:r>
      <w:r w:rsidRPr="0095171D">
        <w:t xml:space="preserve"> must be recorded in </w:t>
      </w:r>
      <w:r w:rsidR="000A3FE5">
        <w:t>T</w:t>
      </w:r>
      <w:r w:rsidR="00390148">
        <w:t>able 18 of Form 1 of Schedule </w:t>
      </w:r>
      <w:r w:rsidR="00CE1B39" w:rsidRPr="0095171D">
        <w:t>2</w:t>
      </w:r>
      <w:r w:rsidRPr="0095171D">
        <w:t>.</w:t>
      </w:r>
    </w:p>
    <w:p w:rsidR="00C36900" w:rsidRPr="0095171D" w:rsidRDefault="002F1104" w:rsidP="00C36900">
      <w:pPr>
        <w:pStyle w:val="R1"/>
        <w:numPr>
          <w:ilvl w:val="0"/>
          <w:numId w:val="30"/>
        </w:numPr>
        <w:jc w:val="left"/>
      </w:pPr>
      <w:r w:rsidRPr="0095171D">
        <w:t xml:space="preserve">The potential emissions for </w:t>
      </w:r>
      <w:r w:rsidR="00C03BB7">
        <w:t>N</w:t>
      </w:r>
      <w:r w:rsidR="00C03BB7" w:rsidRPr="00C03BB7">
        <w:rPr>
          <w:vertAlign w:val="subscript"/>
        </w:rPr>
        <w:t>2</w:t>
      </w:r>
      <w:r w:rsidR="00C03BB7">
        <w:t>O</w:t>
      </w:r>
      <w:r w:rsidRPr="0095171D">
        <w:t xml:space="preserve"> in the early dry season for each </w:t>
      </w:r>
      <w:r w:rsidR="00636884">
        <w:t xml:space="preserve">combination of </w:t>
      </w:r>
      <w:r w:rsidRPr="0095171D">
        <w:t>vegetation class</w:t>
      </w:r>
      <w:r w:rsidR="00372F88" w:rsidRPr="0095171D">
        <w:t xml:space="preserve"> and fuel size class</w:t>
      </w:r>
      <w:r w:rsidRPr="0095171D">
        <w:t xml:space="preserve"> must be recorded in </w:t>
      </w:r>
      <w:r w:rsidR="00CE1B39" w:rsidRPr="0095171D">
        <w:t>Table 19 of Form 1 of Schedule 2.</w:t>
      </w:r>
    </w:p>
    <w:p w:rsidR="00C36900" w:rsidRPr="0095171D" w:rsidRDefault="002F1104" w:rsidP="00C36900">
      <w:pPr>
        <w:pStyle w:val="R1"/>
        <w:numPr>
          <w:ilvl w:val="0"/>
          <w:numId w:val="30"/>
        </w:numPr>
        <w:jc w:val="left"/>
      </w:pPr>
      <w:r w:rsidRPr="0095171D">
        <w:t xml:space="preserve">The potential emissions for </w:t>
      </w:r>
      <w:r w:rsidR="00C03BB7">
        <w:t>N</w:t>
      </w:r>
      <w:r w:rsidR="00C03BB7" w:rsidRPr="00C03BB7">
        <w:rPr>
          <w:vertAlign w:val="subscript"/>
        </w:rPr>
        <w:t>2</w:t>
      </w:r>
      <w:r w:rsidR="00C03BB7">
        <w:t>O</w:t>
      </w:r>
      <w:r w:rsidRPr="0095171D">
        <w:t xml:space="preserve"> in the late dry season for each </w:t>
      </w:r>
      <w:r w:rsidR="00636884">
        <w:t xml:space="preserve">combination of </w:t>
      </w:r>
      <w:r w:rsidRPr="0095171D">
        <w:t>vegetation class</w:t>
      </w:r>
      <w:r w:rsidR="00372F88" w:rsidRPr="0095171D">
        <w:t xml:space="preserve"> and fuel size class</w:t>
      </w:r>
      <w:r w:rsidRPr="0095171D">
        <w:t xml:space="preserve"> must be recorded in </w:t>
      </w:r>
      <w:r w:rsidR="00CE1B39" w:rsidRPr="0095171D">
        <w:t>Table 20 of Form 1 of Schedule 2.</w:t>
      </w:r>
    </w:p>
    <w:p w:rsidR="00C36900" w:rsidRPr="0095171D" w:rsidRDefault="002F1104" w:rsidP="00B12082">
      <w:pPr>
        <w:pStyle w:val="R2"/>
        <w:tabs>
          <w:tab w:val="clear" w:pos="794"/>
        </w:tabs>
        <w:ind w:left="1288" w:hanging="502"/>
        <w:rPr>
          <w:sz w:val="20"/>
          <w:szCs w:val="20"/>
        </w:rPr>
      </w:pPr>
      <w:r w:rsidRPr="0095171D">
        <w:rPr>
          <w:i/>
          <w:sz w:val="20"/>
          <w:szCs w:val="20"/>
        </w:rPr>
        <w:t>Note</w:t>
      </w:r>
      <w:r w:rsidRPr="0095171D">
        <w:rPr>
          <w:sz w:val="20"/>
          <w:szCs w:val="20"/>
        </w:rPr>
        <w:t>: The calculation of the potential emissions for CH</w:t>
      </w:r>
      <w:r w:rsidRPr="0095171D">
        <w:rPr>
          <w:sz w:val="20"/>
          <w:szCs w:val="20"/>
          <w:vertAlign w:val="subscript"/>
        </w:rPr>
        <w:t>4</w:t>
      </w:r>
      <w:r w:rsidRPr="0095171D">
        <w:rPr>
          <w:sz w:val="20"/>
          <w:szCs w:val="20"/>
        </w:rPr>
        <w:t xml:space="preserve"> and N</w:t>
      </w:r>
      <w:r w:rsidRPr="0095171D">
        <w:rPr>
          <w:sz w:val="20"/>
          <w:szCs w:val="20"/>
          <w:vertAlign w:val="subscript"/>
        </w:rPr>
        <w:t>2</w:t>
      </w:r>
      <w:r w:rsidRPr="0095171D">
        <w:rPr>
          <w:sz w:val="20"/>
          <w:szCs w:val="20"/>
        </w:rPr>
        <w:t xml:space="preserve">O are operationalised by </w:t>
      </w:r>
      <w:r w:rsidR="00E571D0">
        <w:rPr>
          <w:sz w:val="20"/>
          <w:szCs w:val="20"/>
        </w:rPr>
        <w:t>applying</w:t>
      </w:r>
      <w:r w:rsidR="00132A95" w:rsidRPr="0095171D">
        <w:rPr>
          <w:sz w:val="20"/>
          <w:szCs w:val="20"/>
        </w:rPr>
        <w:t xml:space="preserve"> the f</w:t>
      </w:r>
      <w:r w:rsidR="00571E7E">
        <w:rPr>
          <w:sz w:val="20"/>
          <w:szCs w:val="20"/>
        </w:rPr>
        <w:t xml:space="preserve">ollowing </w:t>
      </w:r>
      <w:r w:rsidR="00132A95" w:rsidRPr="0095171D">
        <w:rPr>
          <w:sz w:val="20"/>
          <w:szCs w:val="20"/>
        </w:rPr>
        <w:t>equations</w:t>
      </w:r>
      <w:r w:rsidR="00571E7E">
        <w:rPr>
          <w:sz w:val="20"/>
          <w:szCs w:val="20"/>
        </w:rPr>
        <w:t xml:space="preserve">, </w:t>
      </w:r>
      <w:r w:rsidR="00E571D0">
        <w:rPr>
          <w:sz w:val="20"/>
          <w:szCs w:val="20"/>
        </w:rPr>
        <w:t>which</w:t>
      </w:r>
      <w:r w:rsidR="00571E7E">
        <w:rPr>
          <w:sz w:val="20"/>
          <w:szCs w:val="20"/>
        </w:rPr>
        <w:t xml:space="preserve"> involve multiplying the corresponding values in the relevant tables</w:t>
      </w:r>
      <w:r w:rsidR="00E571D0">
        <w:rPr>
          <w:sz w:val="20"/>
          <w:szCs w:val="20"/>
        </w:rPr>
        <w:t xml:space="preserve">, </w:t>
      </w:r>
      <w:r w:rsidRPr="0095171D">
        <w:rPr>
          <w:sz w:val="20"/>
          <w:szCs w:val="20"/>
        </w:rPr>
        <w:t xml:space="preserve">and presenting the results </w:t>
      </w:r>
      <w:r w:rsidR="00B12082">
        <w:rPr>
          <w:sz w:val="20"/>
          <w:szCs w:val="20"/>
        </w:rPr>
        <w:t>in Tables 17–</w:t>
      </w:r>
      <w:r w:rsidR="0051445F" w:rsidRPr="0095171D">
        <w:rPr>
          <w:sz w:val="20"/>
          <w:szCs w:val="20"/>
        </w:rPr>
        <w:t>20</w:t>
      </w:r>
      <w:r w:rsidRPr="0095171D">
        <w:rPr>
          <w:sz w:val="20"/>
          <w:szCs w:val="20"/>
        </w:rPr>
        <w:t xml:space="preserve"> of Form 1</w:t>
      </w:r>
      <w:r w:rsidR="00132A95" w:rsidRPr="0095171D">
        <w:rPr>
          <w:sz w:val="20"/>
          <w:szCs w:val="20"/>
        </w:rPr>
        <w:t xml:space="preserve"> of Schedule</w:t>
      </w:r>
      <w:r w:rsidR="00B12082">
        <w:rPr>
          <w:sz w:val="20"/>
          <w:szCs w:val="20"/>
        </w:rPr>
        <w:t> </w:t>
      </w:r>
      <w:r w:rsidR="00132A95" w:rsidRPr="0095171D">
        <w:rPr>
          <w:sz w:val="20"/>
          <w:szCs w:val="20"/>
        </w:rPr>
        <w:t>2</w:t>
      </w:r>
      <w:r w:rsidRPr="0095171D">
        <w:rPr>
          <w:sz w:val="20"/>
          <w:szCs w:val="20"/>
        </w:rPr>
        <w:t xml:space="preserve">.  </w:t>
      </w:r>
    </w:p>
    <w:p w:rsidR="00C36900" w:rsidRPr="008618C2" w:rsidRDefault="00C36900" w:rsidP="00C36900">
      <w:pPr>
        <w:pStyle w:val="R2"/>
        <w:ind w:left="786" w:firstLine="0"/>
        <w:rPr>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4"/>
      </w:tblGrid>
      <w:tr w:rsidR="008618C2" w:rsidRPr="008618C2" w:rsidTr="00372F88">
        <w:tc>
          <w:tcPr>
            <w:tcW w:w="5704" w:type="dxa"/>
          </w:tcPr>
          <w:p w:rsidR="008618C2" w:rsidRPr="008618C2" w:rsidRDefault="00430335" w:rsidP="00B0547F">
            <w:pPr>
              <w:spacing w:before="120" w:after="120"/>
              <w:ind w:left="1309" w:hanging="1309"/>
              <w:rPr>
                <w:szCs w:val="20"/>
              </w:rPr>
            </w:pPr>
            <w:r w:rsidRPr="00430335">
              <w:rPr>
                <w:szCs w:val="20"/>
              </w:rPr>
              <w:t xml:space="preserve">For </w:t>
            </w:r>
            <m:oMath>
              <m:sSub>
                <m:sSubPr>
                  <m:ctrlPr>
                    <w:rPr>
                      <w:rFonts w:ascii="Cambria Math" w:hAnsi="Cambria Math"/>
                    </w:rPr>
                  </m:ctrlPr>
                </m:sSubPr>
                <m:e>
                  <m:r>
                    <m:rPr>
                      <m:sty m:val="p"/>
                    </m:rPr>
                    <w:rPr>
                      <w:rFonts w:ascii="Cambria Math"/>
                    </w:rPr>
                    <m:t>Pe</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Pr="00430335">
              <w:rPr>
                <w:szCs w:val="20"/>
              </w:rPr>
              <w:t xml:space="preserve"> = Table 1 x Table 13 x Table 4 x Table 6 x Table </w:t>
            </w:r>
            <m:oMath>
              <m:sSub>
                <m:sSubPr>
                  <m:ctrlPr>
                    <w:rPr>
                      <w:rFonts w:ascii="Cambria Math" w:hAnsi="Cambria Math"/>
                    </w:rPr>
                  </m:ctrlPr>
                </m:sSubPr>
                <m:e>
                  <m:r>
                    <m:rPr>
                      <m:sty m:val="p"/>
                    </m:rPr>
                    <w:rPr>
                      <w:rFonts w:ascii="Cambria Math"/>
                    </w:rPr>
                    <m:t>8</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Pr="00430335">
              <w:rPr>
                <w:szCs w:val="20"/>
                <w:vertAlign w:val="subscript"/>
              </w:rPr>
              <w:t xml:space="preserve">                                           </w:t>
            </w:r>
          </w:p>
        </w:tc>
      </w:tr>
    </w:tbl>
    <w:p w:rsidR="00C36900" w:rsidRPr="008618C2" w:rsidRDefault="00C36900" w:rsidP="00C36900">
      <w:pPr>
        <w:pStyle w:val="BodyTextIndent"/>
        <w:spacing w:after="240"/>
        <w:ind w:left="0"/>
        <w:rPr>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4"/>
      </w:tblGrid>
      <w:tr w:rsidR="008618C2" w:rsidRPr="008618C2" w:rsidTr="00372F88">
        <w:tc>
          <w:tcPr>
            <w:tcW w:w="5704" w:type="dxa"/>
          </w:tcPr>
          <w:p w:rsidR="008618C2" w:rsidRPr="008618C2" w:rsidRDefault="00430335" w:rsidP="00B0547F">
            <w:pPr>
              <w:spacing w:before="120" w:after="120"/>
              <w:ind w:left="1309" w:hanging="1309"/>
              <w:rPr>
                <w:szCs w:val="20"/>
              </w:rPr>
            </w:pPr>
            <w:r w:rsidRPr="00430335">
              <w:rPr>
                <w:szCs w:val="20"/>
              </w:rPr>
              <w:t xml:space="preserve">For </w:t>
            </w:r>
            <m:oMath>
              <m:sSub>
                <m:sSubPr>
                  <m:ctrlPr>
                    <w:rPr>
                      <w:rFonts w:ascii="Cambria Math" w:hAnsi="Cambria Math"/>
                    </w:rPr>
                  </m:ctrlPr>
                </m:sSubPr>
                <m:e>
                  <m:r>
                    <m:rPr>
                      <m:sty m:val="p"/>
                    </m:rPr>
                    <w:rPr>
                      <w:rFonts w:ascii="Cambria Math"/>
                    </w:rPr>
                    <m:t>Pe</m:t>
                  </m:r>
                </m:e>
                <m:sub>
                  <m:sSub>
                    <m:sSubPr>
                      <m:ctrlPr>
                        <w:rPr>
                          <w:rFonts w:ascii="Cambria Math" w:hAnsi="Cambria Math"/>
                        </w:rPr>
                      </m:ctrlPr>
                    </m:sSubPr>
                    <m:e>
                      <m:r>
                        <m:rPr>
                          <m:sty m:val="p"/>
                        </m:rPr>
                        <w:rPr>
                          <w:rFonts w:ascii="Cambria Math"/>
                        </w:rPr>
                        <m:t>N</m:t>
                      </m:r>
                    </m:e>
                    <m:sub>
                      <m:r>
                        <m:rPr>
                          <m:sty m:val="p"/>
                        </m:rPr>
                        <w:rPr>
                          <w:rFonts w:ascii="Cambria Math"/>
                        </w:rPr>
                        <m:t>2</m:t>
                      </m:r>
                    </m:sub>
                  </m:sSub>
                  <m:r>
                    <m:rPr>
                      <m:sty m:val="p"/>
                    </m:rPr>
                    <w:rPr>
                      <w:rFonts w:ascii="Cambria Math"/>
                    </w:rPr>
                    <m:t>0</m:t>
                  </m:r>
                </m:sub>
              </m:sSub>
            </m:oMath>
            <w:r w:rsidRPr="00430335">
              <w:rPr>
                <w:szCs w:val="20"/>
              </w:rPr>
              <w:t xml:space="preserve"> = Table 1 x Table 13 x Table 5 x Table 6 x Table 7 x Table </w:t>
            </w:r>
            <m:oMath>
              <m:sSub>
                <m:sSubPr>
                  <m:ctrlPr>
                    <w:rPr>
                      <w:rFonts w:ascii="Cambria Math" w:hAnsi="Cambria Math"/>
                    </w:rPr>
                  </m:ctrlPr>
                </m:sSubPr>
                <m:e>
                  <m:r>
                    <m:rPr>
                      <m:sty m:val="p"/>
                    </m:rPr>
                    <w:rPr>
                      <w:rFonts w:ascii="Cambria Math"/>
                    </w:rPr>
                    <m:t>8</m:t>
                  </m:r>
                </m:e>
                <m:sub>
                  <m:sSub>
                    <m:sSubPr>
                      <m:ctrlPr>
                        <w:rPr>
                          <w:rFonts w:ascii="Cambria Math" w:hAnsi="Cambria Math"/>
                        </w:rPr>
                      </m:ctrlPr>
                    </m:sSubPr>
                    <m:e>
                      <m:r>
                        <m:rPr>
                          <m:sty m:val="p"/>
                        </m:rPr>
                        <w:rPr>
                          <w:rFonts w:ascii="Cambria Math"/>
                        </w:rPr>
                        <m:t>N</m:t>
                      </m:r>
                    </m:e>
                    <m:sub>
                      <m:r>
                        <m:rPr>
                          <m:sty m:val="p"/>
                        </m:rPr>
                        <w:rPr>
                          <w:rFonts w:ascii="Cambria Math"/>
                        </w:rPr>
                        <m:t>2</m:t>
                      </m:r>
                    </m:sub>
                  </m:sSub>
                  <m:r>
                    <m:rPr>
                      <m:sty m:val="p"/>
                    </m:rPr>
                    <w:rPr>
                      <w:rFonts w:ascii="Cambria Math"/>
                    </w:rPr>
                    <m:t>0</m:t>
                  </m:r>
                </m:sub>
              </m:sSub>
            </m:oMath>
          </w:p>
        </w:tc>
      </w:tr>
    </w:tbl>
    <w:p w:rsidR="00B0547F" w:rsidRDefault="00B0547F" w:rsidP="00B0547F">
      <w:pPr>
        <w:pStyle w:val="R2"/>
        <w:spacing w:before="0"/>
        <w:ind w:left="786" w:firstLine="0"/>
      </w:pPr>
    </w:p>
    <w:p w:rsidR="00B0547F" w:rsidRDefault="00C36900" w:rsidP="00B0547F">
      <w:pPr>
        <w:pStyle w:val="R1"/>
        <w:numPr>
          <w:ilvl w:val="0"/>
          <w:numId w:val="30"/>
        </w:numPr>
        <w:spacing w:before="180"/>
        <w:jc w:val="left"/>
      </w:pPr>
      <w:r w:rsidRPr="0095171D">
        <w:t xml:space="preserve">The total potential emissions for each greenhouse gas in each fire season for each vegetation class must be recorded </w:t>
      </w:r>
      <w:r w:rsidR="00CE1B39" w:rsidRPr="0095171D">
        <w:t>in Table 21 of Form 1 of Schedule 2.</w:t>
      </w:r>
    </w:p>
    <w:p w:rsidR="008D7CD1" w:rsidRPr="0095171D" w:rsidRDefault="002F1104">
      <w:pPr>
        <w:pStyle w:val="Heading3"/>
        <w:keepLines/>
        <w:numPr>
          <w:ilvl w:val="1"/>
          <w:numId w:val="45"/>
        </w:numPr>
        <w:rPr>
          <w:rFonts w:ascii="Times New Roman" w:hAnsi="Times New Roman" w:cs="Times New Roman"/>
          <w:sz w:val="24"/>
          <w:szCs w:val="24"/>
        </w:rPr>
      </w:pPr>
      <w:bookmarkStart w:id="572" w:name="_Toc324838407"/>
      <w:bookmarkStart w:id="573" w:name="_Toc324838736"/>
      <w:bookmarkStart w:id="574" w:name="_Toc324843523"/>
      <w:bookmarkStart w:id="575" w:name="_Toc324860286"/>
      <w:bookmarkStart w:id="576" w:name="_Toc324860393"/>
      <w:bookmarkStart w:id="577" w:name="_Toc324860487"/>
      <w:bookmarkStart w:id="578" w:name="_Toc324860581"/>
      <w:bookmarkStart w:id="579" w:name="_Toc324860676"/>
      <w:bookmarkStart w:id="580" w:name="_Toc324860771"/>
      <w:bookmarkStart w:id="581" w:name="_Toc324860866"/>
      <w:bookmarkStart w:id="582" w:name="_Toc325039164"/>
      <w:bookmarkEnd w:id="572"/>
      <w:bookmarkEnd w:id="573"/>
      <w:bookmarkEnd w:id="574"/>
      <w:bookmarkEnd w:id="575"/>
      <w:bookmarkEnd w:id="576"/>
      <w:bookmarkEnd w:id="577"/>
      <w:bookmarkEnd w:id="578"/>
      <w:bookmarkEnd w:id="579"/>
      <w:bookmarkEnd w:id="580"/>
      <w:bookmarkEnd w:id="581"/>
      <w:r w:rsidRPr="0095171D">
        <w:rPr>
          <w:rFonts w:ascii="Times New Roman" w:hAnsi="Times New Roman" w:cs="Times New Roman"/>
          <w:sz w:val="24"/>
          <w:szCs w:val="24"/>
        </w:rPr>
        <w:t>Burning Efficiency (BEF)</w:t>
      </w:r>
      <w:bookmarkEnd w:id="582"/>
    </w:p>
    <w:p w:rsidR="00B0547F" w:rsidRDefault="002F1104" w:rsidP="0004451F">
      <w:pPr>
        <w:pStyle w:val="R1"/>
        <w:ind w:left="426" w:firstLine="0"/>
        <w:jc w:val="left"/>
      </w:pPr>
      <w:r w:rsidRPr="0095171D">
        <w:t>For the purposes of Equations 3 and 4, the burning efficiency (BEF) for fine, coarse, heavy and shrub fuel size classes for the early and late dry season is taken to be the amount set out in the following table:</w:t>
      </w:r>
    </w:p>
    <w:p w:rsidR="008D7CD1" w:rsidRPr="0095171D" w:rsidRDefault="002F1104">
      <w:pPr>
        <w:pStyle w:val="R2"/>
        <w:keepNext/>
        <w:tabs>
          <w:tab w:val="clear" w:pos="794"/>
          <w:tab w:val="left" w:pos="4632"/>
        </w:tabs>
        <w:jc w:val="center"/>
        <w:rPr>
          <w:b/>
        </w:rPr>
      </w:pPr>
      <w:r w:rsidRPr="0095171D">
        <w:rPr>
          <w:b/>
        </w:rPr>
        <w:t xml:space="preserve">Table </w:t>
      </w:r>
      <w:r w:rsidR="00717010" w:rsidRPr="0095171D">
        <w:rPr>
          <w:b/>
        </w:rPr>
        <w:t>1</w:t>
      </w:r>
      <w:r w:rsidRPr="0095171D">
        <w:rPr>
          <w:b/>
        </w:rPr>
        <w:t>: Burning Efficiency</w:t>
      </w:r>
    </w:p>
    <w:tbl>
      <w:tblPr>
        <w:tblW w:w="5750" w:type="dxa"/>
        <w:jc w:val="center"/>
        <w:tblLook w:val="04A0"/>
      </w:tblPr>
      <w:tblGrid>
        <w:gridCol w:w="1896"/>
        <w:gridCol w:w="1896"/>
        <w:gridCol w:w="1958"/>
      </w:tblGrid>
      <w:tr w:rsidR="00711011" w:rsidRPr="0095171D" w:rsidTr="004D0609">
        <w:trPr>
          <w:trHeight w:val="329"/>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0547F" w:rsidRPr="00B0547F" w:rsidRDefault="00B0547F" w:rsidP="00B0547F">
            <w:pPr>
              <w:jc w:val="center"/>
              <w:rPr>
                <w:b/>
                <w:bCs/>
                <w:color w:val="000000"/>
                <w:szCs w:val="20"/>
              </w:rPr>
            </w:pPr>
            <w:r w:rsidRPr="00B0547F">
              <w:rPr>
                <w:b/>
                <w:bCs/>
                <w:color w:val="000000"/>
                <w:szCs w:val="20"/>
              </w:rPr>
              <w:t>Fuel size class</w:t>
            </w:r>
          </w:p>
        </w:tc>
        <w:tc>
          <w:tcPr>
            <w:tcW w:w="1896" w:type="dxa"/>
            <w:tcBorders>
              <w:top w:val="single" w:sz="4" w:space="0" w:color="auto"/>
              <w:left w:val="nil"/>
              <w:bottom w:val="single" w:sz="4" w:space="0" w:color="auto"/>
              <w:right w:val="single" w:sz="4" w:space="0" w:color="auto"/>
            </w:tcBorders>
            <w:shd w:val="clear" w:color="auto" w:fill="FFFFFF"/>
            <w:vAlign w:val="center"/>
          </w:tcPr>
          <w:p w:rsidR="00711011" w:rsidRPr="0095171D" w:rsidRDefault="00B0547F" w:rsidP="00B82934">
            <w:pPr>
              <w:jc w:val="center"/>
              <w:rPr>
                <w:b/>
                <w:bCs/>
                <w:color w:val="000000"/>
                <w:szCs w:val="20"/>
              </w:rPr>
            </w:pPr>
            <w:r w:rsidRPr="00B0547F">
              <w:rPr>
                <w:b/>
                <w:bCs/>
                <w:color w:val="000000"/>
                <w:szCs w:val="20"/>
              </w:rPr>
              <w:t>Early Dry Season</w:t>
            </w:r>
          </w:p>
        </w:tc>
        <w:tc>
          <w:tcPr>
            <w:tcW w:w="1958" w:type="dxa"/>
            <w:tcBorders>
              <w:top w:val="single" w:sz="4" w:space="0" w:color="auto"/>
              <w:left w:val="nil"/>
              <w:bottom w:val="single" w:sz="4" w:space="0" w:color="auto"/>
              <w:right w:val="single" w:sz="4" w:space="0" w:color="auto"/>
            </w:tcBorders>
            <w:shd w:val="clear" w:color="auto" w:fill="FFFFFF"/>
            <w:vAlign w:val="center"/>
          </w:tcPr>
          <w:p w:rsidR="00711011" w:rsidRPr="0095171D" w:rsidRDefault="00B0547F" w:rsidP="00B82934">
            <w:pPr>
              <w:jc w:val="center"/>
              <w:rPr>
                <w:b/>
                <w:bCs/>
                <w:color w:val="000000"/>
                <w:szCs w:val="20"/>
              </w:rPr>
            </w:pPr>
            <w:r w:rsidRPr="00B0547F">
              <w:rPr>
                <w:b/>
                <w:bCs/>
                <w:color w:val="000000"/>
                <w:szCs w:val="20"/>
              </w:rPr>
              <w:t>Late Dry Season</w:t>
            </w:r>
          </w:p>
        </w:tc>
      </w:tr>
      <w:tr w:rsidR="00711011" w:rsidRPr="0095171D" w:rsidTr="004D0609">
        <w:trPr>
          <w:trHeight w:val="329"/>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vAlign w:val="center"/>
          </w:tcPr>
          <w:p w:rsidR="00B0547F" w:rsidRPr="00B0547F" w:rsidRDefault="00B0547F" w:rsidP="00B0547F">
            <w:pPr>
              <w:jc w:val="center"/>
              <w:rPr>
                <w:b/>
                <w:bCs/>
                <w:color w:val="000000"/>
                <w:szCs w:val="20"/>
              </w:rPr>
            </w:pPr>
            <w:r w:rsidRPr="00B0547F">
              <w:rPr>
                <w:b/>
                <w:bCs/>
                <w:color w:val="000000"/>
                <w:szCs w:val="20"/>
              </w:rPr>
              <w:t>Fine</w:t>
            </w:r>
          </w:p>
        </w:tc>
        <w:tc>
          <w:tcPr>
            <w:tcW w:w="1896" w:type="dxa"/>
            <w:tcBorders>
              <w:top w:val="single" w:sz="4" w:space="0" w:color="auto"/>
              <w:left w:val="nil"/>
              <w:bottom w:val="single" w:sz="4" w:space="0" w:color="auto"/>
              <w:right w:val="single" w:sz="4" w:space="0" w:color="auto"/>
            </w:tcBorders>
            <w:shd w:val="clear" w:color="auto" w:fill="auto"/>
            <w:vAlign w:val="center"/>
          </w:tcPr>
          <w:p w:rsidR="00B0547F" w:rsidRPr="00B0547F" w:rsidRDefault="00B0547F" w:rsidP="00B0547F">
            <w:pPr>
              <w:jc w:val="center"/>
              <w:rPr>
                <w:color w:val="000000"/>
                <w:szCs w:val="20"/>
              </w:rPr>
            </w:pPr>
            <w:r w:rsidRPr="00B0547F">
              <w:rPr>
                <w:color w:val="000000"/>
                <w:szCs w:val="20"/>
              </w:rPr>
              <w:t>0.658</w:t>
            </w:r>
          </w:p>
        </w:tc>
        <w:tc>
          <w:tcPr>
            <w:tcW w:w="1958" w:type="dxa"/>
            <w:tcBorders>
              <w:top w:val="single" w:sz="4" w:space="0" w:color="auto"/>
              <w:left w:val="nil"/>
              <w:bottom w:val="single" w:sz="4" w:space="0" w:color="auto"/>
              <w:right w:val="single" w:sz="4" w:space="0" w:color="auto"/>
            </w:tcBorders>
            <w:shd w:val="clear" w:color="auto" w:fill="auto"/>
            <w:vAlign w:val="center"/>
          </w:tcPr>
          <w:p w:rsidR="00B0547F" w:rsidRPr="00B0547F" w:rsidRDefault="00B0547F" w:rsidP="00B0547F">
            <w:pPr>
              <w:jc w:val="center"/>
              <w:rPr>
                <w:color w:val="000000"/>
                <w:szCs w:val="20"/>
              </w:rPr>
            </w:pPr>
            <w:r w:rsidRPr="00B0547F">
              <w:rPr>
                <w:color w:val="000000"/>
                <w:szCs w:val="20"/>
              </w:rPr>
              <w:t>0.7608</w:t>
            </w:r>
          </w:p>
        </w:tc>
      </w:tr>
      <w:tr w:rsidR="00711011" w:rsidRPr="0095171D" w:rsidTr="004D0609">
        <w:trPr>
          <w:trHeight w:val="329"/>
          <w:jc w:val="center"/>
        </w:trPr>
        <w:tc>
          <w:tcPr>
            <w:tcW w:w="1896" w:type="dxa"/>
            <w:tcBorders>
              <w:top w:val="nil"/>
              <w:left w:val="single" w:sz="4" w:space="0" w:color="auto"/>
              <w:bottom w:val="single" w:sz="4" w:space="0" w:color="auto"/>
              <w:right w:val="single" w:sz="4" w:space="0" w:color="auto"/>
            </w:tcBorders>
            <w:shd w:val="clear" w:color="auto" w:fill="FFFFFF"/>
            <w:vAlign w:val="center"/>
          </w:tcPr>
          <w:p w:rsidR="00B0547F" w:rsidRPr="00B0547F" w:rsidRDefault="00B0547F" w:rsidP="00B0547F">
            <w:pPr>
              <w:jc w:val="center"/>
              <w:rPr>
                <w:b/>
                <w:bCs/>
                <w:color w:val="000000"/>
                <w:szCs w:val="20"/>
              </w:rPr>
            </w:pPr>
            <w:r w:rsidRPr="00B0547F">
              <w:rPr>
                <w:b/>
                <w:bCs/>
                <w:color w:val="000000"/>
                <w:szCs w:val="20"/>
              </w:rPr>
              <w:t>Coarse</w:t>
            </w:r>
          </w:p>
        </w:tc>
        <w:tc>
          <w:tcPr>
            <w:tcW w:w="1896" w:type="dxa"/>
            <w:tcBorders>
              <w:top w:val="single" w:sz="4" w:space="0" w:color="auto"/>
              <w:left w:val="nil"/>
              <w:bottom w:val="single" w:sz="4" w:space="0" w:color="auto"/>
              <w:right w:val="single" w:sz="4" w:space="0" w:color="auto"/>
            </w:tcBorders>
            <w:shd w:val="clear" w:color="auto" w:fill="auto"/>
            <w:vAlign w:val="center"/>
          </w:tcPr>
          <w:p w:rsidR="00B0547F" w:rsidRPr="00B0547F" w:rsidRDefault="00B0547F" w:rsidP="00B0547F">
            <w:pPr>
              <w:jc w:val="center"/>
              <w:rPr>
                <w:color w:val="000000"/>
                <w:szCs w:val="20"/>
              </w:rPr>
            </w:pPr>
            <w:r w:rsidRPr="00B0547F">
              <w:rPr>
                <w:color w:val="000000"/>
                <w:szCs w:val="20"/>
              </w:rPr>
              <w:t>0.13192</w:t>
            </w:r>
          </w:p>
        </w:tc>
        <w:tc>
          <w:tcPr>
            <w:tcW w:w="1958" w:type="dxa"/>
            <w:tcBorders>
              <w:top w:val="single" w:sz="4" w:space="0" w:color="auto"/>
              <w:left w:val="nil"/>
              <w:bottom w:val="single" w:sz="4" w:space="0" w:color="auto"/>
              <w:right w:val="single" w:sz="4" w:space="0" w:color="auto"/>
            </w:tcBorders>
            <w:shd w:val="clear" w:color="auto" w:fill="auto"/>
            <w:vAlign w:val="center"/>
          </w:tcPr>
          <w:p w:rsidR="00B0547F" w:rsidRPr="00B0547F" w:rsidRDefault="00B0547F" w:rsidP="00B0547F">
            <w:pPr>
              <w:jc w:val="center"/>
              <w:rPr>
                <w:color w:val="000000"/>
                <w:szCs w:val="20"/>
              </w:rPr>
            </w:pPr>
            <w:r w:rsidRPr="00B0547F">
              <w:rPr>
                <w:color w:val="000000"/>
                <w:szCs w:val="20"/>
              </w:rPr>
              <w:t>0.31844</w:t>
            </w:r>
          </w:p>
        </w:tc>
      </w:tr>
      <w:tr w:rsidR="00711011" w:rsidRPr="0095171D" w:rsidTr="004D0609">
        <w:trPr>
          <w:trHeight w:val="329"/>
          <w:jc w:val="center"/>
        </w:trPr>
        <w:tc>
          <w:tcPr>
            <w:tcW w:w="1896" w:type="dxa"/>
            <w:tcBorders>
              <w:top w:val="nil"/>
              <w:left w:val="single" w:sz="4" w:space="0" w:color="auto"/>
              <w:bottom w:val="single" w:sz="4" w:space="0" w:color="auto"/>
              <w:right w:val="single" w:sz="4" w:space="0" w:color="auto"/>
            </w:tcBorders>
            <w:shd w:val="clear" w:color="auto" w:fill="FFFFFF"/>
            <w:vAlign w:val="center"/>
          </w:tcPr>
          <w:p w:rsidR="00B0547F" w:rsidRPr="00B0547F" w:rsidRDefault="00B0547F" w:rsidP="00B0547F">
            <w:pPr>
              <w:jc w:val="center"/>
              <w:rPr>
                <w:b/>
                <w:bCs/>
                <w:color w:val="000000"/>
                <w:szCs w:val="20"/>
              </w:rPr>
            </w:pPr>
            <w:r w:rsidRPr="00B0547F">
              <w:rPr>
                <w:b/>
                <w:bCs/>
                <w:color w:val="000000"/>
                <w:szCs w:val="20"/>
              </w:rPr>
              <w:t>Heavy</w:t>
            </w:r>
          </w:p>
        </w:tc>
        <w:tc>
          <w:tcPr>
            <w:tcW w:w="1896" w:type="dxa"/>
            <w:tcBorders>
              <w:top w:val="single" w:sz="4" w:space="0" w:color="auto"/>
              <w:left w:val="nil"/>
              <w:bottom w:val="single" w:sz="4" w:space="0" w:color="auto"/>
              <w:right w:val="single" w:sz="4" w:space="0" w:color="auto"/>
            </w:tcBorders>
            <w:shd w:val="clear" w:color="auto" w:fill="auto"/>
            <w:vAlign w:val="center"/>
          </w:tcPr>
          <w:p w:rsidR="00B0547F" w:rsidRPr="00B0547F" w:rsidRDefault="00B0547F" w:rsidP="00B0547F">
            <w:pPr>
              <w:jc w:val="center"/>
              <w:rPr>
                <w:color w:val="000000"/>
                <w:szCs w:val="20"/>
              </w:rPr>
            </w:pPr>
            <w:r w:rsidRPr="00B0547F">
              <w:rPr>
                <w:color w:val="000000"/>
                <w:szCs w:val="20"/>
              </w:rPr>
              <w:t>0.1448</w:t>
            </w:r>
          </w:p>
        </w:tc>
        <w:tc>
          <w:tcPr>
            <w:tcW w:w="1958" w:type="dxa"/>
            <w:tcBorders>
              <w:top w:val="single" w:sz="4" w:space="0" w:color="auto"/>
              <w:left w:val="nil"/>
              <w:bottom w:val="single" w:sz="4" w:space="0" w:color="auto"/>
              <w:right w:val="single" w:sz="4" w:space="0" w:color="auto"/>
            </w:tcBorders>
            <w:shd w:val="clear" w:color="auto" w:fill="auto"/>
            <w:vAlign w:val="center"/>
          </w:tcPr>
          <w:p w:rsidR="00B0547F" w:rsidRPr="00B0547F" w:rsidRDefault="00B0547F" w:rsidP="00B0547F">
            <w:pPr>
              <w:jc w:val="center"/>
              <w:rPr>
                <w:color w:val="000000"/>
                <w:szCs w:val="20"/>
              </w:rPr>
            </w:pPr>
            <w:r w:rsidRPr="00B0547F">
              <w:rPr>
                <w:color w:val="000000"/>
                <w:szCs w:val="20"/>
              </w:rPr>
              <w:t>0.2676</w:t>
            </w:r>
          </w:p>
        </w:tc>
      </w:tr>
      <w:tr w:rsidR="00B82934" w:rsidRPr="0095171D" w:rsidTr="004D0609">
        <w:trPr>
          <w:trHeight w:val="329"/>
          <w:jc w:val="center"/>
        </w:trPr>
        <w:tc>
          <w:tcPr>
            <w:tcW w:w="1896" w:type="dxa"/>
            <w:tcBorders>
              <w:top w:val="nil"/>
              <w:left w:val="single" w:sz="4" w:space="0" w:color="auto"/>
              <w:bottom w:val="single" w:sz="4" w:space="0" w:color="auto"/>
              <w:right w:val="single" w:sz="4" w:space="0" w:color="auto"/>
            </w:tcBorders>
            <w:shd w:val="clear" w:color="auto" w:fill="FFFFFF"/>
            <w:vAlign w:val="center"/>
          </w:tcPr>
          <w:p w:rsidR="00B82934" w:rsidRPr="0095171D" w:rsidRDefault="00B82934" w:rsidP="00B82934">
            <w:pPr>
              <w:jc w:val="center"/>
              <w:rPr>
                <w:b/>
                <w:bCs/>
                <w:color w:val="000000"/>
                <w:szCs w:val="20"/>
              </w:rPr>
            </w:pPr>
            <w:r w:rsidRPr="0095171D">
              <w:rPr>
                <w:b/>
                <w:bCs/>
                <w:color w:val="000000"/>
                <w:szCs w:val="20"/>
              </w:rPr>
              <w:t>Shrub</w:t>
            </w:r>
          </w:p>
        </w:tc>
        <w:tc>
          <w:tcPr>
            <w:tcW w:w="1896" w:type="dxa"/>
            <w:tcBorders>
              <w:top w:val="single" w:sz="4" w:space="0" w:color="auto"/>
              <w:left w:val="nil"/>
              <w:bottom w:val="single" w:sz="4" w:space="0" w:color="auto"/>
              <w:right w:val="single" w:sz="4" w:space="0" w:color="auto"/>
            </w:tcBorders>
            <w:shd w:val="clear" w:color="auto" w:fill="auto"/>
            <w:vAlign w:val="center"/>
          </w:tcPr>
          <w:p w:rsidR="00B82934" w:rsidRPr="0095171D" w:rsidRDefault="00B82934" w:rsidP="00B82934">
            <w:pPr>
              <w:jc w:val="center"/>
              <w:rPr>
                <w:color w:val="000000"/>
                <w:szCs w:val="20"/>
              </w:rPr>
            </w:pPr>
            <w:r w:rsidRPr="0095171D">
              <w:rPr>
                <w:color w:val="000000"/>
                <w:szCs w:val="20"/>
              </w:rPr>
              <w:t>0.2556</w:t>
            </w:r>
          </w:p>
        </w:tc>
        <w:tc>
          <w:tcPr>
            <w:tcW w:w="1958" w:type="dxa"/>
            <w:tcBorders>
              <w:top w:val="single" w:sz="4" w:space="0" w:color="auto"/>
              <w:left w:val="nil"/>
              <w:bottom w:val="single" w:sz="4" w:space="0" w:color="auto"/>
              <w:right w:val="single" w:sz="4" w:space="0" w:color="auto"/>
            </w:tcBorders>
            <w:shd w:val="clear" w:color="auto" w:fill="auto"/>
            <w:vAlign w:val="center"/>
          </w:tcPr>
          <w:p w:rsidR="00B82934" w:rsidRPr="0095171D" w:rsidRDefault="00B82934" w:rsidP="00B82934">
            <w:pPr>
              <w:jc w:val="center"/>
              <w:rPr>
                <w:color w:val="000000"/>
                <w:szCs w:val="20"/>
              </w:rPr>
            </w:pPr>
            <w:r w:rsidRPr="0095171D">
              <w:rPr>
                <w:color w:val="000000"/>
                <w:szCs w:val="20"/>
              </w:rPr>
              <w:t>0.3464</w:t>
            </w:r>
          </w:p>
        </w:tc>
      </w:tr>
    </w:tbl>
    <w:p w:rsidR="00C17230" w:rsidRPr="0095171D" w:rsidRDefault="002F1104" w:rsidP="007C2AD6">
      <w:pPr>
        <w:pStyle w:val="Heading3"/>
        <w:numPr>
          <w:ilvl w:val="1"/>
          <w:numId w:val="45"/>
        </w:numPr>
        <w:rPr>
          <w:rFonts w:ascii="Times New Roman" w:hAnsi="Times New Roman" w:cs="Times New Roman"/>
          <w:sz w:val="24"/>
          <w:szCs w:val="24"/>
        </w:rPr>
      </w:pPr>
      <w:bookmarkStart w:id="583" w:name="_Ref317782234"/>
      <w:bookmarkStart w:id="584" w:name="_Toc325039165"/>
      <w:r w:rsidRPr="0095171D">
        <w:rPr>
          <w:rFonts w:ascii="Times New Roman" w:hAnsi="Times New Roman" w:cs="Times New Roman"/>
          <w:sz w:val="24"/>
          <w:szCs w:val="24"/>
        </w:rPr>
        <w:lastRenderedPageBreak/>
        <w:t>Fuel Load (FL)</w:t>
      </w:r>
      <w:bookmarkEnd w:id="583"/>
      <w:bookmarkEnd w:id="584"/>
    </w:p>
    <w:p w:rsidR="00B0547F" w:rsidRDefault="002F1104" w:rsidP="00B0547F">
      <w:pPr>
        <w:pStyle w:val="R1"/>
        <w:numPr>
          <w:ilvl w:val="0"/>
          <w:numId w:val="96"/>
        </w:numPr>
        <w:jc w:val="left"/>
      </w:pPr>
      <w:bookmarkStart w:id="585" w:name="_Ref317782297"/>
      <w:r w:rsidRPr="0095171D">
        <w:t>For the purposes of Equations 3 and 4, the fuel load (FL) for coarse, heavy and shrub fuel size classes for a vegetation class, is taken to be the amount set out in the following table:</w:t>
      </w:r>
      <w:bookmarkEnd w:id="585"/>
    </w:p>
    <w:p w:rsidR="00CC65C7" w:rsidRPr="0095171D" w:rsidRDefault="002F1104">
      <w:pPr>
        <w:pStyle w:val="R2"/>
        <w:tabs>
          <w:tab w:val="clear" w:pos="794"/>
          <w:tab w:val="left" w:pos="4632"/>
        </w:tabs>
        <w:jc w:val="center"/>
        <w:rPr>
          <w:b/>
        </w:rPr>
      </w:pPr>
      <w:r w:rsidRPr="0095171D">
        <w:rPr>
          <w:b/>
        </w:rPr>
        <w:t xml:space="preserve">Table </w:t>
      </w:r>
      <w:r w:rsidR="008F3B60" w:rsidRPr="0095171D">
        <w:rPr>
          <w:b/>
        </w:rPr>
        <w:t>2</w:t>
      </w:r>
      <w:r w:rsidRPr="0095171D">
        <w:rPr>
          <w:b/>
        </w:rPr>
        <w:t>: Fuel loads for coarse, heavy and shrub fuel size classes</w:t>
      </w:r>
    </w:p>
    <w:tbl>
      <w:tblPr>
        <w:tblW w:w="5811" w:type="dxa"/>
        <w:jc w:val="center"/>
        <w:tblLook w:val="0000"/>
      </w:tblPr>
      <w:tblGrid>
        <w:gridCol w:w="1700"/>
        <w:gridCol w:w="1276"/>
        <w:gridCol w:w="1417"/>
        <w:gridCol w:w="1418"/>
      </w:tblGrid>
      <w:tr w:rsidR="00D97890" w:rsidRPr="0095171D" w:rsidTr="004D0609">
        <w:trPr>
          <w:trHeight w:val="322"/>
          <w:jc w:val="center"/>
        </w:trPr>
        <w:tc>
          <w:tcPr>
            <w:tcW w:w="1700" w:type="dxa"/>
            <w:tcBorders>
              <w:top w:val="single" w:sz="4" w:space="0" w:color="auto"/>
              <w:left w:val="single" w:sz="4" w:space="0" w:color="auto"/>
              <w:right w:val="single" w:sz="8" w:space="0" w:color="auto"/>
            </w:tcBorders>
            <w:shd w:val="clear" w:color="auto" w:fill="auto"/>
            <w:noWrap/>
            <w:vAlign w:val="center"/>
          </w:tcPr>
          <w:p w:rsidR="00B0547F" w:rsidRPr="00B0547F" w:rsidRDefault="00B0547F" w:rsidP="00B0547F">
            <w:pPr>
              <w:jc w:val="center"/>
              <w:rPr>
                <w:b/>
                <w:szCs w:val="20"/>
              </w:rPr>
            </w:pPr>
            <w:r w:rsidRPr="00B0547F">
              <w:rPr>
                <w:b/>
                <w:szCs w:val="20"/>
              </w:rPr>
              <w:t>Vegetation class</w:t>
            </w:r>
          </w:p>
        </w:tc>
        <w:tc>
          <w:tcPr>
            <w:tcW w:w="4111"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D97890" w:rsidRPr="0095171D" w:rsidRDefault="00B0547F" w:rsidP="00B82934">
            <w:pPr>
              <w:jc w:val="center"/>
              <w:rPr>
                <w:b/>
                <w:szCs w:val="20"/>
              </w:rPr>
            </w:pPr>
            <w:r w:rsidRPr="00B0547F">
              <w:rPr>
                <w:b/>
                <w:szCs w:val="20"/>
              </w:rPr>
              <w:t>Fuel size class</w:t>
            </w:r>
          </w:p>
        </w:tc>
      </w:tr>
      <w:tr w:rsidR="00D97890" w:rsidRPr="0095171D" w:rsidTr="00B82934">
        <w:trPr>
          <w:trHeight w:val="255"/>
          <w:jc w:val="center"/>
        </w:trPr>
        <w:tc>
          <w:tcPr>
            <w:tcW w:w="1700" w:type="dxa"/>
            <w:tcBorders>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B0547F" w:rsidP="00B82934">
            <w:pPr>
              <w:jc w:val="center"/>
              <w:rPr>
                <w:b/>
                <w:szCs w:val="20"/>
              </w:rPr>
            </w:pPr>
            <w:r w:rsidRPr="00B0547F">
              <w:rPr>
                <w:b/>
                <w:szCs w:val="20"/>
              </w:rPr>
              <w:t>Coarse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B0547F" w:rsidP="00B82934">
            <w:pPr>
              <w:jc w:val="center"/>
              <w:rPr>
                <w:b/>
                <w:szCs w:val="20"/>
              </w:rPr>
            </w:pPr>
            <w:r w:rsidRPr="00B0547F">
              <w:rPr>
                <w:b/>
                <w:szCs w:val="20"/>
              </w:rPr>
              <w:t>Heavy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B0547F" w:rsidP="00B82934">
            <w:pPr>
              <w:jc w:val="center"/>
              <w:rPr>
                <w:b/>
                <w:szCs w:val="20"/>
              </w:rPr>
            </w:pPr>
            <w:r w:rsidRPr="00B0547F">
              <w:rPr>
                <w:b/>
                <w:szCs w:val="20"/>
              </w:rPr>
              <w:t>Shrub</w:t>
            </w:r>
          </w:p>
        </w:tc>
      </w:tr>
      <w:tr w:rsidR="00D97890" w:rsidRPr="0095171D" w:rsidTr="004D0609">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szCs w:val="20"/>
              </w:rPr>
            </w:pPr>
            <w:r w:rsidRPr="00B0547F">
              <w:rPr>
                <w:b/>
                <w:szCs w:val="20"/>
              </w:rPr>
              <w:t>EOF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1.5</w:t>
            </w:r>
          </w:p>
        </w:tc>
      </w:tr>
      <w:tr w:rsidR="00D97890" w:rsidRPr="0095171D" w:rsidTr="004D0609">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szCs w:val="20"/>
              </w:rPr>
            </w:pPr>
            <w:r w:rsidRPr="00B0547F">
              <w:rPr>
                <w:b/>
                <w:szCs w:val="20"/>
              </w:rPr>
              <w:t>EW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0.90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0.5</w:t>
            </w:r>
          </w:p>
        </w:tc>
      </w:tr>
      <w:tr w:rsidR="00D97890" w:rsidRPr="0095171D" w:rsidTr="004D0609">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szCs w:val="20"/>
              </w:rPr>
            </w:pPr>
            <w:r w:rsidRPr="00B0547F">
              <w:rPr>
                <w:b/>
                <w:szCs w:val="20"/>
              </w:rPr>
              <w:t>SW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1.7</w:t>
            </w:r>
          </w:p>
        </w:tc>
      </w:tr>
      <w:tr w:rsidR="00D97890" w:rsidRPr="0095171D" w:rsidTr="004D0609">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szCs w:val="20"/>
              </w:rPr>
            </w:pPr>
            <w:r w:rsidRPr="00B0547F">
              <w:rPr>
                <w:b/>
                <w:szCs w:val="20"/>
              </w:rPr>
              <w:t>SH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890" w:rsidRPr="0095171D" w:rsidRDefault="002F1104" w:rsidP="00B82934">
            <w:pPr>
              <w:jc w:val="center"/>
              <w:rPr>
                <w:color w:val="000000"/>
              </w:rPr>
            </w:pPr>
            <w:r w:rsidRPr="0095171D">
              <w:rPr>
                <w:color w:val="000000"/>
              </w:rPr>
              <w:t>1.8</w:t>
            </w:r>
          </w:p>
        </w:tc>
      </w:tr>
    </w:tbl>
    <w:p w:rsidR="00B0547F" w:rsidRDefault="005B69F8" w:rsidP="00B0547F">
      <w:pPr>
        <w:pStyle w:val="R1"/>
        <w:numPr>
          <w:ilvl w:val="0"/>
          <w:numId w:val="96"/>
        </w:numPr>
        <w:jc w:val="left"/>
      </w:pPr>
      <w:r w:rsidRPr="0095171D">
        <w:t xml:space="preserve">For the purposes of Equations 3 and 4, the fuel load (FL) for the fine fuel size </w:t>
      </w:r>
      <w:r w:rsidR="00714319">
        <w:t xml:space="preserve">class must be calculated according to sections </w:t>
      </w:r>
      <w:r w:rsidR="00B0547F" w:rsidRPr="00B0547F">
        <w:t>3.11, 3.12 and 3.13</w:t>
      </w:r>
      <w:r w:rsidR="00714319">
        <w:t>.</w:t>
      </w:r>
    </w:p>
    <w:p w:rsidR="000A429A" w:rsidRPr="00BE31C6" w:rsidRDefault="00714319" w:rsidP="000A429A">
      <w:pPr>
        <w:pStyle w:val="Heading3"/>
        <w:numPr>
          <w:ilvl w:val="1"/>
          <w:numId w:val="45"/>
        </w:numPr>
        <w:rPr>
          <w:rFonts w:ascii="Times New Roman" w:hAnsi="Times New Roman" w:cs="Times New Roman"/>
          <w:sz w:val="24"/>
          <w:szCs w:val="24"/>
        </w:rPr>
      </w:pPr>
      <w:bookmarkStart w:id="586" w:name="_Toc324506910"/>
      <w:bookmarkStart w:id="587" w:name="_Toc324506911"/>
      <w:bookmarkStart w:id="588" w:name="_Toc324506912"/>
      <w:bookmarkStart w:id="589" w:name="_Toc324506913"/>
      <w:bookmarkStart w:id="590" w:name="_Toc324506914"/>
      <w:bookmarkStart w:id="591" w:name="_Toc324506915"/>
      <w:bookmarkStart w:id="592" w:name="_Toc324506916"/>
      <w:bookmarkStart w:id="593" w:name="_Toc324506917"/>
      <w:bookmarkStart w:id="594" w:name="_Toc324506918"/>
      <w:bookmarkStart w:id="595" w:name="_Toc324506919"/>
      <w:bookmarkStart w:id="596" w:name="_Toc324506920"/>
      <w:bookmarkStart w:id="597" w:name="_Toc324506921"/>
      <w:bookmarkStart w:id="598" w:name="_Toc324506922"/>
      <w:bookmarkStart w:id="599" w:name="_Toc324506923"/>
      <w:bookmarkStart w:id="600" w:name="_Toc324506924"/>
      <w:bookmarkStart w:id="601" w:name="_Toc324506925"/>
      <w:bookmarkStart w:id="602" w:name="_Toc324506926"/>
      <w:bookmarkStart w:id="603" w:name="_Toc324506927"/>
      <w:bookmarkStart w:id="604" w:name="_Toc324506928"/>
      <w:bookmarkStart w:id="605" w:name="_Toc324506929"/>
      <w:bookmarkStart w:id="606" w:name="_Toc324506930"/>
      <w:bookmarkStart w:id="607" w:name="_Toc324506931"/>
      <w:bookmarkStart w:id="608" w:name="_Toc324506932"/>
      <w:bookmarkStart w:id="609" w:name="_Toc324506933"/>
      <w:bookmarkStart w:id="610" w:name="_Toc324506934"/>
      <w:bookmarkStart w:id="611" w:name="_Toc324506935"/>
      <w:bookmarkStart w:id="612" w:name="_Toc324506936"/>
      <w:bookmarkStart w:id="613" w:name="_Toc324506937"/>
      <w:bookmarkStart w:id="614" w:name="_Toc323553907"/>
      <w:bookmarkStart w:id="615" w:name="_Toc323554039"/>
      <w:bookmarkStart w:id="616" w:name="_Toc323554171"/>
      <w:bookmarkStart w:id="617" w:name="_Toc325039166"/>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ascii="Times New Roman" w:hAnsi="Times New Roman" w:cs="Times New Roman"/>
          <w:sz w:val="24"/>
          <w:szCs w:val="24"/>
        </w:rPr>
        <w:t>Calculating years since last burnt</w:t>
      </w:r>
      <w:r w:rsidR="00BD1442">
        <w:rPr>
          <w:rFonts w:ascii="Times New Roman" w:hAnsi="Times New Roman" w:cs="Times New Roman"/>
          <w:sz w:val="24"/>
          <w:szCs w:val="24"/>
        </w:rPr>
        <w:t xml:space="preserve"> (YSLB)</w:t>
      </w:r>
      <w:r>
        <w:rPr>
          <w:rFonts w:ascii="Times New Roman" w:hAnsi="Times New Roman" w:cs="Times New Roman"/>
          <w:sz w:val="24"/>
          <w:szCs w:val="24"/>
        </w:rPr>
        <w:t xml:space="preserve"> for </w:t>
      </w:r>
      <w:r w:rsidR="00E571D0">
        <w:rPr>
          <w:rFonts w:ascii="Times New Roman" w:hAnsi="Times New Roman" w:cs="Times New Roman"/>
          <w:sz w:val="24"/>
          <w:szCs w:val="24"/>
        </w:rPr>
        <w:t>a</w:t>
      </w:r>
      <w:r>
        <w:rPr>
          <w:rFonts w:ascii="Times New Roman" w:hAnsi="Times New Roman" w:cs="Times New Roman"/>
          <w:sz w:val="24"/>
          <w:szCs w:val="24"/>
        </w:rPr>
        <w:t xml:space="preserve"> pixel</w:t>
      </w:r>
      <w:bookmarkEnd w:id="617"/>
    </w:p>
    <w:p w:rsidR="000A429A" w:rsidRPr="00BE31C6" w:rsidRDefault="00714319" w:rsidP="000A429A">
      <w:pPr>
        <w:pStyle w:val="R1"/>
        <w:numPr>
          <w:ilvl w:val="0"/>
          <w:numId w:val="93"/>
        </w:numPr>
        <w:jc w:val="left"/>
      </w:pPr>
      <w:r>
        <w:t>Years since last burnt</w:t>
      </w:r>
      <w:r w:rsidR="00C03BB7">
        <w:t xml:space="preserve"> (YSLB)</w:t>
      </w:r>
      <w:r>
        <w:t xml:space="preserve"> must be calculated for each year in the baseline period and the reporting period, using GIS software. </w:t>
      </w:r>
    </w:p>
    <w:p w:rsidR="000A429A" w:rsidRPr="00BE31C6" w:rsidRDefault="00714319" w:rsidP="000A429A">
      <w:pPr>
        <w:pStyle w:val="R1"/>
        <w:numPr>
          <w:ilvl w:val="0"/>
          <w:numId w:val="93"/>
        </w:numPr>
        <w:jc w:val="left"/>
      </w:pPr>
      <w:r>
        <w:t xml:space="preserve">Calculation of </w:t>
      </w:r>
      <w:r w:rsidR="00C03BB7">
        <w:t>YSLB</w:t>
      </w:r>
      <w:r>
        <w:t xml:space="preserve"> for each year</w:t>
      </w:r>
      <w:r w:rsidR="00BE31C6">
        <w:t xml:space="preserve"> of the baseline period and the reporting period</w:t>
      </w:r>
      <w:r>
        <w:t xml:space="preserve"> must involve the analysis of fire maps for </w:t>
      </w:r>
      <w:r w:rsidR="00E571D0">
        <w:t>a given</w:t>
      </w:r>
      <w:r w:rsidR="00E571D0" w:rsidRPr="0095171D">
        <w:t xml:space="preserve"> </w:t>
      </w:r>
      <w:r w:rsidR="00E571D0">
        <w:t xml:space="preserve">calendar </w:t>
      </w:r>
      <w:r w:rsidR="00CA5D6B">
        <w:t xml:space="preserve">year </w:t>
      </w:r>
      <w:r>
        <w:t>(the analysis year) and for the previous five years.</w:t>
      </w:r>
    </w:p>
    <w:p w:rsidR="000A429A" w:rsidRPr="00BE31C6" w:rsidRDefault="00BE31C6" w:rsidP="000A429A">
      <w:pPr>
        <w:pStyle w:val="R1"/>
        <w:numPr>
          <w:ilvl w:val="0"/>
          <w:numId w:val="93"/>
        </w:numPr>
        <w:jc w:val="left"/>
      </w:pPr>
      <w:r>
        <w:t>When</w:t>
      </w:r>
      <w:r w:rsidR="00714319">
        <w:t xml:space="preserve"> </w:t>
      </w:r>
      <w:r w:rsidR="00B0547F">
        <w:t>the earliest five</w:t>
      </w:r>
      <w:r w:rsidR="00714319">
        <w:t xml:space="preserve"> years of the baseline period</w:t>
      </w:r>
      <w:r>
        <w:t xml:space="preserve"> are analysed</w:t>
      </w:r>
      <w:r w:rsidR="00714319">
        <w:t>, the annual fire maps developed in the fuel load estimation period must be used</w:t>
      </w:r>
      <w:r>
        <w:t xml:space="preserve"> to provide maps for the five years preceding the analysis year</w:t>
      </w:r>
      <w:r w:rsidR="00B0547F" w:rsidRPr="00B0547F">
        <w:t>.</w:t>
      </w:r>
    </w:p>
    <w:p w:rsidR="000A429A" w:rsidRPr="00BE31C6" w:rsidRDefault="005D4E80" w:rsidP="000A429A">
      <w:pPr>
        <w:pStyle w:val="R1"/>
        <w:numPr>
          <w:ilvl w:val="0"/>
          <w:numId w:val="93"/>
        </w:numPr>
        <w:jc w:val="left"/>
      </w:pPr>
      <w:r>
        <w:t>YSLB</w:t>
      </w:r>
      <w:r w:rsidR="00B0547F" w:rsidRPr="00B0547F">
        <w:t xml:space="preserve"> must be calculated using the following process:</w:t>
      </w:r>
    </w:p>
    <w:p w:rsidR="000A429A" w:rsidRPr="00BE31C6" w:rsidRDefault="008E4BF4" w:rsidP="000A429A">
      <w:pPr>
        <w:pStyle w:val="P1"/>
        <w:numPr>
          <w:ilvl w:val="0"/>
          <w:numId w:val="86"/>
        </w:numPr>
        <w:jc w:val="left"/>
      </w:pPr>
      <w:r>
        <w:t>t</w:t>
      </w:r>
      <w:r w:rsidRPr="0095171D">
        <w:t xml:space="preserve">he monthly fire maps described in section </w:t>
      </w:r>
      <w:fldSimple w:instr=" REF _Ref323828564 \r \h  \* MERGEFORMAT ">
        <w:r w:rsidR="001756BA">
          <w:t>3.4</w:t>
        </w:r>
      </w:fldSimple>
      <w:r w:rsidRPr="0095171D">
        <w:t xml:space="preserve"> must be aggregated into calendar year fire maps for the analysis year and for each of the five years preceding it</w:t>
      </w:r>
      <w:r>
        <w:t>,</w:t>
      </w:r>
      <w:r w:rsidRPr="0095171D">
        <w:t xml:space="preserve"> with each pixel</w:t>
      </w:r>
      <w:r>
        <w:t xml:space="preserve"> showing whether the area represented by the pixel was</w:t>
      </w:r>
      <w:r w:rsidRPr="0095171D">
        <w:t xml:space="preserve"> burnt or unburnt</w:t>
      </w:r>
      <w:r>
        <w:t xml:space="preserve"> (described as ‘</w:t>
      </w:r>
      <w:r w:rsidRPr="00D50F38">
        <w:rPr>
          <w:b/>
          <w:i/>
        </w:rPr>
        <w:t>burnt pixels</w:t>
      </w:r>
      <w:r>
        <w:t>’ and ‘</w:t>
      </w:r>
      <w:r w:rsidRPr="00D50F38">
        <w:rPr>
          <w:b/>
          <w:i/>
        </w:rPr>
        <w:t>unburnt pixels</w:t>
      </w:r>
      <w:r>
        <w:t xml:space="preserve">’ respectively in this </w:t>
      </w:r>
      <w:r w:rsidR="009A4450">
        <w:t>M</w:t>
      </w:r>
      <w:r>
        <w:t xml:space="preserve">ethodology </w:t>
      </w:r>
      <w:r w:rsidR="009A4450">
        <w:t>D</w:t>
      </w:r>
      <w:r>
        <w:t>etermination)</w:t>
      </w:r>
      <w:r w:rsidR="00B0547F" w:rsidRPr="00B0547F">
        <w:t>;</w:t>
      </w:r>
    </w:p>
    <w:p w:rsidR="000A429A" w:rsidRPr="00BE31C6" w:rsidRDefault="00B0547F" w:rsidP="000A429A">
      <w:pPr>
        <w:pStyle w:val="P1"/>
        <w:numPr>
          <w:ilvl w:val="0"/>
          <w:numId w:val="86"/>
        </w:numPr>
        <w:jc w:val="left"/>
      </w:pPr>
      <w:r w:rsidRPr="00B0547F">
        <w:t>the relevant</w:t>
      </w:r>
      <w:r w:rsidR="009D610D">
        <w:t xml:space="preserve"> Gregorian</w:t>
      </w:r>
      <w:r w:rsidRPr="00B0547F">
        <w:t xml:space="preserve"> </w:t>
      </w:r>
      <w:r w:rsidR="009D610D">
        <w:t xml:space="preserve">calendar </w:t>
      </w:r>
      <w:r w:rsidRPr="00B0547F">
        <w:t>year must be assigned (as a value) to all burnt pixels in each fire year;</w:t>
      </w:r>
    </w:p>
    <w:p w:rsidR="000A429A" w:rsidRPr="00BE31C6" w:rsidRDefault="00B0547F" w:rsidP="000A429A">
      <w:pPr>
        <w:pStyle w:val="P1"/>
        <w:numPr>
          <w:ilvl w:val="0"/>
          <w:numId w:val="86"/>
        </w:numPr>
        <w:jc w:val="left"/>
      </w:pPr>
      <w:r w:rsidRPr="00B0547F">
        <w:t>a zero value must be assigned to all unburnt pixels;</w:t>
      </w:r>
    </w:p>
    <w:p w:rsidR="000A429A" w:rsidRPr="00BE31C6" w:rsidRDefault="00B0547F" w:rsidP="000A429A">
      <w:pPr>
        <w:pStyle w:val="P1"/>
        <w:numPr>
          <w:ilvl w:val="0"/>
          <w:numId w:val="86"/>
        </w:numPr>
        <w:jc w:val="left"/>
      </w:pPr>
      <w:r w:rsidRPr="00B0547F">
        <w:t>a name must be assigned to each of the six maps using the following convention:</w:t>
      </w:r>
    </w:p>
    <w:p w:rsidR="000A429A" w:rsidRPr="0095171D" w:rsidRDefault="002F1104" w:rsidP="000A429A">
      <w:pPr>
        <w:pStyle w:val="P1"/>
        <w:numPr>
          <w:ilvl w:val="0"/>
          <w:numId w:val="87"/>
        </w:numPr>
        <w:tabs>
          <w:tab w:val="clear" w:pos="1191"/>
          <w:tab w:val="left" w:pos="2127"/>
        </w:tabs>
        <w:ind w:left="2127" w:hanging="709"/>
        <w:jc w:val="left"/>
      </w:pPr>
      <w:r w:rsidRPr="0095171D">
        <w:t>the analysis year must be named Gy; and</w:t>
      </w:r>
    </w:p>
    <w:p w:rsidR="000A429A" w:rsidRPr="0095171D" w:rsidRDefault="002F1104" w:rsidP="000A429A">
      <w:pPr>
        <w:pStyle w:val="P1"/>
        <w:numPr>
          <w:ilvl w:val="0"/>
          <w:numId w:val="87"/>
        </w:numPr>
        <w:tabs>
          <w:tab w:val="clear" w:pos="1191"/>
          <w:tab w:val="left" w:pos="2127"/>
        </w:tabs>
        <w:ind w:left="2127" w:hanging="709"/>
        <w:jc w:val="left"/>
      </w:pPr>
      <w:r w:rsidRPr="0095171D">
        <w:t>the five maps preceding the analysis year must be named Gy-1 to Gy-5 in sequence, with Gy-1 being the year immediately preceding the analysis year;</w:t>
      </w:r>
    </w:p>
    <w:p w:rsidR="000A429A" w:rsidRPr="0095171D" w:rsidRDefault="002F1104" w:rsidP="000A429A">
      <w:pPr>
        <w:pStyle w:val="P1"/>
        <w:numPr>
          <w:ilvl w:val="0"/>
          <w:numId w:val="86"/>
        </w:numPr>
        <w:jc w:val="left"/>
      </w:pPr>
      <w:r w:rsidRPr="0095171D">
        <w:lastRenderedPageBreak/>
        <w:t>five maps must be generated that show the difference in values between the analysis year and each of the other five years by undertaking a standard grid operation in GIS software that takes the values assigned to each pixel from the analysis year map and subtracts the corresponding values in each of the five other maps in turn;</w:t>
      </w:r>
    </w:p>
    <w:p w:rsidR="000A429A" w:rsidRPr="0095171D" w:rsidRDefault="002F1104" w:rsidP="000A429A">
      <w:pPr>
        <w:pStyle w:val="P1"/>
        <w:numPr>
          <w:ilvl w:val="0"/>
          <w:numId w:val="86"/>
        </w:numPr>
        <w:tabs>
          <w:tab w:val="clear" w:pos="1191"/>
          <w:tab w:val="left" w:pos="1418"/>
        </w:tabs>
        <w:jc w:val="left"/>
      </w:pPr>
      <w:r w:rsidRPr="0095171D">
        <w:t>this analysis produces five maps that must be named Dy-1 to Dy-5;</w:t>
      </w:r>
    </w:p>
    <w:p w:rsidR="000A429A" w:rsidRPr="0095171D" w:rsidRDefault="002F1104" w:rsidP="00CB00CE">
      <w:pPr>
        <w:pStyle w:val="R1"/>
        <w:ind w:left="1425" w:firstLine="0"/>
        <w:rPr>
          <w:sz w:val="20"/>
          <w:szCs w:val="20"/>
        </w:rPr>
      </w:pPr>
      <w:r w:rsidRPr="0095171D">
        <w:rPr>
          <w:i/>
          <w:sz w:val="20"/>
          <w:szCs w:val="20"/>
        </w:rPr>
        <w:t>Note</w:t>
      </w:r>
      <w:r w:rsidR="00CB00CE">
        <w:rPr>
          <w:i/>
          <w:sz w:val="20"/>
          <w:szCs w:val="20"/>
        </w:rPr>
        <w:t>:</w:t>
      </w:r>
      <w:r w:rsidRPr="0095171D">
        <w:rPr>
          <w:sz w:val="20"/>
          <w:szCs w:val="20"/>
        </w:rPr>
        <w:tab/>
        <w:t>For example, Dy-1 represents the values allocated to each pixel in Gy minus the values allocated to each pixel in Gy-1. Dy-2 represents the values allocated to each pixel in Gy minus the values allocated to each pixel in Gy-2 and so on. The five maps that are the product of this analysis will be:</w:t>
      </w:r>
    </w:p>
    <w:p w:rsidR="000A429A" w:rsidRPr="0095171D" w:rsidRDefault="002F1104" w:rsidP="000A429A">
      <w:pPr>
        <w:pStyle w:val="R1"/>
        <w:ind w:left="3124"/>
        <w:rPr>
          <w:sz w:val="20"/>
          <w:szCs w:val="20"/>
        </w:rPr>
      </w:pPr>
      <w:r w:rsidRPr="0095171D">
        <w:rPr>
          <w:sz w:val="20"/>
          <w:szCs w:val="20"/>
        </w:rPr>
        <w:t>1.</w:t>
      </w:r>
      <w:r w:rsidRPr="0095171D">
        <w:rPr>
          <w:sz w:val="20"/>
          <w:szCs w:val="20"/>
        </w:rPr>
        <w:tab/>
        <w:t>Dy-1 = Gy – Gy-1</w:t>
      </w:r>
      <w:r w:rsidR="00571E7E">
        <w:rPr>
          <w:sz w:val="20"/>
          <w:szCs w:val="20"/>
        </w:rPr>
        <w:t>;</w:t>
      </w:r>
    </w:p>
    <w:p w:rsidR="000A429A" w:rsidRPr="0095171D" w:rsidRDefault="002F1104" w:rsidP="000A429A">
      <w:pPr>
        <w:pStyle w:val="R1"/>
        <w:ind w:left="3124"/>
        <w:rPr>
          <w:sz w:val="20"/>
          <w:szCs w:val="20"/>
        </w:rPr>
      </w:pPr>
      <w:r w:rsidRPr="0095171D">
        <w:rPr>
          <w:sz w:val="20"/>
          <w:szCs w:val="20"/>
        </w:rPr>
        <w:t>2.</w:t>
      </w:r>
      <w:r w:rsidRPr="0095171D">
        <w:rPr>
          <w:sz w:val="20"/>
          <w:szCs w:val="20"/>
        </w:rPr>
        <w:tab/>
        <w:t>Dy-2 = Gy – Gy-2</w:t>
      </w:r>
      <w:r w:rsidR="00571E7E">
        <w:rPr>
          <w:sz w:val="20"/>
          <w:szCs w:val="20"/>
        </w:rPr>
        <w:t>;</w:t>
      </w:r>
    </w:p>
    <w:p w:rsidR="000A429A" w:rsidRPr="0095171D" w:rsidRDefault="002F1104" w:rsidP="000A429A">
      <w:pPr>
        <w:pStyle w:val="R1"/>
        <w:ind w:left="3124"/>
        <w:rPr>
          <w:sz w:val="20"/>
          <w:szCs w:val="20"/>
        </w:rPr>
      </w:pPr>
      <w:r w:rsidRPr="0095171D">
        <w:rPr>
          <w:sz w:val="20"/>
          <w:szCs w:val="20"/>
        </w:rPr>
        <w:t>3.</w:t>
      </w:r>
      <w:r w:rsidRPr="0095171D">
        <w:rPr>
          <w:sz w:val="20"/>
          <w:szCs w:val="20"/>
        </w:rPr>
        <w:tab/>
        <w:t>Dy-3 = Gy – Gy-3</w:t>
      </w:r>
      <w:r w:rsidR="00571E7E">
        <w:rPr>
          <w:sz w:val="20"/>
          <w:szCs w:val="20"/>
        </w:rPr>
        <w:t>;</w:t>
      </w:r>
    </w:p>
    <w:p w:rsidR="000A429A" w:rsidRPr="0095171D" w:rsidRDefault="002F1104" w:rsidP="000A429A">
      <w:pPr>
        <w:pStyle w:val="R1"/>
        <w:ind w:left="3124"/>
        <w:rPr>
          <w:sz w:val="20"/>
          <w:szCs w:val="20"/>
        </w:rPr>
      </w:pPr>
      <w:r w:rsidRPr="0095171D">
        <w:rPr>
          <w:sz w:val="20"/>
          <w:szCs w:val="20"/>
        </w:rPr>
        <w:t>4.</w:t>
      </w:r>
      <w:r w:rsidRPr="0095171D">
        <w:rPr>
          <w:sz w:val="20"/>
          <w:szCs w:val="20"/>
        </w:rPr>
        <w:tab/>
        <w:t>Dy-4 = Gy – Gy-4</w:t>
      </w:r>
      <w:r w:rsidR="00571E7E">
        <w:rPr>
          <w:sz w:val="20"/>
          <w:szCs w:val="20"/>
        </w:rPr>
        <w:t>; and</w:t>
      </w:r>
    </w:p>
    <w:p w:rsidR="000A429A" w:rsidRPr="0095171D" w:rsidRDefault="002F1104" w:rsidP="000A429A">
      <w:pPr>
        <w:pStyle w:val="R1"/>
        <w:ind w:left="3124"/>
        <w:jc w:val="left"/>
        <w:rPr>
          <w:sz w:val="20"/>
          <w:szCs w:val="20"/>
        </w:rPr>
      </w:pPr>
      <w:r w:rsidRPr="0095171D">
        <w:rPr>
          <w:sz w:val="20"/>
          <w:szCs w:val="20"/>
        </w:rPr>
        <w:t>5.</w:t>
      </w:r>
      <w:r w:rsidRPr="0095171D">
        <w:rPr>
          <w:sz w:val="20"/>
          <w:szCs w:val="20"/>
        </w:rPr>
        <w:tab/>
        <w:t>Dy-5 = Gy – Gy-5</w:t>
      </w:r>
      <w:r w:rsidR="00571E7E">
        <w:rPr>
          <w:sz w:val="20"/>
          <w:szCs w:val="20"/>
        </w:rPr>
        <w:t>;</w:t>
      </w:r>
    </w:p>
    <w:p w:rsidR="000A429A" w:rsidRPr="0095171D" w:rsidRDefault="002F1104" w:rsidP="000A429A">
      <w:pPr>
        <w:pStyle w:val="P1"/>
        <w:numPr>
          <w:ilvl w:val="0"/>
          <w:numId w:val="86"/>
        </w:numPr>
        <w:tabs>
          <w:tab w:val="clear" w:pos="1191"/>
          <w:tab w:val="left" w:pos="1418"/>
        </w:tabs>
        <w:jc w:val="left"/>
      </w:pPr>
      <w:r w:rsidRPr="0095171D">
        <w:t>the minimum value allocated to each corresponding pixel in each map must be calculated using a standard grid operation in GIS software and presented in a single map, which will have one of the following values for each pixel:</w:t>
      </w:r>
    </w:p>
    <w:p w:rsidR="000A429A" w:rsidRPr="0095171D" w:rsidRDefault="002F1104" w:rsidP="000A429A">
      <w:pPr>
        <w:pStyle w:val="P1"/>
        <w:numPr>
          <w:ilvl w:val="0"/>
          <w:numId w:val="88"/>
        </w:numPr>
        <w:tabs>
          <w:tab w:val="clear" w:pos="1191"/>
          <w:tab w:val="left" w:pos="2127"/>
        </w:tabs>
        <w:ind w:left="2127" w:hanging="709"/>
        <w:jc w:val="left"/>
      </w:pPr>
      <w:r w:rsidRPr="0095171D">
        <w:t xml:space="preserve">a pixel value of zero, which means no fire in that pixel in any year; </w:t>
      </w:r>
    </w:p>
    <w:p w:rsidR="000A429A" w:rsidRPr="0095171D" w:rsidRDefault="002F1104" w:rsidP="000A429A">
      <w:pPr>
        <w:pStyle w:val="P1"/>
        <w:numPr>
          <w:ilvl w:val="0"/>
          <w:numId w:val="88"/>
        </w:numPr>
        <w:tabs>
          <w:tab w:val="clear" w:pos="1191"/>
          <w:tab w:val="left" w:pos="2127"/>
        </w:tabs>
        <w:ind w:left="2127" w:hanging="709"/>
        <w:jc w:val="left"/>
      </w:pPr>
      <w:r w:rsidRPr="0095171D">
        <w:t>a pixel value of a large negative number (e</w:t>
      </w:r>
      <w:r w:rsidR="005D4E80">
        <w:t>.</w:t>
      </w:r>
      <w:r w:rsidRPr="0095171D">
        <w:t>g</w:t>
      </w:r>
      <w:r w:rsidR="005D4E80">
        <w:t>.</w:t>
      </w:r>
      <w:r w:rsidRPr="0095171D">
        <w:t xml:space="preserve"> -2006), which means not burnt in the analysis year but burnt in one or more of the other years;</w:t>
      </w:r>
    </w:p>
    <w:p w:rsidR="000A429A" w:rsidRPr="0095171D" w:rsidRDefault="002F1104" w:rsidP="000A429A">
      <w:pPr>
        <w:pStyle w:val="P1"/>
        <w:numPr>
          <w:ilvl w:val="0"/>
          <w:numId w:val="88"/>
        </w:numPr>
        <w:tabs>
          <w:tab w:val="clear" w:pos="1191"/>
          <w:tab w:val="left" w:pos="2127"/>
        </w:tabs>
        <w:ind w:left="2127" w:hanging="709"/>
        <w:jc w:val="left"/>
      </w:pPr>
      <w:r w:rsidRPr="0095171D">
        <w:t xml:space="preserve">a pixel value of </w:t>
      </w:r>
      <w:r w:rsidR="00861D45">
        <w:t xml:space="preserve">one </w:t>
      </w:r>
      <w:r w:rsidRPr="0095171D">
        <w:t xml:space="preserve">to </w:t>
      </w:r>
      <w:r w:rsidR="00861D45">
        <w:t>five</w:t>
      </w:r>
      <w:r w:rsidRPr="0095171D">
        <w:t xml:space="preserve">, which means burnt in the analysis year and also burnt in another year; or </w:t>
      </w:r>
    </w:p>
    <w:p w:rsidR="000A429A" w:rsidRPr="0095171D" w:rsidRDefault="002F1104" w:rsidP="000A429A">
      <w:pPr>
        <w:pStyle w:val="P1"/>
        <w:numPr>
          <w:ilvl w:val="0"/>
          <w:numId w:val="88"/>
        </w:numPr>
        <w:tabs>
          <w:tab w:val="clear" w:pos="1191"/>
          <w:tab w:val="left" w:pos="2127"/>
        </w:tabs>
        <w:ind w:left="2127" w:hanging="709"/>
        <w:jc w:val="left"/>
      </w:pPr>
      <w:r w:rsidRPr="0095171D">
        <w:t>a pixel value equal to the value of the analysis year, which means burnt in the analysis year and in no other year.</w:t>
      </w:r>
    </w:p>
    <w:p w:rsidR="000A429A" w:rsidRPr="0095171D" w:rsidRDefault="002F1104" w:rsidP="000A429A">
      <w:pPr>
        <w:pStyle w:val="P1"/>
        <w:numPr>
          <w:ilvl w:val="0"/>
          <w:numId w:val="86"/>
        </w:numPr>
        <w:tabs>
          <w:tab w:val="clear" w:pos="1191"/>
          <w:tab w:val="left" w:pos="1418"/>
        </w:tabs>
        <w:jc w:val="left"/>
      </w:pPr>
      <w:r w:rsidRPr="0095171D">
        <w:t>the values assigned to each pixel in this map must be modified using the following formula:</w:t>
      </w:r>
    </w:p>
    <w:p w:rsidR="00C666D5" w:rsidRDefault="002F1104">
      <w:pPr>
        <w:pStyle w:val="P1"/>
        <w:numPr>
          <w:ilvl w:val="0"/>
          <w:numId w:val="101"/>
        </w:numPr>
        <w:tabs>
          <w:tab w:val="clear" w:pos="1191"/>
          <w:tab w:val="left" w:pos="2127"/>
        </w:tabs>
        <w:ind w:left="2127" w:hanging="709"/>
        <w:jc w:val="left"/>
      </w:pPr>
      <w:r w:rsidRPr="0095171D">
        <w:t xml:space="preserve">if the value in a pixel is a negative value, the pixel must be modified to show </w:t>
      </w:r>
      <w:r w:rsidR="00861D45">
        <w:t>zero</w:t>
      </w:r>
      <w:r w:rsidRPr="0095171D">
        <w:t>;</w:t>
      </w:r>
    </w:p>
    <w:p w:rsidR="000A429A" w:rsidRPr="0095171D" w:rsidRDefault="002F1104" w:rsidP="00390148">
      <w:pPr>
        <w:pStyle w:val="P1"/>
        <w:numPr>
          <w:ilvl w:val="0"/>
          <w:numId w:val="101"/>
        </w:numPr>
        <w:tabs>
          <w:tab w:val="clear" w:pos="1191"/>
          <w:tab w:val="left" w:pos="2127"/>
        </w:tabs>
        <w:ind w:left="2127" w:hanging="709"/>
        <w:jc w:val="left"/>
      </w:pPr>
      <w:r w:rsidRPr="0095171D">
        <w:t xml:space="preserve">if the value in a pixel is more than </w:t>
      </w:r>
      <w:r w:rsidR="00861D45">
        <w:t>five</w:t>
      </w:r>
      <w:r w:rsidRPr="0095171D">
        <w:t xml:space="preserve">, the pixel must be modified to show </w:t>
      </w:r>
      <w:r w:rsidR="00861D45">
        <w:t>six</w:t>
      </w:r>
      <w:r w:rsidRPr="0095171D">
        <w:t xml:space="preserve">; and </w:t>
      </w:r>
    </w:p>
    <w:p w:rsidR="000A429A" w:rsidRPr="0095171D" w:rsidRDefault="002F1104" w:rsidP="00390148">
      <w:pPr>
        <w:pStyle w:val="P1"/>
        <w:numPr>
          <w:ilvl w:val="0"/>
          <w:numId w:val="101"/>
        </w:numPr>
        <w:tabs>
          <w:tab w:val="clear" w:pos="1191"/>
          <w:tab w:val="left" w:pos="2127"/>
        </w:tabs>
        <w:ind w:left="2127" w:hanging="709"/>
        <w:jc w:val="left"/>
      </w:pPr>
      <w:r w:rsidRPr="0095171D">
        <w:t>if the value is</w:t>
      </w:r>
      <w:r w:rsidR="00EA074C">
        <w:t xml:space="preserve"> in the range from</w:t>
      </w:r>
      <w:r w:rsidRPr="0095171D">
        <w:t xml:space="preserve"> </w:t>
      </w:r>
      <w:r w:rsidR="00861D45">
        <w:t>zero</w:t>
      </w:r>
      <w:r w:rsidRPr="0095171D">
        <w:t xml:space="preserve"> </w:t>
      </w:r>
      <w:r w:rsidR="00EA074C">
        <w:t>to</w:t>
      </w:r>
      <w:r w:rsidRPr="0095171D">
        <w:t xml:space="preserve"> </w:t>
      </w:r>
      <w:r w:rsidR="00861D45">
        <w:t>five</w:t>
      </w:r>
      <w:r w:rsidRPr="0095171D">
        <w:t xml:space="preserve">, no change must be made </w:t>
      </w:r>
      <w:r w:rsidR="00D55419">
        <w:t>to the value shown in the pixel.</w:t>
      </w:r>
    </w:p>
    <w:p w:rsidR="000A429A" w:rsidRPr="0095171D" w:rsidRDefault="002F1104" w:rsidP="000A429A">
      <w:pPr>
        <w:pStyle w:val="P1"/>
        <w:numPr>
          <w:ilvl w:val="0"/>
          <w:numId w:val="86"/>
        </w:numPr>
        <w:tabs>
          <w:tab w:val="clear" w:pos="1191"/>
          <w:tab w:val="left" w:pos="1418"/>
        </w:tabs>
        <w:jc w:val="left"/>
      </w:pPr>
      <w:r w:rsidRPr="0095171D">
        <w:t>the output of this process is a single map (</w:t>
      </w:r>
      <w:r w:rsidR="00B0547F" w:rsidRPr="00B0547F">
        <w:rPr>
          <w:b/>
          <w:i/>
        </w:rPr>
        <w:t>the YSLB map</w:t>
      </w:r>
      <w:r w:rsidRPr="0095171D">
        <w:t xml:space="preserve">) </w:t>
      </w:r>
      <w:r w:rsidRPr="00C55D8F">
        <w:t xml:space="preserve">with </w:t>
      </w:r>
      <w:r w:rsidR="00B0547F" w:rsidRPr="00B0547F">
        <w:t>YSLB values</w:t>
      </w:r>
      <w:r w:rsidR="00674606">
        <w:t xml:space="preserve"> th</w:t>
      </w:r>
      <w:r w:rsidRPr="0095171D">
        <w:t xml:space="preserve">at show the </w:t>
      </w:r>
      <w:r w:rsidR="00C03BB7">
        <w:t>YSLB</w:t>
      </w:r>
      <w:r w:rsidRPr="0095171D">
        <w:t xml:space="preserve">. These values are in the range </w:t>
      </w:r>
      <w:r w:rsidR="00861D45">
        <w:t>zero to six</w:t>
      </w:r>
      <w:r w:rsidRPr="0095171D">
        <w:t xml:space="preserve"> where:</w:t>
      </w:r>
    </w:p>
    <w:p w:rsidR="000A429A" w:rsidRPr="0095171D" w:rsidRDefault="002F1104" w:rsidP="000A429A">
      <w:pPr>
        <w:pStyle w:val="P1"/>
        <w:numPr>
          <w:ilvl w:val="0"/>
          <w:numId w:val="89"/>
        </w:numPr>
        <w:tabs>
          <w:tab w:val="clear" w:pos="1191"/>
          <w:tab w:val="left" w:pos="2127"/>
        </w:tabs>
        <w:ind w:left="2127" w:hanging="709"/>
        <w:jc w:val="left"/>
      </w:pPr>
      <w:r w:rsidRPr="0095171D">
        <w:t xml:space="preserve">values </w:t>
      </w:r>
      <w:r w:rsidR="00861D45">
        <w:t xml:space="preserve">one to five </w:t>
      </w:r>
      <w:r w:rsidRPr="0095171D">
        <w:t>represent the number of</w:t>
      </w:r>
      <w:r w:rsidR="00B82934" w:rsidRPr="0095171D">
        <w:t xml:space="preserve"> years since the previous fire i</w:t>
      </w:r>
      <w:r w:rsidRPr="0095171D">
        <w:t>n that pixel;</w:t>
      </w:r>
    </w:p>
    <w:p w:rsidR="000A429A" w:rsidRPr="0095171D" w:rsidRDefault="002F1104" w:rsidP="000A429A">
      <w:pPr>
        <w:pStyle w:val="P1"/>
        <w:numPr>
          <w:ilvl w:val="0"/>
          <w:numId w:val="89"/>
        </w:numPr>
        <w:tabs>
          <w:tab w:val="clear" w:pos="1191"/>
          <w:tab w:val="left" w:pos="2127"/>
        </w:tabs>
        <w:ind w:left="2127" w:hanging="709"/>
        <w:jc w:val="left"/>
      </w:pPr>
      <w:r w:rsidRPr="0095171D">
        <w:t xml:space="preserve">a value of </w:t>
      </w:r>
      <w:r w:rsidR="00861D45">
        <w:t>six</w:t>
      </w:r>
      <w:r w:rsidRPr="0095171D">
        <w:t xml:space="preserve"> means that pixel was burnt more than </w:t>
      </w:r>
      <w:r w:rsidR="00861D45">
        <w:t>five</w:t>
      </w:r>
      <w:r w:rsidRPr="0095171D">
        <w:t xml:space="preserve"> years previously (or never burnt); and</w:t>
      </w:r>
    </w:p>
    <w:p w:rsidR="000A429A" w:rsidRPr="0095171D" w:rsidRDefault="002F1104" w:rsidP="000A429A">
      <w:pPr>
        <w:pStyle w:val="P1"/>
        <w:numPr>
          <w:ilvl w:val="0"/>
          <w:numId w:val="89"/>
        </w:numPr>
        <w:tabs>
          <w:tab w:val="clear" w:pos="1191"/>
          <w:tab w:val="left" w:pos="2127"/>
        </w:tabs>
        <w:ind w:left="2127" w:hanging="709"/>
        <w:jc w:val="left"/>
      </w:pPr>
      <w:r w:rsidRPr="0095171D">
        <w:lastRenderedPageBreak/>
        <w:t xml:space="preserve">a value of </w:t>
      </w:r>
      <w:r w:rsidR="00861D45">
        <w:t>zero</w:t>
      </w:r>
      <w:r w:rsidRPr="0095171D">
        <w:t xml:space="preserve"> means that the pixel was not burnt in the analysis year.</w:t>
      </w:r>
    </w:p>
    <w:p w:rsidR="008D7CD1" w:rsidRPr="0095171D" w:rsidRDefault="002F1104">
      <w:pPr>
        <w:pStyle w:val="Heading3"/>
        <w:numPr>
          <w:ilvl w:val="1"/>
          <w:numId w:val="45"/>
        </w:numPr>
        <w:rPr>
          <w:rFonts w:ascii="Times New Roman" w:hAnsi="Times New Roman" w:cs="Times New Roman"/>
          <w:sz w:val="24"/>
          <w:szCs w:val="24"/>
        </w:rPr>
      </w:pPr>
      <w:bookmarkStart w:id="618" w:name="_Toc325039167"/>
      <w:r w:rsidRPr="0095171D">
        <w:rPr>
          <w:rFonts w:ascii="Times New Roman" w:hAnsi="Times New Roman" w:cs="Times New Roman"/>
          <w:sz w:val="24"/>
          <w:szCs w:val="24"/>
        </w:rPr>
        <w:t xml:space="preserve">Calculating the </w:t>
      </w:r>
      <w:r w:rsidR="009D610D">
        <w:rPr>
          <w:rFonts w:ascii="Times New Roman" w:hAnsi="Times New Roman" w:cs="Times New Roman"/>
          <w:sz w:val="24"/>
          <w:szCs w:val="24"/>
        </w:rPr>
        <w:t xml:space="preserve">relative </w:t>
      </w:r>
      <w:r w:rsidRPr="0095171D">
        <w:rPr>
          <w:rFonts w:ascii="Times New Roman" w:hAnsi="Times New Roman" w:cs="Times New Roman"/>
          <w:sz w:val="24"/>
          <w:szCs w:val="24"/>
        </w:rPr>
        <w:t>frequency distribution of fire history</w:t>
      </w:r>
      <w:bookmarkEnd w:id="618"/>
    </w:p>
    <w:p w:rsidR="00900A1E" w:rsidRDefault="002F1104">
      <w:pPr>
        <w:pStyle w:val="R1"/>
        <w:numPr>
          <w:ilvl w:val="0"/>
          <w:numId w:val="90"/>
        </w:numPr>
        <w:ind w:left="782" w:hanging="357"/>
        <w:jc w:val="left"/>
      </w:pPr>
      <w:r w:rsidRPr="0095171D">
        <w:t xml:space="preserve">The YSLB map developed </w:t>
      </w:r>
      <w:r w:rsidR="008E4BF4">
        <w:t>under</w:t>
      </w:r>
      <w:r w:rsidRPr="0095171D">
        <w:t xml:space="preserve"> </w:t>
      </w:r>
      <w:r w:rsidR="00CE1B39" w:rsidRPr="0095171D">
        <w:t>section 3.</w:t>
      </w:r>
      <w:r w:rsidR="00B0547F" w:rsidRPr="00B0547F">
        <w:t>11</w:t>
      </w:r>
      <w:r w:rsidRPr="0095171D">
        <w:t xml:space="preserve"> must be overlayed with the vegetation map developed according to </w:t>
      </w:r>
      <w:r w:rsidR="008F3EBC">
        <w:t>sub</w:t>
      </w:r>
      <w:r w:rsidR="00B0547F" w:rsidRPr="00B0547F">
        <w:t>section 3.4</w:t>
      </w:r>
      <w:r w:rsidRPr="0095171D">
        <w:t xml:space="preserve"> </w:t>
      </w:r>
      <w:r w:rsidR="008F3EBC">
        <w:t xml:space="preserve">(1) </w:t>
      </w:r>
      <w:r w:rsidRPr="0095171D">
        <w:t xml:space="preserve">and the number of pixels burnt </w:t>
      </w:r>
      <w:r w:rsidR="008F3EBC" w:rsidRPr="0095171D">
        <w:t>(N</w:t>
      </w:r>
      <w:r w:rsidR="008F3EBC" w:rsidRPr="0095171D">
        <w:rPr>
          <w:vertAlign w:val="subscript"/>
        </w:rPr>
        <w:t>b</w:t>
      </w:r>
      <w:r w:rsidR="008F3EBC" w:rsidRPr="0095171D">
        <w:t xml:space="preserve">) </w:t>
      </w:r>
      <w:r w:rsidRPr="0095171D">
        <w:t xml:space="preserve">in each vegetation class for each YSLB value determined. </w:t>
      </w:r>
    </w:p>
    <w:p w:rsidR="0098154B" w:rsidRDefault="002F1104" w:rsidP="00344AB2">
      <w:pPr>
        <w:pStyle w:val="R1"/>
        <w:numPr>
          <w:ilvl w:val="0"/>
          <w:numId w:val="90"/>
        </w:numPr>
        <w:jc w:val="left"/>
      </w:pPr>
      <w:r w:rsidRPr="0095171D">
        <w:t>These values (N</w:t>
      </w:r>
      <w:r w:rsidRPr="0095171D">
        <w:rPr>
          <w:vertAlign w:val="subscript"/>
        </w:rPr>
        <w:t>b</w:t>
      </w:r>
      <w:r w:rsidRPr="0095171D">
        <w:t xml:space="preserve">) must be recorded in the appropriate cell in </w:t>
      </w:r>
      <w:r w:rsidR="000A3FE5">
        <w:t>T</w:t>
      </w:r>
      <w:r w:rsidR="00CE1B39" w:rsidRPr="0095171D">
        <w:t xml:space="preserve">able </w:t>
      </w:r>
      <w:r w:rsidR="00B0547F" w:rsidRPr="00B0547F">
        <w:t>14</w:t>
      </w:r>
      <w:r w:rsidR="00CE1B39" w:rsidRPr="0095171D">
        <w:t xml:space="preserve"> of Form 1 </w:t>
      </w:r>
      <w:r w:rsidR="00B0547F" w:rsidRPr="00B0547F">
        <w:t>of</w:t>
      </w:r>
      <w:r w:rsidR="00CE1B39" w:rsidRPr="0095171D">
        <w:t xml:space="preserve"> Schedule 2</w:t>
      </w:r>
      <w:r w:rsidRPr="0095171D">
        <w:t xml:space="preserve"> and summed across the rows to calculate N</w:t>
      </w:r>
      <w:r w:rsidRPr="0095171D">
        <w:rPr>
          <w:vertAlign w:val="subscript"/>
        </w:rPr>
        <w:t>total</w:t>
      </w:r>
      <w:r w:rsidR="008F3EBC" w:rsidRPr="008F3EBC">
        <w:t>,</w:t>
      </w:r>
      <w:r w:rsidR="008F3EBC">
        <w:t xml:space="preserve"> th</w:t>
      </w:r>
      <w:r w:rsidR="00C55D8F">
        <w:t xml:space="preserve">e total number of burnt pixels by </w:t>
      </w:r>
      <w:r w:rsidR="008F3EBC">
        <w:t>vegetation class.</w:t>
      </w:r>
    </w:p>
    <w:p w:rsidR="001D09C3" w:rsidRPr="0095171D" w:rsidRDefault="002F1104">
      <w:pPr>
        <w:pStyle w:val="R1"/>
        <w:numPr>
          <w:ilvl w:val="0"/>
          <w:numId w:val="90"/>
        </w:numPr>
        <w:jc w:val="left"/>
      </w:pPr>
      <w:r w:rsidRPr="0095171D">
        <w:t xml:space="preserve">A </w:t>
      </w:r>
      <w:r w:rsidR="009D610D">
        <w:t xml:space="preserve">relative </w:t>
      </w:r>
      <w:r w:rsidRPr="0095171D">
        <w:t>frequency distribution of each YSLB value for each vegetation class must be produced using the values for N</w:t>
      </w:r>
      <w:r w:rsidRPr="0095171D">
        <w:rPr>
          <w:vertAlign w:val="subscript"/>
        </w:rPr>
        <w:t>b</w:t>
      </w:r>
      <w:r w:rsidRPr="0095171D">
        <w:t xml:space="preserve"> and N</w:t>
      </w:r>
      <w:r w:rsidRPr="0095171D">
        <w:rPr>
          <w:vertAlign w:val="subscript"/>
        </w:rPr>
        <w:t>total</w:t>
      </w:r>
      <w:r w:rsidRPr="0095171D">
        <w:t xml:space="preserve"> in </w:t>
      </w:r>
      <w:r w:rsidR="00CE1B39" w:rsidRPr="0095171D">
        <w:t xml:space="preserve">Table </w:t>
      </w:r>
      <w:r w:rsidR="00B0547F" w:rsidRPr="00B0547F">
        <w:t>14 of Form</w:t>
      </w:r>
      <w:r w:rsidR="00861D45">
        <w:t> </w:t>
      </w:r>
      <w:r w:rsidR="00B0547F" w:rsidRPr="00B0547F">
        <w:t>1 of Schedule 2</w:t>
      </w:r>
      <w:r w:rsidRPr="0095171D">
        <w:t xml:space="preserve"> and the following formula: </w:t>
      </w:r>
    </w:p>
    <w:p w:rsidR="00391FEB" w:rsidRPr="0095171D" w:rsidRDefault="00391FEB" w:rsidP="00391FEB">
      <w:pPr>
        <w:pStyle w:val="R2"/>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9"/>
        <w:gridCol w:w="1871"/>
      </w:tblGrid>
      <w:tr w:rsidR="00391FEB" w:rsidRPr="0095171D" w:rsidTr="00A6172E">
        <w:tc>
          <w:tcPr>
            <w:tcW w:w="5699" w:type="dxa"/>
          </w:tcPr>
          <w:p w:rsidR="00B0547F" w:rsidRDefault="009D610D" w:rsidP="00CB00CE">
            <w:pPr>
              <w:spacing w:before="120" w:after="120"/>
              <w:jc w:val="center"/>
              <w:rPr>
                <w:b/>
              </w:rPr>
            </w:pPr>
            <w:r>
              <w:rPr>
                <w:b/>
                <w:position w:val="-30"/>
              </w:rPr>
              <w:t>Relative f</w:t>
            </w:r>
            <w:r w:rsidR="00B14B51" w:rsidRPr="0095171D">
              <w:rPr>
                <w:b/>
                <w:position w:val="-30"/>
              </w:rPr>
              <w:t xml:space="preserve">requency distribution </w:t>
            </w:r>
            <w:r w:rsidR="002F1104" w:rsidRPr="0095171D">
              <w:rPr>
                <w:b/>
                <w:position w:val="-30"/>
              </w:rPr>
              <w:t>of YSLB values = N</w:t>
            </w:r>
            <w:r w:rsidR="002F1104" w:rsidRPr="0095171D">
              <w:rPr>
                <w:b/>
                <w:position w:val="-30"/>
                <w:vertAlign w:val="subscript"/>
              </w:rPr>
              <w:t xml:space="preserve">b </w:t>
            </w:r>
            <w:r w:rsidR="002F1104" w:rsidRPr="0095171D">
              <w:rPr>
                <w:b/>
                <w:position w:val="-30"/>
              </w:rPr>
              <w:t>/ N</w:t>
            </w:r>
            <w:r w:rsidR="002F1104" w:rsidRPr="0095171D">
              <w:rPr>
                <w:b/>
                <w:position w:val="-30"/>
                <w:vertAlign w:val="subscript"/>
              </w:rPr>
              <w:t>total</w:t>
            </w:r>
          </w:p>
        </w:tc>
        <w:tc>
          <w:tcPr>
            <w:tcW w:w="1871" w:type="dxa"/>
          </w:tcPr>
          <w:p w:rsidR="007E0C4C" w:rsidRDefault="00CE1B39">
            <w:pPr>
              <w:spacing w:before="120" w:after="120"/>
              <w:jc w:val="center"/>
              <w:rPr>
                <w:rFonts w:ascii="Arial" w:hAnsi="Arial"/>
                <w:b/>
              </w:rPr>
            </w:pPr>
            <w:r w:rsidRPr="0095171D">
              <w:rPr>
                <w:b/>
              </w:rPr>
              <w:t xml:space="preserve">Equation </w:t>
            </w:r>
            <w:r w:rsidR="008618C2">
              <w:rPr>
                <w:b/>
              </w:rPr>
              <w:t>5</w:t>
            </w:r>
          </w:p>
        </w:tc>
      </w:tr>
    </w:tbl>
    <w:p w:rsidR="005E6F97" w:rsidRPr="0095171D" w:rsidRDefault="002F1104" w:rsidP="00763D6A">
      <w:pPr>
        <w:pStyle w:val="R1"/>
        <w:ind w:left="720" w:firstLine="0"/>
        <w:jc w:val="left"/>
      </w:pPr>
      <w:r w:rsidRPr="0095171D">
        <w:t>where:</w:t>
      </w:r>
    </w:p>
    <w:p w:rsidR="00900A1E" w:rsidRDefault="009D610D">
      <w:pPr>
        <w:spacing w:before="120" w:line="260" w:lineRule="exact"/>
        <w:ind w:left="720"/>
        <w:rPr>
          <w:rFonts w:eastAsia="Calibri"/>
          <w:b/>
        </w:rPr>
      </w:pPr>
      <w:r>
        <w:rPr>
          <w:rFonts w:eastAsia="Calibri"/>
          <w:b/>
        </w:rPr>
        <w:t>Relative f</w:t>
      </w:r>
      <w:r w:rsidR="00B0547F" w:rsidRPr="00B0547F">
        <w:rPr>
          <w:rFonts w:eastAsia="Calibri"/>
          <w:b/>
        </w:rPr>
        <w:t xml:space="preserve">requency distribution of YSLB values </w:t>
      </w:r>
      <w:r w:rsidR="00B0547F" w:rsidRPr="00B0547F">
        <w:rPr>
          <w:rFonts w:eastAsia="Calibri"/>
        </w:rPr>
        <w:t>= the number of pixels burnt in each vegetation class for each YSLB value.</w:t>
      </w:r>
    </w:p>
    <w:p w:rsidR="00900A1E" w:rsidRDefault="002F1104">
      <w:pPr>
        <w:spacing w:before="120" w:line="260" w:lineRule="exact"/>
        <w:ind w:left="2127" w:hanging="1407"/>
      </w:pPr>
      <w:r w:rsidRPr="0095171D">
        <w:rPr>
          <w:rFonts w:eastAsia="Calibri"/>
          <w:b/>
        </w:rPr>
        <w:t>N</w:t>
      </w:r>
      <w:r w:rsidRPr="0095171D">
        <w:rPr>
          <w:rFonts w:eastAsia="Calibri"/>
          <w:b/>
          <w:vertAlign w:val="subscript"/>
        </w:rPr>
        <w:t>b</w:t>
      </w:r>
      <w:r w:rsidR="00763D6A">
        <w:rPr>
          <w:rFonts w:eastAsia="Calibri"/>
          <w:b/>
          <w:vertAlign w:val="subscript"/>
        </w:rPr>
        <w:t xml:space="preserve"> </w:t>
      </w:r>
      <w:r w:rsidRPr="0095171D">
        <w:rPr>
          <w:rFonts w:eastAsia="Calibri"/>
        </w:rPr>
        <w:t>=</w:t>
      </w:r>
      <w:r w:rsidRPr="0095171D">
        <w:rPr>
          <w:rFonts w:eastAsia="Calibri"/>
          <w:sz w:val="22"/>
          <w:szCs w:val="22"/>
        </w:rPr>
        <w:t xml:space="preserve"> </w:t>
      </w:r>
      <w:r w:rsidR="00763D6A">
        <w:rPr>
          <w:rFonts w:eastAsia="Calibri"/>
          <w:sz w:val="22"/>
          <w:szCs w:val="22"/>
        </w:rPr>
        <w:tab/>
      </w:r>
      <w:r w:rsidRPr="0095171D">
        <w:t>the number of burnt pixels for each vegetation class by YSLB.</w:t>
      </w:r>
    </w:p>
    <w:p w:rsidR="00900A1E" w:rsidRDefault="002F1104">
      <w:pPr>
        <w:spacing w:before="120" w:line="260" w:lineRule="exact"/>
        <w:ind w:left="2127" w:hanging="1407"/>
      </w:pPr>
      <w:r w:rsidRPr="0095171D">
        <w:rPr>
          <w:rFonts w:eastAsia="Calibri"/>
          <w:b/>
        </w:rPr>
        <w:t>N</w:t>
      </w:r>
      <w:r w:rsidRPr="0095171D">
        <w:rPr>
          <w:rFonts w:eastAsia="Calibri"/>
          <w:b/>
          <w:vertAlign w:val="subscript"/>
        </w:rPr>
        <w:t>total</w:t>
      </w:r>
      <w:r w:rsidRPr="0095171D">
        <w:rPr>
          <w:rFonts w:eastAsia="Calibri"/>
        </w:rPr>
        <w:t xml:space="preserve"> =</w:t>
      </w:r>
      <w:r w:rsidRPr="0095171D">
        <w:rPr>
          <w:rFonts w:eastAsia="Calibri"/>
          <w:sz w:val="22"/>
          <w:szCs w:val="22"/>
        </w:rPr>
        <w:t xml:space="preserve"> </w:t>
      </w:r>
      <w:r w:rsidR="00763D6A">
        <w:rPr>
          <w:rFonts w:eastAsia="Calibri"/>
          <w:sz w:val="22"/>
          <w:szCs w:val="22"/>
        </w:rPr>
        <w:tab/>
      </w:r>
      <w:r w:rsidRPr="0095171D">
        <w:t>the sum of N</w:t>
      </w:r>
      <w:r w:rsidRPr="0095171D">
        <w:rPr>
          <w:vertAlign w:val="subscript"/>
        </w:rPr>
        <w:t>b</w:t>
      </w:r>
      <w:r w:rsidRPr="0095171D">
        <w:t xml:space="preserve"> values for each vegetation class.</w:t>
      </w:r>
    </w:p>
    <w:p w:rsidR="008D7CD1" w:rsidRPr="0095171D" w:rsidRDefault="002F1104">
      <w:pPr>
        <w:pStyle w:val="R1"/>
        <w:numPr>
          <w:ilvl w:val="0"/>
          <w:numId w:val="90"/>
        </w:numPr>
        <w:jc w:val="left"/>
      </w:pPr>
      <w:r w:rsidRPr="0095171D">
        <w:t xml:space="preserve">The </w:t>
      </w:r>
      <w:r w:rsidR="009D610D">
        <w:t xml:space="preserve">relative </w:t>
      </w:r>
      <w:r w:rsidRPr="0095171D">
        <w:t xml:space="preserve">frequency distribution of YSLB values must be calculated for each vegetation class and recorded in </w:t>
      </w:r>
      <w:r w:rsidR="00CE1B39" w:rsidRPr="0095171D">
        <w:t>Table 1</w:t>
      </w:r>
      <w:r w:rsidR="00B0547F" w:rsidRPr="00B0547F">
        <w:t>5</w:t>
      </w:r>
      <w:r w:rsidR="00CE1B39" w:rsidRPr="0095171D">
        <w:t xml:space="preserve"> of Form 1 of Schedule 2.</w:t>
      </w:r>
    </w:p>
    <w:p w:rsidR="008D7CD1" w:rsidRPr="000D7783" w:rsidRDefault="00B0547F">
      <w:pPr>
        <w:pStyle w:val="Heading3"/>
        <w:numPr>
          <w:ilvl w:val="1"/>
          <w:numId w:val="45"/>
        </w:numPr>
        <w:rPr>
          <w:rFonts w:ascii="Times New Roman" w:hAnsi="Times New Roman" w:cs="Times New Roman"/>
          <w:sz w:val="24"/>
          <w:szCs w:val="24"/>
        </w:rPr>
      </w:pPr>
      <w:bookmarkStart w:id="619" w:name="_Toc324506939"/>
      <w:bookmarkStart w:id="620" w:name="_Toc324506940"/>
      <w:bookmarkStart w:id="621" w:name="_Toc325039168"/>
      <w:bookmarkEnd w:id="619"/>
      <w:bookmarkEnd w:id="620"/>
      <w:r w:rsidRPr="000D7783">
        <w:rPr>
          <w:rFonts w:ascii="Times New Roman" w:hAnsi="Times New Roman" w:cs="Times New Roman"/>
          <w:sz w:val="24"/>
          <w:szCs w:val="24"/>
        </w:rPr>
        <w:t>Calculating the fuel load for fine fuels</w:t>
      </w:r>
      <w:bookmarkEnd w:id="621"/>
      <w:r w:rsidRPr="000D7783">
        <w:rPr>
          <w:rFonts w:ascii="Times New Roman" w:hAnsi="Times New Roman" w:cs="Times New Roman"/>
          <w:sz w:val="24"/>
          <w:szCs w:val="24"/>
        </w:rPr>
        <w:t xml:space="preserve"> </w:t>
      </w:r>
    </w:p>
    <w:p w:rsidR="008D7CD1" w:rsidRPr="0095171D" w:rsidRDefault="00B14B51">
      <w:pPr>
        <w:pStyle w:val="R1"/>
        <w:numPr>
          <w:ilvl w:val="0"/>
          <w:numId w:val="95"/>
        </w:numPr>
        <w:jc w:val="left"/>
      </w:pPr>
      <w:r w:rsidRPr="0095171D">
        <w:t xml:space="preserve">The fuel accumulation values </w:t>
      </w:r>
      <w:r w:rsidR="00A15372">
        <w:t>(</w:t>
      </w:r>
      <w:r w:rsidRPr="0095171D">
        <w:t>tonnes per hectare</w:t>
      </w:r>
      <w:r w:rsidR="00A15372">
        <w:t>)</w:t>
      </w:r>
      <w:r w:rsidRPr="0095171D">
        <w:t xml:space="preserve"> for fine fuels</w:t>
      </w:r>
      <w:r w:rsidR="008A23D1" w:rsidRPr="0095171D">
        <w:t xml:space="preserve"> based on YSLB</w:t>
      </w:r>
      <w:r w:rsidRPr="0095171D">
        <w:t xml:space="preserve"> is taken to be the amount set out in the following table:</w:t>
      </w:r>
    </w:p>
    <w:p w:rsidR="00CC65C7" w:rsidRPr="0095171D" w:rsidRDefault="00B0547F">
      <w:pPr>
        <w:pStyle w:val="R2"/>
        <w:tabs>
          <w:tab w:val="clear" w:pos="794"/>
          <w:tab w:val="left" w:pos="6670"/>
        </w:tabs>
        <w:ind w:left="786" w:firstLine="0"/>
        <w:jc w:val="center"/>
        <w:rPr>
          <w:b/>
        </w:rPr>
      </w:pPr>
      <w:r w:rsidRPr="00B0547F">
        <w:rPr>
          <w:b/>
        </w:rPr>
        <w:t xml:space="preserve">Table </w:t>
      </w:r>
      <w:r w:rsidR="008F3B60" w:rsidRPr="0095171D">
        <w:rPr>
          <w:b/>
        </w:rPr>
        <w:t>3</w:t>
      </w:r>
      <w:r w:rsidRPr="00B0547F">
        <w:rPr>
          <w:b/>
        </w:rPr>
        <w:t>: Fuel accumulation values for fine fuels (t ha</w:t>
      </w:r>
      <w:r w:rsidRPr="00B0547F">
        <w:rPr>
          <w:b/>
          <w:vertAlign w:val="superscript"/>
        </w:rPr>
        <w:t>-1</w:t>
      </w:r>
      <w:r w:rsidRPr="00B0547F">
        <w:rPr>
          <w:b/>
        </w:rPr>
        <w:t>)</w:t>
      </w:r>
    </w:p>
    <w:tbl>
      <w:tblPr>
        <w:tblW w:w="8086" w:type="dxa"/>
        <w:jc w:val="center"/>
        <w:shd w:val="clear" w:color="auto" w:fill="FFFFFF" w:themeFill="background1"/>
        <w:tblLook w:val="04A0"/>
      </w:tblPr>
      <w:tblGrid>
        <w:gridCol w:w="1324"/>
        <w:gridCol w:w="1242"/>
        <w:gridCol w:w="1177"/>
        <w:gridCol w:w="1085"/>
        <w:gridCol w:w="1085"/>
        <w:gridCol w:w="1085"/>
        <w:gridCol w:w="1088"/>
      </w:tblGrid>
      <w:tr w:rsidR="007A53D3" w:rsidRPr="0095171D" w:rsidTr="00CB00CE">
        <w:trPr>
          <w:trHeight w:val="600"/>
          <w:jc w:val="center"/>
        </w:trPr>
        <w:tc>
          <w:tcPr>
            <w:tcW w:w="1324" w:type="dxa"/>
            <w:vMerge w:val="restart"/>
            <w:tcBorders>
              <w:top w:val="single" w:sz="4" w:space="0" w:color="auto"/>
              <w:left w:val="single" w:sz="4" w:space="0" w:color="auto"/>
              <w:right w:val="single" w:sz="4" w:space="0" w:color="auto"/>
            </w:tcBorders>
            <w:shd w:val="clear" w:color="auto" w:fill="FFFFFF" w:themeFill="background1"/>
          </w:tcPr>
          <w:p w:rsidR="007A53D3" w:rsidRPr="0095171D" w:rsidRDefault="00B0547F" w:rsidP="00546D7D">
            <w:pPr>
              <w:rPr>
                <w:b/>
                <w:bCs/>
                <w:color w:val="000000"/>
              </w:rPr>
            </w:pPr>
            <w:r w:rsidRPr="00B0547F">
              <w:rPr>
                <w:b/>
                <w:bCs/>
                <w:color w:val="000000"/>
              </w:rPr>
              <w:t xml:space="preserve">Vegetation class </w:t>
            </w:r>
          </w:p>
        </w:tc>
        <w:tc>
          <w:tcPr>
            <w:tcW w:w="67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A53D3" w:rsidRPr="0095171D" w:rsidRDefault="00B0547F" w:rsidP="00546D7D">
            <w:pPr>
              <w:jc w:val="center"/>
              <w:rPr>
                <w:b/>
                <w:bCs/>
                <w:color w:val="000000"/>
              </w:rPr>
            </w:pPr>
            <w:r w:rsidRPr="00B0547F">
              <w:rPr>
                <w:b/>
                <w:bCs/>
                <w:color w:val="000000"/>
              </w:rPr>
              <w:t>YSLB (n)</w:t>
            </w:r>
          </w:p>
        </w:tc>
      </w:tr>
      <w:tr w:rsidR="007A53D3" w:rsidRPr="0095171D" w:rsidTr="00CB00CE">
        <w:trPr>
          <w:trHeight w:val="300"/>
          <w:jc w:val="center"/>
        </w:trPr>
        <w:tc>
          <w:tcPr>
            <w:tcW w:w="1324" w:type="dxa"/>
            <w:vMerge/>
            <w:tcBorders>
              <w:left w:val="single" w:sz="4" w:space="0" w:color="auto"/>
              <w:bottom w:val="single" w:sz="4" w:space="0" w:color="auto"/>
              <w:right w:val="single" w:sz="4" w:space="0" w:color="auto"/>
            </w:tcBorders>
            <w:shd w:val="clear" w:color="auto" w:fill="FFFFFF" w:themeFill="background1"/>
          </w:tcPr>
          <w:p w:rsidR="007A53D3" w:rsidRPr="0095171D" w:rsidRDefault="007A53D3" w:rsidP="00546D7D">
            <w:pPr>
              <w:rPr>
                <w:b/>
                <w:bCs/>
                <w:color w:val="000000"/>
              </w:rPr>
            </w:pPr>
          </w:p>
        </w:tc>
        <w:tc>
          <w:tcPr>
            <w:tcW w:w="1242" w:type="dxa"/>
            <w:tcBorders>
              <w:top w:val="nil"/>
              <w:left w:val="single" w:sz="4" w:space="0" w:color="auto"/>
              <w:bottom w:val="single" w:sz="4" w:space="0" w:color="auto"/>
              <w:right w:val="single" w:sz="4" w:space="0" w:color="auto"/>
            </w:tcBorders>
            <w:shd w:val="clear" w:color="auto" w:fill="FFFFFF" w:themeFill="background1"/>
            <w:vAlign w:val="bottom"/>
          </w:tcPr>
          <w:p w:rsidR="007A53D3" w:rsidRPr="0095171D" w:rsidRDefault="00B0547F" w:rsidP="00CB00CE">
            <w:pPr>
              <w:jc w:val="center"/>
              <w:rPr>
                <w:b/>
                <w:bCs/>
                <w:color w:val="000000"/>
              </w:rPr>
            </w:pPr>
            <w:r w:rsidRPr="00B0547F">
              <w:rPr>
                <w:b/>
                <w:bCs/>
                <w:color w:val="000000"/>
              </w:rPr>
              <w:t>1</w:t>
            </w:r>
          </w:p>
        </w:tc>
        <w:tc>
          <w:tcPr>
            <w:tcW w:w="1177"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CB00CE">
            <w:pPr>
              <w:jc w:val="center"/>
              <w:rPr>
                <w:b/>
                <w:bCs/>
                <w:color w:val="000000"/>
              </w:rPr>
            </w:pPr>
            <w:r w:rsidRPr="00B0547F">
              <w:rPr>
                <w:b/>
                <w:bCs/>
                <w:color w:val="000000"/>
              </w:rPr>
              <w:t>2</w:t>
            </w:r>
          </w:p>
        </w:tc>
        <w:tc>
          <w:tcPr>
            <w:tcW w:w="1085" w:type="dxa"/>
            <w:tcBorders>
              <w:top w:val="nil"/>
              <w:left w:val="nil"/>
              <w:bottom w:val="single" w:sz="4" w:space="0" w:color="auto"/>
              <w:right w:val="single" w:sz="4" w:space="0" w:color="auto"/>
            </w:tcBorders>
            <w:shd w:val="clear" w:color="auto" w:fill="FFFFFF" w:themeFill="background1"/>
          </w:tcPr>
          <w:p w:rsidR="007A53D3" w:rsidRPr="0095171D" w:rsidRDefault="00B0547F" w:rsidP="00CB00CE">
            <w:pPr>
              <w:jc w:val="center"/>
              <w:rPr>
                <w:b/>
                <w:bCs/>
                <w:color w:val="000000"/>
              </w:rPr>
            </w:pPr>
            <w:r w:rsidRPr="00B0547F">
              <w:rPr>
                <w:b/>
                <w:bCs/>
                <w:color w:val="000000"/>
              </w:rPr>
              <w:t>3</w:t>
            </w:r>
          </w:p>
        </w:tc>
        <w:tc>
          <w:tcPr>
            <w:tcW w:w="1085" w:type="dxa"/>
            <w:tcBorders>
              <w:top w:val="nil"/>
              <w:left w:val="nil"/>
              <w:bottom w:val="single" w:sz="4" w:space="0" w:color="auto"/>
              <w:right w:val="single" w:sz="4" w:space="0" w:color="auto"/>
            </w:tcBorders>
            <w:shd w:val="clear" w:color="auto" w:fill="FFFFFF" w:themeFill="background1"/>
          </w:tcPr>
          <w:p w:rsidR="007A53D3" w:rsidRPr="0095171D" w:rsidRDefault="00B0547F" w:rsidP="00CB00CE">
            <w:pPr>
              <w:jc w:val="center"/>
              <w:rPr>
                <w:b/>
                <w:bCs/>
                <w:color w:val="000000"/>
              </w:rPr>
            </w:pPr>
            <w:r w:rsidRPr="00B0547F">
              <w:rPr>
                <w:b/>
                <w:bCs/>
                <w:color w:val="000000"/>
              </w:rPr>
              <w:t>4</w:t>
            </w:r>
          </w:p>
        </w:tc>
        <w:tc>
          <w:tcPr>
            <w:tcW w:w="1085" w:type="dxa"/>
            <w:tcBorders>
              <w:top w:val="nil"/>
              <w:left w:val="nil"/>
              <w:bottom w:val="single" w:sz="4" w:space="0" w:color="auto"/>
              <w:right w:val="single" w:sz="4" w:space="0" w:color="auto"/>
            </w:tcBorders>
            <w:shd w:val="clear" w:color="auto" w:fill="FFFFFF" w:themeFill="background1"/>
          </w:tcPr>
          <w:p w:rsidR="007A53D3" w:rsidRPr="0095171D" w:rsidRDefault="00B0547F" w:rsidP="00CB00CE">
            <w:pPr>
              <w:jc w:val="center"/>
              <w:rPr>
                <w:b/>
                <w:bCs/>
                <w:color w:val="000000"/>
              </w:rPr>
            </w:pPr>
            <w:r w:rsidRPr="00B0547F">
              <w:rPr>
                <w:b/>
                <w:bCs/>
                <w:color w:val="000000"/>
              </w:rPr>
              <w:t>5</w:t>
            </w:r>
          </w:p>
        </w:tc>
        <w:tc>
          <w:tcPr>
            <w:tcW w:w="1088" w:type="dxa"/>
            <w:tcBorders>
              <w:top w:val="nil"/>
              <w:left w:val="nil"/>
              <w:bottom w:val="single" w:sz="4" w:space="0" w:color="auto"/>
              <w:right w:val="single" w:sz="4" w:space="0" w:color="auto"/>
            </w:tcBorders>
            <w:shd w:val="clear" w:color="auto" w:fill="FFFFFF" w:themeFill="background1"/>
          </w:tcPr>
          <w:p w:rsidR="007A53D3" w:rsidRPr="0095171D" w:rsidRDefault="00B0547F" w:rsidP="00CB00CE">
            <w:pPr>
              <w:jc w:val="center"/>
              <w:rPr>
                <w:b/>
                <w:bCs/>
                <w:color w:val="000000"/>
              </w:rPr>
            </w:pPr>
            <w:r w:rsidRPr="00B0547F">
              <w:rPr>
                <w:b/>
                <w:bCs/>
                <w:color w:val="000000"/>
              </w:rPr>
              <w:t>&gt;5</w:t>
            </w:r>
          </w:p>
        </w:tc>
      </w:tr>
      <w:tr w:rsidR="007A53D3" w:rsidRPr="0095171D" w:rsidTr="00CB00CE">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7A53D3" w:rsidRPr="0095171D" w:rsidRDefault="00B0547F" w:rsidP="00546D7D">
            <w:pPr>
              <w:rPr>
                <w:b/>
                <w:bCs/>
                <w:color w:val="000000"/>
              </w:rPr>
            </w:pPr>
            <w:r w:rsidRPr="00B0547F">
              <w:rPr>
                <w:b/>
                <w:bCs/>
                <w:color w:val="000000"/>
              </w:rPr>
              <w:t>EOF</w:t>
            </w:r>
          </w:p>
        </w:tc>
        <w:tc>
          <w:tcPr>
            <w:tcW w:w="1242" w:type="dxa"/>
            <w:tcBorders>
              <w:top w:val="nil"/>
              <w:left w:val="single" w:sz="4" w:space="0" w:color="auto"/>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2.74</w:t>
            </w:r>
          </w:p>
        </w:tc>
        <w:tc>
          <w:tcPr>
            <w:tcW w:w="1177"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4.25</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5.07</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5.53</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5.78</w:t>
            </w:r>
          </w:p>
        </w:tc>
        <w:tc>
          <w:tcPr>
            <w:tcW w:w="1088"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6.06</w:t>
            </w:r>
          </w:p>
        </w:tc>
      </w:tr>
      <w:tr w:rsidR="007A53D3" w:rsidRPr="0095171D" w:rsidTr="00CB00CE">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7A53D3" w:rsidRPr="0095171D" w:rsidRDefault="00B0547F" w:rsidP="00546D7D">
            <w:pPr>
              <w:rPr>
                <w:b/>
                <w:bCs/>
                <w:color w:val="000000"/>
              </w:rPr>
            </w:pPr>
            <w:r w:rsidRPr="00B0547F">
              <w:rPr>
                <w:b/>
                <w:bCs/>
                <w:color w:val="000000"/>
              </w:rPr>
              <w:t>EW</w:t>
            </w:r>
          </w:p>
        </w:tc>
        <w:tc>
          <w:tcPr>
            <w:tcW w:w="1242" w:type="dxa"/>
            <w:tcBorders>
              <w:top w:val="nil"/>
              <w:left w:val="single" w:sz="4" w:space="0" w:color="auto"/>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3.80</w:t>
            </w:r>
          </w:p>
        </w:tc>
        <w:tc>
          <w:tcPr>
            <w:tcW w:w="1177"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4.41</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4.51</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4.53</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4.53</w:t>
            </w:r>
          </w:p>
        </w:tc>
        <w:tc>
          <w:tcPr>
            <w:tcW w:w="1088"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4.53</w:t>
            </w:r>
          </w:p>
        </w:tc>
      </w:tr>
      <w:tr w:rsidR="007A53D3" w:rsidRPr="0095171D" w:rsidTr="00CB00CE">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7A53D3" w:rsidRPr="0095171D" w:rsidRDefault="00B0547F" w:rsidP="00546D7D">
            <w:pPr>
              <w:rPr>
                <w:b/>
                <w:bCs/>
                <w:color w:val="000000"/>
              </w:rPr>
            </w:pPr>
            <w:r w:rsidRPr="00B0547F">
              <w:rPr>
                <w:b/>
                <w:bCs/>
                <w:color w:val="000000"/>
              </w:rPr>
              <w:t>SW</w:t>
            </w:r>
          </w:p>
        </w:tc>
        <w:tc>
          <w:tcPr>
            <w:tcW w:w="1242" w:type="dxa"/>
            <w:tcBorders>
              <w:top w:val="nil"/>
              <w:left w:val="single" w:sz="4" w:space="0" w:color="auto"/>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2.08</w:t>
            </w:r>
          </w:p>
        </w:tc>
        <w:tc>
          <w:tcPr>
            <w:tcW w:w="1177"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3.41</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4.25</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4.79</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5.14</w:t>
            </w:r>
          </w:p>
        </w:tc>
        <w:tc>
          <w:tcPr>
            <w:tcW w:w="1088"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5.68</w:t>
            </w:r>
          </w:p>
        </w:tc>
      </w:tr>
      <w:tr w:rsidR="007A53D3" w:rsidRPr="0095171D" w:rsidTr="00CB00CE">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7A53D3" w:rsidRPr="0095171D" w:rsidRDefault="00B0547F" w:rsidP="00546D7D">
            <w:pPr>
              <w:rPr>
                <w:b/>
                <w:bCs/>
                <w:color w:val="000000"/>
              </w:rPr>
            </w:pPr>
            <w:r w:rsidRPr="00B0547F">
              <w:rPr>
                <w:b/>
                <w:bCs/>
                <w:color w:val="000000"/>
              </w:rPr>
              <w:t>SH</w:t>
            </w:r>
          </w:p>
        </w:tc>
        <w:tc>
          <w:tcPr>
            <w:tcW w:w="1242" w:type="dxa"/>
            <w:tcBorders>
              <w:top w:val="nil"/>
              <w:left w:val="single" w:sz="4" w:space="0" w:color="auto"/>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1.88</w:t>
            </w:r>
          </w:p>
        </w:tc>
        <w:tc>
          <w:tcPr>
            <w:tcW w:w="1177"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3.55</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5.03</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6.35</w:t>
            </w:r>
          </w:p>
        </w:tc>
        <w:tc>
          <w:tcPr>
            <w:tcW w:w="1085"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7.51</w:t>
            </w:r>
          </w:p>
        </w:tc>
        <w:tc>
          <w:tcPr>
            <w:tcW w:w="1088" w:type="dxa"/>
            <w:tcBorders>
              <w:top w:val="nil"/>
              <w:left w:val="nil"/>
              <w:bottom w:val="single" w:sz="4" w:space="0" w:color="auto"/>
              <w:right w:val="single" w:sz="4" w:space="0" w:color="auto"/>
            </w:tcBorders>
            <w:shd w:val="clear" w:color="auto" w:fill="FFFFFF" w:themeFill="background1"/>
            <w:vAlign w:val="bottom"/>
          </w:tcPr>
          <w:p w:rsidR="007A53D3" w:rsidRPr="0095171D" w:rsidRDefault="00B0547F" w:rsidP="00546D7D">
            <w:pPr>
              <w:jc w:val="right"/>
              <w:rPr>
                <w:color w:val="000000"/>
              </w:rPr>
            </w:pPr>
            <w:r w:rsidRPr="00B0547F">
              <w:rPr>
                <w:color w:val="000000"/>
              </w:rPr>
              <w:t>11.64</w:t>
            </w:r>
          </w:p>
        </w:tc>
      </w:tr>
    </w:tbl>
    <w:p w:rsidR="007A53D3" w:rsidRPr="0095171D" w:rsidRDefault="007A53D3" w:rsidP="007A53D3">
      <w:pPr>
        <w:pStyle w:val="R1"/>
        <w:ind w:left="786" w:firstLine="0"/>
        <w:jc w:val="left"/>
      </w:pPr>
    </w:p>
    <w:p w:rsidR="00640F66" w:rsidRPr="0095171D" w:rsidRDefault="00640F66" w:rsidP="00640F66">
      <w:pPr>
        <w:pStyle w:val="R1"/>
        <w:numPr>
          <w:ilvl w:val="0"/>
          <w:numId w:val="95"/>
        </w:numPr>
        <w:jc w:val="left"/>
      </w:pPr>
      <w:r w:rsidRPr="0095171D">
        <w:t xml:space="preserve">The fine fuel load </w:t>
      </w:r>
      <w:r w:rsidR="00F16F02">
        <w:t>values</w:t>
      </w:r>
      <w:r w:rsidRPr="0095171D">
        <w:t xml:space="preserve"> must be calculated by multiplying the frequency distribution of YSLB values recorded </w:t>
      </w:r>
      <w:r w:rsidR="00B0547F" w:rsidRPr="00B0547F">
        <w:t>in Table 15</w:t>
      </w:r>
      <w:r w:rsidRPr="0095171D">
        <w:t xml:space="preserve"> </w:t>
      </w:r>
      <w:r w:rsidR="008C4511" w:rsidRPr="0095171D">
        <w:t xml:space="preserve">of Form 1 of Schedule 2 </w:t>
      </w:r>
      <w:r w:rsidRPr="0095171D">
        <w:t xml:space="preserve">by the corresponding fuel accumulation value for fine fuels given in </w:t>
      </w:r>
      <w:r w:rsidR="00B0547F" w:rsidRPr="00B0547F">
        <w:t>Table 3</w:t>
      </w:r>
      <w:r w:rsidRPr="0095171D">
        <w:t xml:space="preserve"> </w:t>
      </w:r>
      <w:r w:rsidR="008C4511">
        <w:t>above</w:t>
      </w:r>
      <w:r w:rsidR="008C4511" w:rsidRPr="0095171D">
        <w:t xml:space="preserve"> </w:t>
      </w:r>
      <w:r w:rsidRPr="0095171D">
        <w:t xml:space="preserve">and the results recorded in </w:t>
      </w:r>
      <w:r w:rsidR="00B0547F" w:rsidRPr="00B0547F">
        <w:t>Table 16 of Form 1 of Schedule 2.</w:t>
      </w:r>
    </w:p>
    <w:p w:rsidR="0098154B" w:rsidRDefault="00640F66" w:rsidP="00763D6A">
      <w:pPr>
        <w:pStyle w:val="R1"/>
        <w:numPr>
          <w:ilvl w:val="0"/>
          <w:numId w:val="95"/>
        </w:numPr>
        <w:jc w:val="left"/>
      </w:pPr>
      <w:r w:rsidRPr="0095171D">
        <w:lastRenderedPageBreak/>
        <w:t xml:space="preserve">The total fine fuel load values for each vegetation class obtained by totalling the value of each row of </w:t>
      </w:r>
      <w:r w:rsidR="00B0547F" w:rsidRPr="00B0547F">
        <w:t>Table 16</w:t>
      </w:r>
      <w:r w:rsidRPr="0095171D">
        <w:t xml:space="preserve"> </w:t>
      </w:r>
      <w:r w:rsidR="008C4511" w:rsidRPr="0095171D">
        <w:t>of Form 1 of Schedule 2</w:t>
      </w:r>
      <w:r w:rsidR="008C4511">
        <w:t xml:space="preserve"> </w:t>
      </w:r>
      <w:r w:rsidRPr="0095171D">
        <w:t xml:space="preserve">must be recorded in </w:t>
      </w:r>
      <w:r w:rsidR="00B0547F" w:rsidRPr="00B0547F">
        <w:t>Table 13 of Form 1 of Schedule 2.</w:t>
      </w:r>
    </w:p>
    <w:p w:rsidR="0079036F" w:rsidRPr="0095171D" w:rsidRDefault="002F1104" w:rsidP="00BC708B">
      <w:pPr>
        <w:pStyle w:val="Heading3"/>
        <w:numPr>
          <w:ilvl w:val="1"/>
          <w:numId w:val="45"/>
        </w:numPr>
        <w:rPr>
          <w:rFonts w:ascii="Times New Roman" w:hAnsi="Times New Roman" w:cs="Times New Roman"/>
          <w:sz w:val="24"/>
          <w:szCs w:val="24"/>
        </w:rPr>
      </w:pPr>
      <w:bookmarkStart w:id="622" w:name="_Toc324860292"/>
      <w:bookmarkStart w:id="623" w:name="_Toc324860399"/>
      <w:bookmarkStart w:id="624" w:name="_Toc324860493"/>
      <w:bookmarkStart w:id="625" w:name="_Toc324860587"/>
      <w:bookmarkStart w:id="626" w:name="_Toc324860682"/>
      <w:bookmarkStart w:id="627" w:name="_Toc324860777"/>
      <w:bookmarkStart w:id="628" w:name="_Toc324860872"/>
      <w:bookmarkStart w:id="629" w:name="_Toc325039169"/>
      <w:bookmarkEnd w:id="622"/>
      <w:bookmarkEnd w:id="623"/>
      <w:bookmarkEnd w:id="624"/>
      <w:bookmarkEnd w:id="625"/>
      <w:bookmarkEnd w:id="626"/>
      <w:bookmarkEnd w:id="627"/>
      <w:bookmarkEnd w:id="628"/>
      <w:r w:rsidRPr="0095171D">
        <w:rPr>
          <w:rFonts w:ascii="Times New Roman" w:hAnsi="Times New Roman" w:cs="Times New Roman"/>
          <w:sz w:val="24"/>
          <w:szCs w:val="24"/>
        </w:rPr>
        <w:t>Emission factors (EF)</w:t>
      </w:r>
      <w:bookmarkEnd w:id="629"/>
    </w:p>
    <w:p w:rsidR="00411A84" w:rsidRPr="0095171D" w:rsidRDefault="00B0547F" w:rsidP="00BC708B">
      <w:pPr>
        <w:pStyle w:val="R1"/>
        <w:numPr>
          <w:ilvl w:val="0"/>
          <w:numId w:val="32"/>
        </w:numPr>
        <w:jc w:val="left"/>
      </w:pPr>
      <w:r w:rsidRPr="00B0547F">
        <w:t xml:space="preserve">For the purposes </w:t>
      </w:r>
      <w:r w:rsidR="001958CF">
        <w:t xml:space="preserve">of </w:t>
      </w:r>
      <w:r w:rsidR="008C4511">
        <w:t>paragraph</w:t>
      </w:r>
      <w:r w:rsidR="008C4511" w:rsidRPr="00CF70D6" w:rsidDel="008C4511">
        <w:t xml:space="preserve"> </w:t>
      </w:r>
      <w:fldSimple w:instr=" REF _Ref317782750 \r \h  \* MERGEFORMAT ">
        <w:r w:rsidR="001756BA">
          <w:t>3.8</w:t>
        </w:r>
      </w:fldSimple>
      <w:r w:rsidRPr="00B0547F">
        <w:t xml:space="preserve"> </w:t>
      </w:r>
      <w:fldSimple w:instr=" REF _Ref317782834 \r \h  \* MERGEFORMAT ">
        <w:r w:rsidR="001756BA">
          <w:t>(1)</w:t>
        </w:r>
      </w:fldSimple>
      <w:r w:rsidRPr="00B0547F">
        <w:t xml:space="preserve"> </w:t>
      </w:r>
      <w:r w:rsidR="005516EE">
        <w:t>(</w:t>
      </w:r>
      <w:proofErr w:type="spellStart"/>
      <w:r w:rsidR="005516EE">
        <w:t>i</w:t>
      </w:r>
      <w:proofErr w:type="spellEnd"/>
      <w:r w:rsidR="005516EE">
        <w:t>)</w:t>
      </w:r>
      <w:r w:rsidRPr="00B0547F">
        <w:t xml:space="preserve">, the emission factor for </w:t>
      </w:r>
      <w:r w:rsidR="00070A4B">
        <w:t>CH</w:t>
      </w:r>
      <w:r w:rsidR="00070A4B" w:rsidRPr="00070A4B">
        <w:rPr>
          <w:vertAlign w:val="subscript"/>
        </w:rPr>
        <w:t>4</w:t>
      </w:r>
      <w:r w:rsidRPr="00B0547F">
        <w:t xml:space="preserve"> for each vegetation class and fuel size class is taken to be the amount set out in the following table:</w:t>
      </w:r>
    </w:p>
    <w:p w:rsidR="00CC65C7" w:rsidRPr="0095171D" w:rsidRDefault="00B0547F">
      <w:pPr>
        <w:pStyle w:val="R2"/>
        <w:jc w:val="center"/>
        <w:rPr>
          <w:b/>
        </w:rPr>
      </w:pPr>
      <w:r w:rsidRPr="00B0547F">
        <w:rPr>
          <w:b/>
        </w:rPr>
        <w:t xml:space="preserve">Table </w:t>
      </w:r>
      <w:r w:rsidR="00C34CB5" w:rsidRPr="0095171D">
        <w:rPr>
          <w:b/>
        </w:rPr>
        <w:t>4</w:t>
      </w:r>
      <w:r w:rsidRPr="00B0547F">
        <w:rPr>
          <w:b/>
        </w:rPr>
        <w:t>: Emissions Factors for methane</w:t>
      </w:r>
    </w:p>
    <w:tbl>
      <w:tblPr>
        <w:tblW w:w="7767" w:type="dxa"/>
        <w:jc w:val="center"/>
        <w:shd w:val="clear" w:color="auto" w:fill="FFFFFF" w:themeFill="background1"/>
        <w:tblLook w:val="0000"/>
      </w:tblPr>
      <w:tblGrid>
        <w:gridCol w:w="1700"/>
        <w:gridCol w:w="2021"/>
        <w:gridCol w:w="1276"/>
        <w:gridCol w:w="1417"/>
        <w:gridCol w:w="1353"/>
      </w:tblGrid>
      <w:tr w:rsidR="00411A84" w:rsidRPr="0095171D" w:rsidTr="00CB00CE">
        <w:trPr>
          <w:trHeight w:val="255"/>
          <w:jc w:val="center"/>
        </w:trPr>
        <w:tc>
          <w:tcPr>
            <w:tcW w:w="1700" w:type="dxa"/>
            <w:vMerge w:val="restart"/>
            <w:tcBorders>
              <w:top w:val="single" w:sz="4" w:space="0" w:color="auto"/>
              <w:left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Vegetation class</w:t>
            </w:r>
          </w:p>
        </w:tc>
        <w:tc>
          <w:tcPr>
            <w:tcW w:w="6067"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CB00CE" w:rsidRDefault="002F1104" w:rsidP="009F1E7E">
            <w:pPr>
              <w:jc w:val="center"/>
              <w:rPr>
                <w:b/>
              </w:rPr>
            </w:pPr>
            <w:r w:rsidRPr="00CB00CE">
              <w:rPr>
                <w:b/>
              </w:rPr>
              <w:t>Fuel size class</w:t>
            </w:r>
          </w:p>
        </w:tc>
      </w:tr>
      <w:tr w:rsidR="00411A84" w:rsidRPr="0095171D" w:rsidTr="00CB00CE">
        <w:trPr>
          <w:trHeight w:val="373"/>
          <w:jc w:val="center"/>
        </w:trPr>
        <w:tc>
          <w:tcPr>
            <w:tcW w:w="1700" w:type="dxa"/>
            <w:vMerge/>
            <w:tcBorders>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411A84" w:rsidP="009F1E7E">
            <w:pPr>
              <w:rPr>
                <w:b/>
                <w:sz w:val="20"/>
                <w:szCs w:val="20"/>
              </w:rPr>
            </w:pP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 xml:space="preserve">Fine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 xml:space="preserve">Heavy </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Shrub</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EOF</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1A84" w:rsidRPr="0095171D" w:rsidRDefault="00B0547F" w:rsidP="009F1E7E">
            <w:pPr>
              <w:jc w:val="center"/>
            </w:pPr>
            <w:r w:rsidRPr="00B0547F">
              <w:rPr>
                <w:color w:val="000000"/>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rPr>
                <w:color w:val="000000"/>
              </w:rPr>
            </w:pPr>
            <w:r w:rsidRPr="00B0547F">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tabs>
                <w:tab w:val="left" w:pos="384"/>
                <w:tab w:val="center" w:pos="601"/>
              </w:tabs>
              <w:jc w:val="center"/>
            </w:pPr>
            <w:r w:rsidRPr="00B0547F">
              <w:rPr>
                <w:color w:val="000000"/>
              </w:rPr>
              <w:t>0.0031</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EW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rPr>
                <w:color w:val="000000"/>
              </w:rPr>
            </w:pPr>
            <w:r w:rsidRPr="00B0547F">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SW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rPr>
                <w:color w:val="000000"/>
              </w:rPr>
            </w:pPr>
            <w:r w:rsidRPr="00B0547F">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0.0031</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SH</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rPr>
                <w:color w:val="000000"/>
              </w:rPr>
            </w:pPr>
            <w:r w:rsidRPr="00B0547F">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rPr>
                <w:color w:val="000000"/>
              </w:rPr>
              <w:t>0.0015</w:t>
            </w:r>
          </w:p>
        </w:tc>
      </w:tr>
    </w:tbl>
    <w:p w:rsidR="00411A84" w:rsidRPr="0095171D" w:rsidRDefault="00411A84" w:rsidP="00411A84">
      <w:pPr>
        <w:pStyle w:val="R2"/>
      </w:pPr>
    </w:p>
    <w:p w:rsidR="00411A84" w:rsidRPr="0095171D" w:rsidRDefault="00B0547F" w:rsidP="00BC708B">
      <w:pPr>
        <w:pStyle w:val="R1"/>
        <w:numPr>
          <w:ilvl w:val="0"/>
          <w:numId w:val="32"/>
        </w:numPr>
        <w:jc w:val="left"/>
      </w:pPr>
      <w:r w:rsidRPr="00B0547F">
        <w:t xml:space="preserve">For the purposes of </w:t>
      </w:r>
      <w:r w:rsidR="008C4511">
        <w:t>paragraph</w:t>
      </w:r>
      <w:r w:rsidRPr="00B0547F">
        <w:t xml:space="preserve"> </w:t>
      </w:r>
      <w:fldSimple w:instr=" REF _Ref317782750 \r \h  \* MERGEFORMAT ">
        <w:r w:rsidR="001756BA">
          <w:t>3.8</w:t>
        </w:r>
      </w:fldSimple>
      <w:r w:rsidRPr="00B0547F">
        <w:t xml:space="preserve"> </w:t>
      </w:r>
      <w:r w:rsidR="00390148">
        <w:t xml:space="preserve">(1) </w:t>
      </w:r>
      <w:fldSimple w:instr=" REF _Ref317782852 \r \h  \* MERGEFORMAT ">
        <w:r w:rsidR="001756BA">
          <w:t>(ii)</w:t>
        </w:r>
      </w:fldSimple>
      <w:r w:rsidRPr="00B0547F">
        <w:t xml:space="preserve">, the emission factor for </w:t>
      </w:r>
      <w:r w:rsidR="00C03BB7">
        <w:t>N</w:t>
      </w:r>
      <w:r w:rsidR="00C03BB7" w:rsidRPr="00C03BB7">
        <w:rPr>
          <w:vertAlign w:val="subscript"/>
        </w:rPr>
        <w:t>2</w:t>
      </w:r>
      <w:r w:rsidR="00C03BB7">
        <w:t>O</w:t>
      </w:r>
      <w:r w:rsidRPr="00B0547F">
        <w:t xml:space="preserve"> for each vegetation class and fuel size class is taken to be the amount set out in the following table:</w:t>
      </w:r>
    </w:p>
    <w:p w:rsidR="00CC65C7" w:rsidRPr="0095171D" w:rsidRDefault="00B0547F">
      <w:pPr>
        <w:pStyle w:val="R2"/>
        <w:jc w:val="center"/>
        <w:rPr>
          <w:b/>
        </w:rPr>
      </w:pPr>
      <w:r w:rsidRPr="00B0547F">
        <w:rPr>
          <w:b/>
        </w:rPr>
        <w:t xml:space="preserve">Table </w:t>
      </w:r>
      <w:r w:rsidR="00C34CB5" w:rsidRPr="0095171D">
        <w:rPr>
          <w:b/>
        </w:rPr>
        <w:t>5</w:t>
      </w:r>
      <w:r w:rsidRPr="00B0547F">
        <w:rPr>
          <w:b/>
        </w:rPr>
        <w:t>: Emissions Factors for nitrous oxide</w:t>
      </w:r>
    </w:p>
    <w:tbl>
      <w:tblPr>
        <w:tblW w:w="7832" w:type="dxa"/>
        <w:jc w:val="center"/>
        <w:shd w:val="clear" w:color="auto" w:fill="FFFFFF" w:themeFill="background1"/>
        <w:tblLook w:val="0000"/>
      </w:tblPr>
      <w:tblGrid>
        <w:gridCol w:w="1700"/>
        <w:gridCol w:w="2021"/>
        <w:gridCol w:w="1276"/>
        <w:gridCol w:w="1417"/>
        <w:gridCol w:w="1418"/>
      </w:tblGrid>
      <w:tr w:rsidR="00411A84" w:rsidRPr="0095171D" w:rsidTr="00CB00CE">
        <w:trPr>
          <w:trHeight w:val="255"/>
          <w:jc w:val="center"/>
        </w:trPr>
        <w:tc>
          <w:tcPr>
            <w:tcW w:w="1700" w:type="dxa"/>
            <w:vMerge w:val="restart"/>
            <w:tcBorders>
              <w:top w:val="single" w:sz="4" w:space="0" w:color="auto"/>
              <w:left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Vegetation class</w:t>
            </w:r>
          </w:p>
        </w:tc>
        <w:tc>
          <w:tcPr>
            <w:tcW w:w="613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CB00CE" w:rsidRDefault="002F1104" w:rsidP="009F1E7E">
            <w:pPr>
              <w:jc w:val="center"/>
              <w:rPr>
                <w:b/>
              </w:rPr>
            </w:pPr>
            <w:r w:rsidRPr="00CB00CE">
              <w:rPr>
                <w:b/>
              </w:rPr>
              <w:t>Fuel size class</w:t>
            </w:r>
          </w:p>
        </w:tc>
      </w:tr>
      <w:tr w:rsidR="00411A84" w:rsidRPr="0095171D" w:rsidTr="00CB00CE">
        <w:trPr>
          <w:trHeight w:val="162"/>
          <w:jc w:val="center"/>
        </w:trPr>
        <w:tc>
          <w:tcPr>
            <w:tcW w:w="1700" w:type="dxa"/>
            <w:vMerge/>
            <w:tcBorders>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411A84" w:rsidP="009F1E7E">
            <w:pPr>
              <w:rPr>
                <w:b/>
                <w:sz w:val="20"/>
                <w:szCs w:val="20"/>
              </w:rPr>
            </w:pP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 xml:space="preserve">Fine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 xml:space="preserve">Heavy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jc w:val="center"/>
              <w:rPr>
                <w:b/>
                <w:sz w:val="20"/>
                <w:szCs w:val="20"/>
              </w:rPr>
            </w:pPr>
            <w:r w:rsidRPr="0095171D">
              <w:rPr>
                <w:b/>
                <w:sz w:val="20"/>
                <w:szCs w:val="20"/>
              </w:rPr>
              <w:t>Shrub</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EOF</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11A84" w:rsidRPr="0095171D" w:rsidRDefault="00B0547F" w:rsidP="009F1E7E">
            <w:pPr>
              <w:jc w:val="center"/>
            </w:pPr>
            <w:r w:rsidRPr="00B0547F">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EW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SW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0.0075</w:t>
            </w:r>
          </w:p>
        </w:tc>
      </w:tr>
      <w:tr w:rsidR="00411A84" w:rsidRPr="0095171D" w:rsidTr="00CB00CE">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11A84" w:rsidRPr="0095171D" w:rsidRDefault="002F1104" w:rsidP="009F1E7E">
            <w:pPr>
              <w:rPr>
                <w:b/>
                <w:sz w:val="20"/>
                <w:szCs w:val="20"/>
              </w:rPr>
            </w:pPr>
            <w:r w:rsidRPr="0095171D">
              <w:rPr>
                <w:b/>
                <w:sz w:val="20"/>
                <w:szCs w:val="20"/>
              </w:rPr>
              <w:t>SH</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0.0066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11A84" w:rsidRPr="0095171D" w:rsidRDefault="00B0547F" w:rsidP="009F1E7E">
            <w:pPr>
              <w:jc w:val="center"/>
            </w:pPr>
            <w:r w:rsidRPr="00B0547F">
              <w:t>0.0066</w:t>
            </w:r>
          </w:p>
        </w:tc>
      </w:tr>
    </w:tbl>
    <w:p w:rsidR="00411A84" w:rsidRPr="0095171D" w:rsidRDefault="002F1104" w:rsidP="00BC708B">
      <w:pPr>
        <w:pStyle w:val="Heading3"/>
        <w:numPr>
          <w:ilvl w:val="1"/>
          <w:numId w:val="45"/>
        </w:numPr>
        <w:rPr>
          <w:rFonts w:ascii="Times New Roman" w:hAnsi="Times New Roman" w:cs="Times New Roman"/>
          <w:sz w:val="24"/>
          <w:szCs w:val="24"/>
        </w:rPr>
      </w:pPr>
      <w:bookmarkStart w:id="630" w:name="_Toc325039170"/>
      <w:r w:rsidRPr="0095171D">
        <w:rPr>
          <w:rFonts w:ascii="Times New Roman" w:hAnsi="Times New Roman" w:cs="Times New Roman"/>
          <w:sz w:val="24"/>
          <w:szCs w:val="24"/>
        </w:rPr>
        <w:t>Carbon Content (CC)</w:t>
      </w:r>
      <w:bookmarkEnd w:id="630"/>
    </w:p>
    <w:p w:rsidR="00A27B61" w:rsidRPr="0095171D" w:rsidRDefault="006738BF" w:rsidP="00BC708B">
      <w:pPr>
        <w:pStyle w:val="R1"/>
        <w:numPr>
          <w:ilvl w:val="0"/>
          <w:numId w:val="33"/>
        </w:numPr>
        <w:jc w:val="left"/>
      </w:pPr>
      <w:r w:rsidRPr="0095171D">
        <w:t xml:space="preserve">For the purposes of </w:t>
      </w:r>
      <w:r w:rsidR="00B0547F" w:rsidRPr="00B0547F">
        <w:t>subsection 3.8 (1)</w:t>
      </w:r>
      <w:r w:rsidRPr="0095171D">
        <w:t>, t</w:t>
      </w:r>
      <w:r w:rsidR="00B0547F" w:rsidRPr="00B0547F">
        <w:t>he carbon content for each fuel size class is taken to be the amount set out in the following table:</w:t>
      </w:r>
    </w:p>
    <w:p w:rsidR="00CC65C7" w:rsidRPr="0095171D" w:rsidRDefault="00B0547F">
      <w:pPr>
        <w:pStyle w:val="R2"/>
        <w:ind w:left="426" w:firstLine="0"/>
        <w:jc w:val="center"/>
        <w:rPr>
          <w:b/>
        </w:rPr>
      </w:pPr>
      <w:r w:rsidRPr="00B0547F">
        <w:rPr>
          <w:b/>
        </w:rPr>
        <w:t xml:space="preserve">Table </w:t>
      </w:r>
      <w:r w:rsidR="00C34CB5" w:rsidRPr="0095171D">
        <w:rPr>
          <w:b/>
        </w:rPr>
        <w:t>6</w:t>
      </w:r>
      <w:r w:rsidRPr="00B0547F">
        <w:rPr>
          <w:b/>
        </w:rPr>
        <w:t>: Carbon Content</w:t>
      </w:r>
    </w:p>
    <w:tbl>
      <w:tblPr>
        <w:tblW w:w="6540" w:type="dxa"/>
        <w:jc w:val="center"/>
        <w:shd w:val="clear" w:color="auto" w:fill="FFFFFF" w:themeFill="background1"/>
        <w:tblLook w:val="04A0"/>
      </w:tblPr>
      <w:tblGrid>
        <w:gridCol w:w="1800"/>
        <w:gridCol w:w="1240"/>
        <w:gridCol w:w="980"/>
        <w:gridCol w:w="1240"/>
        <w:gridCol w:w="1280"/>
      </w:tblGrid>
      <w:tr w:rsidR="00A27B61" w:rsidRPr="0095171D" w:rsidTr="00CB00CE">
        <w:trPr>
          <w:trHeight w:val="330"/>
          <w:jc w:val="center"/>
        </w:trPr>
        <w:tc>
          <w:tcPr>
            <w:tcW w:w="1800" w:type="dxa"/>
            <w:tcBorders>
              <w:top w:val="single" w:sz="4" w:space="0" w:color="auto"/>
              <w:left w:val="single" w:sz="12" w:space="0" w:color="auto"/>
              <w:bottom w:val="nil"/>
              <w:right w:val="single" w:sz="8" w:space="0" w:color="auto"/>
            </w:tcBorders>
            <w:shd w:val="clear" w:color="auto" w:fill="FFFFFF" w:themeFill="background1"/>
            <w:vAlign w:val="bottom"/>
          </w:tcPr>
          <w:p w:rsidR="00A27B61" w:rsidRPr="0095171D" w:rsidRDefault="00B0547F" w:rsidP="009F1E7E">
            <w:pPr>
              <w:rPr>
                <w:color w:val="000000"/>
              </w:rPr>
            </w:pPr>
            <w:r w:rsidRPr="00B0547F">
              <w:rPr>
                <w:color w:val="000000"/>
              </w:rPr>
              <w:t> </w:t>
            </w:r>
          </w:p>
        </w:tc>
        <w:tc>
          <w:tcPr>
            <w:tcW w:w="4740" w:type="dxa"/>
            <w:gridSpan w:val="4"/>
            <w:tcBorders>
              <w:top w:val="single" w:sz="12" w:space="0" w:color="auto"/>
              <w:left w:val="nil"/>
              <w:bottom w:val="single" w:sz="8" w:space="0" w:color="auto"/>
              <w:right w:val="single" w:sz="12" w:space="0" w:color="000000"/>
            </w:tcBorders>
            <w:shd w:val="clear" w:color="auto" w:fill="FFFFFF" w:themeFill="background1"/>
            <w:noWrap/>
            <w:vAlign w:val="bottom"/>
          </w:tcPr>
          <w:p w:rsidR="00A27B61" w:rsidRPr="0095171D" w:rsidRDefault="00B0547F" w:rsidP="009F1E7E">
            <w:pPr>
              <w:jc w:val="center"/>
              <w:rPr>
                <w:b/>
                <w:color w:val="000000"/>
              </w:rPr>
            </w:pPr>
            <w:r w:rsidRPr="00B0547F">
              <w:rPr>
                <w:b/>
                <w:color w:val="000000"/>
              </w:rPr>
              <w:t>Fuel size class</w:t>
            </w:r>
          </w:p>
        </w:tc>
      </w:tr>
      <w:tr w:rsidR="00A27B61" w:rsidRPr="0095171D" w:rsidTr="00CB00CE">
        <w:trPr>
          <w:trHeight w:val="615"/>
          <w:jc w:val="center"/>
        </w:trPr>
        <w:tc>
          <w:tcPr>
            <w:tcW w:w="1800" w:type="dxa"/>
            <w:tcBorders>
              <w:top w:val="nil"/>
              <w:left w:val="single" w:sz="12" w:space="0" w:color="auto"/>
              <w:bottom w:val="single" w:sz="8" w:space="0" w:color="auto"/>
              <w:right w:val="single" w:sz="8" w:space="0" w:color="auto"/>
            </w:tcBorders>
            <w:shd w:val="clear" w:color="auto" w:fill="FFFFFF" w:themeFill="background1"/>
            <w:vAlign w:val="bottom"/>
          </w:tcPr>
          <w:p w:rsidR="00A27B61" w:rsidRPr="0095171D" w:rsidRDefault="00B0547F" w:rsidP="009F1E7E">
            <w:pPr>
              <w:rPr>
                <w:b/>
                <w:color w:val="000000"/>
              </w:rPr>
            </w:pPr>
            <w:r w:rsidRPr="00B0547F">
              <w:rPr>
                <w:b/>
                <w:color w:val="000000"/>
              </w:rPr>
              <w:t>Elemental content</w:t>
            </w:r>
          </w:p>
        </w:tc>
        <w:tc>
          <w:tcPr>
            <w:tcW w:w="1240" w:type="dxa"/>
            <w:tcBorders>
              <w:top w:val="nil"/>
              <w:left w:val="nil"/>
              <w:bottom w:val="single" w:sz="8" w:space="0" w:color="auto"/>
              <w:right w:val="single" w:sz="8" w:space="0" w:color="auto"/>
            </w:tcBorders>
            <w:shd w:val="clear" w:color="auto" w:fill="FFFFFF" w:themeFill="background1"/>
            <w:noWrap/>
            <w:vAlign w:val="bottom"/>
          </w:tcPr>
          <w:p w:rsidR="00A27B61" w:rsidRPr="0095171D" w:rsidRDefault="008F3EBC" w:rsidP="00CB00CE">
            <w:pPr>
              <w:jc w:val="center"/>
              <w:rPr>
                <w:b/>
                <w:color w:val="000000"/>
              </w:rPr>
            </w:pPr>
            <w:r>
              <w:rPr>
                <w:b/>
                <w:color w:val="000000"/>
              </w:rPr>
              <w:t>F</w:t>
            </w:r>
            <w:r w:rsidR="00B0547F" w:rsidRPr="00B0547F">
              <w:rPr>
                <w:b/>
                <w:color w:val="000000"/>
              </w:rPr>
              <w:t>ine</w:t>
            </w:r>
          </w:p>
        </w:tc>
        <w:tc>
          <w:tcPr>
            <w:tcW w:w="980" w:type="dxa"/>
            <w:tcBorders>
              <w:top w:val="nil"/>
              <w:left w:val="nil"/>
              <w:bottom w:val="single" w:sz="8" w:space="0" w:color="auto"/>
              <w:right w:val="single" w:sz="8" w:space="0" w:color="auto"/>
            </w:tcBorders>
            <w:shd w:val="clear" w:color="auto" w:fill="FFFFFF" w:themeFill="background1"/>
            <w:noWrap/>
            <w:vAlign w:val="bottom"/>
          </w:tcPr>
          <w:p w:rsidR="00A27B61" w:rsidRPr="0095171D" w:rsidRDefault="008F3EBC" w:rsidP="00CB00CE">
            <w:pPr>
              <w:jc w:val="center"/>
              <w:rPr>
                <w:b/>
                <w:color w:val="000000"/>
              </w:rPr>
            </w:pPr>
            <w:r>
              <w:rPr>
                <w:b/>
                <w:color w:val="000000"/>
              </w:rPr>
              <w:t>C</w:t>
            </w:r>
            <w:r w:rsidR="00B0547F" w:rsidRPr="00B0547F">
              <w:rPr>
                <w:b/>
                <w:color w:val="000000"/>
              </w:rPr>
              <w:t>oarse</w:t>
            </w:r>
          </w:p>
        </w:tc>
        <w:tc>
          <w:tcPr>
            <w:tcW w:w="1240" w:type="dxa"/>
            <w:tcBorders>
              <w:top w:val="nil"/>
              <w:left w:val="nil"/>
              <w:bottom w:val="single" w:sz="8" w:space="0" w:color="auto"/>
              <w:right w:val="single" w:sz="8" w:space="0" w:color="auto"/>
            </w:tcBorders>
            <w:shd w:val="clear" w:color="auto" w:fill="FFFFFF" w:themeFill="background1"/>
            <w:noWrap/>
            <w:vAlign w:val="bottom"/>
          </w:tcPr>
          <w:p w:rsidR="00A27B61" w:rsidRPr="0095171D" w:rsidRDefault="008F3EBC" w:rsidP="00CB00CE">
            <w:pPr>
              <w:jc w:val="center"/>
              <w:rPr>
                <w:b/>
                <w:color w:val="000000"/>
              </w:rPr>
            </w:pPr>
            <w:r>
              <w:rPr>
                <w:b/>
                <w:color w:val="000000"/>
              </w:rPr>
              <w:t>H</w:t>
            </w:r>
            <w:r w:rsidR="00B0547F" w:rsidRPr="00B0547F">
              <w:rPr>
                <w:b/>
                <w:color w:val="000000"/>
              </w:rPr>
              <w:t>eavy</w:t>
            </w:r>
          </w:p>
        </w:tc>
        <w:tc>
          <w:tcPr>
            <w:tcW w:w="1280" w:type="dxa"/>
            <w:tcBorders>
              <w:top w:val="nil"/>
              <w:left w:val="nil"/>
              <w:bottom w:val="single" w:sz="8" w:space="0" w:color="auto"/>
              <w:right w:val="single" w:sz="12" w:space="0" w:color="auto"/>
            </w:tcBorders>
            <w:shd w:val="clear" w:color="auto" w:fill="FFFFFF" w:themeFill="background1"/>
            <w:noWrap/>
            <w:vAlign w:val="bottom"/>
          </w:tcPr>
          <w:p w:rsidR="00A27B61" w:rsidRPr="0095171D" w:rsidRDefault="00B0547F" w:rsidP="00CB00CE">
            <w:pPr>
              <w:jc w:val="center"/>
              <w:rPr>
                <w:b/>
                <w:color w:val="000000"/>
              </w:rPr>
            </w:pPr>
            <w:r w:rsidRPr="00B0547F">
              <w:rPr>
                <w:b/>
                <w:color w:val="000000"/>
              </w:rPr>
              <w:t>Shrub</w:t>
            </w:r>
          </w:p>
        </w:tc>
      </w:tr>
      <w:tr w:rsidR="00A27B61" w:rsidRPr="0095171D" w:rsidTr="00CB00CE">
        <w:trPr>
          <w:trHeight w:val="300"/>
          <w:jc w:val="center"/>
        </w:trPr>
        <w:tc>
          <w:tcPr>
            <w:tcW w:w="1800" w:type="dxa"/>
            <w:tcBorders>
              <w:top w:val="nil"/>
              <w:left w:val="single" w:sz="12" w:space="0" w:color="auto"/>
              <w:bottom w:val="nil"/>
              <w:right w:val="single" w:sz="8" w:space="0" w:color="auto"/>
            </w:tcBorders>
            <w:shd w:val="clear" w:color="auto" w:fill="FFFFFF" w:themeFill="background1"/>
            <w:vAlign w:val="bottom"/>
          </w:tcPr>
          <w:p w:rsidR="00A27B61" w:rsidRPr="0095171D" w:rsidRDefault="00B0547F" w:rsidP="009F1E7E">
            <w:pPr>
              <w:rPr>
                <w:b/>
                <w:color w:val="000000"/>
              </w:rPr>
            </w:pPr>
            <w:r w:rsidRPr="00B0547F">
              <w:rPr>
                <w:b/>
                <w:color w:val="000000"/>
              </w:rPr>
              <w:t xml:space="preserve">Carbon </w:t>
            </w:r>
          </w:p>
        </w:tc>
        <w:tc>
          <w:tcPr>
            <w:tcW w:w="1240" w:type="dxa"/>
            <w:tcBorders>
              <w:top w:val="nil"/>
              <w:left w:val="nil"/>
              <w:bottom w:val="nil"/>
              <w:right w:val="single" w:sz="8" w:space="0" w:color="auto"/>
            </w:tcBorders>
            <w:shd w:val="clear" w:color="auto" w:fill="FFFFFF" w:themeFill="background1"/>
            <w:noWrap/>
            <w:vAlign w:val="bottom"/>
          </w:tcPr>
          <w:p w:rsidR="00A27B61" w:rsidRPr="0095171D" w:rsidRDefault="00B0547F" w:rsidP="009F1E7E">
            <w:pPr>
              <w:jc w:val="center"/>
              <w:rPr>
                <w:color w:val="000000"/>
              </w:rPr>
            </w:pPr>
            <w:r w:rsidRPr="00B0547F">
              <w:rPr>
                <w:color w:val="000000"/>
              </w:rPr>
              <w:t>0.46</w:t>
            </w:r>
          </w:p>
        </w:tc>
        <w:tc>
          <w:tcPr>
            <w:tcW w:w="980" w:type="dxa"/>
            <w:tcBorders>
              <w:top w:val="nil"/>
              <w:left w:val="nil"/>
              <w:bottom w:val="nil"/>
              <w:right w:val="single" w:sz="8" w:space="0" w:color="auto"/>
            </w:tcBorders>
            <w:shd w:val="clear" w:color="auto" w:fill="FFFFFF" w:themeFill="background1"/>
            <w:noWrap/>
            <w:vAlign w:val="bottom"/>
          </w:tcPr>
          <w:p w:rsidR="00A27B61" w:rsidRPr="0095171D" w:rsidRDefault="00B0547F" w:rsidP="009F1E7E">
            <w:pPr>
              <w:jc w:val="center"/>
              <w:rPr>
                <w:color w:val="000000"/>
              </w:rPr>
            </w:pPr>
            <w:r w:rsidRPr="00B0547F">
              <w:rPr>
                <w:color w:val="000000"/>
              </w:rPr>
              <w:t>0.46</w:t>
            </w:r>
          </w:p>
        </w:tc>
        <w:tc>
          <w:tcPr>
            <w:tcW w:w="1240" w:type="dxa"/>
            <w:tcBorders>
              <w:top w:val="nil"/>
              <w:left w:val="nil"/>
              <w:bottom w:val="nil"/>
              <w:right w:val="single" w:sz="8" w:space="0" w:color="auto"/>
            </w:tcBorders>
            <w:shd w:val="clear" w:color="auto" w:fill="FFFFFF" w:themeFill="background1"/>
            <w:noWrap/>
            <w:vAlign w:val="bottom"/>
          </w:tcPr>
          <w:p w:rsidR="00A27B61" w:rsidRPr="0095171D" w:rsidRDefault="00B0547F" w:rsidP="009F1E7E">
            <w:pPr>
              <w:jc w:val="center"/>
              <w:rPr>
                <w:color w:val="000000"/>
              </w:rPr>
            </w:pPr>
            <w:r w:rsidRPr="00B0547F">
              <w:rPr>
                <w:color w:val="000000"/>
              </w:rPr>
              <w:t>0.46</w:t>
            </w:r>
          </w:p>
        </w:tc>
        <w:tc>
          <w:tcPr>
            <w:tcW w:w="1280" w:type="dxa"/>
            <w:tcBorders>
              <w:top w:val="nil"/>
              <w:left w:val="nil"/>
              <w:bottom w:val="nil"/>
              <w:right w:val="single" w:sz="12" w:space="0" w:color="auto"/>
            </w:tcBorders>
            <w:shd w:val="clear" w:color="auto" w:fill="FFFFFF" w:themeFill="background1"/>
            <w:noWrap/>
            <w:vAlign w:val="bottom"/>
          </w:tcPr>
          <w:p w:rsidR="00A27B61" w:rsidRPr="0095171D" w:rsidRDefault="00B0547F" w:rsidP="009F1E7E">
            <w:pPr>
              <w:jc w:val="center"/>
              <w:rPr>
                <w:color w:val="000000"/>
              </w:rPr>
            </w:pPr>
            <w:r w:rsidRPr="00B0547F">
              <w:rPr>
                <w:color w:val="000000"/>
              </w:rPr>
              <w:t>0.46</w:t>
            </w:r>
          </w:p>
        </w:tc>
      </w:tr>
      <w:tr w:rsidR="00A27B61" w:rsidRPr="0095171D" w:rsidTr="00CB00CE">
        <w:trPr>
          <w:trHeight w:val="315"/>
          <w:jc w:val="center"/>
        </w:trPr>
        <w:tc>
          <w:tcPr>
            <w:tcW w:w="1800" w:type="dxa"/>
            <w:tcBorders>
              <w:top w:val="nil"/>
              <w:left w:val="single" w:sz="12" w:space="0" w:color="auto"/>
              <w:bottom w:val="single" w:sz="12" w:space="0" w:color="auto"/>
              <w:right w:val="single" w:sz="8" w:space="0" w:color="auto"/>
            </w:tcBorders>
            <w:shd w:val="clear" w:color="auto" w:fill="FFFFFF" w:themeFill="background1"/>
            <w:vAlign w:val="bottom"/>
          </w:tcPr>
          <w:p w:rsidR="00A27B61" w:rsidRPr="0095171D" w:rsidRDefault="00A27B61" w:rsidP="009F1E7E">
            <w:pPr>
              <w:rPr>
                <w:b/>
                <w:color w:val="000000"/>
              </w:rPr>
            </w:pPr>
          </w:p>
        </w:tc>
        <w:tc>
          <w:tcPr>
            <w:tcW w:w="1240" w:type="dxa"/>
            <w:tcBorders>
              <w:top w:val="nil"/>
              <w:left w:val="nil"/>
              <w:bottom w:val="single" w:sz="12" w:space="0" w:color="auto"/>
              <w:right w:val="single" w:sz="8" w:space="0" w:color="auto"/>
            </w:tcBorders>
            <w:shd w:val="clear" w:color="auto" w:fill="FFFFFF" w:themeFill="background1"/>
            <w:noWrap/>
            <w:vAlign w:val="bottom"/>
          </w:tcPr>
          <w:p w:rsidR="00A27B61" w:rsidRPr="0095171D" w:rsidRDefault="00B0547F" w:rsidP="009F1E7E">
            <w:pPr>
              <w:rPr>
                <w:color w:val="000000"/>
              </w:rPr>
            </w:pPr>
            <w:r w:rsidRPr="00B0547F">
              <w:rPr>
                <w:color w:val="000000"/>
              </w:rPr>
              <w:t> </w:t>
            </w:r>
          </w:p>
        </w:tc>
        <w:tc>
          <w:tcPr>
            <w:tcW w:w="980" w:type="dxa"/>
            <w:tcBorders>
              <w:top w:val="nil"/>
              <w:left w:val="nil"/>
              <w:bottom w:val="single" w:sz="12" w:space="0" w:color="auto"/>
              <w:right w:val="single" w:sz="8" w:space="0" w:color="auto"/>
            </w:tcBorders>
            <w:shd w:val="clear" w:color="auto" w:fill="FFFFFF" w:themeFill="background1"/>
            <w:noWrap/>
            <w:vAlign w:val="bottom"/>
          </w:tcPr>
          <w:p w:rsidR="00A27B61" w:rsidRPr="0095171D" w:rsidRDefault="00B0547F" w:rsidP="009F1E7E">
            <w:pPr>
              <w:rPr>
                <w:color w:val="000000"/>
              </w:rPr>
            </w:pPr>
            <w:r w:rsidRPr="00B0547F">
              <w:rPr>
                <w:color w:val="000000"/>
              </w:rPr>
              <w:t> </w:t>
            </w:r>
          </w:p>
        </w:tc>
        <w:tc>
          <w:tcPr>
            <w:tcW w:w="1240" w:type="dxa"/>
            <w:tcBorders>
              <w:top w:val="nil"/>
              <w:left w:val="nil"/>
              <w:bottom w:val="single" w:sz="12" w:space="0" w:color="auto"/>
              <w:right w:val="single" w:sz="8" w:space="0" w:color="auto"/>
            </w:tcBorders>
            <w:shd w:val="clear" w:color="auto" w:fill="FFFFFF" w:themeFill="background1"/>
            <w:noWrap/>
            <w:vAlign w:val="bottom"/>
          </w:tcPr>
          <w:p w:rsidR="00A27B61" w:rsidRPr="0095171D" w:rsidRDefault="00B0547F" w:rsidP="009F1E7E">
            <w:pPr>
              <w:rPr>
                <w:color w:val="000000"/>
              </w:rPr>
            </w:pPr>
            <w:r w:rsidRPr="00B0547F">
              <w:rPr>
                <w:color w:val="000000"/>
              </w:rPr>
              <w:t> </w:t>
            </w:r>
          </w:p>
        </w:tc>
        <w:tc>
          <w:tcPr>
            <w:tcW w:w="1280" w:type="dxa"/>
            <w:tcBorders>
              <w:top w:val="nil"/>
              <w:left w:val="nil"/>
              <w:bottom w:val="single" w:sz="12" w:space="0" w:color="auto"/>
              <w:right w:val="single" w:sz="12" w:space="0" w:color="auto"/>
            </w:tcBorders>
            <w:shd w:val="clear" w:color="auto" w:fill="FFFFFF" w:themeFill="background1"/>
            <w:noWrap/>
            <w:vAlign w:val="bottom"/>
          </w:tcPr>
          <w:p w:rsidR="00A27B61" w:rsidRPr="0095171D" w:rsidRDefault="00B0547F" w:rsidP="009F1E7E">
            <w:pPr>
              <w:rPr>
                <w:color w:val="000000"/>
              </w:rPr>
            </w:pPr>
            <w:r w:rsidRPr="00B0547F">
              <w:rPr>
                <w:color w:val="000000"/>
              </w:rPr>
              <w:t> </w:t>
            </w:r>
          </w:p>
        </w:tc>
      </w:tr>
    </w:tbl>
    <w:p w:rsidR="006D4C10" w:rsidRPr="0095171D" w:rsidRDefault="002F1104" w:rsidP="00BC708B">
      <w:pPr>
        <w:pStyle w:val="Heading3"/>
        <w:numPr>
          <w:ilvl w:val="1"/>
          <w:numId w:val="45"/>
        </w:numPr>
        <w:rPr>
          <w:rFonts w:ascii="Times New Roman" w:hAnsi="Times New Roman" w:cs="Times New Roman"/>
          <w:sz w:val="24"/>
          <w:szCs w:val="24"/>
        </w:rPr>
      </w:pPr>
      <w:bookmarkStart w:id="631" w:name="_Toc325039171"/>
      <w:r w:rsidRPr="0095171D">
        <w:rPr>
          <w:rFonts w:ascii="Times New Roman" w:hAnsi="Times New Roman" w:cs="Times New Roman"/>
          <w:sz w:val="24"/>
          <w:szCs w:val="24"/>
        </w:rPr>
        <w:t>Nitrogen to Carbon Ratio (NC)</w:t>
      </w:r>
      <w:bookmarkEnd w:id="631"/>
    </w:p>
    <w:p w:rsidR="00B0547F" w:rsidRDefault="00B0547F" w:rsidP="00B0547F">
      <w:pPr>
        <w:pStyle w:val="R1"/>
        <w:numPr>
          <w:ilvl w:val="0"/>
          <w:numId w:val="97"/>
        </w:numPr>
        <w:jc w:val="left"/>
      </w:pPr>
      <w:r w:rsidRPr="00B0547F">
        <w:t xml:space="preserve">For the purposes of </w:t>
      </w:r>
      <w:r w:rsidR="00A96975">
        <w:t>paragraph</w:t>
      </w:r>
      <w:r w:rsidRPr="00B0547F">
        <w:t xml:space="preserve"> </w:t>
      </w:r>
      <w:fldSimple w:instr=" REF _Ref317782750 \r \h  \* MERGEFORMAT ">
        <w:r w:rsidR="001756BA">
          <w:t>3.8</w:t>
        </w:r>
      </w:fldSimple>
      <w:r w:rsidRPr="00B0547F">
        <w:t xml:space="preserve"> </w:t>
      </w:r>
      <w:r w:rsidR="00A96975">
        <w:t xml:space="preserve">(1) </w:t>
      </w:r>
      <w:fldSimple w:instr=" REF _Ref317782852 \r \h  \* MERGEFORMAT ">
        <w:r w:rsidR="001756BA">
          <w:t>(ii)</w:t>
        </w:r>
      </w:fldSimple>
      <w:r w:rsidRPr="00B0547F">
        <w:t>, the nitrogen to carbon ratio for each fuel size class is taken to be the amount set out in the following table:</w:t>
      </w:r>
    </w:p>
    <w:p w:rsidR="00CC65C7" w:rsidRPr="0095171D" w:rsidRDefault="00B0547F">
      <w:pPr>
        <w:pStyle w:val="R2"/>
        <w:ind w:left="426" w:firstLine="0"/>
        <w:jc w:val="center"/>
        <w:rPr>
          <w:b/>
        </w:rPr>
      </w:pPr>
      <w:r w:rsidRPr="00B0547F">
        <w:rPr>
          <w:b/>
        </w:rPr>
        <w:lastRenderedPageBreak/>
        <w:t xml:space="preserve">Table </w:t>
      </w:r>
      <w:r w:rsidR="00C34CB5" w:rsidRPr="0095171D">
        <w:rPr>
          <w:b/>
        </w:rPr>
        <w:t>7</w:t>
      </w:r>
      <w:r w:rsidRPr="00B0547F">
        <w:rPr>
          <w:b/>
        </w:rPr>
        <w:t>: Nitrogen to carbon ratio</w:t>
      </w:r>
    </w:p>
    <w:tbl>
      <w:tblPr>
        <w:tblW w:w="6540" w:type="dxa"/>
        <w:jc w:val="center"/>
        <w:tblLook w:val="04A0"/>
      </w:tblPr>
      <w:tblGrid>
        <w:gridCol w:w="1800"/>
        <w:gridCol w:w="1240"/>
        <w:gridCol w:w="980"/>
        <w:gridCol w:w="1240"/>
        <w:gridCol w:w="1280"/>
      </w:tblGrid>
      <w:tr w:rsidR="000966D1" w:rsidRPr="0095171D">
        <w:trPr>
          <w:trHeight w:val="330"/>
          <w:jc w:val="center"/>
        </w:trPr>
        <w:tc>
          <w:tcPr>
            <w:tcW w:w="1800" w:type="dxa"/>
            <w:tcBorders>
              <w:top w:val="single" w:sz="12" w:space="0" w:color="auto"/>
              <w:left w:val="single" w:sz="12" w:space="0" w:color="auto"/>
              <w:bottom w:val="nil"/>
              <w:right w:val="single" w:sz="8" w:space="0" w:color="auto"/>
            </w:tcBorders>
            <w:shd w:val="clear" w:color="auto" w:fill="auto"/>
            <w:vAlign w:val="bottom"/>
          </w:tcPr>
          <w:p w:rsidR="000966D1" w:rsidRPr="0095171D" w:rsidRDefault="00B0547F" w:rsidP="009F1E7E">
            <w:pPr>
              <w:rPr>
                <w:color w:val="000000"/>
              </w:rPr>
            </w:pPr>
            <w:r w:rsidRPr="00B0547F">
              <w:rPr>
                <w:color w:val="000000"/>
              </w:rPr>
              <w:t> </w:t>
            </w:r>
          </w:p>
        </w:tc>
        <w:tc>
          <w:tcPr>
            <w:tcW w:w="4740" w:type="dxa"/>
            <w:gridSpan w:val="4"/>
            <w:tcBorders>
              <w:top w:val="single" w:sz="12" w:space="0" w:color="auto"/>
              <w:left w:val="nil"/>
              <w:bottom w:val="single" w:sz="8" w:space="0" w:color="auto"/>
              <w:right w:val="single" w:sz="12" w:space="0" w:color="000000"/>
            </w:tcBorders>
            <w:shd w:val="clear" w:color="auto" w:fill="auto"/>
            <w:noWrap/>
            <w:vAlign w:val="bottom"/>
          </w:tcPr>
          <w:p w:rsidR="000966D1" w:rsidRPr="0095171D" w:rsidRDefault="00B0547F" w:rsidP="009F1E7E">
            <w:pPr>
              <w:jc w:val="center"/>
              <w:rPr>
                <w:b/>
                <w:color w:val="000000"/>
              </w:rPr>
            </w:pPr>
            <w:r w:rsidRPr="00B0547F">
              <w:rPr>
                <w:b/>
                <w:color w:val="000000"/>
              </w:rPr>
              <w:t>Fuel size class</w:t>
            </w:r>
          </w:p>
        </w:tc>
      </w:tr>
      <w:tr w:rsidR="000966D1" w:rsidRPr="0095171D" w:rsidTr="00CB00CE">
        <w:trPr>
          <w:trHeight w:val="615"/>
          <w:jc w:val="center"/>
        </w:trPr>
        <w:tc>
          <w:tcPr>
            <w:tcW w:w="1800" w:type="dxa"/>
            <w:tcBorders>
              <w:top w:val="nil"/>
              <w:left w:val="single" w:sz="12" w:space="0" w:color="auto"/>
              <w:bottom w:val="single" w:sz="8" w:space="0" w:color="auto"/>
              <w:right w:val="single" w:sz="8" w:space="0" w:color="auto"/>
            </w:tcBorders>
            <w:shd w:val="clear" w:color="auto" w:fill="auto"/>
            <w:vAlign w:val="bottom"/>
          </w:tcPr>
          <w:p w:rsidR="000966D1" w:rsidRPr="0095171D" w:rsidRDefault="00B0547F" w:rsidP="009F1E7E">
            <w:pPr>
              <w:rPr>
                <w:b/>
                <w:color w:val="000000"/>
              </w:rPr>
            </w:pPr>
            <w:r w:rsidRPr="00B0547F">
              <w:rPr>
                <w:b/>
                <w:color w:val="000000"/>
              </w:rPr>
              <w:t>Elemental content</w:t>
            </w:r>
          </w:p>
        </w:tc>
        <w:tc>
          <w:tcPr>
            <w:tcW w:w="1240" w:type="dxa"/>
            <w:tcBorders>
              <w:top w:val="nil"/>
              <w:left w:val="nil"/>
              <w:bottom w:val="single" w:sz="8" w:space="0" w:color="auto"/>
              <w:right w:val="single" w:sz="8" w:space="0" w:color="auto"/>
            </w:tcBorders>
            <w:shd w:val="clear" w:color="auto" w:fill="auto"/>
            <w:noWrap/>
            <w:vAlign w:val="bottom"/>
          </w:tcPr>
          <w:p w:rsidR="000966D1" w:rsidRPr="0095171D" w:rsidRDefault="00C34CB5" w:rsidP="009F1E7E">
            <w:pPr>
              <w:rPr>
                <w:b/>
                <w:color w:val="000000"/>
              </w:rPr>
            </w:pPr>
            <w:r w:rsidRPr="0095171D">
              <w:rPr>
                <w:b/>
                <w:color w:val="000000"/>
              </w:rPr>
              <w:t>F</w:t>
            </w:r>
            <w:r w:rsidR="00B0547F" w:rsidRPr="00B0547F">
              <w:rPr>
                <w:b/>
                <w:color w:val="000000"/>
              </w:rPr>
              <w:t>ine</w:t>
            </w:r>
          </w:p>
        </w:tc>
        <w:tc>
          <w:tcPr>
            <w:tcW w:w="980" w:type="dxa"/>
            <w:tcBorders>
              <w:top w:val="nil"/>
              <w:left w:val="nil"/>
              <w:bottom w:val="single" w:sz="8" w:space="0" w:color="auto"/>
              <w:right w:val="single" w:sz="8" w:space="0" w:color="auto"/>
            </w:tcBorders>
            <w:shd w:val="clear" w:color="auto" w:fill="auto"/>
            <w:noWrap/>
            <w:vAlign w:val="bottom"/>
          </w:tcPr>
          <w:p w:rsidR="000966D1" w:rsidRPr="0095171D" w:rsidRDefault="008F3EBC" w:rsidP="009F1E7E">
            <w:pPr>
              <w:rPr>
                <w:b/>
                <w:color w:val="000000"/>
              </w:rPr>
            </w:pPr>
            <w:r>
              <w:rPr>
                <w:b/>
                <w:color w:val="000000"/>
              </w:rPr>
              <w:t>C</w:t>
            </w:r>
            <w:r w:rsidR="00B0547F" w:rsidRPr="00B0547F">
              <w:rPr>
                <w:b/>
                <w:color w:val="000000"/>
              </w:rPr>
              <w:t>oarse</w:t>
            </w:r>
          </w:p>
        </w:tc>
        <w:tc>
          <w:tcPr>
            <w:tcW w:w="1240" w:type="dxa"/>
            <w:tcBorders>
              <w:top w:val="nil"/>
              <w:left w:val="nil"/>
              <w:bottom w:val="single" w:sz="8" w:space="0" w:color="auto"/>
              <w:right w:val="single" w:sz="8" w:space="0" w:color="auto"/>
            </w:tcBorders>
            <w:shd w:val="clear" w:color="auto" w:fill="auto"/>
            <w:noWrap/>
            <w:vAlign w:val="bottom"/>
          </w:tcPr>
          <w:p w:rsidR="000966D1" w:rsidRPr="0095171D" w:rsidRDefault="008F3EBC" w:rsidP="009F1E7E">
            <w:pPr>
              <w:rPr>
                <w:b/>
                <w:color w:val="000000"/>
              </w:rPr>
            </w:pPr>
            <w:r>
              <w:rPr>
                <w:b/>
                <w:color w:val="000000"/>
              </w:rPr>
              <w:t>H</w:t>
            </w:r>
            <w:r w:rsidR="00B0547F" w:rsidRPr="00B0547F">
              <w:rPr>
                <w:b/>
                <w:color w:val="000000"/>
              </w:rPr>
              <w:t>eavy</w:t>
            </w:r>
          </w:p>
        </w:tc>
        <w:tc>
          <w:tcPr>
            <w:tcW w:w="1280" w:type="dxa"/>
            <w:tcBorders>
              <w:top w:val="nil"/>
              <w:left w:val="nil"/>
              <w:bottom w:val="single" w:sz="8" w:space="0" w:color="auto"/>
              <w:right w:val="single" w:sz="12" w:space="0" w:color="auto"/>
            </w:tcBorders>
            <w:shd w:val="clear" w:color="auto" w:fill="auto"/>
            <w:noWrap/>
            <w:vAlign w:val="bottom"/>
          </w:tcPr>
          <w:p w:rsidR="000966D1" w:rsidRPr="0095171D" w:rsidRDefault="00B0547F" w:rsidP="009F1E7E">
            <w:pPr>
              <w:rPr>
                <w:b/>
                <w:color w:val="000000"/>
              </w:rPr>
            </w:pPr>
            <w:r w:rsidRPr="00B0547F">
              <w:rPr>
                <w:b/>
                <w:color w:val="000000"/>
              </w:rPr>
              <w:t>Shrub</w:t>
            </w:r>
          </w:p>
        </w:tc>
      </w:tr>
      <w:tr w:rsidR="000966D1" w:rsidRPr="0095171D" w:rsidTr="00CB00CE">
        <w:trPr>
          <w:trHeight w:val="300"/>
          <w:jc w:val="center"/>
        </w:trPr>
        <w:tc>
          <w:tcPr>
            <w:tcW w:w="1800" w:type="dxa"/>
            <w:tcBorders>
              <w:top w:val="single" w:sz="8" w:space="0" w:color="auto"/>
              <w:left w:val="single" w:sz="12" w:space="0" w:color="auto"/>
              <w:bottom w:val="single" w:sz="4" w:space="0" w:color="auto"/>
              <w:right w:val="single" w:sz="8" w:space="0" w:color="auto"/>
            </w:tcBorders>
            <w:shd w:val="clear" w:color="auto" w:fill="auto"/>
            <w:vAlign w:val="bottom"/>
          </w:tcPr>
          <w:p w:rsidR="000966D1" w:rsidRPr="0095171D" w:rsidRDefault="00B0547F" w:rsidP="009F1E7E">
            <w:pPr>
              <w:rPr>
                <w:b/>
                <w:color w:val="000000"/>
              </w:rPr>
            </w:pPr>
            <w:r w:rsidRPr="00B0547F">
              <w:rPr>
                <w:b/>
                <w:color w:val="000000"/>
              </w:rPr>
              <w:t>Nitrogen to carbon ratio</w:t>
            </w:r>
          </w:p>
        </w:tc>
        <w:tc>
          <w:tcPr>
            <w:tcW w:w="1240" w:type="dxa"/>
            <w:tcBorders>
              <w:top w:val="single" w:sz="8" w:space="0" w:color="auto"/>
              <w:left w:val="nil"/>
              <w:bottom w:val="single" w:sz="4" w:space="0" w:color="auto"/>
              <w:right w:val="single" w:sz="8" w:space="0" w:color="auto"/>
            </w:tcBorders>
            <w:shd w:val="clear" w:color="auto" w:fill="auto"/>
            <w:noWrap/>
            <w:vAlign w:val="bottom"/>
          </w:tcPr>
          <w:p w:rsidR="000966D1" w:rsidRPr="0095171D" w:rsidRDefault="00B0547F" w:rsidP="009F1E7E">
            <w:pPr>
              <w:jc w:val="center"/>
              <w:rPr>
                <w:color w:val="000000"/>
              </w:rPr>
            </w:pPr>
            <w:r w:rsidRPr="00B0547F">
              <w:rPr>
                <w:color w:val="000000"/>
              </w:rPr>
              <w:t>0.0096</w:t>
            </w:r>
          </w:p>
        </w:tc>
        <w:tc>
          <w:tcPr>
            <w:tcW w:w="980" w:type="dxa"/>
            <w:tcBorders>
              <w:top w:val="single" w:sz="8" w:space="0" w:color="auto"/>
              <w:left w:val="nil"/>
              <w:bottom w:val="single" w:sz="4" w:space="0" w:color="auto"/>
              <w:right w:val="single" w:sz="8" w:space="0" w:color="auto"/>
            </w:tcBorders>
            <w:shd w:val="clear" w:color="auto" w:fill="auto"/>
            <w:noWrap/>
            <w:vAlign w:val="bottom"/>
          </w:tcPr>
          <w:p w:rsidR="000966D1" w:rsidRPr="0095171D" w:rsidRDefault="00B0547F" w:rsidP="009F1E7E">
            <w:pPr>
              <w:jc w:val="center"/>
              <w:rPr>
                <w:color w:val="000000"/>
              </w:rPr>
            </w:pPr>
            <w:r w:rsidRPr="00B0547F">
              <w:rPr>
                <w:color w:val="000000"/>
              </w:rPr>
              <w:t>0.0081</w:t>
            </w:r>
          </w:p>
        </w:tc>
        <w:tc>
          <w:tcPr>
            <w:tcW w:w="1240" w:type="dxa"/>
            <w:tcBorders>
              <w:top w:val="single" w:sz="8" w:space="0" w:color="auto"/>
              <w:left w:val="nil"/>
              <w:bottom w:val="single" w:sz="4" w:space="0" w:color="auto"/>
              <w:right w:val="single" w:sz="8" w:space="0" w:color="auto"/>
            </w:tcBorders>
            <w:shd w:val="clear" w:color="auto" w:fill="auto"/>
            <w:noWrap/>
            <w:vAlign w:val="bottom"/>
          </w:tcPr>
          <w:p w:rsidR="000966D1" w:rsidRPr="0095171D" w:rsidRDefault="00B0547F" w:rsidP="009F1E7E">
            <w:pPr>
              <w:jc w:val="center"/>
              <w:rPr>
                <w:color w:val="000000"/>
              </w:rPr>
            </w:pPr>
            <w:r w:rsidRPr="00B0547F">
              <w:rPr>
                <w:color w:val="000000"/>
              </w:rPr>
              <w:t>0.0081</w:t>
            </w:r>
          </w:p>
        </w:tc>
        <w:tc>
          <w:tcPr>
            <w:tcW w:w="1280" w:type="dxa"/>
            <w:tcBorders>
              <w:top w:val="single" w:sz="8" w:space="0" w:color="auto"/>
              <w:left w:val="nil"/>
              <w:bottom w:val="single" w:sz="4" w:space="0" w:color="auto"/>
              <w:right w:val="single" w:sz="12" w:space="0" w:color="auto"/>
            </w:tcBorders>
            <w:shd w:val="clear" w:color="auto" w:fill="auto"/>
            <w:noWrap/>
            <w:vAlign w:val="bottom"/>
          </w:tcPr>
          <w:p w:rsidR="000966D1" w:rsidRPr="0095171D" w:rsidRDefault="00B0547F" w:rsidP="009F1E7E">
            <w:pPr>
              <w:jc w:val="center"/>
              <w:rPr>
                <w:color w:val="000000"/>
              </w:rPr>
            </w:pPr>
            <w:r w:rsidRPr="00B0547F">
              <w:rPr>
                <w:color w:val="000000"/>
              </w:rPr>
              <w:t>0.0093</w:t>
            </w:r>
          </w:p>
        </w:tc>
      </w:tr>
    </w:tbl>
    <w:p w:rsidR="00032704" w:rsidRPr="0095171D" w:rsidRDefault="00032704" w:rsidP="00032704">
      <w:pPr>
        <w:pStyle w:val="R1"/>
        <w:ind w:left="786" w:firstLine="0"/>
        <w:jc w:val="left"/>
      </w:pPr>
    </w:p>
    <w:p w:rsidR="00383102" w:rsidRPr="0095171D" w:rsidRDefault="002F1104" w:rsidP="00BC708B">
      <w:pPr>
        <w:pStyle w:val="Heading3"/>
        <w:numPr>
          <w:ilvl w:val="1"/>
          <w:numId w:val="45"/>
        </w:numPr>
        <w:rPr>
          <w:rFonts w:ascii="Times New Roman" w:hAnsi="Times New Roman" w:cs="Times New Roman"/>
          <w:sz w:val="24"/>
          <w:szCs w:val="24"/>
        </w:rPr>
      </w:pPr>
      <w:bookmarkStart w:id="632" w:name="_Toc325039172"/>
      <w:r w:rsidRPr="0095171D">
        <w:rPr>
          <w:rFonts w:ascii="Times New Roman" w:hAnsi="Times New Roman" w:cs="Times New Roman"/>
          <w:sz w:val="24"/>
          <w:szCs w:val="24"/>
        </w:rPr>
        <w:t>Converting the Molecular mass to Elemental Mass (M)</w:t>
      </w:r>
      <w:bookmarkEnd w:id="632"/>
    </w:p>
    <w:p w:rsidR="002333F9" w:rsidRPr="0095171D" w:rsidRDefault="00B0547F" w:rsidP="00BC708B">
      <w:pPr>
        <w:pStyle w:val="R1"/>
        <w:numPr>
          <w:ilvl w:val="0"/>
          <w:numId w:val="35"/>
        </w:numPr>
        <w:jc w:val="left"/>
      </w:pPr>
      <w:r w:rsidRPr="00B0547F">
        <w:t xml:space="preserve">For the purposes of subsection </w:t>
      </w:r>
      <w:fldSimple w:instr=" REF _Ref317782750 \r \h  \* MERGEFORMAT ">
        <w:r w:rsidR="001756BA">
          <w:t>3.8</w:t>
        </w:r>
      </w:fldSimple>
      <w:r w:rsidRPr="00B0547F">
        <w:t xml:space="preserve"> (1), the value of emissions of </w:t>
      </w:r>
      <w:r w:rsidR="00070A4B">
        <w:t>CH</w:t>
      </w:r>
      <w:r w:rsidR="00070A4B" w:rsidRPr="00070A4B">
        <w:rPr>
          <w:vertAlign w:val="subscript"/>
        </w:rPr>
        <w:t>4</w:t>
      </w:r>
      <w:r w:rsidRPr="00B0547F">
        <w:t xml:space="preserve"> and </w:t>
      </w:r>
      <w:r w:rsidR="00C03BB7">
        <w:t>N</w:t>
      </w:r>
      <w:r w:rsidR="00C03BB7" w:rsidRPr="00C03BB7">
        <w:rPr>
          <w:vertAlign w:val="subscript"/>
        </w:rPr>
        <w:t>2</w:t>
      </w:r>
      <w:r w:rsidR="00C03BB7">
        <w:t>O</w:t>
      </w:r>
      <w:r w:rsidRPr="00B0547F">
        <w:t xml:space="preserve"> must be converted from the molecular mass to the elemental mass.</w:t>
      </w:r>
    </w:p>
    <w:p w:rsidR="002333F9" w:rsidRPr="0095171D" w:rsidRDefault="006738BF" w:rsidP="00BC708B">
      <w:pPr>
        <w:pStyle w:val="R1"/>
        <w:numPr>
          <w:ilvl w:val="0"/>
          <w:numId w:val="35"/>
        </w:numPr>
        <w:jc w:val="left"/>
      </w:pPr>
      <w:r w:rsidRPr="0095171D">
        <w:t xml:space="preserve">For the purposes of </w:t>
      </w:r>
      <w:r w:rsidR="00B0547F" w:rsidRPr="00B0547F">
        <w:t xml:space="preserve">subsection </w:t>
      </w:r>
      <w:fldSimple w:instr=" REF _Ref317782750 \r \h  \* MERGEFORMAT ">
        <w:r w:rsidR="001756BA">
          <w:t>3.8</w:t>
        </w:r>
      </w:fldSimple>
      <w:r w:rsidR="00B0547F" w:rsidRPr="00B0547F">
        <w:t xml:space="preserve"> (1)</w:t>
      </w:r>
      <w:r w:rsidRPr="0095171D">
        <w:t>, t</w:t>
      </w:r>
      <w:r w:rsidR="00B0547F" w:rsidRPr="00B0547F">
        <w:t>he conversion factor</w:t>
      </w:r>
      <w:r w:rsidR="00E51355">
        <w:t xml:space="preserve"> is the ratio of molecular mass to elemental mass</w:t>
      </w:r>
      <w:r w:rsidR="00B0547F" w:rsidRPr="00B0547F">
        <w:t xml:space="preserve"> </w:t>
      </w:r>
      <w:r w:rsidR="00E51355">
        <w:t>for each of</w:t>
      </w:r>
      <w:r w:rsidR="00B0547F" w:rsidRPr="00B0547F">
        <w:t xml:space="preserve"> </w:t>
      </w:r>
      <w:r w:rsidR="00070A4B">
        <w:t>CH</w:t>
      </w:r>
      <w:r w:rsidR="00070A4B" w:rsidRPr="00070A4B">
        <w:rPr>
          <w:vertAlign w:val="subscript"/>
        </w:rPr>
        <w:t>4</w:t>
      </w:r>
      <w:r w:rsidR="00B0547F" w:rsidRPr="00B0547F">
        <w:t xml:space="preserve"> and </w:t>
      </w:r>
      <w:r w:rsidR="00C03BB7">
        <w:t>N</w:t>
      </w:r>
      <w:r w:rsidR="00C03BB7" w:rsidRPr="00C03BB7">
        <w:rPr>
          <w:vertAlign w:val="subscript"/>
        </w:rPr>
        <w:t>2</w:t>
      </w:r>
      <w:r w:rsidR="00C03BB7">
        <w:t>O</w:t>
      </w:r>
      <w:r w:rsidR="00B0547F" w:rsidRPr="00B0547F">
        <w:t xml:space="preserve"> </w:t>
      </w:r>
      <w:r w:rsidR="00E51355">
        <w:t>and</w:t>
      </w:r>
      <w:r w:rsidR="00B0547F" w:rsidRPr="00B0547F">
        <w:t xml:space="preserve"> is taken to be the amount set out in the following table:</w:t>
      </w:r>
    </w:p>
    <w:p w:rsidR="00CC65C7" w:rsidRPr="0095171D" w:rsidRDefault="00B0547F">
      <w:pPr>
        <w:pStyle w:val="R2"/>
        <w:ind w:left="426" w:firstLine="0"/>
        <w:jc w:val="center"/>
        <w:rPr>
          <w:b/>
        </w:rPr>
      </w:pPr>
      <w:r w:rsidRPr="00B0547F">
        <w:rPr>
          <w:b/>
        </w:rPr>
        <w:t xml:space="preserve">Table </w:t>
      </w:r>
      <w:r w:rsidR="00C34CB5" w:rsidRPr="0095171D">
        <w:rPr>
          <w:b/>
        </w:rPr>
        <w:t>8</w:t>
      </w:r>
      <w:r w:rsidRPr="00B0547F">
        <w:rPr>
          <w:b/>
        </w:rPr>
        <w:t>: Molecular mass to elemental mass</w:t>
      </w:r>
    </w:p>
    <w:tbl>
      <w:tblPr>
        <w:tblW w:w="5184" w:type="dxa"/>
        <w:jc w:val="center"/>
        <w:tblLook w:val="04A0"/>
      </w:tblPr>
      <w:tblGrid>
        <w:gridCol w:w="2238"/>
        <w:gridCol w:w="2946"/>
      </w:tblGrid>
      <w:tr w:rsidR="00380BE1" w:rsidRPr="0095171D" w:rsidTr="00CB00CE">
        <w:trPr>
          <w:trHeight w:val="593"/>
          <w:jc w:val="center"/>
        </w:trPr>
        <w:tc>
          <w:tcPr>
            <w:tcW w:w="2238" w:type="dxa"/>
            <w:tcBorders>
              <w:top w:val="single" w:sz="4" w:space="0" w:color="auto"/>
              <w:left w:val="single" w:sz="4" w:space="0" w:color="auto"/>
              <w:bottom w:val="single" w:sz="4" w:space="0" w:color="auto"/>
              <w:right w:val="single" w:sz="4" w:space="0" w:color="auto"/>
            </w:tcBorders>
            <w:shd w:val="clear" w:color="auto" w:fill="auto"/>
            <w:vAlign w:val="bottom"/>
          </w:tcPr>
          <w:p w:rsidR="00380BE1" w:rsidRPr="0095171D" w:rsidRDefault="00B0547F" w:rsidP="004D0609">
            <w:pPr>
              <w:jc w:val="center"/>
              <w:rPr>
                <w:b/>
                <w:bCs/>
                <w:color w:val="000000"/>
              </w:rPr>
            </w:pPr>
            <w:r w:rsidRPr="00B0547F">
              <w:rPr>
                <w:b/>
                <w:bCs/>
                <w:color w:val="000000"/>
              </w:rPr>
              <w:t>Gas</w:t>
            </w:r>
          </w:p>
        </w:tc>
        <w:tc>
          <w:tcPr>
            <w:tcW w:w="2946" w:type="dxa"/>
            <w:tcBorders>
              <w:top w:val="single" w:sz="4" w:space="0" w:color="auto"/>
              <w:left w:val="nil"/>
              <w:bottom w:val="single" w:sz="4" w:space="0" w:color="auto"/>
              <w:right w:val="single" w:sz="4" w:space="0" w:color="auto"/>
            </w:tcBorders>
            <w:shd w:val="clear" w:color="auto" w:fill="auto"/>
            <w:vAlign w:val="bottom"/>
          </w:tcPr>
          <w:p w:rsidR="007E0C4C" w:rsidRDefault="00B0547F" w:rsidP="004D0609">
            <w:pPr>
              <w:jc w:val="center"/>
              <w:rPr>
                <w:b/>
                <w:bCs/>
                <w:color w:val="000000"/>
              </w:rPr>
            </w:pPr>
            <w:r w:rsidRPr="00B0547F">
              <w:rPr>
                <w:b/>
                <w:bCs/>
                <w:color w:val="000000"/>
              </w:rPr>
              <w:t>Conversion factor</w:t>
            </w:r>
            <w:r w:rsidR="00E51355">
              <w:rPr>
                <w:b/>
                <w:bCs/>
                <w:color w:val="000000"/>
              </w:rPr>
              <w:t xml:space="preserve"> (M)</w:t>
            </w:r>
          </w:p>
        </w:tc>
      </w:tr>
      <w:tr w:rsidR="00380BE1" w:rsidRPr="0095171D" w:rsidTr="00CB00CE">
        <w:trPr>
          <w:trHeight w:val="475"/>
          <w:jc w:val="center"/>
        </w:trPr>
        <w:tc>
          <w:tcPr>
            <w:tcW w:w="2238" w:type="dxa"/>
            <w:tcBorders>
              <w:top w:val="nil"/>
              <w:left w:val="single" w:sz="4" w:space="0" w:color="auto"/>
              <w:bottom w:val="single" w:sz="4" w:space="0" w:color="auto"/>
              <w:right w:val="single" w:sz="4" w:space="0" w:color="auto"/>
            </w:tcBorders>
            <w:shd w:val="clear" w:color="auto" w:fill="auto"/>
            <w:vAlign w:val="center"/>
          </w:tcPr>
          <w:p w:rsidR="00380BE1" w:rsidRPr="0095171D" w:rsidRDefault="00861D45" w:rsidP="004D0609">
            <w:pPr>
              <w:jc w:val="center"/>
              <w:rPr>
                <w:b/>
                <w:bCs/>
                <w:color w:val="000000"/>
              </w:rPr>
            </w:pPr>
            <w:r>
              <w:t>CH</w:t>
            </w:r>
            <w:r w:rsidRPr="00070A4B">
              <w:rPr>
                <w:vertAlign w:val="subscript"/>
              </w:rPr>
              <w:t>4</w:t>
            </w:r>
          </w:p>
        </w:tc>
        <w:tc>
          <w:tcPr>
            <w:tcW w:w="2946" w:type="dxa"/>
            <w:tcBorders>
              <w:top w:val="single" w:sz="4" w:space="0" w:color="auto"/>
              <w:left w:val="nil"/>
              <w:bottom w:val="single" w:sz="4" w:space="0" w:color="auto"/>
              <w:right w:val="single" w:sz="4" w:space="0" w:color="auto"/>
            </w:tcBorders>
            <w:shd w:val="clear" w:color="auto" w:fill="auto"/>
            <w:vAlign w:val="bottom"/>
          </w:tcPr>
          <w:p w:rsidR="00380BE1" w:rsidRPr="0095171D" w:rsidRDefault="00B0547F" w:rsidP="004D0609">
            <w:pPr>
              <w:jc w:val="center"/>
              <w:rPr>
                <w:color w:val="000000"/>
              </w:rPr>
            </w:pPr>
            <w:r w:rsidRPr="00B0547F">
              <w:rPr>
                <w:color w:val="000000"/>
              </w:rPr>
              <w:t>1.3333</w:t>
            </w:r>
          </w:p>
        </w:tc>
      </w:tr>
      <w:tr w:rsidR="00380BE1" w:rsidRPr="0095171D" w:rsidTr="00CB00CE">
        <w:trPr>
          <w:trHeight w:val="437"/>
          <w:jc w:val="center"/>
        </w:trPr>
        <w:tc>
          <w:tcPr>
            <w:tcW w:w="2238" w:type="dxa"/>
            <w:tcBorders>
              <w:top w:val="nil"/>
              <w:left w:val="single" w:sz="4" w:space="0" w:color="auto"/>
              <w:bottom w:val="single" w:sz="4" w:space="0" w:color="auto"/>
              <w:right w:val="single" w:sz="4" w:space="0" w:color="auto"/>
            </w:tcBorders>
            <w:shd w:val="clear" w:color="auto" w:fill="auto"/>
            <w:vAlign w:val="center"/>
          </w:tcPr>
          <w:p w:rsidR="00380BE1" w:rsidRPr="0095171D" w:rsidRDefault="00861D45" w:rsidP="004D0609">
            <w:pPr>
              <w:jc w:val="center"/>
              <w:rPr>
                <w:b/>
                <w:bCs/>
                <w:color w:val="000000"/>
              </w:rPr>
            </w:pPr>
            <w:r>
              <w:t>N</w:t>
            </w:r>
            <w:r w:rsidRPr="00C03BB7">
              <w:rPr>
                <w:vertAlign w:val="subscript"/>
              </w:rPr>
              <w:t>2</w:t>
            </w:r>
            <w:r>
              <w:t>O</w:t>
            </w:r>
          </w:p>
        </w:tc>
        <w:tc>
          <w:tcPr>
            <w:tcW w:w="2946" w:type="dxa"/>
            <w:tcBorders>
              <w:top w:val="single" w:sz="4" w:space="0" w:color="auto"/>
              <w:left w:val="nil"/>
              <w:bottom w:val="single" w:sz="4" w:space="0" w:color="auto"/>
              <w:right w:val="single" w:sz="4" w:space="0" w:color="auto"/>
            </w:tcBorders>
            <w:shd w:val="clear" w:color="auto" w:fill="auto"/>
            <w:vAlign w:val="bottom"/>
          </w:tcPr>
          <w:p w:rsidR="00380BE1" w:rsidRPr="0095171D" w:rsidRDefault="00B0547F" w:rsidP="004D0609">
            <w:pPr>
              <w:jc w:val="center"/>
              <w:rPr>
                <w:color w:val="000000"/>
              </w:rPr>
            </w:pPr>
            <w:r w:rsidRPr="00B0547F">
              <w:rPr>
                <w:color w:val="000000"/>
              </w:rPr>
              <w:t>1.5714</w:t>
            </w:r>
          </w:p>
        </w:tc>
      </w:tr>
    </w:tbl>
    <w:p w:rsidR="001E0C3E" w:rsidRPr="0095171D" w:rsidRDefault="00443007" w:rsidP="001E0C3E">
      <w:pPr>
        <w:pStyle w:val="Heading3"/>
        <w:numPr>
          <w:ilvl w:val="1"/>
          <w:numId w:val="45"/>
        </w:numPr>
        <w:rPr>
          <w:rFonts w:ascii="Times New Roman" w:hAnsi="Times New Roman" w:cs="Times New Roman"/>
          <w:sz w:val="24"/>
          <w:szCs w:val="24"/>
        </w:rPr>
      </w:pPr>
      <w:bookmarkStart w:id="633" w:name="_Toc325039173"/>
      <w:r w:rsidRPr="0095171D">
        <w:rPr>
          <w:rFonts w:ascii="Times New Roman" w:hAnsi="Times New Roman" w:cs="Times New Roman"/>
          <w:sz w:val="24"/>
          <w:szCs w:val="24"/>
        </w:rPr>
        <w:t>Calculating</w:t>
      </w:r>
      <w:r w:rsidR="001E0C3E" w:rsidRPr="0095171D">
        <w:rPr>
          <w:rFonts w:ascii="Times New Roman" w:hAnsi="Times New Roman" w:cs="Times New Roman"/>
          <w:sz w:val="24"/>
          <w:szCs w:val="24"/>
        </w:rPr>
        <w:t xml:space="preserve"> the</w:t>
      </w:r>
      <w:r w:rsidR="00B72198" w:rsidRPr="0095171D">
        <w:rPr>
          <w:rFonts w:ascii="Times New Roman" w:hAnsi="Times New Roman" w:cs="Times New Roman"/>
          <w:sz w:val="24"/>
          <w:szCs w:val="24"/>
        </w:rPr>
        <w:t xml:space="preserve"> annual </w:t>
      </w:r>
      <w:r w:rsidR="001E0C3E" w:rsidRPr="0095171D">
        <w:rPr>
          <w:rFonts w:ascii="Times New Roman" w:hAnsi="Times New Roman" w:cs="Times New Roman"/>
          <w:sz w:val="24"/>
          <w:szCs w:val="24"/>
        </w:rPr>
        <w:t>fire emissions in tonnes CO</w:t>
      </w:r>
      <w:r w:rsidR="001E0C3E" w:rsidRPr="0095171D">
        <w:rPr>
          <w:rFonts w:ascii="Times New Roman" w:hAnsi="Times New Roman" w:cs="Times New Roman"/>
          <w:sz w:val="24"/>
          <w:szCs w:val="24"/>
          <w:vertAlign w:val="subscript"/>
        </w:rPr>
        <w:t>2</w:t>
      </w:r>
      <w:r w:rsidR="001E0C3E" w:rsidRPr="0095171D">
        <w:rPr>
          <w:rFonts w:ascii="Times New Roman" w:hAnsi="Times New Roman" w:cs="Times New Roman"/>
          <w:sz w:val="24"/>
          <w:szCs w:val="24"/>
        </w:rPr>
        <w:t>-e</w:t>
      </w:r>
      <w:bookmarkEnd w:id="633"/>
    </w:p>
    <w:p w:rsidR="001E0C3E" w:rsidRDefault="001E0C3E" w:rsidP="001E0C3E">
      <w:pPr>
        <w:pStyle w:val="R1"/>
        <w:numPr>
          <w:ilvl w:val="0"/>
          <w:numId w:val="25"/>
        </w:numPr>
        <w:jc w:val="left"/>
      </w:pPr>
      <w:r w:rsidRPr="0095171D">
        <w:t>The annual</w:t>
      </w:r>
      <w:r w:rsidR="00B72198" w:rsidRPr="0095171D">
        <w:t xml:space="preserve"> fire</w:t>
      </w:r>
      <w:r w:rsidRPr="0095171D">
        <w:t xml:space="preserve"> emissions of each greenhouse gas </w:t>
      </w:r>
      <w:r w:rsidR="0000042E">
        <w:t xml:space="preserve">(tonnes </w:t>
      </w:r>
      <w:r w:rsidR="0000042E" w:rsidRPr="0095171D">
        <w:t xml:space="preserve">of </w:t>
      </w:r>
      <w:r w:rsidR="0000042E">
        <w:t xml:space="preserve">greenhouse gas emitted) </w:t>
      </w:r>
      <w:r w:rsidRPr="0095171D">
        <w:t>in each fire season for each vegetation type must be calculated and the results must be recorded in Table</w:t>
      </w:r>
      <w:r w:rsidR="000A3FE5">
        <w:t> </w:t>
      </w:r>
      <w:r w:rsidR="00B0547F" w:rsidRPr="00B0547F">
        <w:t>22 of Form 1 and Form 2 of Schedule 2.</w:t>
      </w:r>
    </w:p>
    <w:p w:rsidR="002C3F9E" w:rsidRDefault="001F6ABC" w:rsidP="001E0C3E">
      <w:pPr>
        <w:pStyle w:val="R1"/>
        <w:numPr>
          <w:ilvl w:val="0"/>
          <w:numId w:val="25"/>
        </w:numPr>
        <w:jc w:val="left"/>
        <w:rPr>
          <w:iCs/>
        </w:rPr>
      </w:pPr>
      <w:r>
        <w:rPr>
          <w:iCs/>
        </w:rPr>
        <w:t>This calculation is</w:t>
      </w:r>
      <w:r w:rsidR="002C3F9E">
        <w:rPr>
          <w:iCs/>
        </w:rPr>
        <w:t xml:space="preserve"> done by multiplying the values in</w:t>
      </w:r>
      <w:r w:rsidR="00FB2FCF">
        <w:rPr>
          <w:iCs/>
        </w:rPr>
        <w:t xml:space="preserve"> Table 11 with the corresponding values in</w:t>
      </w:r>
      <w:r w:rsidR="002C3F9E">
        <w:rPr>
          <w:iCs/>
        </w:rPr>
        <w:t xml:space="preserve"> </w:t>
      </w:r>
      <w:r w:rsidR="00FB2FCF">
        <w:rPr>
          <w:iCs/>
        </w:rPr>
        <w:t>Table 21.</w:t>
      </w:r>
    </w:p>
    <w:p w:rsidR="00F82904" w:rsidRPr="00F82904" w:rsidRDefault="00B0547F" w:rsidP="00F82904">
      <w:pPr>
        <w:pStyle w:val="R1"/>
        <w:tabs>
          <w:tab w:val="clear" w:pos="794"/>
          <w:tab w:val="right" w:pos="1418"/>
        </w:tabs>
        <w:ind w:left="2127" w:hanging="774"/>
        <w:jc w:val="left"/>
        <w:rPr>
          <w:sz w:val="20"/>
        </w:rPr>
      </w:pPr>
      <w:r w:rsidRPr="00B0547F">
        <w:rPr>
          <w:i/>
          <w:sz w:val="20"/>
        </w:rPr>
        <w:tab/>
      </w:r>
      <w:r w:rsidR="00BB2ACA" w:rsidRPr="00900A1E">
        <w:rPr>
          <w:i/>
          <w:sz w:val="20"/>
        </w:rPr>
        <w:t>Note</w:t>
      </w:r>
      <w:r w:rsidR="00BB2ACA" w:rsidRPr="00BB2ACA">
        <w:rPr>
          <w:sz w:val="20"/>
        </w:rPr>
        <w:t xml:space="preserve">:  </w:t>
      </w:r>
      <w:r w:rsidR="00BB2ACA" w:rsidRPr="00BB2ACA">
        <w:rPr>
          <w:sz w:val="20"/>
        </w:rPr>
        <w:tab/>
      </w:r>
      <w:r w:rsidR="00F82904">
        <w:rPr>
          <w:sz w:val="20"/>
        </w:rPr>
        <w:t xml:space="preserve">For example, the value in the first column and the first row of Table 11 </w:t>
      </w:r>
      <w:r w:rsidR="004F4B88">
        <w:rPr>
          <w:sz w:val="20"/>
        </w:rPr>
        <w:t xml:space="preserve">must </w:t>
      </w:r>
      <w:r w:rsidR="00F82904">
        <w:rPr>
          <w:sz w:val="20"/>
        </w:rPr>
        <w:t>be multiplied by the value in the first row and the first column of Table 21 and the result would be recorded in the first row of the first column of Table</w:t>
      </w:r>
      <w:r w:rsidR="00EC02AE">
        <w:rPr>
          <w:sz w:val="20"/>
        </w:rPr>
        <w:t> </w:t>
      </w:r>
      <w:r w:rsidR="00F82904">
        <w:rPr>
          <w:sz w:val="20"/>
        </w:rPr>
        <w:t xml:space="preserve">22. The value in the first column and the first row of Table 11 </w:t>
      </w:r>
      <w:r w:rsidR="004F4B88">
        <w:rPr>
          <w:sz w:val="20"/>
        </w:rPr>
        <w:t xml:space="preserve">must </w:t>
      </w:r>
      <w:r w:rsidR="00F82904">
        <w:rPr>
          <w:sz w:val="20"/>
        </w:rPr>
        <w:t xml:space="preserve">also </w:t>
      </w:r>
      <w:r w:rsidR="004F4B88">
        <w:rPr>
          <w:sz w:val="20"/>
        </w:rPr>
        <w:t xml:space="preserve">be </w:t>
      </w:r>
      <w:r w:rsidR="00F82904">
        <w:rPr>
          <w:sz w:val="20"/>
        </w:rPr>
        <w:t xml:space="preserve">multiplied by the value in the first row and the </w:t>
      </w:r>
      <w:r w:rsidR="001F6ABC">
        <w:rPr>
          <w:sz w:val="20"/>
        </w:rPr>
        <w:t>third</w:t>
      </w:r>
      <w:r w:rsidR="00F82904">
        <w:rPr>
          <w:sz w:val="20"/>
        </w:rPr>
        <w:t xml:space="preserve"> column of Table</w:t>
      </w:r>
      <w:r w:rsidR="00EC02AE">
        <w:rPr>
          <w:sz w:val="20"/>
        </w:rPr>
        <w:t> </w:t>
      </w:r>
      <w:r w:rsidR="00F82904">
        <w:rPr>
          <w:sz w:val="20"/>
        </w:rPr>
        <w:t xml:space="preserve">21 and the result would be recorded in the first row of the </w:t>
      </w:r>
      <w:r w:rsidR="001F6ABC">
        <w:rPr>
          <w:sz w:val="20"/>
        </w:rPr>
        <w:t>third</w:t>
      </w:r>
      <w:r w:rsidR="00F82904">
        <w:rPr>
          <w:sz w:val="20"/>
        </w:rPr>
        <w:t xml:space="preserve"> column of Table 22. </w:t>
      </w:r>
      <w:r w:rsidR="001F6ABC">
        <w:rPr>
          <w:sz w:val="20"/>
        </w:rPr>
        <w:t xml:space="preserve">This calculation </w:t>
      </w:r>
      <w:r w:rsidR="004F4B88">
        <w:rPr>
          <w:sz w:val="20"/>
        </w:rPr>
        <w:t>must</w:t>
      </w:r>
      <w:r w:rsidR="001F6ABC">
        <w:rPr>
          <w:sz w:val="20"/>
        </w:rPr>
        <w:t xml:space="preserve"> be </w:t>
      </w:r>
      <w:r w:rsidR="001663ED">
        <w:rPr>
          <w:sz w:val="20"/>
        </w:rPr>
        <w:t xml:space="preserve">repeated </w:t>
      </w:r>
      <w:r w:rsidR="001F6ABC">
        <w:rPr>
          <w:sz w:val="20"/>
        </w:rPr>
        <w:t>for each value in Table 21</w:t>
      </w:r>
      <w:r w:rsidR="00EC02AE">
        <w:rPr>
          <w:sz w:val="20"/>
        </w:rPr>
        <w:t xml:space="preserve"> </w:t>
      </w:r>
      <w:r w:rsidR="004F4B88">
        <w:rPr>
          <w:sz w:val="20"/>
        </w:rPr>
        <w:t>with the appropriate value in Table 11</w:t>
      </w:r>
      <w:r w:rsidR="001F6ABC">
        <w:rPr>
          <w:sz w:val="20"/>
        </w:rPr>
        <w:t xml:space="preserve"> to populate the first four rows and the four columns of Table 22.</w:t>
      </w:r>
    </w:p>
    <w:p w:rsidR="001E0C3E" w:rsidRPr="0095171D" w:rsidRDefault="001E0C3E" w:rsidP="001E0C3E">
      <w:pPr>
        <w:pStyle w:val="R1"/>
        <w:numPr>
          <w:ilvl w:val="0"/>
          <w:numId w:val="25"/>
        </w:numPr>
        <w:jc w:val="left"/>
        <w:rPr>
          <w:iCs/>
        </w:rPr>
      </w:pPr>
      <w:r w:rsidRPr="0095171D">
        <w:t>The annual</w:t>
      </w:r>
      <w:r w:rsidR="00B72198" w:rsidRPr="0095171D">
        <w:t xml:space="preserve"> fire</w:t>
      </w:r>
      <w:r w:rsidRPr="0095171D">
        <w:t xml:space="preserve"> emissions of each greenhouse gas </w:t>
      </w:r>
      <w:r w:rsidR="0000042E">
        <w:t>(</w:t>
      </w:r>
      <w:r w:rsidRPr="0095171D">
        <w:t>tonnes of CO</w:t>
      </w:r>
      <w:r w:rsidRPr="0095171D">
        <w:rPr>
          <w:vertAlign w:val="subscript"/>
        </w:rPr>
        <w:t>2</w:t>
      </w:r>
      <w:r w:rsidRPr="0095171D">
        <w:t>-e</w:t>
      </w:r>
      <w:r w:rsidR="0000042E">
        <w:t>)</w:t>
      </w:r>
      <w:r w:rsidRPr="0095171D">
        <w:t xml:space="preserve"> must be calculated and the results must be recorded in </w:t>
      </w:r>
      <w:r w:rsidR="00B0547F" w:rsidRPr="00B0547F">
        <w:t>Table 23 of Form 1</w:t>
      </w:r>
      <w:r w:rsidR="00EC02AE">
        <w:t xml:space="preserve"> of Schedule 2</w:t>
      </w:r>
      <w:r w:rsidR="00B0547F" w:rsidRPr="00B0547F">
        <w:t>.</w:t>
      </w:r>
      <w:r w:rsidRPr="0095171D">
        <w:t xml:space="preserve"> This must be done by multiplying the total annual emissions of each greenhouse gas by the </w:t>
      </w:r>
      <w:r w:rsidR="004F4B88">
        <w:t>GWP</w:t>
      </w:r>
      <w:r w:rsidRPr="0095171D">
        <w:t xml:space="preserve"> as specified in regulation 2.02 of the </w:t>
      </w:r>
      <w:r w:rsidR="00B0547F" w:rsidRPr="00B0547F">
        <w:rPr>
          <w:iCs/>
        </w:rPr>
        <w:t>NGER Regulations</w:t>
      </w:r>
      <w:r w:rsidRPr="0095171D">
        <w:rPr>
          <w:iCs/>
        </w:rPr>
        <w:t xml:space="preserve">. </w:t>
      </w:r>
    </w:p>
    <w:p w:rsidR="001E0C3E" w:rsidRPr="0095171D" w:rsidRDefault="001E0C3E" w:rsidP="001E0C3E">
      <w:pPr>
        <w:pStyle w:val="R1"/>
        <w:numPr>
          <w:ilvl w:val="0"/>
          <w:numId w:val="25"/>
        </w:numPr>
        <w:jc w:val="left"/>
      </w:pPr>
      <w:r w:rsidRPr="0095171D">
        <w:lastRenderedPageBreak/>
        <w:t xml:space="preserve">The </w:t>
      </w:r>
      <w:r w:rsidR="00B72198" w:rsidRPr="0095171D">
        <w:t xml:space="preserve">annual </w:t>
      </w:r>
      <w:r w:rsidRPr="0095171D">
        <w:t>fire emissions (E</w:t>
      </w:r>
      <w:r w:rsidRPr="0095171D">
        <w:rPr>
          <w:vertAlign w:val="subscript"/>
        </w:rPr>
        <w:t>fire</w:t>
      </w:r>
      <w:r w:rsidRPr="0095171D">
        <w:t>CO</w:t>
      </w:r>
      <w:r w:rsidRPr="0095171D">
        <w:rPr>
          <w:vertAlign w:val="subscript"/>
        </w:rPr>
        <w:t>2</w:t>
      </w:r>
      <w:r w:rsidRPr="0095171D">
        <w:t>-e</w:t>
      </w:r>
      <w:r w:rsidR="0000042E">
        <w:t xml:space="preserve"> (</w:t>
      </w:r>
      <w:r w:rsidR="0000042E" w:rsidRPr="0095171D">
        <w:t>tonnes of CO</w:t>
      </w:r>
      <w:r w:rsidR="0000042E" w:rsidRPr="0095171D">
        <w:rPr>
          <w:vertAlign w:val="subscript"/>
        </w:rPr>
        <w:t>2</w:t>
      </w:r>
      <w:r w:rsidR="0000042E" w:rsidRPr="0095171D">
        <w:t>-e</w:t>
      </w:r>
      <w:r w:rsidR="0000042E">
        <w:t>)</w:t>
      </w:r>
      <w:r w:rsidRPr="0095171D">
        <w:t>)</w:t>
      </w:r>
      <w:r w:rsidR="00B72198" w:rsidRPr="0095171D">
        <w:t xml:space="preserve"> for each year in the reporting period</w:t>
      </w:r>
      <w:r w:rsidRPr="0095171D">
        <w:t xml:space="preserve"> must be calculated and the results must be recorded in </w:t>
      </w:r>
      <w:r w:rsidR="00B0547F" w:rsidRPr="00B0547F">
        <w:t>Table</w:t>
      </w:r>
      <w:r w:rsidR="00390148">
        <w:t> </w:t>
      </w:r>
      <w:r w:rsidR="00B0547F" w:rsidRPr="00B0547F">
        <w:t>25 of Form 1 and Form 2 of Schedule 2.</w:t>
      </w:r>
      <w:r w:rsidRPr="0095171D">
        <w:t xml:space="preserve"> This must be done by adding the total annual </w:t>
      </w:r>
      <w:r w:rsidR="00CC18A4">
        <w:t>CO</w:t>
      </w:r>
      <w:r w:rsidR="00430335" w:rsidRPr="00430335">
        <w:rPr>
          <w:vertAlign w:val="subscript"/>
        </w:rPr>
        <w:t>2</w:t>
      </w:r>
      <w:r w:rsidR="00CC18A4">
        <w:t xml:space="preserve"> equivalent </w:t>
      </w:r>
      <w:r w:rsidRPr="0095171D">
        <w:t xml:space="preserve">emissions of each greenhouse </w:t>
      </w:r>
      <w:r w:rsidR="00B0547F" w:rsidRPr="00B0547F">
        <w:t>gas</w:t>
      </w:r>
      <w:r w:rsidR="00CC18A4">
        <w:t xml:space="preserve"> (CH</w:t>
      </w:r>
      <w:r w:rsidR="00430335" w:rsidRPr="00430335">
        <w:rPr>
          <w:vertAlign w:val="subscript"/>
        </w:rPr>
        <w:t>4</w:t>
      </w:r>
      <w:r w:rsidR="00CC18A4">
        <w:t xml:space="preserve"> and N</w:t>
      </w:r>
      <w:r w:rsidR="00430335" w:rsidRPr="00430335">
        <w:rPr>
          <w:vertAlign w:val="subscript"/>
        </w:rPr>
        <w:t>2</w:t>
      </w:r>
      <w:r w:rsidR="00CC18A4">
        <w:t>O)</w:t>
      </w:r>
      <w:r w:rsidR="00B0547F" w:rsidRPr="00B0547F">
        <w:t xml:space="preserve"> </w:t>
      </w:r>
      <w:r w:rsidR="0000042E">
        <w:t>from</w:t>
      </w:r>
      <w:r w:rsidR="00B0547F" w:rsidRPr="00B0547F">
        <w:t xml:space="preserve"> Table 23 of Form 1 of Schedule 2.</w:t>
      </w:r>
    </w:p>
    <w:p w:rsidR="002C7CEC" w:rsidRPr="0095171D" w:rsidRDefault="00EB13E3" w:rsidP="00BC708B">
      <w:pPr>
        <w:pStyle w:val="Heading3"/>
        <w:numPr>
          <w:ilvl w:val="1"/>
          <w:numId w:val="45"/>
        </w:numPr>
        <w:rPr>
          <w:rFonts w:ascii="Times New Roman" w:hAnsi="Times New Roman" w:cs="Times New Roman"/>
          <w:sz w:val="24"/>
          <w:szCs w:val="24"/>
        </w:rPr>
      </w:pPr>
      <w:bookmarkStart w:id="634" w:name="_Toc324838418"/>
      <w:bookmarkStart w:id="635" w:name="_Toc324838747"/>
      <w:bookmarkStart w:id="636" w:name="_Toc324843534"/>
      <w:bookmarkStart w:id="637" w:name="_Toc324860298"/>
      <w:bookmarkStart w:id="638" w:name="_Toc324860405"/>
      <w:bookmarkStart w:id="639" w:name="_Toc324860499"/>
      <w:bookmarkStart w:id="640" w:name="_Toc324860593"/>
      <w:bookmarkStart w:id="641" w:name="_Toc324860688"/>
      <w:bookmarkStart w:id="642" w:name="_Toc324860783"/>
      <w:bookmarkStart w:id="643" w:name="_Toc324860878"/>
      <w:bookmarkStart w:id="644" w:name="_Ref317781195"/>
      <w:bookmarkStart w:id="645" w:name="_Ref317839311"/>
      <w:bookmarkStart w:id="646" w:name="_Toc325039174"/>
      <w:bookmarkEnd w:id="634"/>
      <w:bookmarkEnd w:id="635"/>
      <w:bookmarkEnd w:id="636"/>
      <w:bookmarkEnd w:id="637"/>
      <w:bookmarkEnd w:id="638"/>
      <w:bookmarkEnd w:id="639"/>
      <w:bookmarkEnd w:id="640"/>
      <w:bookmarkEnd w:id="641"/>
      <w:bookmarkEnd w:id="642"/>
      <w:bookmarkEnd w:id="643"/>
      <w:r w:rsidRPr="0095171D">
        <w:rPr>
          <w:rFonts w:ascii="Times New Roman" w:hAnsi="Times New Roman" w:cs="Times New Roman"/>
          <w:sz w:val="24"/>
          <w:szCs w:val="24"/>
        </w:rPr>
        <w:t xml:space="preserve">Calculating </w:t>
      </w:r>
      <w:r w:rsidR="008628B4" w:rsidRPr="0095171D">
        <w:rPr>
          <w:rFonts w:ascii="Times New Roman" w:hAnsi="Times New Roman" w:cs="Times New Roman"/>
          <w:sz w:val="24"/>
          <w:szCs w:val="24"/>
        </w:rPr>
        <w:t>average baseline emissions</w:t>
      </w:r>
      <w:bookmarkEnd w:id="644"/>
      <w:bookmarkEnd w:id="645"/>
      <w:bookmarkEnd w:id="646"/>
    </w:p>
    <w:p w:rsidR="00A5660C" w:rsidRPr="0095171D" w:rsidRDefault="00B14B51" w:rsidP="00BC708B">
      <w:pPr>
        <w:pStyle w:val="R1"/>
        <w:numPr>
          <w:ilvl w:val="0"/>
          <w:numId w:val="37"/>
        </w:numPr>
        <w:jc w:val="left"/>
      </w:pPr>
      <w:r w:rsidRPr="0095171D">
        <w:t>For paragraph 106</w:t>
      </w:r>
      <w:r w:rsidR="00D146CB" w:rsidRPr="0095171D">
        <w:t xml:space="preserve"> </w:t>
      </w:r>
      <w:r w:rsidR="00B0547F" w:rsidRPr="00B0547F">
        <w:t>(4) (f) of the Act, the baseline for a project is, subject to subsection (2), the</w:t>
      </w:r>
      <w:r w:rsidRPr="0095171D">
        <w:t xml:space="preserve"> annual emissions of </w:t>
      </w:r>
      <w:r w:rsidR="00070A4B">
        <w:t>CH</w:t>
      </w:r>
      <w:r w:rsidR="00070A4B" w:rsidRPr="00070A4B">
        <w:rPr>
          <w:vertAlign w:val="subscript"/>
        </w:rPr>
        <w:t>4</w:t>
      </w:r>
      <w:r w:rsidRPr="0095171D">
        <w:t xml:space="preserve"> and </w:t>
      </w:r>
      <w:r w:rsidR="00C03BB7">
        <w:t>N</w:t>
      </w:r>
      <w:r w:rsidR="00C03BB7" w:rsidRPr="00C03BB7">
        <w:rPr>
          <w:vertAlign w:val="subscript"/>
        </w:rPr>
        <w:t>2</w:t>
      </w:r>
      <w:r w:rsidR="00C03BB7">
        <w:t>O</w:t>
      </w:r>
      <w:r w:rsidRPr="0095171D">
        <w:t xml:space="preserve"> in tonnes of CO</w:t>
      </w:r>
      <w:r w:rsidR="004763EF" w:rsidRPr="0095171D">
        <w:rPr>
          <w:vertAlign w:val="subscript"/>
        </w:rPr>
        <w:t>2</w:t>
      </w:r>
      <w:r w:rsidRPr="0095171D">
        <w:t>-e for the project area</w:t>
      </w:r>
      <w:r w:rsidR="00B0547F" w:rsidRPr="00B0547F">
        <w:t xml:space="preserve">, determined in accordance with subdivision 3.2.2, </w:t>
      </w:r>
      <w:r w:rsidR="008F3EBC">
        <w:t xml:space="preserve">averaged </w:t>
      </w:r>
      <w:r w:rsidR="00B0547F" w:rsidRPr="00B0547F">
        <w:t xml:space="preserve">over the ten years immediately preceding project commencement. </w:t>
      </w:r>
    </w:p>
    <w:p w:rsidR="00A5660C" w:rsidRPr="0095171D" w:rsidRDefault="00B0547F" w:rsidP="00BC708B">
      <w:pPr>
        <w:pStyle w:val="R1"/>
        <w:numPr>
          <w:ilvl w:val="0"/>
          <w:numId w:val="37"/>
        </w:numPr>
        <w:jc w:val="left"/>
      </w:pPr>
      <w:bookmarkStart w:id="647" w:name="_Ref317781188"/>
      <w:r w:rsidRPr="00B0547F">
        <w:t xml:space="preserve">Where strategic early dry season fire management has been conducted in the project area for at least one year but no more than six consecutive years immediately preceding the commencement of an eligible offsets project, the project proponent may adopt as the baseline the annual emissions of </w:t>
      </w:r>
      <w:r w:rsidR="00070A4B">
        <w:t>CH</w:t>
      </w:r>
      <w:r w:rsidR="00070A4B" w:rsidRPr="00070A4B">
        <w:rPr>
          <w:vertAlign w:val="subscript"/>
        </w:rPr>
        <w:t>4</w:t>
      </w:r>
      <w:r w:rsidRPr="00B0547F">
        <w:t xml:space="preserve"> and </w:t>
      </w:r>
      <w:r w:rsidR="00C03BB7">
        <w:t>N</w:t>
      </w:r>
      <w:r w:rsidR="00C03BB7" w:rsidRPr="00C03BB7">
        <w:rPr>
          <w:vertAlign w:val="subscript"/>
        </w:rPr>
        <w:t>2</w:t>
      </w:r>
      <w:r w:rsidR="00C03BB7">
        <w:t>O</w:t>
      </w:r>
      <w:r w:rsidRPr="00B0547F">
        <w:t xml:space="preserve"> from the project area, determined in accordance with subdivision 3.2.2, </w:t>
      </w:r>
      <w:r w:rsidR="00083417">
        <w:t xml:space="preserve">averaged </w:t>
      </w:r>
      <w:r w:rsidRPr="00B0547F">
        <w:t>over the ten years immediately preceding the commencement of that early dry season burning.</w:t>
      </w:r>
      <w:bookmarkEnd w:id="647"/>
    </w:p>
    <w:p w:rsidR="008D7CD1" w:rsidRPr="0095171D" w:rsidRDefault="00E86B00">
      <w:pPr>
        <w:pStyle w:val="R1"/>
        <w:ind w:left="2127" w:hanging="687"/>
        <w:jc w:val="left"/>
        <w:rPr>
          <w:sz w:val="20"/>
        </w:rPr>
      </w:pPr>
      <w:r w:rsidRPr="00E86B00">
        <w:rPr>
          <w:i/>
          <w:sz w:val="20"/>
        </w:rPr>
        <w:t>Note:</w:t>
      </w:r>
      <w:r w:rsidR="002F1104" w:rsidRPr="0095171D">
        <w:rPr>
          <w:sz w:val="20"/>
        </w:rPr>
        <w:t xml:space="preserve">  </w:t>
      </w:r>
      <w:r w:rsidR="002F1104" w:rsidRPr="0095171D">
        <w:rPr>
          <w:sz w:val="20"/>
        </w:rPr>
        <w:tab/>
      </w:r>
      <w:r w:rsidR="00E84EC7">
        <w:rPr>
          <w:sz w:val="20"/>
        </w:rPr>
        <w:t>E</w:t>
      </w:r>
      <w:r w:rsidR="00E84EC7" w:rsidRPr="0095171D">
        <w:rPr>
          <w:sz w:val="20"/>
        </w:rPr>
        <w:t xml:space="preserve">ven </w:t>
      </w:r>
      <w:r w:rsidR="002F1104" w:rsidRPr="0095171D">
        <w:rPr>
          <w:sz w:val="20"/>
        </w:rPr>
        <w:t xml:space="preserve">if early dry season burning occurred in the project area for more than six years immediately preceding project commencement, the reference period for calculating the baseline under </w:t>
      </w:r>
      <w:r w:rsidR="00CE1B39" w:rsidRPr="0095171D">
        <w:rPr>
          <w:sz w:val="20"/>
        </w:rPr>
        <w:t>subsection (2</w:t>
      </w:r>
      <w:r w:rsidR="002F1104" w:rsidRPr="0095171D">
        <w:rPr>
          <w:sz w:val="20"/>
        </w:rPr>
        <w:t>) is the ten years immediately preceding the period up to six years during which early dry season burning occurred prior to project commencement.</w:t>
      </w:r>
    </w:p>
    <w:p w:rsidR="001105F7" w:rsidRPr="0095171D" w:rsidRDefault="00B0547F" w:rsidP="001105F7">
      <w:pPr>
        <w:pStyle w:val="R1"/>
        <w:numPr>
          <w:ilvl w:val="0"/>
          <w:numId w:val="37"/>
        </w:numPr>
        <w:jc w:val="left"/>
      </w:pPr>
      <w:bookmarkStart w:id="648" w:name="_Ref317843228"/>
      <w:r w:rsidRPr="00B0547F">
        <w:t>The annual emissions, in tonnes of CO</w:t>
      </w:r>
      <w:r w:rsidRPr="00B0547F">
        <w:rPr>
          <w:vertAlign w:val="subscript"/>
        </w:rPr>
        <w:t>2</w:t>
      </w:r>
      <w:r w:rsidRPr="00B0547F">
        <w:t>-e, for each year that is included in the calculation of the project baseline emissions, and the sum of the annual emissions to determine the total emissions over the baseline period, must be recorded in Table 24 of Form 1 and Form 2 of Schedule 2.</w:t>
      </w:r>
    </w:p>
    <w:p w:rsidR="00093EB5" w:rsidRDefault="00B0547F" w:rsidP="00BC708B">
      <w:pPr>
        <w:pStyle w:val="R1"/>
        <w:numPr>
          <w:ilvl w:val="0"/>
          <w:numId w:val="37"/>
        </w:numPr>
        <w:jc w:val="left"/>
      </w:pPr>
      <w:r w:rsidRPr="00B0547F">
        <w:t>The average annual emissions for the baseline period must be calculated and recorded in Table 24 of Form 1 and Form 2 of Schedule 2.</w:t>
      </w:r>
    </w:p>
    <w:p w:rsidR="00093EB5" w:rsidRDefault="00093EB5" w:rsidP="00093EB5">
      <w:pPr>
        <w:pStyle w:val="R2"/>
      </w:pPr>
    </w:p>
    <w:p w:rsidR="00B0547F" w:rsidRPr="000D7783" w:rsidRDefault="002F1104" w:rsidP="000D7783">
      <w:pPr>
        <w:pStyle w:val="Heading5"/>
        <w:rPr>
          <w:i w:val="0"/>
        </w:rPr>
      </w:pPr>
      <w:bookmarkStart w:id="649" w:name="_Toc325039175"/>
      <w:bookmarkEnd w:id="648"/>
      <w:r w:rsidRPr="000D7783">
        <w:rPr>
          <w:i w:val="0"/>
        </w:rPr>
        <w:t>Subdivision 3.2.</w:t>
      </w:r>
      <w:r w:rsidR="008628B4" w:rsidRPr="000D7783">
        <w:rPr>
          <w:i w:val="0"/>
        </w:rPr>
        <w:t>3</w:t>
      </w:r>
      <w:r w:rsidR="00EB13E3" w:rsidRPr="000D7783">
        <w:rPr>
          <w:i w:val="0"/>
        </w:rPr>
        <w:tab/>
        <w:t>Calculat</w:t>
      </w:r>
      <w:r w:rsidR="00580B22" w:rsidRPr="000D7783">
        <w:rPr>
          <w:i w:val="0"/>
        </w:rPr>
        <w:t>ing</w:t>
      </w:r>
      <w:r w:rsidR="00EB13E3" w:rsidRPr="000D7783">
        <w:rPr>
          <w:i w:val="0"/>
        </w:rPr>
        <w:t xml:space="preserve"> </w:t>
      </w:r>
      <w:r w:rsidR="00083417" w:rsidRPr="000D7783">
        <w:rPr>
          <w:i w:val="0"/>
        </w:rPr>
        <w:t xml:space="preserve">total annual project </w:t>
      </w:r>
      <w:r w:rsidR="00D01BBA" w:rsidRPr="000D7783">
        <w:rPr>
          <w:i w:val="0"/>
        </w:rPr>
        <w:t>emissions</w:t>
      </w:r>
      <w:bookmarkEnd w:id="649"/>
    </w:p>
    <w:p w:rsidR="00B0547F" w:rsidRDefault="002F1104" w:rsidP="00B0547F">
      <w:pPr>
        <w:pStyle w:val="Heading3"/>
        <w:numPr>
          <w:ilvl w:val="1"/>
          <w:numId w:val="45"/>
        </w:numPr>
        <w:ind w:left="709" w:hanging="709"/>
        <w:rPr>
          <w:rFonts w:ascii="Times New Roman" w:hAnsi="Times New Roman" w:cs="Times New Roman"/>
          <w:sz w:val="24"/>
          <w:szCs w:val="24"/>
        </w:rPr>
      </w:pPr>
      <w:bookmarkStart w:id="650" w:name="_Toc324760446"/>
      <w:bookmarkStart w:id="651" w:name="_Toc324838421"/>
      <w:bookmarkStart w:id="652" w:name="_Toc324838750"/>
      <w:bookmarkStart w:id="653" w:name="_Toc324843537"/>
      <w:bookmarkStart w:id="654" w:name="_Toc324860301"/>
      <w:bookmarkStart w:id="655" w:name="_Toc324860408"/>
      <w:bookmarkStart w:id="656" w:name="_Toc324860502"/>
      <w:bookmarkStart w:id="657" w:name="_Toc324860596"/>
      <w:bookmarkStart w:id="658" w:name="_Toc324860691"/>
      <w:bookmarkStart w:id="659" w:name="_Toc324860786"/>
      <w:bookmarkStart w:id="660" w:name="_Toc324860881"/>
      <w:bookmarkStart w:id="661" w:name="_Toc324760447"/>
      <w:bookmarkStart w:id="662" w:name="_Toc324838422"/>
      <w:bookmarkStart w:id="663" w:name="_Toc324838751"/>
      <w:bookmarkStart w:id="664" w:name="_Toc324843538"/>
      <w:bookmarkStart w:id="665" w:name="_Toc324860302"/>
      <w:bookmarkStart w:id="666" w:name="_Toc324860409"/>
      <w:bookmarkStart w:id="667" w:name="_Toc324860503"/>
      <w:bookmarkStart w:id="668" w:name="_Toc324860597"/>
      <w:bookmarkStart w:id="669" w:name="_Toc324860692"/>
      <w:bookmarkStart w:id="670" w:name="_Toc324860787"/>
      <w:bookmarkStart w:id="671" w:name="_Toc324860882"/>
      <w:bookmarkStart w:id="672" w:name="_Toc324760448"/>
      <w:bookmarkStart w:id="673" w:name="_Toc324838423"/>
      <w:bookmarkStart w:id="674" w:name="_Toc324838752"/>
      <w:bookmarkStart w:id="675" w:name="_Toc324843539"/>
      <w:bookmarkStart w:id="676" w:name="_Toc324860303"/>
      <w:bookmarkStart w:id="677" w:name="_Toc324860410"/>
      <w:bookmarkStart w:id="678" w:name="_Toc324860504"/>
      <w:bookmarkStart w:id="679" w:name="_Toc324860598"/>
      <w:bookmarkStart w:id="680" w:name="_Toc324860693"/>
      <w:bookmarkStart w:id="681" w:name="_Toc324860788"/>
      <w:bookmarkStart w:id="682" w:name="_Toc324860883"/>
      <w:bookmarkStart w:id="683" w:name="_Toc324760449"/>
      <w:bookmarkStart w:id="684" w:name="_Toc324838424"/>
      <w:bookmarkStart w:id="685" w:name="_Toc324838753"/>
      <w:bookmarkStart w:id="686" w:name="_Toc324843540"/>
      <w:bookmarkStart w:id="687" w:name="_Toc324860304"/>
      <w:bookmarkStart w:id="688" w:name="_Toc324860411"/>
      <w:bookmarkStart w:id="689" w:name="_Toc324860505"/>
      <w:bookmarkStart w:id="690" w:name="_Toc324860599"/>
      <w:bookmarkStart w:id="691" w:name="_Toc324860694"/>
      <w:bookmarkStart w:id="692" w:name="_Toc324860789"/>
      <w:bookmarkStart w:id="693" w:name="_Toc324860884"/>
      <w:bookmarkStart w:id="694" w:name="_Toc3250391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95171D">
        <w:rPr>
          <w:rFonts w:ascii="Times New Roman" w:hAnsi="Times New Roman" w:cs="Times New Roman"/>
          <w:sz w:val="24"/>
          <w:szCs w:val="24"/>
        </w:rPr>
        <w:t>Calculating the emission</w:t>
      </w:r>
      <w:r w:rsidR="00083417">
        <w:rPr>
          <w:rFonts w:ascii="Times New Roman" w:hAnsi="Times New Roman" w:cs="Times New Roman"/>
          <w:sz w:val="24"/>
          <w:szCs w:val="24"/>
        </w:rPr>
        <w:t>s</w:t>
      </w:r>
      <w:r w:rsidRPr="0095171D">
        <w:rPr>
          <w:rFonts w:ascii="Times New Roman" w:hAnsi="Times New Roman" w:cs="Times New Roman"/>
          <w:sz w:val="24"/>
          <w:szCs w:val="24"/>
        </w:rPr>
        <w:t xml:space="preserve"> from fuel used to establish and manage a project</w:t>
      </w:r>
      <w:bookmarkEnd w:id="694"/>
    </w:p>
    <w:p w:rsidR="004C6E99" w:rsidRDefault="00B0547F" w:rsidP="00BC708B">
      <w:pPr>
        <w:pStyle w:val="R1"/>
        <w:numPr>
          <w:ilvl w:val="0"/>
          <w:numId w:val="38"/>
        </w:numPr>
        <w:jc w:val="left"/>
      </w:pPr>
      <w:r w:rsidRPr="00B0547F">
        <w:t>The total emissions of greenhouse gases from fuel used to establish and manage an offset project must be calculated for each fuel class and each greenhouse gas</w:t>
      </w:r>
      <w:r w:rsidR="00D01BBA" w:rsidRPr="0095171D">
        <w:t xml:space="preserve"> for each year in the reporting period</w:t>
      </w:r>
      <w:r w:rsidR="00B14B51" w:rsidRPr="0095171D">
        <w:t>.</w:t>
      </w:r>
    </w:p>
    <w:p w:rsidR="008618C2" w:rsidRDefault="008618C2" w:rsidP="00BC708B">
      <w:pPr>
        <w:pStyle w:val="R1"/>
        <w:numPr>
          <w:ilvl w:val="0"/>
          <w:numId w:val="38"/>
        </w:numPr>
        <w:jc w:val="left"/>
      </w:pPr>
      <w:r w:rsidRPr="008618C2">
        <w:t xml:space="preserve">Greenhouse gas emissions from fuel use must be estimated using the energy content factors and emission factors specified in Schedule 1 of the </w:t>
      </w:r>
      <w:r w:rsidR="00E86B00" w:rsidRPr="00E86B00">
        <w:t>NGER Measurement Determination</w:t>
      </w:r>
      <w:r w:rsidRPr="00D71684">
        <w:t xml:space="preserve"> </w:t>
      </w:r>
      <w:r w:rsidRPr="008618C2">
        <w:t>in force at the time the offsets report is submitted or was required to be submitted, whichever is earlier.</w:t>
      </w:r>
    </w:p>
    <w:p w:rsidR="00FF0D30" w:rsidRPr="0095171D" w:rsidRDefault="00B14B51" w:rsidP="00BC708B">
      <w:pPr>
        <w:pStyle w:val="R1"/>
        <w:numPr>
          <w:ilvl w:val="0"/>
          <w:numId w:val="38"/>
        </w:numPr>
        <w:jc w:val="left"/>
      </w:pPr>
      <w:r w:rsidRPr="0095171D">
        <w:t xml:space="preserve">The total </w:t>
      </w:r>
      <w:r w:rsidR="00B0547F" w:rsidRPr="00B0547F">
        <w:t xml:space="preserve">emissions of greenhouse gases from fuel used to establish and manage an offset project for each fuel </w:t>
      </w:r>
      <w:r w:rsidR="008618C2">
        <w:t>type</w:t>
      </w:r>
      <w:r w:rsidR="00B0547F" w:rsidRPr="00B0547F">
        <w:t xml:space="preserve"> and each greenhouse gas is to be calculated using the following formula:</w:t>
      </w:r>
    </w:p>
    <w:p w:rsidR="00FF0D30" w:rsidRPr="0095171D" w:rsidRDefault="00B0547F" w:rsidP="00FF0D30">
      <w:pPr>
        <w:pStyle w:val="R2"/>
        <w:tabs>
          <w:tab w:val="clear" w:pos="794"/>
          <w:tab w:val="left" w:pos="7553"/>
        </w:tabs>
      </w:pPr>
      <w:r w:rsidRPr="00B0547F">
        <w:lastRenderedPageBreak/>
        <w:tab/>
      </w:r>
      <w:r w:rsidRPr="00B0547F">
        <w:tab/>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5"/>
        <w:gridCol w:w="1865"/>
      </w:tblGrid>
      <w:tr w:rsidR="00FF0D30" w:rsidRPr="0095171D" w:rsidTr="00B66969">
        <w:tc>
          <w:tcPr>
            <w:tcW w:w="5705" w:type="dxa"/>
          </w:tcPr>
          <w:p w:rsidR="00FF0D30" w:rsidRPr="004D0609" w:rsidRDefault="00B36D41" w:rsidP="004D0609">
            <w:pPr>
              <w:ind w:left="1440"/>
              <w:rPr>
                <w:b/>
              </w:rPr>
            </w:pPr>
            <m:oMathPara>
              <m:oMathParaPr>
                <m:jc m:val="center"/>
              </m:oMathPara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ij</m:t>
                    </m:r>
                  </m:sub>
                </m:sSub>
                <m:r>
                  <m:rPr>
                    <m:sty m:val="b"/>
                  </m:rPr>
                  <w:rPr>
                    <w:rFonts w:ascii="Cambria Math" w:hAnsi="Cambria Math"/>
                  </w:rPr>
                  <m:t xml:space="preserve">=  </m:t>
                </m:r>
                <m:f>
                  <m:fPr>
                    <m:ctrlPr>
                      <w:rPr>
                        <w:rFonts w:ascii="Cambria Math" w:hAnsi="Cambria Math"/>
                        <w:b/>
                        <w:iCs/>
                      </w:rPr>
                    </m:ctrlPr>
                  </m:fPr>
                  <m:num>
                    <m:sSub>
                      <m:sSubPr>
                        <m:ctrlPr>
                          <w:rPr>
                            <w:rFonts w:ascii="Cambria Math" w:hAnsi="Cambria Math"/>
                            <w:b/>
                            <w:iCs/>
                          </w:rPr>
                        </m:ctrlPr>
                      </m:sSubPr>
                      <m:e>
                        <m:r>
                          <m:rPr>
                            <m:sty m:val="b"/>
                          </m:rPr>
                          <w:rPr>
                            <w:rFonts w:ascii="Cambria Math" w:hAnsi="Cambria Math"/>
                          </w:rPr>
                          <m:t>Q</m:t>
                        </m:r>
                      </m:e>
                      <m:sub>
                        <m:r>
                          <m:rPr>
                            <m:sty m:val="b"/>
                          </m:rPr>
                          <w:rPr>
                            <w:rFonts w:ascii="Cambria Math" w:hAnsi="Cambria Math"/>
                          </w:rPr>
                          <m:t xml:space="preserve">i </m:t>
                        </m:r>
                      </m:sub>
                    </m:sSub>
                    <m:sSub>
                      <m:sSubPr>
                        <m:ctrlPr>
                          <w:rPr>
                            <w:rFonts w:ascii="Cambria Math" w:hAnsi="Cambria Math"/>
                            <w:b/>
                            <w:iCs/>
                          </w:rPr>
                        </m:ctrlPr>
                      </m:sSubPr>
                      <m:e>
                        <m:r>
                          <m:rPr>
                            <m:sty m:val="b"/>
                          </m:rPr>
                          <w:rPr>
                            <w:rFonts w:ascii="Cambria Math" w:hAnsi="Cambria Math"/>
                          </w:rPr>
                          <m:t xml:space="preserve">  EC</m:t>
                        </m:r>
                      </m:e>
                      <m:sub>
                        <m:r>
                          <m:rPr>
                            <m:sty m:val="b"/>
                          </m:rPr>
                          <w:rPr>
                            <w:rFonts w:ascii="Cambria Math" w:hAnsi="Cambria Math"/>
                          </w:rPr>
                          <m:t xml:space="preserve">i </m:t>
                        </m:r>
                      </m:sub>
                    </m:sSub>
                    <m:sSub>
                      <m:sSubPr>
                        <m:ctrlPr>
                          <w:rPr>
                            <w:rFonts w:ascii="Cambria Math" w:hAnsi="Cambria Math"/>
                            <w:b/>
                            <w:iCs/>
                          </w:rPr>
                        </m:ctrlPr>
                      </m:sSubPr>
                      <m:e>
                        <m:r>
                          <m:rPr>
                            <m:sty m:val="b"/>
                          </m:rPr>
                          <w:rPr>
                            <w:rFonts w:ascii="Cambria Math" w:hAnsi="Cambria Math"/>
                          </w:rPr>
                          <m:t>× EF</m:t>
                        </m:r>
                      </m:e>
                      <m:sub>
                        <m:r>
                          <m:rPr>
                            <m:sty m:val="b"/>
                          </m:rPr>
                          <w:rPr>
                            <w:rFonts w:ascii="Cambria Math" w:hAnsi="Cambria Math"/>
                          </w:rPr>
                          <m:t xml:space="preserve">ijoxec </m:t>
                        </m:r>
                      </m:sub>
                    </m:sSub>
                  </m:num>
                  <m:den>
                    <m:r>
                      <m:rPr>
                        <m:sty m:val="b"/>
                      </m:rPr>
                      <w:rPr>
                        <w:rFonts w:ascii="Cambria Math" w:hAnsi="Cambria Math"/>
                      </w:rPr>
                      <m:t>1000</m:t>
                    </m:r>
                  </m:den>
                </m:f>
              </m:oMath>
            </m:oMathPara>
          </w:p>
        </w:tc>
        <w:tc>
          <w:tcPr>
            <w:tcW w:w="1865" w:type="dxa"/>
          </w:tcPr>
          <w:p w:rsidR="007E0C4C" w:rsidRDefault="00B0547F">
            <w:pPr>
              <w:jc w:val="center"/>
              <w:rPr>
                <w:b/>
              </w:rPr>
            </w:pPr>
            <w:r w:rsidRPr="00B0547F">
              <w:rPr>
                <w:b/>
              </w:rPr>
              <w:t xml:space="preserve">Equation </w:t>
            </w:r>
            <w:r w:rsidR="008618C2">
              <w:rPr>
                <w:b/>
              </w:rPr>
              <w:t>6</w:t>
            </w:r>
          </w:p>
          <w:p w:rsidR="004D0609" w:rsidRDefault="004D0609">
            <w:pPr>
              <w:jc w:val="center"/>
              <w:rPr>
                <w:b/>
              </w:rPr>
            </w:pPr>
          </w:p>
        </w:tc>
      </w:tr>
    </w:tbl>
    <w:p w:rsidR="00383026" w:rsidRPr="0095171D" w:rsidRDefault="00383026" w:rsidP="00383026">
      <w:pPr>
        <w:pStyle w:val="ListParagraph"/>
        <w:ind w:left="786"/>
        <w:rPr>
          <w:iCs/>
        </w:rPr>
      </w:pPr>
      <w:r w:rsidRPr="00B0547F">
        <w:rPr>
          <w:iCs/>
        </w:rPr>
        <w:t>where:</w:t>
      </w:r>
    </w:p>
    <w:p w:rsidR="00C666D5" w:rsidRDefault="00383026" w:rsidP="00712CA4">
      <w:pPr>
        <w:spacing w:before="180" w:line="260" w:lineRule="exact"/>
        <w:ind w:left="2126" w:hanging="1406"/>
      </w:pPr>
      <w:r w:rsidRPr="00B0547F">
        <w:rPr>
          <w:b/>
        </w:rPr>
        <w:t>E</w:t>
      </w:r>
      <w:r w:rsidRPr="00B0547F">
        <w:rPr>
          <w:b/>
          <w:vertAlign w:val="subscript"/>
        </w:rPr>
        <w:t>ij</w:t>
      </w:r>
      <w:r w:rsidRPr="00B0547F">
        <w:t xml:space="preserve"> = </w:t>
      </w:r>
      <w:r w:rsidR="00E84EC7">
        <w:tab/>
      </w:r>
      <w:r w:rsidR="00712CA4">
        <w:t>e</w:t>
      </w:r>
      <w:r w:rsidR="00712CA4" w:rsidRPr="00B0547F">
        <w:t xml:space="preserve">missions </w:t>
      </w:r>
      <w:r w:rsidRPr="00B0547F">
        <w:t xml:space="preserve">from fuel for each fuel </w:t>
      </w:r>
      <w:r>
        <w:t>type</w:t>
      </w:r>
      <w:r w:rsidRPr="00B0547F">
        <w:t xml:space="preserve"> and each greenhouse gas</w:t>
      </w:r>
      <w:r>
        <w:t xml:space="preserve"> (tonnes emitted).</w:t>
      </w:r>
    </w:p>
    <w:p w:rsidR="00C666D5" w:rsidRDefault="00383026" w:rsidP="00712CA4">
      <w:pPr>
        <w:spacing w:before="180" w:line="260" w:lineRule="exact"/>
        <w:ind w:left="2126" w:hanging="1406"/>
        <w:rPr>
          <w:iCs/>
        </w:rPr>
      </w:pPr>
      <w:r w:rsidRPr="00B0547F">
        <w:rPr>
          <w:b/>
        </w:rPr>
        <w:t>i</w:t>
      </w:r>
      <w:r w:rsidRPr="00B0547F">
        <w:t xml:space="preserve"> = </w:t>
      </w:r>
      <w:r w:rsidR="00E84EC7">
        <w:tab/>
      </w:r>
      <w:r w:rsidRPr="00B0547F">
        <w:t xml:space="preserve">fuel </w:t>
      </w:r>
      <w:r w:rsidRPr="00B0547F">
        <w:rPr>
          <w:iCs/>
        </w:rPr>
        <w:t>type</w:t>
      </w:r>
      <w:r>
        <w:rPr>
          <w:iCs/>
        </w:rPr>
        <w:t>.</w:t>
      </w:r>
    </w:p>
    <w:p w:rsidR="00C666D5" w:rsidRDefault="00383026" w:rsidP="00712CA4">
      <w:pPr>
        <w:spacing w:before="180" w:line="260" w:lineRule="exact"/>
        <w:ind w:left="2126" w:hanging="1406"/>
      </w:pPr>
      <w:r w:rsidRPr="00B0547F">
        <w:rPr>
          <w:b/>
        </w:rPr>
        <w:t>j</w:t>
      </w:r>
      <w:r w:rsidRPr="00B0547F">
        <w:t xml:space="preserve"> = </w:t>
      </w:r>
      <w:r w:rsidR="00E84EC7">
        <w:tab/>
      </w:r>
      <w:r>
        <w:t xml:space="preserve">greenhouse </w:t>
      </w:r>
      <w:r w:rsidRPr="00B0547F">
        <w:t>gas type (</w:t>
      </w:r>
      <w:r w:rsidR="00C03BB7">
        <w:t>CO</w:t>
      </w:r>
      <w:r w:rsidR="00430335" w:rsidRPr="00430335">
        <w:rPr>
          <w:vertAlign w:val="subscript"/>
        </w:rPr>
        <w:t>2</w:t>
      </w:r>
      <w:r w:rsidRPr="00B0547F">
        <w:t xml:space="preserve">, </w:t>
      </w:r>
      <w:r w:rsidR="00C03BB7">
        <w:t>N</w:t>
      </w:r>
      <w:r w:rsidR="00C03BB7" w:rsidRPr="00C03BB7">
        <w:rPr>
          <w:vertAlign w:val="subscript"/>
        </w:rPr>
        <w:t>2</w:t>
      </w:r>
      <w:r w:rsidR="00C03BB7">
        <w:t>O</w:t>
      </w:r>
      <w:r w:rsidRPr="00B0547F">
        <w:t xml:space="preserve">, </w:t>
      </w:r>
      <w:r w:rsidR="00070A4B">
        <w:t>CH</w:t>
      </w:r>
      <w:r w:rsidR="00070A4B" w:rsidRPr="00070A4B">
        <w:rPr>
          <w:vertAlign w:val="subscript"/>
        </w:rPr>
        <w:t>4</w:t>
      </w:r>
      <w:r w:rsidRPr="00B0547F">
        <w:t>)</w:t>
      </w:r>
      <w:r>
        <w:t>.</w:t>
      </w:r>
    </w:p>
    <w:p w:rsidR="00C666D5" w:rsidRDefault="00383026" w:rsidP="00712CA4">
      <w:pPr>
        <w:spacing w:before="180" w:line="260" w:lineRule="exact"/>
        <w:ind w:left="2126" w:hanging="1406"/>
      </w:pPr>
      <w:r w:rsidRPr="00B0547F">
        <w:rPr>
          <w:b/>
        </w:rPr>
        <w:t>Q</w:t>
      </w:r>
      <w:r w:rsidRPr="00B0547F">
        <w:rPr>
          <w:b/>
          <w:vertAlign w:val="subscript"/>
        </w:rPr>
        <w:t>i</w:t>
      </w:r>
      <w:r w:rsidRPr="00B0547F">
        <w:t xml:space="preserve"> </w:t>
      </w:r>
      <w:r w:rsidRPr="00B0547F">
        <w:rPr>
          <w:iCs/>
        </w:rPr>
        <w:t xml:space="preserve">= </w:t>
      </w:r>
      <w:r w:rsidR="00E84EC7">
        <w:rPr>
          <w:iCs/>
        </w:rPr>
        <w:tab/>
      </w:r>
      <w:r>
        <w:t>quantity of the specified fuel type</w:t>
      </w:r>
      <w:r w:rsidRPr="00B0547F">
        <w:t>, measured in cubic metres or gigajoules</w:t>
      </w:r>
      <w:r>
        <w:t>.</w:t>
      </w:r>
    </w:p>
    <w:p w:rsidR="00C666D5" w:rsidRDefault="00383026" w:rsidP="00712CA4">
      <w:pPr>
        <w:spacing w:before="180" w:line="260" w:lineRule="exact"/>
        <w:ind w:left="2126" w:hanging="1406"/>
      </w:pPr>
      <w:r w:rsidRPr="00B0547F">
        <w:rPr>
          <w:b/>
          <w:iCs/>
        </w:rPr>
        <w:t>EC</w:t>
      </w:r>
      <w:r w:rsidRPr="00B0547F">
        <w:rPr>
          <w:b/>
          <w:iCs/>
          <w:vertAlign w:val="subscript"/>
        </w:rPr>
        <w:t>i</w:t>
      </w:r>
      <w:r w:rsidRPr="00B0547F">
        <w:rPr>
          <w:iCs/>
        </w:rPr>
        <w:t xml:space="preserve"> = </w:t>
      </w:r>
      <w:r w:rsidR="00E84EC7">
        <w:rPr>
          <w:iCs/>
        </w:rPr>
        <w:tab/>
      </w:r>
      <w:r w:rsidRPr="00B0547F">
        <w:rPr>
          <w:iCs/>
        </w:rPr>
        <w:t>energy</w:t>
      </w:r>
      <w:r w:rsidRPr="00B0547F">
        <w:t xml:space="preserve"> content factor of fuel type (i) (gigajoules per kilolitre) (If Q</w:t>
      </w:r>
      <w:r w:rsidRPr="00B0547F">
        <w:rPr>
          <w:vertAlign w:val="subscript"/>
        </w:rPr>
        <w:t>i</w:t>
      </w:r>
      <w:r w:rsidRPr="00B0547F">
        <w:t xml:space="preserve"> is measured in gigajoules, then EC</w:t>
      </w:r>
      <w:r w:rsidRPr="00B0547F">
        <w:rPr>
          <w:vertAlign w:val="subscript"/>
        </w:rPr>
        <w:t>i</w:t>
      </w:r>
      <w:r w:rsidRPr="00B0547F">
        <w:t xml:space="preserve"> is 1)</w:t>
      </w:r>
      <w:r>
        <w:t>.</w:t>
      </w:r>
    </w:p>
    <w:p w:rsidR="00C666D5" w:rsidRDefault="00383026" w:rsidP="00712CA4">
      <w:pPr>
        <w:spacing w:before="180" w:line="260" w:lineRule="exact"/>
        <w:ind w:left="2126" w:hanging="1406"/>
      </w:pPr>
      <w:r w:rsidRPr="00B0547F">
        <w:rPr>
          <w:b/>
          <w:iCs/>
        </w:rPr>
        <w:t>EF</w:t>
      </w:r>
      <w:r w:rsidRPr="00B0547F">
        <w:rPr>
          <w:b/>
          <w:iCs/>
          <w:vertAlign w:val="subscript"/>
        </w:rPr>
        <w:t>ijoxec</w:t>
      </w:r>
      <w:r w:rsidRPr="00B0547F">
        <w:rPr>
          <w:iCs/>
        </w:rPr>
        <w:t xml:space="preserve"> = </w:t>
      </w:r>
      <w:r w:rsidR="00E84EC7">
        <w:rPr>
          <w:iCs/>
        </w:rPr>
        <w:tab/>
      </w:r>
      <w:r w:rsidRPr="00B0547F">
        <w:t xml:space="preserve">emission factor for each gas type (j) (which includes the effect of an oxidation factor) </w:t>
      </w:r>
      <w:r w:rsidRPr="00B0547F">
        <w:rPr>
          <w:iCs/>
        </w:rPr>
        <w:t>for</w:t>
      </w:r>
      <w:r w:rsidRPr="00B0547F">
        <w:t xml:space="preserve"> fuel type (i) (kilograms CO</w:t>
      </w:r>
      <w:r w:rsidRPr="00B0547F">
        <w:rPr>
          <w:vertAlign w:val="subscript"/>
        </w:rPr>
        <w:t>2</w:t>
      </w:r>
      <w:r w:rsidRPr="00B0547F">
        <w:t>-e per gigajoule)</w:t>
      </w:r>
      <w:r>
        <w:t>.</w:t>
      </w:r>
    </w:p>
    <w:p w:rsidR="00FF0D30" w:rsidRPr="0095171D" w:rsidRDefault="00FF0D30" w:rsidP="00FF0D30">
      <w:pPr>
        <w:pStyle w:val="R1"/>
        <w:ind w:left="0" w:firstLine="0"/>
        <w:jc w:val="left"/>
      </w:pPr>
    </w:p>
    <w:p w:rsidR="007D6A37" w:rsidRPr="0095171D" w:rsidRDefault="00B0547F" w:rsidP="00BC708B">
      <w:pPr>
        <w:pStyle w:val="R1"/>
        <w:numPr>
          <w:ilvl w:val="0"/>
          <w:numId w:val="38"/>
        </w:numPr>
        <w:jc w:val="left"/>
      </w:pPr>
      <w:r w:rsidRPr="00B0547F">
        <w:t>The total emissions of greenhouse gases from fuel used to establish and manage an offset project is to be calculated using the following formula:</w:t>
      </w:r>
    </w:p>
    <w:p w:rsidR="007D6A37" w:rsidRPr="0095171D" w:rsidRDefault="007D6A37" w:rsidP="007D6A37">
      <w:pPr>
        <w:pStyle w:val="R2"/>
        <w:ind w:left="786" w:firstLine="0"/>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7"/>
        <w:gridCol w:w="1873"/>
      </w:tblGrid>
      <w:tr w:rsidR="007D6A37" w:rsidRPr="0095171D" w:rsidTr="00B66969">
        <w:tc>
          <w:tcPr>
            <w:tcW w:w="5697" w:type="dxa"/>
          </w:tcPr>
          <w:p w:rsidR="007D6A37" w:rsidRPr="004D0609" w:rsidRDefault="00B36D41" w:rsidP="004D0609">
            <w:pPr>
              <w:ind w:left="2160"/>
              <w:rPr>
                <w:b/>
              </w:rPr>
            </w:pPr>
            <m:oMathPara>
              <m:oMathParaPr>
                <m:jc m:val="center"/>
              </m:oMathPara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fuel</m:t>
                    </m:r>
                  </m:sub>
                </m:sSub>
                <m:r>
                  <m:rPr>
                    <m:sty m:val="b"/>
                  </m:rPr>
                  <w:rPr>
                    <w:rFonts w:ascii="Cambria Math" w:hAnsi="Cambria Math"/>
                  </w:rPr>
                  <m:t xml:space="preserve">=  </m:t>
                </m:r>
                <m:nary>
                  <m:naryPr>
                    <m:chr m:val="∑"/>
                    <m:limLoc m:val="undOvr"/>
                    <m:ctrlPr>
                      <w:rPr>
                        <w:rFonts w:ascii="Cambria Math" w:hAnsi="Cambria Math"/>
                        <w:b/>
                        <w:iCs/>
                      </w:rPr>
                    </m:ctrlPr>
                  </m:naryPr>
                  <m:sub>
                    <m:r>
                      <m:rPr>
                        <m:sty m:val="b"/>
                      </m:rPr>
                      <w:rPr>
                        <w:rFonts w:ascii="Cambria Math" w:hAnsi="Cambria Math"/>
                      </w:rPr>
                      <m:t>1</m:t>
                    </m:r>
                  </m:sub>
                  <m:sup>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i,j</m:t>
                        </m:r>
                      </m:sub>
                    </m:sSub>
                  </m:sup>
                  <m:e>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ij</m:t>
                        </m:r>
                      </m:sub>
                    </m:sSub>
                  </m:e>
                </m:nary>
              </m:oMath>
            </m:oMathPara>
          </w:p>
        </w:tc>
        <w:tc>
          <w:tcPr>
            <w:tcW w:w="1873" w:type="dxa"/>
          </w:tcPr>
          <w:p w:rsidR="007D6A37" w:rsidRPr="0095171D" w:rsidRDefault="00B0547F" w:rsidP="00F27497">
            <w:pPr>
              <w:jc w:val="center"/>
              <w:rPr>
                <w:b/>
              </w:rPr>
            </w:pPr>
            <w:r w:rsidRPr="00B0547F">
              <w:rPr>
                <w:b/>
              </w:rPr>
              <w:t xml:space="preserve">Equation </w:t>
            </w:r>
            <w:r w:rsidR="008618C2">
              <w:rPr>
                <w:b/>
              </w:rPr>
              <w:t>7</w:t>
            </w:r>
          </w:p>
        </w:tc>
      </w:tr>
    </w:tbl>
    <w:p w:rsidR="00900A1E" w:rsidRDefault="001258A2">
      <w:pPr>
        <w:pStyle w:val="ListParagraph"/>
        <w:spacing w:before="120" w:line="260" w:lineRule="exact"/>
        <w:ind w:left="786"/>
        <w:rPr>
          <w:iCs/>
        </w:rPr>
      </w:pPr>
      <w:r w:rsidRPr="00B0547F">
        <w:rPr>
          <w:iCs/>
        </w:rPr>
        <w:t>where:</w:t>
      </w:r>
    </w:p>
    <w:p w:rsidR="00900A1E" w:rsidRDefault="00B0547F">
      <w:pPr>
        <w:spacing w:before="120" w:line="260" w:lineRule="exact"/>
        <w:ind w:left="2127" w:hanging="1407"/>
        <w:rPr>
          <w:iCs/>
        </w:rPr>
      </w:pPr>
      <w:r w:rsidRPr="00B0547F">
        <w:rPr>
          <w:b/>
          <w:iCs/>
        </w:rPr>
        <w:t>E</w:t>
      </w:r>
      <w:r w:rsidRPr="00B0547F">
        <w:rPr>
          <w:b/>
          <w:iCs/>
          <w:vertAlign w:val="subscript"/>
        </w:rPr>
        <w:t>fuel</w:t>
      </w:r>
      <w:r w:rsidRPr="00B0547F">
        <w:rPr>
          <w:iCs/>
        </w:rPr>
        <w:t xml:space="preserve"> = </w:t>
      </w:r>
      <w:r w:rsidR="00E84EC7">
        <w:rPr>
          <w:iCs/>
        </w:rPr>
        <w:tab/>
      </w:r>
      <w:r w:rsidRPr="00B0547F">
        <w:rPr>
          <w:iCs/>
        </w:rPr>
        <w:t>total emissions from fuel use (tonnes CO</w:t>
      </w:r>
      <w:r w:rsidRPr="00B0547F">
        <w:rPr>
          <w:iCs/>
          <w:vertAlign w:val="subscript"/>
        </w:rPr>
        <w:t>2</w:t>
      </w:r>
      <w:r w:rsidRPr="00B0547F">
        <w:rPr>
          <w:iCs/>
        </w:rPr>
        <w:t>-e)</w:t>
      </w:r>
      <w:r w:rsidR="005849F0">
        <w:rPr>
          <w:iCs/>
        </w:rPr>
        <w:t>.</w:t>
      </w:r>
    </w:p>
    <w:p w:rsidR="00900A1E" w:rsidRDefault="001258A2">
      <w:pPr>
        <w:spacing w:before="120" w:line="260" w:lineRule="exact"/>
        <w:ind w:left="2127" w:hanging="1407"/>
      </w:pPr>
      <w:r w:rsidRPr="00B0547F">
        <w:rPr>
          <w:b/>
        </w:rPr>
        <w:t>E</w:t>
      </w:r>
      <w:r w:rsidRPr="00B0547F">
        <w:rPr>
          <w:b/>
          <w:vertAlign w:val="subscript"/>
        </w:rPr>
        <w:t>ij</w:t>
      </w:r>
      <w:r w:rsidRPr="00B0547F">
        <w:t xml:space="preserve"> = </w:t>
      </w:r>
      <w:r w:rsidR="00E84EC7">
        <w:tab/>
        <w:t>e</w:t>
      </w:r>
      <w:r w:rsidRPr="00B0547F">
        <w:t xml:space="preserve">missions from fuel for each fuel </w:t>
      </w:r>
      <w:r>
        <w:t>type</w:t>
      </w:r>
      <w:r w:rsidRPr="00B0547F">
        <w:t xml:space="preserve"> and each greenhouse gas</w:t>
      </w:r>
      <w:r>
        <w:t xml:space="preserve"> (tonnes emitted).</w:t>
      </w:r>
    </w:p>
    <w:p w:rsidR="00900A1E" w:rsidRDefault="001258A2">
      <w:pPr>
        <w:spacing w:before="120" w:line="260" w:lineRule="exact"/>
        <w:ind w:left="2127" w:hanging="1407"/>
        <w:rPr>
          <w:iCs/>
        </w:rPr>
      </w:pPr>
      <w:r w:rsidRPr="00B0547F">
        <w:rPr>
          <w:b/>
        </w:rPr>
        <w:t>i</w:t>
      </w:r>
      <w:r w:rsidRPr="00B0547F">
        <w:t xml:space="preserve"> = </w:t>
      </w:r>
      <w:r w:rsidR="00E84EC7">
        <w:tab/>
      </w:r>
      <w:r w:rsidRPr="00B0547F">
        <w:t xml:space="preserve">fuel </w:t>
      </w:r>
      <w:r w:rsidRPr="00B0547F">
        <w:rPr>
          <w:iCs/>
        </w:rPr>
        <w:t>type</w:t>
      </w:r>
      <w:r>
        <w:rPr>
          <w:iCs/>
        </w:rPr>
        <w:t>.</w:t>
      </w:r>
    </w:p>
    <w:p w:rsidR="00900A1E" w:rsidRDefault="001258A2">
      <w:pPr>
        <w:spacing w:before="120" w:line="260" w:lineRule="exact"/>
        <w:ind w:left="2127" w:hanging="1407"/>
      </w:pPr>
      <w:r w:rsidRPr="00B0547F">
        <w:rPr>
          <w:b/>
        </w:rPr>
        <w:t>j</w:t>
      </w:r>
      <w:r w:rsidRPr="00B0547F">
        <w:t xml:space="preserve"> = </w:t>
      </w:r>
      <w:r w:rsidR="00E84EC7">
        <w:tab/>
      </w:r>
      <w:r>
        <w:t xml:space="preserve">greenhouse </w:t>
      </w:r>
      <w:r w:rsidRPr="00B0547F">
        <w:t>gas type (</w:t>
      </w:r>
      <w:r>
        <w:t>CO</w:t>
      </w:r>
      <w:r w:rsidRPr="004D0181">
        <w:rPr>
          <w:vertAlign w:val="subscript"/>
        </w:rPr>
        <w:t>2</w:t>
      </w:r>
      <w:r w:rsidRPr="00B0547F">
        <w:t xml:space="preserve">, </w:t>
      </w:r>
      <w:r>
        <w:t>N</w:t>
      </w:r>
      <w:r w:rsidRPr="00C03BB7">
        <w:rPr>
          <w:vertAlign w:val="subscript"/>
        </w:rPr>
        <w:t>2</w:t>
      </w:r>
      <w:r>
        <w:t>O</w:t>
      </w:r>
      <w:r w:rsidRPr="00B0547F">
        <w:t xml:space="preserve">, </w:t>
      </w:r>
      <w:r>
        <w:t>CH</w:t>
      </w:r>
      <w:r w:rsidRPr="00070A4B">
        <w:rPr>
          <w:vertAlign w:val="subscript"/>
        </w:rPr>
        <w:t>4</w:t>
      </w:r>
      <w:r w:rsidRPr="00B0547F">
        <w:t>)</w:t>
      </w:r>
      <w:r>
        <w:t>.</w:t>
      </w:r>
    </w:p>
    <w:p w:rsidR="004C6E99" w:rsidRPr="0095171D" w:rsidRDefault="004C6E99" w:rsidP="004C6E99">
      <w:pPr>
        <w:ind w:left="426"/>
        <w:rPr>
          <w:iCs/>
        </w:rPr>
      </w:pPr>
    </w:p>
    <w:p w:rsidR="0098154B" w:rsidRDefault="00B0547F" w:rsidP="00F60B5B">
      <w:pPr>
        <w:pStyle w:val="R1"/>
        <w:numPr>
          <w:ilvl w:val="0"/>
          <w:numId w:val="38"/>
        </w:numPr>
        <w:jc w:val="left"/>
      </w:pPr>
      <w:r w:rsidRPr="00B0547F">
        <w:t>The total emission</w:t>
      </w:r>
      <w:r w:rsidR="00443007" w:rsidRPr="0095171D">
        <w:t>s</w:t>
      </w:r>
      <w:r w:rsidR="00B14B51" w:rsidRPr="0095171D">
        <w:t xml:space="preserve"> of greenhouse gases from fuel used to establish and manage an offset project</w:t>
      </w:r>
      <w:r w:rsidR="00115DCF" w:rsidRPr="0095171D">
        <w:t xml:space="preserve"> (E</w:t>
      </w:r>
      <w:r w:rsidR="00115DCF" w:rsidRPr="0095171D">
        <w:rPr>
          <w:vertAlign w:val="subscript"/>
        </w:rPr>
        <w:t>fuel</w:t>
      </w:r>
      <w:r w:rsidRPr="00B0547F">
        <w:t>) must be recorded in Table 26 of Form 1</w:t>
      </w:r>
      <w:r w:rsidR="00216DFF">
        <w:t xml:space="preserve"> </w:t>
      </w:r>
      <w:r w:rsidRPr="00B0547F">
        <w:t xml:space="preserve">of Schedule 2. </w:t>
      </w:r>
    </w:p>
    <w:p w:rsidR="00B5495D" w:rsidRPr="0095171D" w:rsidRDefault="00B0547F" w:rsidP="00BC708B">
      <w:pPr>
        <w:pStyle w:val="Heading3"/>
        <w:numPr>
          <w:ilvl w:val="1"/>
          <w:numId w:val="45"/>
        </w:numPr>
        <w:rPr>
          <w:rFonts w:ascii="Times New Roman" w:hAnsi="Times New Roman" w:cs="Times New Roman"/>
          <w:sz w:val="24"/>
        </w:rPr>
      </w:pPr>
      <w:bookmarkStart w:id="695" w:name="_Toc325039177"/>
      <w:bookmarkStart w:id="696" w:name="_Ref317839414"/>
      <w:r w:rsidRPr="00B0547F">
        <w:rPr>
          <w:rFonts w:ascii="Times New Roman" w:hAnsi="Times New Roman" w:cs="Times New Roman"/>
          <w:sz w:val="24"/>
        </w:rPr>
        <w:t>Calculat</w:t>
      </w:r>
      <w:r w:rsidR="00E44628" w:rsidRPr="0095171D">
        <w:rPr>
          <w:rFonts w:ascii="Times New Roman" w:hAnsi="Times New Roman" w:cs="Times New Roman"/>
          <w:sz w:val="24"/>
        </w:rPr>
        <w:t>ing</w:t>
      </w:r>
      <w:r w:rsidR="00D01BBA" w:rsidRPr="0095171D">
        <w:rPr>
          <w:rFonts w:ascii="Times New Roman" w:hAnsi="Times New Roman" w:cs="Times New Roman"/>
          <w:sz w:val="24"/>
        </w:rPr>
        <w:t xml:space="preserve"> total project emissions</w:t>
      </w:r>
      <w:bookmarkEnd w:id="695"/>
      <w:r w:rsidR="00D01BBA" w:rsidRPr="0095171D">
        <w:rPr>
          <w:rFonts w:ascii="Times New Roman" w:hAnsi="Times New Roman" w:cs="Times New Roman"/>
          <w:sz w:val="24"/>
        </w:rPr>
        <w:t xml:space="preserve"> </w:t>
      </w:r>
      <w:bookmarkEnd w:id="696"/>
    </w:p>
    <w:p w:rsidR="00B0547F" w:rsidRDefault="00B14B51" w:rsidP="00B0547F">
      <w:pPr>
        <w:pStyle w:val="R1"/>
        <w:ind w:left="426" w:firstLine="0"/>
        <w:jc w:val="left"/>
      </w:pPr>
      <w:bookmarkStart w:id="697" w:name="_Ref317843190"/>
      <w:r w:rsidRPr="0095171D">
        <w:t>The total annual amount of emissions of carbon dioxide equivalent</w:t>
      </w:r>
      <w:r w:rsidR="00383026">
        <w:t>s</w:t>
      </w:r>
      <w:r w:rsidRPr="0095171D">
        <w:t xml:space="preserve"> for an offsets project is to be calculated using the following formula and recorded in Table 27 of Form 1</w:t>
      </w:r>
      <w:r w:rsidR="0007114D" w:rsidRPr="0095171D">
        <w:t xml:space="preserve"> of Schedule 2</w:t>
      </w:r>
      <w:r w:rsidRPr="0095171D">
        <w:t>:</w:t>
      </w:r>
      <w:bookmarkEnd w:id="697"/>
    </w:p>
    <w:p w:rsidR="00D91DBA" w:rsidRPr="0095171D" w:rsidRDefault="00D91DBA" w:rsidP="00D91DBA">
      <w:pPr>
        <w:pStyle w:val="R2"/>
        <w:spacing w:before="0"/>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7"/>
        <w:gridCol w:w="1873"/>
      </w:tblGrid>
      <w:tr w:rsidR="00F2331E" w:rsidRPr="0095171D" w:rsidTr="00B66969">
        <w:tc>
          <w:tcPr>
            <w:tcW w:w="5697" w:type="dxa"/>
          </w:tcPr>
          <w:p w:rsidR="00F2331E" w:rsidRPr="00744CA1" w:rsidRDefault="00B0547F" w:rsidP="004D0609">
            <w:pPr>
              <w:jc w:val="center"/>
              <w:rPr>
                <w:b/>
                <w:lang w:val="es-AR"/>
              </w:rPr>
            </w:pPr>
            <w:r w:rsidRPr="00744CA1">
              <w:rPr>
                <w:b/>
                <w:lang w:val="es-AR"/>
              </w:rPr>
              <w:t>E</w:t>
            </w:r>
            <w:r w:rsidRPr="00744CA1">
              <w:rPr>
                <w:b/>
                <w:vertAlign w:val="subscript"/>
                <w:lang w:val="es-AR"/>
              </w:rPr>
              <w:t>total</w:t>
            </w:r>
            <w:r w:rsidRPr="00744CA1">
              <w:rPr>
                <w:b/>
                <w:lang w:val="es-AR"/>
              </w:rPr>
              <w:t>CO</w:t>
            </w:r>
            <w:r w:rsidRPr="00744CA1">
              <w:rPr>
                <w:b/>
                <w:vertAlign w:val="subscript"/>
                <w:lang w:val="es-AR"/>
              </w:rPr>
              <w:t>2</w:t>
            </w:r>
            <w:r w:rsidRPr="00744CA1">
              <w:rPr>
                <w:b/>
                <w:lang w:val="es-AR"/>
              </w:rPr>
              <w:t>-e = E</w:t>
            </w:r>
            <w:r w:rsidRPr="00744CA1">
              <w:rPr>
                <w:b/>
                <w:vertAlign w:val="subscript"/>
                <w:lang w:val="es-AR"/>
              </w:rPr>
              <w:t>fire</w:t>
            </w:r>
            <w:r w:rsidRPr="00744CA1">
              <w:rPr>
                <w:b/>
                <w:lang w:val="es-AR"/>
              </w:rPr>
              <w:t>CO</w:t>
            </w:r>
            <w:r w:rsidRPr="00744CA1">
              <w:rPr>
                <w:b/>
                <w:vertAlign w:val="subscript"/>
                <w:lang w:val="es-AR"/>
              </w:rPr>
              <w:t>2</w:t>
            </w:r>
            <w:r w:rsidRPr="00744CA1">
              <w:rPr>
                <w:b/>
                <w:lang w:val="es-AR"/>
              </w:rPr>
              <w:t>-e + E</w:t>
            </w:r>
            <w:r w:rsidRPr="00744CA1">
              <w:rPr>
                <w:b/>
                <w:vertAlign w:val="subscript"/>
                <w:lang w:val="es-AR"/>
              </w:rPr>
              <w:t>fuel</w:t>
            </w:r>
          </w:p>
        </w:tc>
        <w:tc>
          <w:tcPr>
            <w:tcW w:w="1873" w:type="dxa"/>
          </w:tcPr>
          <w:p w:rsidR="00F2331E" w:rsidRDefault="00B0547F" w:rsidP="00B66969">
            <w:pPr>
              <w:jc w:val="center"/>
              <w:rPr>
                <w:b/>
              </w:rPr>
            </w:pPr>
            <w:r w:rsidRPr="00B0547F">
              <w:rPr>
                <w:b/>
              </w:rPr>
              <w:t xml:space="preserve">Equation </w:t>
            </w:r>
            <w:r w:rsidR="008618C2">
              <w:rPr>
                <w:b/>
              </w:rPr>
              <w:t>8</w:t>
            </w:r>
          </w:p>
          <w:p w:rsidR="004D0609" w:rsidRPr="0095171D" w:rsidRDefault="004D0609" w:rsidP="00B66969">
            <w:pPr>
              <w:jc w:val="center"/>
              <w:rPr>
                <w:b/>
              </w:rPr>
            </w:pPr>
          </w:p>
        </w:tc>
      </w:tr>
    </w:tbl>
    <w:p w:rsidR="00B0547F" w:rsidRDefault="00D67DC0" w:rsidP="00B0547F">
      <w:pPr>
        <w:pStyle w:val="Bullet"/>
        <w:numPr>
          <w:ilvl w:val="0"/>
          <w:numId w:val="0"/>
        </w:numPr>
        <w:tabs>
          <w:tab w:val="left" w:pos="7139"/>
        </w:tabs>
        <w:spacing w:before="180"/>
        <w:ind w:left="1240" w:hanging="520"/>
      </w:pPr>
      <w:bookmarkStart w:id="698" w:name="_Ref317781660"/>
      <w:r w:rsidRPr="0095171D">
        <w:lastRenderedPageBreak/>
        <w:t>where:</w:t>
      </w:r>
      <w:r w:rsidRPr="0095171D">
        <w:tab/>
      </w:r>
    </w:p>
    <w:p w:rsidR="00B0547F" w:rsidRDefault="00E44628" w:rsidP="00F60B5B">
      <w:pPr>
        <w:ind w:left="2127" w:hanging="1407"/>
      </w:pPr>
      <w:r w:rsidRPr="0095171D">
        <w:rPr>
          <w:b/>
        </w:rPr>
        <w:t>E</w:t>
      </w:r>
      <w:r w:rsidRPr="0095171D">
        <w:rPr>
          <w:b/>
          <w:vertAlign w:val="subscript"/>
        </w:rPr>
        <w:t>total</w:t>
      </w:r>
      <w:r w:rsidRPr="0095171D">
        <w:rPr>
          <w:b/>
        </w:rPr>
        <w:t>CO</w:t>
      </w:r>
      <w:r w:rsidRPr="0095171D">
        <w:rPr>
          <w:b/>
          <w:vertAlign w:val="subscript"/>
        </w:rPr>
        <w:t>2</w:t>
      </w:r>
      <w:r w:rsidRPr="0095171D">
        <w:rPr>
          <w:b/>
        </w:rPr>
        <w:t>-e</w:t>
      </w:r>
      <w:r w:rsidRPr="0095171D">
        <w:t xml:space="preserve"> = </w:t>
      </w:r>
      <w:r w:rsidR="00F60B5B">
        <w:tab/>
      </w:r>
      <w:r w:rsidR="004C7710" w:rsidRPr="0095171D">
        <w:t>the total annual project emissions from the project, in tonnes of CO</w:t>
      </w:r>
      <w:r w:rsidR="004C7710" w:rsidRPr="0095171D">
        <w:rPr>
          <w:vertAlign w:val="subscript"/>
        </w:rPr>
        <w:t>2</w:t>
      </w:r>
      <w:r w:rsidR="004C7710" w:rsidRPr="0095171D">
        <w:t>-e.</w:t>
      </w:r>
    </w:p>
    <w:p w:rsidR="00B0547F" w:rsidRDefault="00E44628" w:rsidP="00F60B5B">
      <w:pPr>
        <w:ind w:left="2127" w:hanging="1407"/>
      </w:pPr>
      <w:r w:rsidRPr="0095171D">
        <w:rPr>
          <w:b/>
        </w:rPr>
        <w:t>E</w:t>
      </w:r>
      <w:r w:rsidRPr="0095171D">
        <w:rPr>
          <w:b/>
          <w:vertAlign w:val="subscript"/>
        </w:rPr>
        <w:t>fire</w:t>
      </w:r>
      <w:r w:rsidRPr="0095171D">
        <w:rPr>
          <w:b/>
        </w:rPr>
        <w:t>CO</w:t>
      </w:r>
      <w:r w:rsidRPr="0095171D">
        <w:rPr>
          <w:b/>
          <w:vertAlign w:val="subscript"/>
        </w:rPr>
        <w:t>2</w:t>
      </w:r>
      <w:r w:rsidRPr="0095171D">
        <w:rPr>
          <w:b/>
        </w:rPr>
        <w:t>-e</w:t>
      </w:r>
      <w:r w:rsidRPr="0095171D">
        <w:t xml:space="preserve"> =</w:t>
      </w:r>
      <w:r w:rsidR="00DB0E6D" w:rsidRPr="0095171D">
        <w:t xml:space="preserve"> </w:t>
      </w:r>
      <w:r w:rsidR="00F60B5B">
        <w:tab/>
      </w:r>
      <w:r w:rsidR="00DB0E6D" w:rsidRPr="0095171D">
        <w:t>annual fire</w:t>
      </w:r>
      <w:r w:rsidRPr="0095171D">
        <w:t xml:space="preserve"> emissions </w:t>
      </w:r>
      <w:r w:rsidR="00FD0458">
        <w:t>resulting</w:t>
      </w:r>
      <w:r w:rsidRPr="0095171D">
        <w:t xml:space="preserve"> from </w:t>
      </w:r>
      <w:r w:rsidR="00B0547F" w:rsidRPr="00B0547F">
        <w:t>section 3.6</w:t>
      </w:r>
      <w:r w:rsidR="00D67DC0" w:rsidRPr="0095171D">
        <w:t>, in tonnes of CO</w:t>
      </w:r>
      <w:r w:rsidR="00D67DC0" w:rsidRPr="0095171D">
        <w:rPr>
          <w:vertAlign w:val="subscript"/>
        </w:rPr>
        <w:t>2</w:t>
      </w:r>
      <w:r w:rsidR="00D67DC0" w:rsidRPr="0095171D">
        <w:t>-e.</w:t>
      </w:r>
    </w:p>
    <w:p w:rsidR="00B0547F" w:rsidRDefault="00E44628" w:rsidP="00F60B5B">
      <w:pPr>
        <w:ind w:left="2127" w:hanging="1407"/>
      </w:pPr>
      <w:r w:rsidRPr="0095171D">
        <w:rPr>
          <w:b/>
        </w:rPr>
        <w:t>E</w:t>
      </w:r>
      <w:r w:rsidRPr="0095171D">
        <w:rPr>
          <w:b/>
          <w:vertAlign w:val="subscript"/>
        </w:rPr>
        <w:t>fuel</w:t>
      </w:r>
      <w:r w:rsidRPr="0095171D">
        <w:t xml:space="preserve"> = </w:t>
      </w:r>
      <w:r w:rsidR="00F60B5B">
        <w:tab/>
      </w:r>
      <w:r w:rsidRPr="0095171D">
        <w:t xml:space="preserve">emissions from fuel </w:t>
      </w:r>
      <w:r w:rsidR="00FD0458">
        <w:t>resulting</w:t>
      </w:r>
      <w:r w:rsidRPr="0095171D">
        <w:t xml:space="preserve"> from </w:t>
      </w:r>
      <w:r w:rsidR="00B0547F" w:rsidRPr="00B0547F">
        <w:t>section 3.20</w:t>
      </w:r>
      <w:r w:rsidR="00D67DC0" w:rsidRPr="0095171D">
        <w:t>, in tonnes of CO</w:t>
      </w:r>
      <w:r w:rsidR="00D67DC0" w:rsidRPr="0095171D">
        <w:rPr>
          <w:vertAlign w:val="subscript"/>
        </w:rPr>
        <w:t>2</w:t>
      </w:r>
      <w:r w:rsidR="00D67DC0" w:rsidRPr="0095171D">
        <w:t>-e.</w:t>
      </w:r>
    </w:p>
    <w:p w:rsidR="00B0547F" w:rsidRPr="000D7783" w:rsidRDefault="00443007" w:rsidP="000D7783">
      <w:pPr>
        <w:pStyle w:val="Heading5"/>
        <w:rPr>
          <w:i w:val="0"/>
        </w:rPr>
      </w:pPr>
      <w:bookmarkStart w:id="699" w:name="_Toc325039178"/>
      <w:r w:rsidRPr="000D7783">
        <w:rPr>
          <w:i w:val="0"/>
        </w:rPr>
        <w:t>Subdivision 3.2.</w:t>
      </w:r>
      <w:r w:rsidR="00216DFF" w:rsidRPr="000D7783">
        <w:rPr>
          <w:i w:val="0"/>
        </w:rPr>
        <w:t>4</w:t>
      </w:r>
      <w:r w:rsidRPr="000D7783">
        <w:rPr>
          <w:i w:val="0"/>
        </w:rPr>
        <w:tab/>
        <w:t>Calculat</w:t>
      </w:r>
      <w:r w:rsidR="00580B22" w:rsidRPr="000D7783">
        <w:rPr>
          <w:i w:val="0"/>
        </w:rPr>
        <w:t>ing</w:t>
      </w:r>
      <w:r w:rsidRPr="000D7783">
        <w:rPr>
          <w:i w:val="0"/>
        </w:rPr>
        <w:t xml:space="preserve"> </w:t>
      </w:r>
      <w:r w:rsidR="008628B4" w:rsidRPr="000D7783">
        <w:rPr>
          <w:i w:val="0"/>
        </w:rPr>
        <w:t>net annual greenhouse gas</w:t>
      </w:r>
      <w:r w:rsidRPr="000D7783">
        <w:rPr>
          <w:i w:val="0"/>
        </w:rPr>
        <w:t xml:space="preserve"> abatement</w:t>
      </w:r>
      <w:bookmarkEnd w:id="699"/>
    </w:p>
    <w:p w:rsidR="000B0147" w:rsidRPr="0095171D" w:rsidRDefault="002F1104" w:rsidP="00BC708B">
      <w:pPr>
        <w:pStyle w:val="Heading3"/>
        <w:numPr>
          <w:ilvl w:val="1"/>
          <w:numId w:val="45"/>
        </w:numPr>
        <w:rPr>
          <w:rFonts w:ascii="Times New Roman" w:hAnsi="Times New Roman" w:cs="Times New Roman"/>
          <w:sz w:val="24"/>
          <w:szCs w:val="24"/>
        </w:rPr>
      </w:pPr>
      <w:bookmarkStart w:id="700" w:name="_Toc324760453"/>
      <w:bookmarkStart w:id="701" w:name="_Toc324838429"/>
      <w:bookmarkStart w:id="702" w:name="_Toc324838758"/>
      <w:bookmarkStart w:id="703" w:name="_Toc324843545"/>
      <w:bookmarkStart w:id="704" w:name="_Toc324860309"/>
      <w:bookmarkStart w:id="705" w:name="_Toc324860416"/>
      <w:bookmarkStart w:id="706" w:name="_Toc324860510"/>
      <w:bookmarkStart w:id="707" w:name="_Toc324860604"/>
      <w:bookmarkStart w:id="708" w:name="_Toc324860699"/>
      <w:bookmarkStart w:id="709" w:name="_Toc324860794"/>
      <w:bookmarkStart w:id="710" w:name="_Toc324860889"/>
      <w:bookmarkStart w:id="711" w:name="_Toc324760454"/>
      <w:bookmarkStart w:id="712" w:name="_Toc324838430"/>
      <w:bookmarkStart w:id="713" w:name="_Toc324838759"/>
      <w:bookmarkStart w:id="714" w:name="_Toc324843546"/>
      <w:bookmarkStart w:id="715" w:name="_Toc324860310"/>
      <w:bookmarkStart w:id="716" w:name="_Toc324860417"/>
      <w:bookmarkStart w:id="717" w:name="_Toc324860511"/>
      <w:bookmarkStart w:id="718" w:name="_Toc324860605"/>
      <w:bookmarkStart w:id="719" w:name="_Toc324860700"/>
      <w:bookmarkStart w:id="720" w:name="_Toc324860795"/>
      <w:bookmarkStart w:id="721" w:name="_Toc324860890"/>
      <w:bookmarkStart w:id="722" w:name="_Toc32503917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95171D">
        <w:rPr>
          <w:rFonts w:ascii="Times New Roman" w:hAnsi="Times New Roman" w:cs="Times New Roman"/>
          <w:sz w:val="24"/>
          <w:szCs w:val="24"/>
        </w:rPr>
        <w:t xml:space="preserve">Calculating </w:t>
      </w:r>
      <w:r w:rsidR="008628B4" w:rsidRPr="0095171D">
        <w:rPr>
          <w:rFonts w:ascii="Times New Roman" w:hAnsi="Times New Roman" w:cs="Times New Roman"/>
          <w:sz w:val="24"/>
          <w:szCs w:val="24"/>
        </w:rPr>
        <w:t>net annual greenhouse gas</w:t>
      </w:r>
      <w:r w:rsidR="00EB13E3" w:rsidRPr="0095171D">
        <w:rPr>
          <w:rFonts w:ascii="Times New Roman" w:hAnsi="Times New Roman" w:cs="Times New Roman"/>
          <w:sz w:val="24"/>
          <w:szCs w:val="24"/>
        </w:rPr>
        <w:t xml:space="preserve"> abatement</w:t>
      </w:r>
      <w:bookmarkEnd w:id="722"/>
      <w:r w:rsidR="00EB13E3" w:rsidRPr="0095171D">
        <w:rPr>
          <w:rFonts w:ascii="Times New Roman" w:hAnsi="Times New Roman" w:cs="Times New Roman"/>
          <w:sz w:val="24"/>
          <w:szCs w:val="24"/>
        </w:rPr>
        <w:t xml:space="preserve"> </w:t>
      </w:r>
      <w:bookmarkEnd w:id="698"/>
    </w:p>
    <w:p w:rsidR="00B0547F" w:rsidRDefault="00B0547F" w:rsidP="00B0547F">
      <w:pPr>
        <w:pStyle w:val="R1"/>
        <w:ind w:left="426" w:firstLine="0"/>
        <w:jc w:val="left"/>
      </w:pPr>
      <w:r w:rsidRPr="00B0547F">
        <w:t xml:space="preserve">For paragraph 106 (1) (c) of the Act, the </w:t>
      </w:r>
      <w:r w:rsidR="00C03BB7">
        <w:t>CO</w:t>
      </w:r>
      <w:r w:rsidR="00C03BB7" w:rsidRPr="00C03BB7">
        <w:rPr>
          <w:vertAlign w:val="subscript"/>
        </w:rPr>
        <w:t>2</w:t>
      </w:r>
      <w:r w:rsidR="00C03BB7" w:rsidRPr="00C03BB7">
        <w:t>-e</w:t>
      </w:r>
      <w:r w:rsidRPr="00B0547F">
        <w:t xml:space="preserve"> net annual abatement amount for an offsets project to which this Methodology Determination applies is taken, for the purposes of the Act, to be the amount calculated using the following formula and recorded in Table 28 of Form 1 and Form 2 of Schedule 2: </w:t>
      </w:r>
    </w:p>
    <w:p w:rsidR="003E0B8D" w:rsidRPr="0095171D" w:rsidRDefault="003E0B8D" w:rsidP="004D0609">
      <w:pPr>
        <w:jc w:val="cente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9"/>
        <w:gridCol w:w="1871"/>
      </w:tblGrid>
      <w:tr w:rsidR="003E0B8D" w:rsidRPr="0095171D" w:rsidTr="005D01B7">
        <w:tc>
          <w:tcPr>
            <w:tcW w:w="5699" w:type="dxa"/>
          </w:tcPr>
          <w:p w:rsidR="003E0B8D" w:rsidRPr="00744CA1" w:rsidRDefault="00B0547F" w:rsidP="004D0609">
            <w:pPr>
              <w:jc w:val="center"/>
              <w:rPr>
                <w:b/>
                <w:lang w:val="es-AR"/>
              </w:rPr>
            </w:pPr>
            <w:r w:rsidRPr="00744CA1">
              <w:rPr>
                <w:b/>
                <w:lang w:val="es-AR"/>
              </w:rPr>
              <w:t>A</w:t>
            </w:r>
            <w:r w:rsidRPr="00744CA1">
              <w:rPr>
                <w:b/>
                <w:vertAlign w:val="subscript"/>
                <w:lang w:val="es-AR"/>
              </w:rPr>
              <w:t>net</w:t>
            </w:r>
            <w:r w:rsidRPr="00744CA1">
              <w:rPr>
                <w:b/>
                <w:lang w:val="es-AR"/>
              </w:rPr>
              <w:t>CO</w:t>
            </w:r>
            <w:r w:rsidRPr="00744CA1">
              <w:rPr>
                <w:b/>
                <w:vertAlign w:val="subscript"/>
                <w:lang w:val="es-AR"/>
              </w:rPr>
              <w:t>2</w:t>
            </w:r>
            <w:r w:rsidRPr="00744CA1">
              <w:rPr>
                <w:b/>
                <w:lang w:val="es-AR"/>
              </w:rPr>
              <w:t>-e = E</w:t>
            </w:r>
            <w:r w:rsidRPr="00744CA1">
              <w:rPr>
                <w:b/>
                <w:vertAlign w:val="subscript"/>
                <w:lang w:val="es-AR"/>
              </w:rPr>
              <w:t>BL</w:t>
            </w:r>
            <w:r w:rsidRPr="00744CA1">
              <w:rPr>
                <w:b/>
                <w:lang w:val="es-AR"/>
              </w:rPr>
              <w:t>CO</w:t>
            </w:r>
            <w:r w:rsidRPr="00744CA1">
              <w:rPr>
                <w:b/>
                <w:vertAlign w:val="subscript"/>
                <w:lang w:val="es-AR"/>
              </w:rPr>
              <w:t>2</w:t>
            </w:r>
            <w:r w:rsidRPr="00744CA1">
              <w:rPr>
                <w:b/>
                <w:lang w:val="es-AR"/>
              </w:rPr>
              <w:t>-e - E</w:t>
            </w:r>
            <w:r w:rsidRPr="00744CA1">
              <w:rPr>
                <w:b/>
                <w:vertAlign w:val="subscript"/>
                <w:lang w:val="es-AR"/>
              </w:rPr>
              <w:t>total</w:t>
            </w:r>
            <w:r w:rsidRPr="00744CA1">
              <w:rPr>
                <w:b/>
                <w:lang w:val="es-AR"/>
              </w:rPr>
              <w:t>CO</w:t>
            </w:r>
            <w:r w:rsidRPr="00744CA1">
              <w:rPr>
                <w:b/>
                <w:vertAlign w:val="subscript"/>
                <w:lang w:val="es-AR"/>
              </w:rPr>
              <w:t>2</w:t>
            </w:r>
            <w:r w:rsidRPr="00744CA1">
              <w:rPr>
                <w:b/>
                <w:lang w:val="es-AR"/>
              </w:rPr>
              <w:t>-e</w:t>
            </w:r>
          </w:p>
        </w:tc>
        <w:tc>
          <w:tcPr>
            <w:tcW w:w="1871" w:type="dxa"/>
          </w:tcPr>
          <w:p w:rsidR="003E0B8D" w:rsidRDefault="00B0547F" w:rsidP="004D0609">
            <w:pPr>
              <w:jc w:val="center"/>
              <w:rPr>
                <w:b/>
              </w:rPr>
            </w:pPr>
            <w:r w:rsidRPr="00B0547F">
              <w:rPr>
                <w:b/>
              </w:rPr>
              <w:t xml:space="preserve">Equation </w:t>
            </w:r>
            <w:r w:rsidR="008618C2">
              <w:rPr>
                <w:b/>
              </w:rPr>
              <w:t>9</w:t>
            </w:r>
          </w:p>
          <w:p w:rsidR="004D0609" w:rsidRPr="0095171D" w:rsidRDefault="004D0609" w:rsidP="004D0609">
            <w:pPr>
              <w:jc w:val="center"/>
              <w:rPr>
                <w:b/>
              </w:rPr>
            </w:pPr>
          </w:p>
        </w:tc>
      </w:tr>
    </w:tbl>
    <w:p w:rsidR="003E0B8D" w:rsidRPr="0095171D" w:rsidRDefault="003E0B8D" w:rsidP="003E0B8D"/>
    <w:p w:rsidR="00B0547F" w:rsidRDefault="00B0547F" w:rsidP="00B0547F">
      <w:pPr>
        <w:pStyle w:val="Bullet"/>
        <w:numPr>
          <w:ilvl w:val="0"/>
          <w:numId w:val="0"/>
        </w:numPr>
        <w:tabs>
          <w:tab w:val="left" w:pos="7139"/>
        </w:tabs>
        <w:spacing w:before="0"/>
        <w:ind w:left="1240" w:hanging="520"/>
      </w:pPr>
      <w:r w:rsidRPr="00B0547F">
        <w:t>where:</w:t>
      </w:r>
      <w:r w:rsidRPr="00B0547F">
        <w:tab/>
      </w:r>
    </w:p>
    <w:p w:rsidR="00B0547F" w:rsidRDefault="00B0547F" w:rsidP="00F60B5B">
      <w:pPr>
        <w:spacing w:after="120"/>
        <w:ind w:left="2127" w:hanging="1407"/>
      </w:pPr>
      <w:r w:rsidRPr="00B0547F">
        <w:rPr>
          <w:b/>
        </w:rPr>
        <w:t>A</w:t>
      </w:r>
      <w:r w:rsidRPr="00B0547F">
        <w:rPr>
          <w:b/>
          <w:vertAlign w:val="subscript"/>
        </w:rPr>
        <w:t>net</w:t>
      </w:r>
      <w:r w:rsidRPr="00B0547F">
        <w:rPr>
          <w:b/>
        </w:rPr>
        <w:t>CO</w:t>
      </w:r>
      <w:r w:rsidRPr="00B0547F">
        <w:rPr>
          <w:b/>
          <w:vertAlign w:val="subscript"/>
        </w:rPr>
        <w:t>2</w:t>
      </w:r>
      <w:r w:rsidRPr="00B0547F">
        <w:rPr>
          <w:b/>
        </w:rPr>
        <w:t>-e</w:t>
      </w:r>
      <w:r w:rsidRPr="00B0547F">
        <w:t xml:space="preserve"> = </w:t>
      </w:r>
      <w:r w:rsidR="00F60B5B">
        <w:tab/>
      </w:r>
      <w:r w:rsidRPr="00B0547F">
        <w:t>the net abatement amount for an offsets project to which this Methodology Determination applies for a reporting period, in tonnes of CO</w:t>
      </w:r>
      <w:r w:rsidRPr="00B0547F">
        <w:rPr>
          <w:vertAlign w:val="subscript"/>
        </w:rPr>
        <w:t>2</w:t>
      </w:r>
      <w:r w:rsidRPr="00B0547F">
        <w:t>-e.</w:t>
      </w:r>
    </w:p>
    <w:p w:rsidR="00B0547F" w:rsidRDefault="00B0547F" w:rsidP="00F60B5B">
      <w:pPr>
        <w:spacing w:after="120"/>
        <w:ind w:left="2127" w:hanging="1407"/>
      </w:pPr>
      <w:r w:rsidRPr="00B0547F">
        <w:rPr>
          <w:b/>
        </w:rPr>
        <w:t>E</w:t>
      </w:r>
      <w:r w:rsidRPr="00B0547F">
        <w:rPr>
          <w:b/>
          <w:vertAlign w:val="subscript"/>
        </w:rPr>
        <w:t>BL</w:t>
      </w:r>
      <w:r w:rsidRPr="00B0547F">
        <w:rPr>
          <w:b/>
        </w:rPr>
        <w:t>CO</w:t>
      </w:r>
      <w:r w:rsidRPr="00B0547F">
        <w:rPr>
          <w:b/>
          <w:vertAlign w:val="subscript"/>
        </w:rPr>
        <w:t>2</w:t>
      </w:r>
      <w:r w:rsidRPr="00B0547F">
        <w:rPr>
          <w:b/>
        </w:rPr>
        <w:t xml:space="preserve">-e = </w:t>
      </w:r>
      <w:r w:rsidR="00F60B5B">
        <w:rPr>
          <w:b/>
        </w:rPr>
        <w:tab/>
      </w:r>
      <w:r w:rsidRPr="00B0547F">
        <w:t xml:space="preserve">the baseline for a project being the average of annual </w:t>
      </w:r>
      <w:r w:rsidR="004618D7">
        <w:t xml:space="preserve">total </w:t>
      </w:r>
      <w:r w:rsidR="00070A4B">
        <w:t>CH</w:t>
      </w:r>
      <w:r w:rsidR="00070A4B" w:rsidRPr="00070A4B">
        <w:rPr>
          <w:vertAlign w:val="subscript"/>
        </w:rPr>
        <w:t>4</w:t>
      </w:r>
      <w:r w:rsidRPr="00B0547F">
        <w:t xml:space="preserve"> and </w:t>
      </w:r>
      <w:r w:rsidR="00C03BB7">
        <w:t>N</w:t>
      </w:r>
      <w:r w:rsidR="00C03BB7" w:rsidRPr="00C03BB7">
        <w:rPr>
          <w:vertAlign w:val="subscript"/>
        </w:rPr>
        <w:t>2</w:t>
      </w:r>
      <w:r w:rsidR="00C03BB7">
        <w:t>O</w:t>
      </w:r>
      <w:r w:rsidRPr="00B0547F">
        <w:t xml:space="preserve"> emissions</w:t>
      </w:r>
      <w:r w:rsidR="004618D7">
        <w:t xml:space="preserve"> (</w:t>
      </w:r>
      <w:r w:rsidR="004618D7" w:rsidRPr="00B0547F">
        <w:t>in tonnes of CO</w:t>
      </w:r>
      <w:r w:rsidR="004618D7" w:rsidRPr="00B0547F">
        <w:rPr>
          <w:vertAlign w:val="subscript"/>
        </w:rPr>
        <w:t>2</w:t>
      </w:r>
      <w:r w:rsidR="004618D7" w:rsidRPr="00B0547F">
        <w:t>-e</w:t>
      </w:r>
      <w:r w:rsidR="004618D7">
        <w:t xml:space="preserve">) </w:t>
      </w:r>
      <w:r w:rsidRPr="00B0547F">
        <w:t xml:space="preserve">from the project area for the applicable period, </w:t>
      </w:r>
      <w:r w:rsidR="00390148">
        <w:t>taken from Table 24 in F</w:t>
      </w:r>
      <w:r w:rsidR="00216DFF">
        <w:t xml:space="preserve">orm 1 of Schedule 2.  </w:t>
      </w:r>
    </w:p>
    <w:p w:rsidR="00B0547F" w:rsidRDefault="00B0547F" w:rsidP="00F60B5B">
      <w:pPr>
        <w:spacing w:after="120"/>
        <w:ind w:left="2127" w:hanging="1407"/>
      </w:pPr>
      <w:r w:rsidRPr="00B0547F">
        <w:rPr>
          <w:b/>
        </w:rPr>
        <w:t>E</w:t>
      </w:r>
      <w:r w:rsidRPr="00B0547F">
        <w:rPr>
          <w:b/>
          <w:vertAlign w:val="subscript"/>
        </w:rPr>
        <w:t>total</w:t>
      </w:r>
      <w:r w:rsidRPr="00B0547F">
        <w:rPr>
          <w:b/>
        </w:rPr>
        <w:t>CO</w:t>
      </w:r>
      <w:r w:rsidRPr="00B0547F">
        <w:rPr>
          <w:b/>
          <w:vertAlign w:val="subscript"/>
        </w:rPr>
        <w:t>2</w:t>
      </w:r>
      <w:r w:rsidRPr="00B0547F">
        <w:rPr>
          <w:b/>
        </w:rPr>
        <w:t>-e =</w:t>
      </w:r>
      <w:r w:rsidRPr="00B0547F">
        <w:t xml:space="preserve"> </w:t>
      </w:r>
      <w:r w:rsidR="00F60B5B">
        <w:tab/>
      </w:r>
      <w:r w:rsidRPr="00B0547F">
        <w:t>the total annual project emissions from the project area, in tonnes of CO</w:t>
      </w:r>
      <w:r w:rsidRPr="00B0547F">
        <w:rPr>
          <w:vertAlign w:val="subscript"/>
        </w:rPr>
        <w:t>2</w:t>
      </w:r>
      <w:r w:rsidRPr="00B0547F">
        <w:t>-e</w:t>
      </w:r>
      <w:r w:rsidR="00216DFF">
        <w:t>, as calculated according to section 3.21.</w:t>
      </w:r>
    </w:p>
    <w:p w:rsidR="000D7143" w:rsidRDefault="000D7143">
      <w:pPr>
        <w:rPr>
          <w:b/>
          <w:bCs/>
          <w:sz w:val="28"/>
          <w:szCs w:val="28"/>
        </w:rPr>
      </w:pPr>
      <w:bookmarkStart w:id="723" w:name="_Toc312251456"/>
      <w:bookmarkStart w:id="724" w:name="_Toc325039180"/>
    </w:p>
    <w:p w:rsidR="00A827E9" w:rsidRPr="0095171D" w:rsidRDefault="00B0547F" w:rsidP="000D7783">
      <w:pPr>
        <w:pStyle w:val="Heading4"/>
      </w:pPr>
      <w:r w:rsidRPr="00B0547F">
        <w:t>Division 3.3</w:t>
      </w:r>
      <w:r w:rsidRPr="00B0547F">
        <w:tab/>
        <w:t>Data collection</w:t>
      </w:r>
      <w:bookmarkEnd w:id="723"/>
      <w:bookmarkEnd w:id="724"/>
      <w:r w:rsidRPr="00B0547F">
        <w:t xml:space="preserve"> </w:t>
      </w:r>
    </w:p>
    <w:p w:rsidR="005A45F1" w:rsidRPr="0095171D" w:rsidRDefault="002F1104" w:rsidP="00BC708B">
      <w:pPr>
        <w:pStyle w:val="Heading3"/>
        <w:numPr>
          <w:ilvl w:val="1"/>
          <w:numId w:val="45"/>
        </w:numPr>
        <w:rPr>
          <w:rFonts w:ascii="Times New Roman" w:hAnsi="Times New Roman" w:cs="Times New Roman"/>
          <w:sz w:val="24"/>
          <w:szCs w:val="24"/>
        </w:rPr>
      </w:pPr>
      <w:bookmarkStart w:id="725" w:name="_Toc325039181"/>
      <w:r w:rsidRPr="0095171D">
        <w:rPr>
          <w:rFonts w:ascii="Times New Roman" w:hAnsi="Times New Roman" w:cs="Times New Roman"/>
          <w:sz w:val="24"/>
          <w:szCs w:val="24"/>
        </w:rPr>
        <w:t>Data collection</w:t>
      </w:r>
      <w:bookmarkEnd w:id="725"/>
    </w:p>
    <w:p w:rsidR="00E07CFB" w:rsidRPr="0095171D" w:rsidRDefault="00B0547F" w:rsidP="00BC708B">
      <w:pPr>
        <w:pStyle w:val="R1"/>
        <w:numPr>
          <w:ilvl w:val="0"/>
          <w:numId w:val="40"/>
        </w:numPr>
        <w:jc w:val="left"/>
      </w:pPr>
      <w:r w:rsidRPr="00B0547F">
        <w:t>Data must be collected to develop vegetation and fire maps in accordance with this Division.</w:t>
      </w:r>
    </w:p>
    <w:p w:rsidR="00E07CFB" w:rsidRPr="0095171D" w:rsidRDefault="00B0547F" w:rsidP="00BC708B">
      <w:pPr>
        <w:pStyle w:val="R1"/>
        <w:numPr>
          <w:ilvl w:val="0"/>
          <w:numId w:val="40"/>
        </w:numPr>
        <w:jc w:val="left"/>
      </w:pPr>
      <w:r w:rsidRPr="00B0547F">
        <w:t xml:space="preserve">Vegetation </w:t>
      </w:r>
      <w:r w:rsidR="004618D7">
        <w:t xml:space="preserve">maps </w:t>
      </w:r>
      <w:r w:rsidRPr="00B0547F">
        <w:t>and fire maps must be validated in accordance with this Division.</w:t>
      </w:r>
    </w:p>
    <w:p w:rsidR="0095171D" w:rsidRPr="00390148" w:rsidRDefault="00B0547F" w:rsidP="00216DFF">
      <w:pPr>
        <w:pStyle w:val="R1"/>
        <w:numPr>
          <w:ilvl w:val="0"/>
          <w:numId w:val="40"/>
        </w:numPr>
        <w:jc w:val="left"/>
      </w:pPr>
      <w:r w:rsidRPr="00390148">
        <w:t>Data must be collected on the quantity of liquid fuel, recorded in kilolitres</w:t>
      </w:r>
      <w:r w:rsidR="00390148">
        <w:t> </w:t>
      </w:r>
      <w:r w:rsidRPr="00390148">
        <w:t xml:space="preserve">(kL), for each fuel type used in the project.  </w:t>
      </w:r>
    </w:p>
    <w:p w:rsidR="0095171D" w:rsidRPr="00390148" w:rsidRDefault="00B0547F" w:rsidP="00216DFF">
      <w:pPr>
        <w:pStyle w:val="R1"/>
        <w:numPr>
          <w:ilvl w:val="0"/>
          <w:numId w:val="40"/>
        </w:numPr>
        <w:jc w:val="left"/>
      </w:pPr>
      <w:r w:rsidRPr="00390148">
        <w:t xml:space="preserve">If helicopters have been used in the project, and the quantity of liquid fuel for use in the helicopter is not available, data must be collected on the hours of flight time undertaken for the project and fuel </w:t>
      </w:r>
      <w:r w:rsidR="004618D7">
        <w:t>estimated accordingly</w:t>
      </w:r>
      <w:r w:rsidRPr="00390148">
        <w:t>.</w:t>
      </w:r>
    </w:p>
    <w:p w:rsidR="008D7CD1" w:rsidRPr="0095171D" w:rsidRDefault="002F1104">
      <w:pPr>
        <w:pStyle w:val="Heading3"/>
        <w:numPr>
          <w:ilvl w:val="1"/>
          <w:numId w:val="45"/>
        </w:numPr>
        <w:rPr>
          <w:rFonts w:ascii="Times New Roman" w:hAnsi="Times New Roman" w:cs="Times New Roman"/>
          <w:sz w:val="24"/>
          <w:szCs w:val="24"/>
        </w:rPr>
      </w:pPr>
      <w:bookmarkStart w:id="726" w:name="_Ref324839304"/>
      <w:bookmarkStart w:id="727" w:name="_Toc325039182"/>
      <w:r w:rsidRPr="0095171D">
        <w:rPr>
          <w:rFonts w:ascii="Times New Roman" w:hAnsi="Times New Roman" w:cs="Times New Roman"/>
          <w:sz w:val="24"/>
          <w:szCs w:val="24"/>
        </w:rPr>
        <w:lastRenderedPageBreak/>
        <w:t>Requirements for a vegetation map</w:t>
      </w:r>
      <w:bookmarkEnd w:id="726"/>
      <w:bookmarkEnd w:id="727"/>
    </w:p>
    <w:p w:rsidR="00B0547F" w:rsidRDefault="00B0547F" w:rsidP="00B0547F">
      <w:pPr>
        <w:pStyle w:val="R1"/>
        <w:ind w:left="426" w:firstLine="0"/>
        <w:jc w:val="left"/>
      </w:pPr>
      <w:r w:rsidRPr="00B0547F">
        <w:t>A vegetation map must:</w:t>
      </w:r>
    </w:p>
    <w:p w:rsidR="008618C2" w:rsidRDefault="008618C2" w:rsidP="00863B9F">
      <w:pPr>
        <w:pStyle w:val="P1"/>
        <w:numPr>
          <w:ilvl w:val="0"/>
          <w:numId w:val="12"/>
        </w:numPr>
        <w:jc w:val="left"/>
      </w:pPr>
      <w:r>
        <w:t>be in raster format</w:t>
      </w:r>
      <w:r w:rsidR="00017671">
        <w:t>;</w:t>
      </w:r>
    </w:p>
    <w:p w:rsidR="00CB00CE" w:rsidRDefault="00B0547F">
      <w:pPr>
        <w:pStyle w:val="P1"/>
        <w:numPr>
          <w:ilvl w:val="0"/>
          <w:numId w:val="12"/>
        </w:numPr>
        <w:ind w:left="1423" w:hanging="493"/>
        <w:jc w:val="left"/>
      </w:pPr>
      <w:r w:rsidRPr="00B0547F">
        <w:t>assign a vegetation class to each pixel that represents a part of the project area, according to the vegetation classes specified in Schedule</w:t>
      </w:r>
      <w:r w:rsidR="00216DFF">
        <w:t> </w:t>
      </w:r>
      <w:r w:rsidRPr="00B0547F">
        <w:t>1;</w:t>
      </w:r>
    </w:p>
    <w:p w:rsidR="00CB00CE" w:rsidRDefault="00B0547F">
      <w:pPr>
        <w:pStyle w:val="P1"/>
        <w:numPr>
          <w:ilvl w:val="0"/>
          <w:numId w:val="12"/>
        </w:numPr>
        <w:ind w:left="1423" w:hanging="493"/>
        <w:jc w:val="left"/>
      </w:pPr>
      <w:r w:rsidRPr="00B0547F">
        <w:t xml:space="preserve">be based on </w:t>
      </w:r>
      <w:r w:rsidR="001E11AB" w:rsidRPr="00B0547F">
        <w:t xml:space="preserve">mapping products </w:t>
      </w:r>
      <w:r w:rsidR="001E11AB">
        <w:t xml:space="preserve">describing </w:t>
      </w:r>
      <w:r w:rsidRPr="00B0547F">
        <w:t xml:space="preserve">vegetation structure and ancillary land </w:t>
      </w:r>
      <w:r w:rsidR="001E11AB">
        <w:t>information</w:t>
      </w:r>
      <w:r w:rsidRPr="00B0547F">
        <w:t xml:space="preserve"> such as soil type and foliage projective cover;</w:t>
      </w:r>
      <w:r w:rsidR="005D01B7">
        <w:t xml:space="preserve"> and</w:t>
      </w:r>
    </w:p>
    <w:p w:rsidR="00863B9F" w:rsidRPr="00330EB8" w:rsidRDefault="00B0547F" w:rsidP="00863B9F">
      <w:pPr>
        <w:pStyle w:val="P1"/>
        <w:numPr>
          <w:ilvl w:val="0"/>
          <w:numId w:val="12"/>
        </w:numPr>
        <w:jc w:val="left"/>
      </w:pPr>
      <w:r w:rsidRPr="00B0547F">
        <w:t xml:space="preserve">include at least one input of a cloud-free satellite image made not more than </w:t>
      </w:r>
      <w:r w:rsidR="00F76347">
        <w:t>three</w:t>
      </w:r>
      <w:r w:rsidRPr="00B0547F">
        <w:t xml:space="preserve"> years prior to project commencement and with a minimum pixel size of 250 m</w:t>
      </w:r>
      <w:r w:rsidRPr="00B0547F">
        <w:rPr>
          <w:vertAlign w:val="superscript"/>
        </w:rPr>
        <w:t>2</w:t>
      </w:r>
      <w:r w:rsidRPr="00B0547F">
        <w:t>.</w:t>
      </w:r>
    </w:p>
    <w:p w:rsidR="008D7CD1" w:rsidRPr="0095171D" w:rsidRDefault="002F1104">
      <w:pPr>
        <w:pStyle w:val="Heading3"/>
        <w:numPr>
          <w:ilvl w:val="1"/>
          <w:numId w:val="45"/>
        </w:numPr>
        <w:rPr>
          <w:rFonts w:ascii="Times New Roman" w:hAnsi="Times New Roman" w:cs="Times New Roman"/>
          <w:sz w:val="24"/>
          <w:szCs w:val="24"/>
        </w:rPr>
      </w:pPr>
      <w:bookmarkStart w:id="728" w:name="_Ref324839208"/>
      <w:bookmarkStart w:id="729" w:name="_Ref324839255"/>
      <w:bookmarkStart w:id="730" w:name="_Ref324839317"/>
      <w:bookmarkStart w:id="731" w:name="_Toc325039183"/>
      <w:r w:rsidRPr="0095171D">
        <w:rPr>
          <w:rFonts w:ascii="Times New Roman" w:hAnsi="Times New Roman" w:cs="Times New Roman"/>
          <w:sz w:val="24"/>
          <w:szCs w:val="24"/>
        </w:rPr>
        <w:t>Validation of a vegetation map</w:t>
      </w:r>
      <w:bookmarkEnd w:id="728"/>
      <w:bookmarkEnd w:id="729"/>
      <w:bookmarkEnd w:id="730"/>
      <w:bookmarkEnd w:id="731"/>
    </w:p>
    <w:p w:rsidR="008D7CD1" w:rsidRPr="0095171D" w:rsidRDefault="00B0547F">
      <w:pPr>
        <w:pStyle w:val="R1"/>
        <w:numPr>
          <w:ilvl w:val="0"/>
          <w:numId w:val="91"/>
        </w:numPr>
        <w:jc w:val="left"/>
      </w:pPr>
      <w:r w:rsidRPr="00B0547F">
        <w:t>Vegetation maps must be validated in accordance with this Methodology Determination to be not less than 80 per</w:t>
      </w:r>
      <w:r w:rsidR="00F76347">
        <w:t xml:space="preserve"> </w:t>
      </w:r>
      <w:r w:rsidRPr="00B0547F">
        <w:t>cent accurate overall at a maximum scale of 1:100 000.</w:t>
      </w:r>
    </w:p>
    <w:p w:rsidR="008D7CD1" w:rsidRPr="0095171D" w:rsidRDefault="00B0547F">
      <w:pPr>
        <w:pStyle w:val="R1"/>
        <w:numPr>
          <w:ilvl w:val="0"/>
          <w:numId w:val="91"/>
        </w:numPr>
        <w:jc w:val="left"/>
      </w:pPr>
      <w:r w:rsidRPr="00B0547F">
        <w:t>The accuracy of a vegetation map must be validated, using information from independent data waypoints as follows:</w:t>
      </w:r>
    </w:p>
    <w:p w:rsidR="00863B9F" w:rsidRPr="0095171D" w:rsidRDefault="00B0547F" w:rsidP="00863B9F">
      <w:pPr>
        <w:pStyle w:val="P1"/>
        <w:numPr>
          <w:ilvl w:val="0"/>
          <w:numId w:val="77"/>
        </w:numPr>
        <w:jc w:val="left"/>
      </w:pPr>
      <w:r w:rsidRPr="00B0547F">
        <w:t xml:space="preserve">the independent data waypoint information must be derived from </w:t>
      </w:r>
      <w:r w:rsidRPr="00B0547F">
        <w:br/>
        <w:t>GPS-based comprehensive ground information, or aerial-based stratified random sampling, that covers all vegetation types in the project area</w:t>
      </w:r>
      <w:r w:rsidR="00216DFF">
        <w:t>;</w:t>
      </w:r>
    </w:p>
    <w:p w:rsidR="00863B9F" w:rsidRPr="0095171D" w:rsidRDefault="00B0547F" w:rsidP="00863B9F">
      <w:pPr>
        <w:pStyle w:val="P1"/>
        <w:numPr>
          <w:ilvl w:val="0"/>
          <w:numId w:val="77"/>
        </w:numPr>
        <w:jc w:val="left"/>
      </w:pPr>
      <w:r w:rsidRPr="00B0547F">
        <w:t>for project</w:t>
      </w:r>
      <w:r w:rsidR="005D01B7">
        <w:t xml:space="preserve"> area</w:t>
      </w:r>
      <w:r w:rsidRPr="00B0547F">
        <w:t>s over 10</w:t>
      </w:r>
      <w:r w:rsidR="00505F02">
        <w:t> </w:t>
      </w:r>
      <w:r w:rsidRPr="00B0547F">
        <w:t>000 km</w:t>
      </w:r>
      <w:r w:rsidRPr="00B0547F">
        <w:rPr>
          <w:vertAlign w:val="superscript"/>
        </w:rPr>
        <w:t>2</w:t>
      </w:r>
      <w:r w:rsidRPr="00B0547F">
        <w:t>:</w:t>
      </w:r>
    </w:p>
    <w:p w:rsidR="00863B9F" w:rsidRPr="0095171D" w:rsidRDefault="00B0547F" w:rsidP="00863B9F">
      <w:pPr>
        <w:pStyle w:val="P1"/>
        <w:numPr>
          <w:ilvl w:val="0"/>
          <w:numId w:val="23"/>
        </w:numPr>
        <w:tabs>
          <w:tab w:val="left" w:pos="1418"/>
        </w:tabs>
        <w:ind w:left="2552" w:hanging="851"/>
        <w:jc w:val="left"/>
      </w:pPr>
      <w:r w:rsidRPr="00B0547F">
        <w:t>not less than 500 independent data waypoints must be used to refine the map; and</w:t>
      </w:r>
    </w:p>
    <w:p w:rsidR="00863B9F" w:rsidRPr="0095171D" w:rsidRDefault="00B0547F" w:rsidP="00863B9F">
      <w:pPr>
        <w:pStyle w:val="P1"/>
        <w:numPr>
          <w:ilvl w:val="0"/>
          <w:numId w:val="23"/>
        </w:numPr>
        <w:tabs>
          <w:tab w:val="left" w:pos="1418"/>
        </w:tabs>
        <w:ind w:left="2552" w:hanging="851"/>
        <w:jc w:val="left"/>
      </w:pPr>
      <w:r w:rsidRPr="00B0547F">
        <w:t>an additional 500 independent data waypoints must be used to assess the accuracy of the map</w:t>
      </w:r>
      <w:r w:rsidR="00216DFF">
        <w:t>;</w:t>
      </w:r>
      <w:r w:rsidRPr="00B0547F">
        <w:t xml:space="preserve"> </w:t>
      </w:r>
    </w:p>
    <w:p w:rsidR="00863B9F" w:rsidRPr="0095171D" w:rsidRDefault="00B0547F" w:rsidP="00863B9F">
      <w:pPr>
        <w:pStyle w:val="P1"/>
        <w:keepNext/>
        <w:numPr>
          <w:ilvl w:val="0"/>
          <w:numId w:val="77"/>
        </w:numPr>
        <w:ind w:left="1423" w:hanging="493"/>
        <w:jc w:val="left"/>
      </w:pPr>
      <w:r w:rsidRPr="00B0547F">
        <w:t>for project</w:t>
      </w:r>
      <w:r w:rsidR="005D01B7">
        <w:t xml:space="preserve"> area</w:t>
      </w:r>
      <w:r w:rsidRPr="00B0547F">
        <w:t>s less than 10</w:t>
      </w:r>
      <w:r w:rsidR="00505F02">
        <w:t> </w:t>
      </w:r>
      <w:r w:rsidRPr="00B0547F">
        <w:t>000 km</w:t>
      </w:r>
      <w:r w:rsidRPr="00B0547F">
        <w:rPr>
          <w:vertAlign w:val="superscript"/>
        </w:rPr>
        <w:t>2</w:t>
      </w:r>
      <w:r w:rsidRPr="00B0547F">
        <w:t>:</w:t>
      </w:r>
    </w:p>
    <w:p w:rsidR="00863B9F" w:rsidRPr="0095171D" w:rsidRDefault="00B0547F" w:rsidP="00863B9F">
      <w:pPr>
        <w:pStyle w:val="P1"/>
        <w:numPr>
          <w:ilvl w:val="0"/>
          <w:numId w:val="78"/>
        </w:numPr>
        <w:tabs>
          <w:tab w:val="left" w:pos="1418"/>
        </w:tabs>
        <w:ind w:left="2552" w:hanging="851"/>
        <w:jc w:val="left"/>
      </w:pPr>
      <w:r w:rsidRPr="00B0547F">
        <w:t>not less than 250 independent data waypoints must be used to refine the map; and</w:t>
      </w:r>
    </w:p>
    <w:p w:rsidR="00863B9F" w:rsidRPr="0095171D" w:rsidRDefault="00B0547F" w:rsidP="00863B9F">
      <w:pPr>
        <w:pStyle w:val="P1"/>
        <w:numPr>
          <w:ilvl w:val="0"/>
          <w:numId w:val="78"/>
        </w:numPr>
        <w:tabs>
          <w:tab w:val="left" w:pos="1418"/>
        </w:tabs>
        <w:ind w:left="2552" w:hanging="851"/>
        <w:jc w:val="left"/>
      </w:pPr>
      <w:r w:rsidRPr="00B0547F">
        <w:t>an additional 250 independent data waypoints must be used to assess the accuracy of the map</w:t>
      </w:r>
      <w:r w:rsidR="00216DFF">
        <w:t>;</w:t>
      </w:r>
    </w:p>
    <w:p w:rsidR="00863B9F" w:rsidRPr="0095171D" w:rsidRDefault="00B0547F" w:rsidP="00863B9F">
      <w:pPr>
        <w:pStyle w:val="P1"/>
        <w:numPr>
          <w:ilvl w:val="0"/>
          <w:numId w:val="77"/>
        </w:numPr>
        <w:jc w:val="left"/>
      </w:pPr>
      <w:r w:rsidRPr="00B0547F">
        <w:t xml:space="preserve">independent data waypoints must: </w:t>
      </w:r>
    </w:p>
    <w:p w:rsidR="00863B9F" w:rsidRPr="0095171D" w:rsidRDefault="00B0547F" w:rsidP="00863B9F">
      <w:pPr>
        <w:pStyle w:val="P1"/>
        <w:numPr>
          <w:ilvl w:val="0"/>
          <w:numId w:val="79"/>
        </w:numPr>
        <w:tabs>
          <w:tab w:val="left" w:pos="1418"/>
        </w:tabs>
        <w:ind w:left="2552" w:hanging="851"/>
        <w:jc w:val="left"/>
      </w:pPr>
      <w:r w:rsidRPr="00B0547F">
        <w:t xml:space="preserve">be of the order of </w:t>
      </w:r>
      <w:r w:rsidR="00505F02">
        <w:t>one</w:t>
      </w:r>
      <w:r w:rsidRPr="00B0547F">
        <w:t xml:space="preserve"> hectare</w:t>
      </w:r>
      <w:r w:rsidR="001E11AB">
        <w:t xml:space="preserve"> in area</w:t>
      </w:r>
      <w:r w:rsidRPr="00B0547F">
        <w:t xml:space="preserve"> and be congruent with the scale of the vegetation map; and</w:t>
      </w:r>
    </w:p>
    <w:p w:rsidR="00863B9F" w:rsidRPr="0095171D" w:rsidRDefault="00B0547F" w:rsidP="00863B9F">
      <w:pPr>
        <w:pStyle w:val="P1"/>
        <w:numPr>
          <w:ilvl w:val="0"/>
          <w:numId w:val="79"/>
        </w:numPr>
        <w:tabs>
          <w:tab w:val="left" w:pos="1418"/>
        </w:tabs>
        <w:ind w:left="2552" w:hanging="851"/>
        <w:jc w:val="left"/>
      </w:pPr>
      <w:r w:rsidRPr="00B0547F">
        <w:t>be collected with reference to transects or a grid that samples all vegetation classes over the project area</w:t>
      </w:r>
      <w:r w:rsidR="00216DFF">
        <w:t>;</w:t>
      </w:r>
    </w:p>
    <w:p w:rsidR="00863B9F" w:rsidRPr="0095171D" w:rsidRDefault="00B0547F" w:rsidP="00863B9F">
      <w:pPr>
        <w:pStyle w:val="P1"/>
        <w:numPr>
          <w:ilvl w:val="0"/>
          <w:numId w:val="77"/>
        </w:numPr>
        <w:jc w:val="left"/>
      </w:pPr>
      <w:r w:rsidRPr="00B0547F">
        <w:t xml:space="preserve">geospatial software must be used </w:t>
      </w:r>
      <w:r w:rsidR="001E11AB">
        <w:t>to validate</w:t>
      </w:r>
      <w:r w:rsidRPr="00B0547F">
        <w:t xml:space="preserve"> the vegetation map:</w:t>
      </w:r>
    </w:p>
    <w:p w:rsidR="00863B9F" w:rsidRPr="0095171D" w:rsidRDefault="00B0547F" w:rsidP="00863B9F">
      <w:pPr>
        <w:pStyle w:val="P1"/>
        <w:numPr>
          <w:ilvl w:val="0"/>
          <w:numId w:val="80"/>
        </w:numPr>
        <w:tabs>
          <w:tab w:val="left" w:pos="1418"/>
        </w:tabs>
        <w:ind w:left="2552" w:hanging="851"/>
        <w:jc w:val="left"/>
      </w:pPr>
      <w:r w:rsidRPr="00B0547F">
        <w:t>the independent data waypoints must be intersected with the vegetation map to derive a standard error matrix including errors of omission and commission; and</w:t>
      </w:r>
    </w:p>
    <w:p w:rsidR="00863B9F" w:rsidRPr="0095171D" w:rsidRDefault="00B0547F" w:rsidP="00863B9F">
      <w:pPr>
        <w:pStyle w:val="P1"/>
        <w:numPr>
          <w:ilvl w:val="0"/>
          <w:numId w:val="80"/>
        </w:numPr>
        <w:tabs>
          <w:tab w:val="left" w:pos="1418"/>
        </w:tabs>
        <w:ind w:left="2552" w:hanging="851"/>
        <w:jc w:val="left"/>
      </w:pPr>
      <w:r w:rsidRPr="00B0547F">
        <w:t>the data in the standard error matrix must be used to determine the accuracy of the map as a percentage</w:t>
      </w:r>
      <w:r w:rsidR="00216DFF">
        <w:t xml:space="preserve">; </w:t>
      </w:r>
    </w:p>
    <w:p w:rsidR="008D7CD1" w:rsidRPr="0095171D" w:rsidRDefault="00216DFF">
      <w:pPr>
        <w:pStyle w:val="P1"/>
        <w:numPr>
          <w:ilvl w:val="0"/>
          <w:numId w:val="77"/>
        </w:numPr>
        <w:tabs>
          <w:tab w:val="clear" w:pos="1191"/>
        </w:tabs>
        <w:jc w:val="left"/>
      </w:pPr>
      <w:r>
        <w:lastRenderedPageBreak/>
        <w:t>t</w:t>
      </w:r>
      <w:r w:rsidR="00B0547F" w:rsidRPr="00B0547F">
        <w:t xml:space="preserve">he data from </w:t>
      </w:r>
      <w:r w:rsidR="005D01B7">
        <w:t>paragraph</w:t>
      </w:r>
      <w:r w:rsidR="00B0547F" w:rsidRPr="00B0547F">
        <w:t xml:space="preserve"> (2) (e) must be used to improve the accuracy of the vegetation map.</w:t>
      </w:r>
    </w:p>
    <w:p w:rsidR="008D7CD1" w:rsidRPr="0095171D" w:rsidRDefault="002F1104">
      <w:pPr>
        <w:pStyle w:val="Heading3"/>
        <w:numPr>
          <w:ilvl w:val="1"/>
          <w:numId w:val="45"/>
        </w:numPr>
        <w:rPr>
          <w:rFonts w:ascii="Times New Roman" w:hAnsi="Times New Roman" w:cs="Times New Roman"/>
          <w:sz w:val="24"/>
          <w:szCs w:val="24"/>
        </w:rPr>
      </w:pPr>
      <w:bookmarkStart w:id="732" w:name="_Toc324506961"/>
      <w:bookmarkStart w:id="733" w:name="_Ref324839160"/>
      <w:bookmarkStart w:id="734" w:name="_Ref324839183"/>
      <w:bookmarkStart w:id="735" w:name="_Ref324839353"/>
      <w:bookmarkStart w:id="736" w:name="_Toc325039184"/>
      <w:bookmarkEnd w:id="732"/>
      <w:r w:rsidRPr="0095171D">
        <w:rPr>
          <w:rFonts w:ascii="Times New Roman" w:hAnsi="Times New Roman" w:cs="Times New Roman"/>
          <w:sz w:val="24"/>
          <w:szCs w:val="24"/>
        </w:rPr>
        <w:t>Monthly fire maps</w:t>
      </w:r>
      <w:bookmarkEnd w:id="733"/>
      <w:bookmarkEnd w:id="734"/>
      <w:bookmarkEnd w:id="735"/>
      <w:bookmarkEnd w:id="736"/>
      <w:r w:rsidRPr="0095171D">
        <w:rPr>
          <w:rFonts w:ascii="Times New Roman" w:hAnsi="Times New Roman" w:cs="Times New Roman"/>
          <w:sz w:val="24"/>
          <w:szCs w:val="24"/>
        </w:rPr>
        <w:t xml:space="preserve"> </w:t>
      </w:r>
    </w:p>
    <w:p w:rsidR="008618C2" w:rsidRDefault="00505F02" w:rsidP="008618C2">
      <w:pPr>
        <w:pStyle w:val="P1"/>
        <w:numPr>
          <w:ilvl w:val="0"/>
          <w:numId w:val="14"/>
        </w:numPr>
        <w:jc w:val="left"/>
      </w:pPr>
      <w:r>
        <w:t>Monthly fire maps m</w:t>
      </w:r>
      <w:r w:rsidR="008618C2">
        <w:t>ust be in raster format</w:t>
      </w:r>
      <w:r w:rsidR="00017671">
        <w:t>.</w:t>
      </w:r>
    </w:p>
    <w:p w:rsidR="00863B9F" w:rsidRPr="0095171D" w:rsidRDefault="00B0547F" w:rsidP="00863B9F">
      <w:pPr>
        <w:pStyle w:val="R1"/>
        <w:numPr>
          <w:ilvl w:val="0"/>
          <w:numId w:val="14"/>
        </w:numPr>
        <w:jc w:val="left"/>
      </w:pPr>
      <w:r w:rsidRPr="00B0547F">
        <w:t>A monthly fire map used to calculate the baseline emissions of a project area for the purposes of this Methodology Determination must have a spatial resolution no less than 1 km</w:t>
      </w:r>
      <w:r w:rsidRPr="00B0547F">
        <w:rPr>
          <w:vertAlign w:val="superscript"/>
        </w:rPr>
        <w:t>2</w:t>
      </w:r>
      <w:r w:rsidRPr="00B0547F">
        <w:t xml:space="preserve"> per pixel.</w:t>
      </w:r>
    </w:p>
    <w:p w:rsidR="00863B9F" w:rsidRPr="0095171D" w:rsidRDefault="00B0547F" w:rsidP="00863B9F">
      <w:pPr>
        <w:pStyle w:val="R1"/>
        <w:numPr>
          <w:ilvl w:val="0"/>
          <w:numId w:val="14"/>
        </w:numPr>
        <w:jc w:val="left"/>
      </w:pPr>
      <w:r w:rsidRPr="00B0547F">
        <w:t>A monthly fire map used to calculate project emissions of a project area for the purposes of this Methodology Determination must have a spatial resolution no less than 250 m</w:t>
      </w:r>
      <w:r w:rsidRPr="00B0547F">
        <w:rPr>
          <w:vertAlign w:val="superscript"/>
        </w:rPr>
        <w:t>2</w:t>
      </w:r>
      <w:r w:rsidRPr="00B0547F">
        <w:t xml:space="preserve"> per pixel. </w:t>
      </w:r>
    </w:p>
    <w:p w:rsidR="00863B9F" w:rsidRPr="0095171D" w:rsidRDefault="00B0547F" w:rsidP="00863B9F">
      <w:pPr>
        <w:pStyle w:val="R1"/>
        <w:numPr>
          <w:ilvl w:val="0"/>
          <w:numId w:val="14"/>
        </w:numPr>
        <w:jc w:val="left"/>
      </w:pPr>
      <w:r w:rsidRPr="00B0547F">
        <w:t xml:space="preserve">A monthly fire map used in relation to a baseline period, a reporting period or a fuel load estimation period must adopt a consistent time series and </w:t>
      </w:r>
      <w:r w:rsidR="00216DFF">
        <w:t xml:space="preserve">be </w:t>
      </w:r>
      <w:r w:rsidRPr="00B0547F">
        <w:t xml:space="preserve">derived from a single satellite </w:t>
      </w:r>
      <w:r w:rsidR="00C5347C">
        <w:t xml:space="preserve">imagery </w:t>
      </w:r>
      <w:r w:rsidRPr="00B0547F">
        <w:t xml:space="preserve">product. The time series used to calculate the baseline period emissions and </w:t>
      </w:r>
      <w:r w:rsidR="00694CFB" w:rsidRPr="0095171D">
        <w:t>reporting period</w:t>
      </w:r>
      <w:r w:rsidRPr="00B0547F">
        <w:t xml:space="preserve"> emissions do not, however, have to be consistent with each other.</w:t>
      </w:r>
    </w:p>
    <w:p w:rsidR="00863B9F" w:rsidRPr="0095171D" w:rsidRDefault="00E86B00" w:rsidP="00061321">
      <w:pPr>
        <w:pStyle w:val="Note"/>
        <w:ind w:left="1701" w:hanging="737"/>
        <w:rPr>
          <w:i/>
        </w:rPr>
      </w:pPr>
      <w:r w:rsidRPr="00E86B00">
        <w:rPr>
          <w:i/>
        </w:rPr>
        <w:t>Note:</w:t>
      </w:r>
      <w:r w:rsidR="00B0547F" w:rsidRPr="00B0547F">
        <w:rPr>
          <w:i/>
        </w:rPr>
        <w:t xml:space="preserve">  </w:t>
      </w:r>
      <w:r w:rsidR="00F76347">
        <w:rPr>
          <w:i/>
        </w:rPr>
        <w:tab/>
      </w:r>
      <w:r w:rsidRPr="00E86B00">
        <w:t>Gaps in the availability of satellite imagery may be filled by supplementing fine scale products with coarser scale products</w:t>
      </w:r>
      <w:r w:rsidR="00B0547F" w:rsidRPr="00B0547F">
        <w:rPr>
          <w:i/>
        </w:rPr>
        <w:t>.</w:t>
      </w:r>
    </w:p>
    <w:p w:rsidR="00D9084A" w:rsidRPr="0095171D" w:rsidRDefault="00ED4498" w:rsidP="00D9084A">
      <w:pPr>
        <w:pStyle w:val="Heading3"/>
        <w:numPr>
          <w:ilvl w:val="1"/>
          <w:numId w:val="45"/>
        </w:numPr>
        <w:rPr>
          <w:rFonts w:ascii="Times New Roman" w:hAnsi="Times New Roman" w:cs="Times New Roman"/>
          <w:sz w:val="24"/>
          <w:szCs w:val="24"/>
        </w:rPr>
      </w:pPr>
      <w:bookmarkStart w:id="737" w:name="_Ref324839406"/>
      <w:bookmarkStart w:id="738" w:name="_Toc325039185"/>
      <w:bookmarkStart w:id="739" w:name="_Toc312251467"/>
      <w:r>
        <w:rPr>
          <w:rFonts w:ascii="Times New Roman" w:hAnsi="Times New Roman" w:cs="Times New Roman"/>
          <w:sz w:val="24"/>
          <w:szCs w:val="24"/>
        </w:rPr>
        <w:t>S</w:t>
      </w:r>
      <w:r w:rsidR="002F1104" w:rsidRPr="0095171D">
        <w:rPr>
          <w:rFonts w:ascii="Times New Roman" w:hAnsi="Times New Roman" w:cs="Times New Roman"/>
          <w:sz w:val="24"/>
          <w:szCs w:val="24"/>
        </w:rPr>
        <w:t>easonal fire maps</w:t>
      </w:r>
      <w:bookmarkEnd w:id="737"/>
      <w:bookmarkEnd w:id="738"/>
    </w:p>
    <w:p w:rsidR="008618C2" w:rsidRDefault="00505F02" w:rsidP="00D9084A">
      <w:pPr>
        <w:pStyle w:val="R1"/>
        <w:numPr>
          <w:ilvl w:val="0"/>
          <w:numId w:val="82"/>
        </w:numPr>
        <w:jc w:val="left"/>
      </w:pPr>
      <w:r>
        <w:t>Seasonal fire maps m</w:t>
      </w:r>
      <w:r w:rsidR="008618C2">
        <w:t>ust be in raster format</w:t>
      </w:r>
      <w:r w:rsidR="00017671">
        <w:t>.</w:t>
      </w:r>
    </w:p>
    <w:p w:rsidR="00D9084A" w:rsidRPr="0095171D" w:rsidRDefault="00B0547F" w:rsidP="00D9084A">
      <w:pPr>
        <w:pStyle w:val="R1"/>
        <w:numPr>
          <w:ilvl w:val="0"/>
          <w:numId w:val="82"/>
        </w:numPr>
        <w:jc w:val="left"/>
      </w:pPr>
      <w:r w:rsidRPr="00B0547F">
        <w:t>Monthly fire maps for an entire calendar year must be combined to develop a seasonal fire map for the fire seasons in each calendar year in the baseline period and the project reporting period</w:t>
      </w:r>
      <w:r w:rsidR="00934A49">
        <w:t xml:space="preserve"> as follows:</w:t>
      </w:r>
    </w:p>
    <w:p w:rsidR="00D9084A" w:rsidRPr="00967525" w:rsidRDefault="00967525" w:rsidP="00D9084A">
      <w:pPr>
        <w:pStyle w:val="P1"/>
        <w:numPr>
          <w:ilvl w:val="0"/>
          <w:numId w:val="71"/>
        </w:numPr>
        <w:jc w:val="left"/>
      </w:pPr>
      <w:r>
        <w:t>a</w:t>
      </w:r>
      <w:r w:rsidR="00B0547F" w:rsidRPr="00B0547F">
        <w:t xml:space="preserve">ll monthly fire maps from 1 January in a given year until the start of the late dry season must be combined into an early dry season fire map; and </w:t>
      </w:r>
    </w:p>
    <w:p w:rsidR="00D9084A" w:rsidRPr="00967525" w:rsidRDefault="00B0547F" w:rsidP="00D9084A">
      <w:pPr>
        <w:pStyle w:val="P1"/>
        <w:numPr>
          <w:ilvl w:val="0"/>
          <w:numId w:val="71"/>
        </w:numPr>
        <w:jc w:val="left"/>
      </w:pPr>
      <w:r w:rsidRPr="00B0547F">
        <w:t>all monthly fire maps</w:t>
      </w:r>
      <w:r w:rsidR="00967525">
        <w:t xml:space="preserve"> from the start of the late dry season to 31</w:t>
      </w:r>
      <w:r w:rsidR="00390148">
        <w:t> </w:t>
      </w:r>
      <w:r w:rsidR="00967525">
        <w:t>December in a given year</w:t>
      </w:r>
      <w:r w:rsidRPr="00B0547F">
        <w:t xml:space="preserve"> must be combined into a late dry season map.</w:t>
      </w:r>
    </w:p>
    <w:p w:rsidR="00D9084A" w:rsidRPr="00330EB8" w:rsidRDefault="00B0547F" w:rsidP="00D9084A">
      <w:pPr>
        <w:pStyle w:val="R1"/>
        <w:numPr>
          <w:ilvl w:val="0"/>
          <w:numId w:val="82"/>
        </w:numPr>
        <w:jc w:val="left"/>
      </w:pPr>
      <w:r w:rsidRPr="00B0547F">
        <w:t>A seasonal fire map used to calculate the baseline emissions of a project area must have a spatial resolution of no less than 1 km</w:t>
      </w:r>
      <w:r w:rsidRPr="00B0547F">
        <w:rPr>
          <w:vertAlign w:val="superscript"/>
        </w:rPr>
        <w:t>2</w:t>
      </w:r>
      <w:r w:rsidRPr="00B0547F">
        <w:t xml:space="preserve"> per pixel.</w:t>
      </w:r>
    </w:p>
    <w:p w:rsidR="00D9084A" w:rsidRPr="0095171D" w:rsidRDefault="00B0547F" w:rsidP="00D9084A">
      <w:pPr>
        <w:pStyle w:val="R1"/>
        <w:numPr>
          <w:ilvl w:val="0"/>
          <w:numId w:val="82"/>
        </w:numPr>
        <w:jc w:val="left"/>
      </w:pPr>
      <w:r w:rsidRPr="00B0547F">
        <w:t>A seasonal fire map used to calculate the project emissions of a project area must have a spatial resolution of no less than 250 m</w:t>
      </w:r>
      <w:r w:rsidRPr="00B0547F">
        <w:rPr>
          <w:vertAlign w:val="superscript"/>
        </w:rPr>
        <w:t>2</w:t>
      </w:r>
      <w:r w:rsidRPr="00B0547F">
        <w:t xml:space="preserve"> per pixel. </w:t>
      </w:r>
    </w:p>
    <w:p w:rsidR="00D9084A" w:rsidRPr="0095171D" w:rsidRDefault="00B0547F" w:rsidP="00D9084A">
      <w:pPr>
        <w:pStyle w:val="R1"/>
        <w:numPr>
          <w:ilvl w:val="0"/>
          <w:numId w:val="82"/>
        </w:numPr>
        <w:jc w:val="left"/>
      </w:pPr>
      <w:r w:rsidRPr="00B0547F">
        <w:t xml:space="preserve">A seasonal fire map used in relation to a baseline period, a reporting period or a fuel load estimation period must be of a consistent time series, be from a single satellite </w:t>
      </w:r>
      <w:r w:rsidR="00C5347C">
        <w:t xml:space="preserve">imagery </w:t>
      </w:r>
      <w:r w:rsidRPr="00B0547F">
        <w:t xml:space="preserve">product, and be based on a time resolution of one month or less. The time series used to calculate the baseline period emissions, fuel loads and </w:t>
      </w:r>
      <w:r w:rsidR="00694CFB" w:rsidRPr="0095171D">
        <w:t>reporting period</w:t>
      </w:r>
      <w:r w:rsidRPr="00B0547F">
        <w:t xml:space="preserve"> emissions do not, however, have to be consistent with each other.</w:t>
      </w:r>
    </w:p>
    <w:p w:rsidR="00D9084A" w:rsidRDefault="00E86B00" w:rsidP="00D9084A">
      <w:pPr>
        <w:pStyle w:val="Note"/>
        <w:ind w:left="2127" w:hanging="687"/>
      </w:pPr>
      <w:r w:rsidRPr="00E86B00">
        <w:rPr>
          <w:i/>
        </w:rPr>
        <w:t>Note:</w:t>
      </w:r>
      <w:r w:rsidR="00B0547F" w:rsidRPr="00B0547F">
        <w:rPr>
          <w:i/>
        </w:rPr>
        <w:t xml:space="preserve">  </w:t>
      </w:r>
      <w:r w:rsidRPr="00E86B00">
        <w:t>Gaps in the availability of satellite imagery products may be filled by supplementing fine scale products with coarser scale products.</w:t>
      </w:r>
    </w:p>
    <w:p w:rsidR="00710D2D" w:rsidRPr="0095171D" w:rsidRDefault="00710D2D" w:rsidP="00D9084A">
      <w:pPr>
        <w:pStyle w:val="Note"/>
        <w:ind w:left="2127" w:hanging="687"/>
        <w:rPr>
          <w:i/>
        </w:rPr>
      </w:pPr>
    </w:p>
    <w:p w:rsidR="00D9084A" w:rsidRPr="0095171D" w:rsidRDefault="00ED4498" w:rsidP="00D9084A">
      <w:pPr>
        <w:pStyle w:val="Heading3"/>
        <w:numPr>
          <w:ilvl w:val="1"/>
          <w:numId w:val="45"/>
        </w:numPr>
        <w:rPr>
          <w:rFonts w:ascii="Times New Roman" w:hAnsi="Times New Roman" w:cs="Times New Roman"/>
          <w:sz w:val="24"/>
          <w:szCs w:val="24"/>
        </w:rPr>
      </w:pPr>
      <w:bookmarkStart w:id="740" w:name="_Ref324839366"/>
      <w:bookmarkStart w:id="741" w:name="_Ref324839415"/>
      <w:bookmarkStart w:id="742" w:name="_Toc325039186"/>
      <w:r>
        <w:rPr>
          <w:rFonts w:ascii="Times New Roman" w:hAnsi="Times New Roman" w:cs="Times New Roman"/>
          <w:sz w:val="24"/>
          <w:szCs w:val="24"/>
        </w:rPr>
        <w:lastRenderedPageBreak/>
        <w:t>S</w:t>
      </w:r>
      <w:r w:rsidR="002F1104" w:rsidRPr="0095171D">
        <w:rPr>
          <w:rFonts w:ascii="Times New Roman" w:hAnsi="Times New Roman" w:cs="Times New Roman"/>
          <w:sz w:val="24"/>
          <w:szCs w:val="24"/>
        </w:rPr>
        <w:t>easonal fire maps not sourced from NAFI</w:t>
      </w:r>
      <w:bookmarkEnd w:id="740"/>
      <w:bookmarkEnd w:id="741"/>
      <w:bookmarkEnd w:id="742"/>
    </w:p>
    <w:p w:rsidR="00017671" w:rsidRDefault="00505F02" w:rsidP="00D9084A">
      <w:pPr>
        <w:pStyle w:val="R1"/>
        <w:numPr>
          <w:ilvl w:val="0"/>
          <w:numId w:val="26"/>
        </w:numPr>
        <w:jc w:val="left"/>
      </w:pPr>
      <w:r>
        <w:t>Seasonal fire maps m</w:t>
      </w:r>
      <w:r w:rsidR="00017671">
        <w:t>ust be in raster format.</w:t>
      </w:r>
    </w:p>
    <w:p w:rsidR="00D9084A" w:rsidRPr="0095171D" w:rsidRDefault="00B0547F" w:rsidP="00D9084A">
      <w:pPr>
        <w:pStyle w:val="R1"/>
        <w:numPr>
          <w:ilvl w:val="0"/>
          <w:numId w:val="26"/>
        </w:numPr>
        <w:jc w:val="left"/>
      </w:pPr>
      <w:r w:rsidRPr="00B0547F">
        <w:t>Seasonal fire maps that are not developed from monthly fire maps sourced from NAFI must be validated by a registered greenhouse and energy auditor to be at least 80 per</w:t>
      </w:r>
      <w:r w:rsidR="00F76347">
        <w:t xml:space="preserve"> </w:t>
      </w:r>
      <w:r w:rsidRPr="00B0547F">
        <w:t>cent accurate overall for fire scars in the project area at a 1:100 000 scale for each year of the project.</w:t>
      </w:r>
    </w:p>
    <w:p w:rsidR="00D9084A" w:rsidRPr="0095171D" w:rsidRDefault="00B0547F" w:rsidP="00D9084A">
      <w:pPr>
        <w:pStyle w:val="R1"/>
        <w:numPr>
          <w:ilvl w:val="0"/>
          <w:numId w:val="26"/>
        </w:numPr>
        <w:jc w:val="left"/>
      </w:pPr>
      <w:r w:rsidRPr="00B0547F">
        <w:t>Validation of seasonal fire maps not sourced from NAFI must be carried out in accordance with this section.</w:t>
      </w:r>
    </w:p>
    <w:p w:rsidR="00D9084A" w:rsidRPr="0095171D" w:rsidRDefault="00B0547F" w:rsidP="00D9084A">
      <w:pPr>
        <w:pStyle w:val="R1"/>
        <w:numPr>
          <w:ilvl w:val="0"/>
          <w:numId w:val="26"/>
        </w:numPr>
        <w:jc w:val="left"/>
      </w:pPr>
      <w:r w:rsidRPr="00B0547F">
        <w:t>Validation of a seasonal fire map must be carried out using information gathered from independent data waypoints using GPS-based comprehensive aerial-based random sampling, which incorporates all vegetation types in the project area.</w:t>
      </w:r>
    </w:p>
    <w:p w:rsidR="00D9084A" w:rsidRPr="0095171D" w:rsidRDefault="00B0547F" w:rsidP="00D9084A">
      <w:pPr>
        <w:pStyle w:val="R1"/>
        <w:numPr>
          <w:ilvl w:val="0"/>
          <w:numId w:val="26"/>
        </w:numPr>
        <w:jc w:val="left"/>
      </w:pPr>
      <w:r w:rsidRPr="00B0547F">
        <w:t>In carrying out the data collection required in subsection (3):</w:t>
      </w:r>
    </w:p>
    <w:p w:rsidR="00D9084A" w:rsidRPr="0095171D" w:rsidRDefault="00B0547F" w:rsidP="00D9084A">
      <w:pPr>
        <w:pStyle w:val="P1"/>
        <w:numPr>
          <w:ilvl w:val="0"/>
          <w:numId w:val="73"/>
        </w:numPr>
        <w:jc w:val="left"/>
      </w:pPr>
      <w:r w:rsidRPr="00B0547F">
        <w:t>data must be collected from the waypoints along a series of transects that sample the areas containing fire activity for each fire season; and</w:t>
      </w:r>
    </w:p>
    <w:p w:rsidR="00D9084A" w:rsidRPr="0095171D" w:rsidRDefault="00B0547F" w:rsidP="00D9084A">
      <w:pPr>
        <w:pStyle w:val="P1"/>
        <w:numPr>
          <w:ilvl w:val="0"/>
          <w:numId w:val="73"/>
        </w:numPr>
        <w:jc w:val="left"/>
      </w:pPr>
      <w:r w:rsidRPr="00B0547F">
        <w:t>at each</w:t>
      </w:r>
      <w:r w:rsidR="00D67699">
        <w:t xml:space="preserve"> data</w:t>
      </w:r>
      <w:r w:rsidRPr="00B0547F">
        <w:t xml:space="preserve"> waypoint the registered greenhouse and energy auditor must undertake a</w:t>
      </w:r>
      <w:r w:rsidR="00D67699">
        <w:t>n on-site</w:t>
      </w:r>
      <w:r w:rsidRPr="00B0547F">
        <w:t xml:space="preserve"> visual assessment and note:</w:t>
      </w:r>
    </w:p>
    <w:p w:rsidR="00D9084A" w:rsidRPr="0095171D" w:rsidRDefault="00B0547F" w:rsidP="00D9084A">
      <w:pPr>
        <w:pStyle w:val="P1"/>
        <w:numPr>
          <w:ilvl w:val="0"/>
          <w:numId w:val="84"/>
        </w:numPr>
        <w:tabs>
          <w:tab w:val="clear" w:pos="1191"/>
          <w:tab w:val="left" w:pos="2552"/>
        </w:tabs>
        <w:ind w:left="2552" w:hanging="851"/>
        <w:jc w:val="left"/>
      </w:pPr>
      <w:r w:rsidRPr="00B0547F">
        <w:t xml:space="preserve">the vegetation class; and </w:t>
      </w:r>
    </w:p>
    <w:p w:rsidR="00D9084A" w:rsidRPr="0095171D" w:rsidRDefault="00B0547F" w:rsidP="00D9084A">
      <w:pPr>
        <w:pStyle w:val="P1"/>
        <w:numPr>
          <w:ilvl w:val="0"/>
          <w:numId w:val="84"/>
        </w:numPr>
        <w:tabs>
          <w:tab w:val="clear" w:pos="1191"/>
          <w:tab w:val="left" w:pos="2552"/>
        </w:tabs>
        <w:ind w:left="2552" w:hanging="851"/>
        <w:jc w:val="left"/>
      </w:pPr>
      <w:r w:rsidRPr="00B0547F">
        <w:t xml:space="preserve">whether the area is ‘burnt’ or ‘unburnt’. </w:t>
      </w:r>
    </w:p>
    <w:p w:rsidR="00D9084A" w:rsidRPr="0095171D" w:rsidRDefault="00B0547F" w:rsidP="00D9084A">
      <w:pPr>
        <w:pStyle w:val="R1"/>
        <w:numPr>
          <w:ilvl w:val="0"/>
          <w:numId w:val="26"/>
        </w:numPr>
        <w:jc w:val="left"/>
      </w:pPr>
      <w:r w:rsidRPr="00B0547F">
        <w:t>For project areas over 10</w:t>
      </w:r>
      <w:r w:rsidR="00C5347C">
        <w:t> </w:t>
      </w:r>
      <w:r w:rsidRPr="00B0547F">
        <w:t>000 km</w:t>
      </w:r>
      <w:r w:rsidRPr="00B0547F">
        <w:rPr>
          <w:vertAlign w:val="superscript"/>
        </w:rPr>
        <w:t>2</w:t>
      </w:r>
      <w:r w:rsidRPr="00B0547F">
        <w:t>, data from at least 500 independent data waypoints must be collected to validate the map.</w:t>
      </w:r>
    </w:p>
    <w:p w:rsidR="00D9084A" w:rsidRPr="0095171D" w:rsidRDefault="00B0547F" w:rsidP="00D9084A">
      <w:pPr>
        <w:pStyle w:val="R1"/>
        <w:numPr>
          <w:ilvl w:val="0"/>
          <w:numId w:val="26"/>
        </w:numPr>
        <w:jc w:val="left"/>
      </w:pPr>
      <w:r w:rsidRPr="00B0547F">
        <w:t>For project areas less than 10</w:t>
      </w:r>
      <w:r w:rsidR="00C5347C">
        <w:t> </w:t>
      </w:r>
      <w:r w:rsidRPr="00B0547F">
        <w:t>000 km</w:t>
      </w:r>
      <w:r w:rsidRPr="00B0547F">
        <w:rPr>
          <w:vertAlign w:val="superscript"/>
        </w:rPr>
        <w:t>2</w:t>
      </w:r>
      <w:r w:rsidRPr="00B0547F">
        <w:t>, data from at least 250 independent data waypoints must be collected to validate the map.</w:t>
      </w:r>
    </w:p>
    <w:p w:rsidR="00D9084A" w:rsidRPr="0095171D" w:rsidRDefault="00B0547F" w:rsidP="00D9084A">
      <w:pPr>
        <w:pStyle w:val="R1"/>
        <w:numPr>
          <w:ilvl w:val="0"/>
          <w:numId w:val="26"/>
        </w:numPr>
        <w:jc w:val="left"/>
      </w:pPr>
      <w:r w:rsidRPr="00B0547F">
        <w:t>The registered greenhouse and energy auditor must:</w:t>
      </w:r>
    </w:p>
    <w:p w:rsidR="00D9084A" w:rsidRPr="0095171D" w:rsidRDefault="00B0547F" w:rsidP="00D9084A">
      <w:pPr>
        <w:pStyle w:val="P1"/>
        <w:numPr>
          <w:ilvl w:val="0"/>
          <w:numId w:val="54"/>
        </w:numPr>
        <w:jc w:val="left"/>
      </w:pPr>
      <w:r w:rsidRPr="00B0547F">
        <w:t>use GIS software to validat</w:t>
      </w:r>
      <w:r w:rsidR="00C5347C">
        <w:t>e</w:t>
      </w:r>
      <w:r w:rsidRPr="00B0547F">
        <w:t xml:space="preserve"> each seasonal fire map. In so doing:</w:t>
      </w:r>
    </w:p>
    <w:p w:rsidR="00D9084A" w:rsidRPr="0095171D" w:rsidRDefault="00B0547F" w:rsidP="00D9084A">
      <w:pPr>
        <w:pStyle w:val="P1"/>
        <w:numPr>
          <w:ilvl w:val="0"/>
          <w:numId w:val="85"/>
        </w:numPr>
        <w:tabs>
          <w:tab w:val="clear" w:pos="1191"/>
          <w:tab w:val="left" w:pos="2552"/>
        </w:tabs>
        <w:ind w:left="2552" w:hanging="851"/>
        <w:jc w:val="left"/>
      </w:pPr>
      <w:r w:rsidRPr="00B0547F">
        <w:t>the independent data waypoint must be intersected with the seasonal fire map to derive a standard error matrix including errors of omission and commission; and</w:t>
      </w:r>
    </w:p>
    <w:p w:rsidR="00D9084A" w:rsidRPr="0095171D" w:rsidRDefault="00B0547F" w:rsidP="00D9084A">
      <w:pPr>
        <w:pStyle w:val="P1"/>
        <w:numPr>
          <w:ilvl w:val="0"/>
          <w:numId w:val="85"/>
        </w:numPr>
        <w:tabs>
          <w:tab w:val="left" w:pos="1418"/>
        </w:tabs>
        <w:ind w:left="2552" w:hanging="851"/>
        <w:jc w:val="left"/>
      </w:pPr>
      <w:r w:rsidRPr="00B0547F">
        <w:t>the data in the standard error matrix must be used to determine the accuracy of the map as a percentage; and</w:t>
      </w:r>
    </w:p>
    <w:p w:rsidR="0098154B" w:rsidRDefault="00B0547F" w:rsidP="00D9084A">
      <w:pPr>
        <w:pStyle w:val="P1"/>
        <w:numPr>
          <w:ilvl w:val="0"/>
          <w:numId w:val="54"/>
        </w:numPr>
        <w:jc w:val="left"/>
      </w:pPr>
      <w:r w:rsidRPr="00B0547F">
        <w:t>produce a detailed report of the validation.</w:t>
      </w:r>
    </w:p>
    <w:p w:rsidR="0098154B" w:rsidRDefault="0098154B">
      <w:r>
        <w:br w:type="page"/>
      </w:r>
    </w:p>
    <w:p w:rsidR="00A827E9" w:rsidRPr="000D7143" w:rsidRDefault="002F1104" w:rsidP="000D7143">
      <w:pPr>
        <w:pStyle w:val="Heading1"/>
        <w:ind w:left="930" w:hanging="930"/>
        <w:rPr>
          <w:rFonts w:ascii="Times New Roman" w:hAnsi="Times New Roman" w:cs="Times New Roman"/>
        </w:rPr>
      </w:pPr>
      <w:bookmarkStart w:id="743" w:name="_Toc325039187"/>
      <w:r w:rsidRPr="000D7143">
        <w:rPr>
          <w:rFonts w:ascii="Times New Roman" w:hAnsi="Times New Roman" w:cs="Times New Roman"/>
        </w:rPr>
        <w:lastRenderedPageBreak/>
        <w:t>Part 4</w:t>
      </w:r>
      <w:r w:rsidRPr="000D7143">
        <w:rPr>
          <w:rFonts w:ascii="Times New Roman" w:hAnsi="Times New Roman" w:cs="Times New Roman"/>
        </w:rPr>
        <w:tab/>
        <w:t>Monitoring, record-keeping and reporting requirements</w:t>
      </w:r>
      <w:bookmarkEnd w:id="739"/>
      <w:bookmarkEnd w:id="743"/>
    </w:p>
    <w:p w:rsidR="00A827E9" w:rsidRPr="0028057B" w:rsidRDefault="002F1104" w:rsidP="0028057B">
      <w:pPr>
        <w:pStyle w:val="Heading4"/>
      </w:pPr>
      <w:bookmarkStart w:id="744" w:name="_Toc312251468"/>
      <w:bookmarkStart w:id="745" w:name="_Toc325039188"/>
      <w:r w:rsidRPr="0028057B">
        <w:t>Division 4.1</w:t>
      </w:r>
      <w:r w:rsidRPr="0028057B">
        <w:tab/>
        <w:t>General</w:t>
      </w:r>
      <w:bookmarkEnd w:id="744"/>
      <w:bookmarkEnd w:id="745"/>
    </w:p>
    <w:p w:rsidR="00202805" w:rsidRPr="0095171D" w:rsidRDefault="002F1104" w:rsidP="00BC708B">
      <w:pPr>
        <w:pStyle w:val="Heading3"/>
        <w:numPr>
          <w:ilvl w:val="1"/>
          <w:numId w:val="46"/>
        </w:numPr>
        <w:rPr>
          <w:rFonts w:ascii="Times New Roman" w:hAnsi="Times New Roman" w:cs="Times New Roman"/>
          <w:sz w:val="24"/>
          <w:szCs w:val="24"/>
        </w:rPr>
      </w:pPr>
      <w:bookmarkStart w:id="746" w:name="_Toc312251469"/>
      <w:bookmarkStart w:id="747" w:name="_Toc325039189"/>
      <w:r w:rsidRPr="0095171D">
        <w:rPr>
          <w:rFonts w:ascii="Times New Roman" w:hAnsi="Times New Roman" w:cs="Times New Roman"/>
          <w:sz w:val="24"/>
          <w:szCs w:val="24"/>
        </w:rPr>
        <w:t>Application</w:t>
      </w:r>
      <w:bookmarkStart w:id="748" w:name="_Toc319521135"/>
      <w:bookmarkEnd w:id="746"/>
      <w:bookmarkEnd w:id="747"/>
    </w:p>
    <w:p w:rsidR="00B0547F" w:rsidRDefault="002F1104" w:rsidP="00B0547F">
      <w:pPr>
        <w:pStyle w:val="R1"/>
        <w:ind w:left="426" w:firstLine="0"/>
        <w:jc w:val="left"/>
        <w:rPr>
          <w:iCs/>
        </w:rPr>
      </w:pPr>
      <w:r w:rsidRPr="0095171D">
        <w:rPr>
          <w:iCs/>
        </w:rPr>
        <w:t>For the purposes of subsection 106 (3) of the Act, a project proponent of an offsets project to which this Methodology Determination applies must comply with the monitoring, record-keeping and reporting requirements of this Division.</w:t>
      </w:r>
      <w:bookmarkEnd w:id="748"/>
    </w:p>
    <w:p w:rsidR="003F6EA7" w:rsidRPr="0028057B" w:rsidRDefault="002F1104" w:rsidP="0028057B">
      <w:pPr>
        <w:pStyle w:val="Heading4"/>
      </w:pPr>
      <w:bookmarkStart w:id="749" w:name="_Toc312251470"/>
      <w:bookmarkStart w:id="750" w:name="_Toc325039190"/>
      <w:r w:rsidRPr="0028057B">
        <w:t>Division 4.</w:t>
      </w:r>
      <w:r w:rsidR="00216DFF" w:rsidRPr="0028057B">
        <w:t>2</w:t>
      </w:r>
      <w:r w:rsidRPr="0028057B">
        <w:tab/>
        <w:t>Record-keeping requirements</w:t>
      </w:r>
      <w:bookmarkEnd w:id="749"/>
      <w:bookmarkEnd w:id="750"/>
    </w:p>
    <w:p w:rsidR="002C7CEC" w:rsidRPr="0095171D" w:rsidRDefault="002F1104" w:rsidP="00BC708B">
      <w:pPr>
        <w:pStyle w:val="Heading3"/>
        <w:numPr>
          <w:ilvl w:val="1"/>
          <w:numId w:val="46"/>
        </w:numPr>
        <w:rPr>
          <w:rFonts w:ascii="Times New Roman" w:hAnsi="Times New Roman" w:cs="Times New Roman"/>
          <w:sz w:val="24"/>
          <w:szCs w:val="24"/>
        </w:rPr>
      </w:pPr>
      <w:bookmarkStart w:id="751" w:name="_Toc325039191"/>
      <w:r w:rsidRPr="0095171D">
        <w:rPr>
          <w:rFonts w:ascii="Times New Roman" w:hAnsi="Times New Roman" w:cs="Times New Roman"/>
          <w:sz w:val="24"/>
          <w:szCs w:val="24"/>
        </w:rPr>
        <w:t>Records that must be kept</w:t>
      </w:r>
      <w:bookmarkEnd w:id="751"/>
    </w:p>
    <w:p w:rsidR="00C666D5" w:rsidRDefault="004D0181" w:rsidP="00B41C12">
      <w:pPr>
        <w:pStyle w:val="R1"/>
        <w:ind w:left="426" w:firstLine="0"/>
        <w:jc w:val="left"/>
      </w:pPr>
      <w:r w:rsidRPr="004D0181">
        <w:t xml:space="preserve">The </w:t>
      </w:r>
      <w:r w:rsidR="002F1104" w:rsidRPr="0095171D">
        <w:t>project proponent must make and keep the following records of the information:</w:t>
      </w:r>
    </w:p>
    <w:p w:rsidR="005250FE" w:rsidRPr="0095171D" w:rsidRDefault="002F1104" w:rsidP="00E46A9D">
      <w:pPr>
        <w:pStyle w:val="P1"/>
        <w:numPr>
          <w:ilvl w:val="4"/>
          <w:numId w:val="6"/>
        </w:numPr>
        <w:tabs>
          <w:tab w:val="clear" w:pos="1191"/>
        </w:tabs>
        <w:spacing w:line="276" w:lineRule="auto"/>
        <w:ind w:left="1418" w:hanging="567"/>
        <w:jc w:val="left"/>
      </w:pPr>
      <w:r w:rsidRPr="0095171D">
        <w:t>all primary maps and data used as inputs into both baseline and project emissions calculations, in electronic form:</w:t>
      </w:r>
    </w:p>
    <w:p w:rsidR="00C666D5" w:rsidRDefault="002F1104">
      <w:pPr>
        <w:pStyle w:val="P1"/>
        <w:numPr>
          <w:ilvl w:val="0"/>
          <w:numId w:val="102"/>
        </w:numPr>
        <w:tabs>
          <w:tab w:val="left" w:pos="1418"/>
        </w:tabs>
        <w:spacing w:before="120"/>
        <w:ind w:right="454"/>
        <w:jc w:val="left"/>
      </w:pPr>
      <w:r w:rsidRPr="0095171D">
        <w:t>maps must be retained in standard geospatial formats;</w:t>
      </w:r>
    </w:p>
    <w:p w:rsidR="00C666D5" w:rsidRDefault="002F1104">
      <w:pPr>
        <w:pStyle w:val="P1"/>
        <w:numPr>
          <w:ilvl w:val="0"/>
          <w:numId w:val="102"/>
        </w:numPr>
        <w:tabs>
          <w:tab w:val="left" w:pos="1418"/>
        </w:tabs>
        <w:jc w:val="left"/>
      </w:pPr>
      <w:r w:rsidRPr="0095171D">
        <w:t>data sets must be retained in standard spreadsheet or text formats;</w:t>
      </w:r>
      <w:r w:rsidR="00B675C1">
        <w:t xml:space="preserve"> </w:t>
      </w:r>
      <w:r w:rsidR="001A7F97">
        <w:t>and</w:t>
      </w:r>
    </w:p>
    <w:p w:rsidR="00C666D5" w:rsidRDefault="002F1104">
      <w:pPr>
        <w:pStyle w:val="P1"/>
        <w:numPr>
          <w:ilvl w:val="0"/>
          <w:numId w:val="102"/>
        </w:numPr>
        <w:tabs>
          <w:tab w:val="left" w:pos="1418"/>
        </w:tabs>
        <w:jc w:val="left"/>
      </w:pPr>
      <w:r w:rsidRPr="0095171D">
        <w:t>copies of all mapping products consulted and produced to generate the maps;</w:t>
      </w:r>
      <w:r w:rsidR="00B675C1">
        <w:t xml:space="preserve"> </w:t>
      </w:r>
    </w:p>
    <w:p w:rsidR="00F670E9" w:rsidRPr="0095171D" w:rsidRDefault="00C81D2E" w:rsidP="00E46A9D">
      <w:pPr>
        <w:pStyle w:val="P1"/>
        <w:numPr>
          <w:ilvl w:val="4"/>
          <w:numId w:val="6"/>
        </w:numPr>
        <w:tabs>
          <w:tab w:val="clear" w:pos="1191"/>
        </w:tabs>
        <w:spacing w:line="276" w:lineRule="auto"/>
        <w:ind w:left="1418" w:hanging="567"/>
        <w:jc w:val="left"/>
      </w:pPr>
      <w:r>
        <w:t xml:space="preserve">a GIS map combining </w:t>
      </w:r>
      <w:r w:rsidRPr="00C81D2E">
        <w:t>the vegetation map</w:t>
      </w:r>
      <w:r>
        <w:t xml:space="preserve"> (to define</w:t>
      </w:r>
      <w:r w:rsidRPr="00C81D2E">
        <w:t xml:space="preserve"> the project area</w:t>
      </w:r>
      <w:r>
        <w:t>)</w:t>
      </w:r>
      <w:r w:rsidRPr="00C81D2E">
        <w:t xml:space="preserve"> and the savanna burning 1000 mm</w:t>
      </w:r>
      <w:r>
        <w:t xml:space="preserve"> map must be developed</w:t>
      </w:r>
      <w:r w:rsidRPr="00C81D2E">
        <w:t xml:space="preserve"> to provide evidence that the project falls within the above 1000 mm rainfall area;</w:t>
      </w:r>
    </w:p>
    <w:p w:rsidR="008D7CD1" w:rsidRPr="0095171D" w:rsidRDefault="002F1104">
      <w:pPr>
        <w:pStyle w:val="P1"/>
        <w:numPr>
          <w:ilvl w:val="4"/>
          <w:numId w:val="6"/>
        </w:numPr>
        <w:tabs>
          <w:tab w:val="clear" w:pos="1191"/>
        </w:tabs>
        <w:spacing w:line="276" w:lineRule="auto"/>
        <w:ind w:left="1418" w:hanging="567"/>
        <w:jc w:val="left"/>
      </w:pPr>
      <w:r w:rsidRPr="0095171D">
        <w:t>data sources used for compiling the vegetation map, including copies of all mapping products consulted and produced;</w:t>
      </w:r>
    </w:p>
    <w:p w:rsidR="00F22C69" w:rsidRDefault="00F22C69">
      <w:pPr>
        <w:pStyle w:val="P1"/>
        <w:numPr>
          <w:ilvl w:val="4"/>
          <w:numId w:val="6"/>
        </w:numPr>
        <w:tabs>
          <w:tab w:val="clear" w:pos="1191"/>
        </w:tabs>
        <w:spacing w:line="276" w:lineRule="auto"/>
        <w:ind w:left="1418" w:hanging="567"/>
        <w:jc w:val="left"/>
      </w:pPr>
      <w:r w:rsidRPr="0095171D">
        <w:t>seasonal fire map</w:t>
      </w:r>
      <w:r>
        <w:t>s</w:t>
      </w:r>
      <w:r w:rsidRPr="0095171D">
        <w:t xml:space="preserve"> for each year in the baseline period and reporting periods</w:t>
      </w:r>
      <w:r>
        <w:t>;</w:t>
      </w:r>
    </w:p>
    <w:p w:rsidR="008D7CD1" w:rsidRPr="0095171D" w:rsidRDefault="002F1104">
      <w:pPr>
        <w:pStyle w:val="P1"/>
        <w:numPr>
          <w:ilvl w:val="4"/>
          <w:numId w:val="6"/>
        </w:numPr>
        <w:tabs>
          <w:tab w:val="clear" w:pos="1191"/>
        </w:tabs>
        <w:spacing w:line="276" w:lineRule="auto"/>
        <w:ind w:left="1418" w:hanging="567"/>
        <w:jc w:val="left"/>
      </w:pPr>
      <w:r w:rsidRPr="0095171D">
        <w:t xml:space="preserve">all monthly fire maps and supporting data sets that underpin the monthly fire maps as </w:t>
      </w:r>
      <w:r w:rsidR="00F22C69">
        <w:t xml:space="preserve">required under </w:t>
      </w:r>
      <w:r w:rsidR="00CE1B39" w:rsidRPr="0095171D">
        <w:t>section 3.4</w:t>
      </w:r>
      <w:r w:rsidR="00B0547F" w:rsidRPr="00B0547F">
        <w:t>,</w:t>
      </w:r>
      <w:r w:rsidRPr="0095171D">
        <w:t xml:space="preserve"> including:</w:t>
      </w:r>
    </w:p>
    <w:p w:rsidR="008D7CD1" w:rsidRPr="0095171D" w:rsidRDefault="002F1104">
      <w:pPr>
        <w:pStyle w:val="P1"/>
        <w:numPr>
          <w:ilvl w:val="5"/>
          <w:numId w:val="6"/>
        </w:numPr>
        <w:tabs>
          <w:tab w:val="clear" w:pos="1191"/>
        </w:tabs>
        <w:spacing w:line="276" w:lineRule="auto"/>
        <w:ind w:left="1985"/>
        <w:jc w:val="left"/>
      </w:pPr>
      <w:r w:rsidRPr="0095171D">
        <w:t>maps used to calculate baseline emissions;</w:t>
      </w:r>
      <w:r w:rsidR="001A7F97">
        <w:t xml:space="preserve"> and</w:t>
      </w:r>
    </w:p>
    <w:p w:rsidR="008D7CD1" w:rsidRPr="0095171D" w:rsidRDefault="002F1104">
      <w:pPr>
        <w:pStyle w:val="P1"/>
        <w:numPr>
          <w:ilvl w:val="5"/>
          <w:numId w:val="6"/>
        </w:numPr>
        <w:tabs>
          <w:tab w:val="clear" w:pos="1191"/>
        </w:tabs>
        <w:spacing w:line="276" w:lineRule="auto"/>
        <w:ind w:left="1985"/>
        <w:jc w:val="left"/>
      </w:pPr>
      <w:r w:rsidRPr="0095171D">
        <w:t>maps used to calculate annual project emissions;</w:t>
      </w:r>
    </w:p>
    <w:p w:rsidR="00064DC8" w:rsidRPr="0095171D" w:rsidRDefault="00F22C69" w:rsidP="00E46A9D">
      <w:pPr>
        <w:pStyle w:val="P1"/>
        <w:numPr>
          <w:ilvl w:val="4"/>
          <w:numId w:val="6"/>
        </w:numPr>
        <w:tabs>
          <w:tab w:val="clear" w:pos="1191"/>
        </w:tabs>
        <w:spacing w:line="276" w:lineRule="auto"/>
        <w:ind w:left="1418" w:hanging="567"/>
        <w:jc w:val="left"/>
      </w:pPr>
      <w:r>
        <w:t xml:space="preserve">YSLB </w:t>
      </w:r>
      <w:r w:rsidRPr="0095171D">
        <w:t>maps</w:t>
      </w:r>
      <w:r>
        <w:t xml:space="preserve"> for</w:t>
      </w:r>
      <w:r w:rsidRPr="0095171D">
        <w:t xml:space="preserve"> the project area</w:t>
      </w:r>
      <w:r>
        <w:t>, and the data used to develop the maps</w:t>
      </w:r>
      <w:r w:rsidR="002F1104" w:rsidRPr="0095171D">
        <w:t>;</w:t>
      </w:r>
    </w:p>
    <w:p w:rsidR="00E50624" w:rsidRPr="0095171D" w:rsidRDefault="002F1104" w:rsidP="00E46A9D">
      <w:pPr>
        <w:pStyle w:val="P1"/>
        <w:numPr>
          <w:ilvl w:val="4"/>
          <w:numId w:val="6"/>
        </w:numPr>
        <w:tabs>
          <w:tab w:val="clear" w:pos="1191"/>
        </w:tabs>
        <w:spacing w:line="276" w:lineRule="auto"/>
        <w:ind w:left="1418" w:hanging="567"/>
        <w:jc w:val="left"/>
      </w:pPr>
      <w:r w:rsidRPr="0095171D">
        <w:t>evidence of the validation of the vegetation map, including:</w:t>
      </w:r>
    </w:p>
    <w:p w:rsidR="00676002" w:rsidRPr="0095171D" w:rsidRDefault="002F1104" w:rsidP="00E46A9D">
      <w:pPr>
        <w:pStyle w:val="P1"/>
        <w:numPr>
          <w:ilvl w:val="5"/>
          <w:numId w:val="6"/>
        </w:numPr>
        <w:tabs>
          <w:tab w:val="clear" w:pos="1191"/>
        </w:tabs>
        <w:spacing w:line="276" w:lineRule="auto"/>
        <w:ind w:left="1985"/>
        <w:jc w:val="left"/>
      </w:pPr>
      <w:r w:rsidRPr="0095171D">
        <w:t>the results of the validation assessment;</w:t>
      </w:r>
    </w:p>
    <w:p w:rsidR="00676002" w:rsidRPr="0095171D" w:rsidRDefault="002F1104" w:rsidP="00E46A9D">
      <w:pPr>
        <w:pStyle w:val="P1"/>
        <w:numPr>
          <w:ilvl w:val="5"/>
          <w:numId w:val="6"/>
        </w:numPr>
        <w:tabs>
          <w:tab w:val="clear" w:pos="1191"/>
        </w:tabs>
        <w:spacing w:line="276" w:lineRule="auto"/>
        <w:ind w:left="1985"/>
        <w:jc w:val="left"/>
      </w:pPr>
      <w:r w:rsidRPr="0095171D">
        <w:t>the data sources used for undertaking the validation assessment, including copies of all mapping and sampling products consulted and produced;</w:t>
      </w:r>
    </w:p>
    <w:p w:rsidR="00676002" w:rsidRPr="0095171D" w:rsidRDefault="002F1104" w:rsidP="00E46A9D">
      <w:pPr>
        <w:pStyle w:val="P1"/>
        <w:numPr>
          <w:ilvl w:val="5"/>
          <w:numId w:val="6"/>
        </w:numPr>
        <w:tabs>
          <w:tab w:val="clear" w:pos="1191"/>
        </w:tabs>
        <w:spacing w:line="276" w:lineRule="auto"/>
        <w:ind w:left="1985"/>
        <w:jc w:val="left"/>
      </w:pPr>
      <w:r w:rsidRPr="0095171D">
        <w:lastRenderedPageBreak/>
        <w:t>all GIS maps depicting the position of all independent data waypoints collected;</w:t>
      </w:r>
    </w:p>
    <w:p w:rsidR="00E50624" w:rsidRPr="0095171D" w:rsidRDefault="002F1104" w:rsidP="00E46A9D">
      <w:pPr>
        <w:pStyle w:val="P1"/>
        <w:numPr>
          <w:ilvl w:val="5"/>
          <w:numId w:val="6"/>
        </w:numPr>
        <w:tabs>
          <w:tab w:val="clear" w:pos="1191"/>
        </w:tabs>
        <w:spacing w:line="276" w:lineRule="auto"/>
        <w:ind w:left="1985"/>
        <w:jc w:val="left"/>
      </w:pPr>
      <w:r w:rsidRPr="0095171D">
        <w:t xml:space="preserve"> the GIS map that shows the intersection of the independent data waypoints and the vegetation map; </w:t>
      </w:r>
      <w:r w:rsidR="001A7F97">
        <w:t>and</w:t>
      </w:r>
    </w:p>
    <w:p w:rsidR="00676002" w:rsidRPr="0095171D" w:rsidRDefault="002F1104" w:rsidP="00E46A9D">
      <w:pPr>
        <w:pStyle w:val="P1"/>
        <w:numPr>
          <w:ilvl w:val="5"/>
          <w:numId w:val="6"/>
        </w:numPr>
        <w:tabs>
          <w:tab w:val="clear" w:pos="1191"/>
        </w:tabs>
        <w:spacing w:line="276" w:lineRule="auto"/>
        <w:ind w:left="1985"/>
        <w:jc w:val="left"/>
      </w:pPr>
      <w:r w:rsidRPr="0095171D">
        <w:t>the matrix showing quantitative evidence of errors of omission and commission by vegetation class and evidence that the final vegetation map is at least 80% reliable</w:t>
      </w:r>
      <w:r w:rsidR="00017671">
        <w:t>;</w:t>
      </w:r>
    </w:p>
    <w:p w:rsidR="00F76053" w:rsidRPr="0095171D" w:rsidRDefault="002F1104" w:rsidP="00E46A9D">
      <w:pPr>
        <w:pStyle w:val="P1"/>
        <w:numPr>
          <w:ilvl w:val="4"/>
          <w:numId w:val="6"/>
        </w:numPr>
        <w:tabs>
          <w:tab w:val="clear" w:pos="1191"/>
        </w:tabs>
        <w:spacing w:line="276" w:lineRule="auto"/>
        <w:ind w:left="1418" w:hanging="567"/>
        <w:jc w:val="left"/>
      </w:pPr>
      <w:r w:rsidRPr="0095171D">
        <w:t>for a fire map sourced from NAFI, evidence of the source;</w:t>
      </w:r>
    </w:p>
    <w:p w:rsidR="00F76053" w:rsidRPr="0095171D" w:rsidRDefault="002F1104" w:rsidP="00E46A9D">
      <w:pPr>
        <w:pStyle w:val="P1"/>
        <w:numPr>
          <w:ilvl w:val="4"/>
          <w:numId w:val="6"/>
        </w:numPr>
        <w:tabs>
          <w:tab w:val="clear" w:pos="1191"/>
        </w:tabs>
        <w:spacing w:line="276" w:lineRule="auto"/>
        <w:ind w:left="1418" w:hanging="567"/>
        <w:jc w:val="left"/>
      </w:pPr>
      <w:r w:rsidRPr="0095171D">
        <w:t>for a fire map not sourced from NAFI:</w:t>
      </w:r>
    </w:p>
    <w:p w:rsidR="00F76053" w:rsidRPr="0095171D" w:rsidRDefault="002F1104" w:rsidP="00E46A9D">
      <w:pPr>
        <w:pStyle w:val="P1"/>
        <w:numPr>
          <w:ilvl w:val="5"/>
          <w:numId w:val="6"/>
        </w:numPr>
        <w:tabs>
          <w:tab w:val="clear" w:pos="1191"/>
        </w:tabs>
        <w:spacing w:line="276" w:lineRule="auto"/>
        <w:ind w:left="1985"/>
        <w:jc w:val="left"/>
      </w:pPr>
      <w:r w:rsidRPr="0095171D">
        <w:t>the registered greenhouse and energy auditor’s validation assessment report of the fire map;</w:t>
      </w:r>
    </w:p>
    <w:p w:rsidR="00F76053" w:rsidRPr="0095171D" w:rsidRDefault="002F1104" w:rsidP="00E46A9D">
      <w:pPr>
        <w:pStyle w:val="P1"/>
        <w:numPr>
          <w:ilvl w:val="5"/>
          <w:numId w:val="6"/>
        </w:numPr>
        <w:tabs>
          <w:tab w:val="clear" w:pos="1191"/>
        </w:tabs>
        <w:spacing w:line="276" w:lineRule="auto"/>
        <w:ind w:left="1985"/>
        <w:jc w:val="left"/>
      </w:pPr>
      <w:r w:rsidRPr="0095171D">
        <w:t>the data sources used for undertaking the validation assessment, including copies of all mapping and sampling products consulted and produced;</w:t>
      </w:r>
    </w:p>
    <w:p w:rsidR="00F76053" w:rsidRPr="0095171D" w:rsidRDefault="002F1104" w:rsidP="00E46A9D">
      <w:pPr>
        <w:pStyle w:val="P1"/>
        <w:numPr>
          <w:ilvl w:val="5"/>
          <w:numId w:val="6"/>
        </w:numPr>
        <w:tabs>
          <w:tab w:val="clear" w:pos="1191"/>
        </w:tabs>
        <w:spacing w:line="276" w:lineRule="auto"/>
        <w:ind w:left="1985"/>
        <w:jc w:val="left"/>
      </w:pPr>
      <w:r w:rsidRPr="0095171D">
        <w:t>all GIS maps depicting the position of all independent data waypoints collected;</w:t>
      </w:r>
    </w:p>
    <w:p w:rsidR="00F76053" w:rsidRPr="0095171D" w:rsidRDefault="002F1104" w:rsidP="00E46A9D">
      <w:pPr>
        <w:pStyle w:val="P1"/>
        <w:numPr>
          <w:ilvl w:val="5"/>
          <w:numId w:val="6"/>
        </w:numPr>
        <w:tabs>
          <w:tab w:val="clear" w:pos="1191"/>
        </w:tabs>
        <w:spacing w:line="276" w:lineRule="auto"/>
        <w:ind w:left="1985"/>
        <w:jc w:val="left"/>
      </w:pPr>
      <w:r w:rsidRPr="0095171D">
        <w:t xml:space="preserve">the GIS map that shows the intersection of the independent data waypoints and the </w:t>
      </w:r>
      <w:r w:rsidR="00F22C69">
        <w:t>seasonal</w:t>
      </w:r>
      <w:r w:rsidRPr="0095171D">
        <w:t xml:space="preserve"> fire maps;</w:t>
      </w:r>
      <w:r w:rsidR="00B675C1">
        <w:t xml:space="preserve"> </w:t>
      </w:r>
      <w:r w:rsidR="001A7F97">
        <w:t>and</w:t>
      </w:r>
    </w:p>
    <w:p w:rsidR="00F76053" w:rsidRPr="0095171D" w:rsidRDefault="002F1104" w:rsidP="00E46A9D">
      <w:pPr>
        <w:pStyle w:val="P1"/>
        <w:numPr>
          <w:ilvl w:val="5"/>
          <w:numId w:val="6"/>
        </w:numPr>
        <w:tabs>
          <w:tab w:val="clear" w:pos="1191"/>
        </w:tabs>
        <w:spacing w:line="276" w:lineRule="auto"/>
        <w:ind w:left="1985"/>
        <w:jc w:val="left"/>
      </w:pPr>
      <w:r w:rsidRPr="0095171D">
        <w:t>the matrix showing quantitative evidence of errors of omission and commission by vegetation class and evidence that the final vegetation map is at least 80% reliable;</w:t>
      </w:r>
    </w:p>
    <w:p w:rsidR="000923B4" w:rsidRPr="0095171D" w:rsidRDefault="002F1104" w:rsidP="00E46A9D">
      <w:pPr>
        <w:pStyle w:val="P1"/>
        <w:numPr>
          <w:ilvl w:val="4"/>
          <w:numId w:val="6"/>
        </w:numPr>
        <w:tabs>
          <w:tab w:val="clear" w:pos="1191"/>
        </w:tabs>
        <w:spacing w:line="276" w:lineRule="auto"/>
        <w:ind w:left="1418" w:hanging="567"/>
        <w:jc w:val="left"/>
        <w:rPr>
          <w:u w:val="single"/>
        </w:rPr>
      </w:pPr>
      <w:r w:rsidRPr="0095171D">
        <w:t>if the data collected by the registered greenhouse and energy auditor’s validation assessment has been used to increase the accuracy of a fire map, the original fire map and the adjusted fire map</w:t>
      </w:r>
      <w:r w:rsidR="00390148" w:rsidRPr="00390148">
        <w:t>;</w:t>
      </w:r>
    </w:p>
    <w:p w:rsidR="00F76053" w:rsidRPr="0095171D" w:rsidRDefault="002F1104" w:rsidP="00E46A9D">
      <w:pPr>
        <w:pStyle w:val="P1"/>
        <w:numPr>
          <w:ilvl w:val="4"/>
          <w:numId w:val="6"/>
        </w:numPr>
        <w:tabs>
          <w:tab w:val="clear" w:pos="1191"/>
        </w:tabs>
        <w:spacing w:line="276" w:lineRule="auto"/>
        <w:ind w:left="1418" w:hanging="567"/>
        <w:jc w:val="left"/>
      </w:pPr>
      <w:r w:rsidRPr="0095171D">
        <w:t>the results of all calculations specified in Part 3 in the tables specified in Form 1 at Schedule 2;</w:t>
      </w:r>
    </w:p>
    <w:p w:rsidR="00E50624" w:rsidRPr="0095171D" w:rsidRDefault="002F1104" w:rsidP="00E46A9D">
      <w:pPr>
        <w:pStyle w:val="P1"/>
        <w:numPr>
          <w:ilvl w:val="4"/>
          <w:numId w:val="6"/>
        </w:numPr>
        <w:tabs>
          <w:tab w:val="clear" w:pos="1191"/>
        </w:tabs>
        <w:spacing w:line="276" w:lineRule="auto"/>
        <w:ind w:left="1418" w:hanging="567"/>
        <w:jc w:val="left"/>
      </w:pPr>
      <w:r w:rsidRPr="0095171D">
        <w:t>records of early dry season burning activities undertaken, including location, timing and method;</w:t>
      </w:r>
      <w:r w:rsidR="00F22C69">
        <w:t xml:space="preserve"> and</w:t>
      </w:r>
    </w:p>
    <w:p w:rsidR="005250FE" w:rsidRPr="0095171D" w:rsidRDefault="002F1104" w:rsidP="00E46A9D">
      <w:pPr>
        <w:pStyle w:val="P1"/>
        <w:numPr>
          <w:ilvl w:val="4"/>
          <w:numId w:val="6"/>
        </w:numPr>
        <w:tabs>
          <w:tab w:val="clear" w:pos="1191"/>
        </w:tabs>
        <w:spacing w:line="276" w:lineRule="auto"/>
        <w:ind w:left="1418" w:hanging="567"/>
        <w:jc w:val="left"/>
      </w:pPr>
      <w:r w:rsidRPr="0095171D">
        <w:t>evidence of fuel use (including invoices and receipts</w:t>
      </w:r>
      <w:r w:rsidR="00216DFF">
        <w:t xml:space="preserve"> and</w:t>
      </w:r>
      <w:r w:rsidRPr="0095171D">
        <w:t>, in the case of helicopter use if fuel use receipts are not available, record of hours of flight)</w:t>
      </w:r>
      <w:r w:rsidR="00216DFF">
        <w:t>.</w:t>
      </w:r>
    </w:p>
    <w:p w:rsidR="00440A28" w:rsidRDefault="00440A28">
      <w:pPr>
        <w:rPr>
          <w:b/>
          <w:bCs/>
          <w:sz w:val="28"/>
          <w:szCs w:val="28"/>
        </w:rPr>
      </w:pPr>
      <w:bookmarkStart w:id="752" w:name="_Toc312251476"/>
      <w:bookmarkStart w:id="753" w:name="_Toc325039192"/>
      <w:r>
        <w:br w:type="page"/>
      </w:r>
    </w:p>
    <w:p w:rsidR="00A743B4" w:rsidRPr="0028057B" w:rsidRDefault="002F1104" w:rsidP="0028057B">
      <w:pPr>
        <w:pStyle w:val="Heading4"/>
      </w:pPr>
      <w:r w:rsidRPr="0028057B">
        <w:lastRenderedPageBreak/>
        <w:t>Division 4.3</w:t>
      </w:r>
      <w:r w:rsidRPr="0028057B">
        <w:tab/>
        <w:t>Offsets report requirements</w:t>
      </w:r>
      <w:bookmarkEnd w:id="752"/>
      <w:bookmarkEnd w:id="753"/>
    </w:p>
    <w:p w:rsidR="00A743B4" w:rsidRPr="0095171D" w:rsidRDefault="002F1104" w:rsidP="00BC708B">
      <w:pPr>
        <w:pStyle w:val="Heading3"/>
        <w:numPr>
          <w:ilvl w:val="1"/>
          <w:numId w:val="46"/>
        </w:numPr>
        <w:rPr>
          <w:rFonts w:ascii="Times New Roman" w:hAnsi="Times New Roman" w:cs="Times New Roman"/>
          <w:sz w:val="24"/>
          <w:szCs w:val="24"/>
        </w:rPr>
      </w:pPr>
      <w:bookmarkStart w:id="754" w:name="_Toc325039193"/>
      <w:r w:rsidRPr="0095171D">
        <w:rPr>
          <w:rFonts w:ascii="Times New Roman" w:hAnsi="Times New Roman" w:cs="Times New Roman"/>
          <w:sz w:val="24"/>
          <w:szCs w:val="24"/>
        </w:rPr>
        <w:t xml:space="preserve">Information that must be included in </w:t>
      </w:r>
      <w:r w:rsidR="00216DFF">
        <w:rPr>
          <w:rFonts w:ascii="Times New Roman" w:hAnsi="Times New Roman" w:cs="Times New Roman"/>
          <w:sz w:val="24"/>
          <w:szCs w:val="24"/>
        </w:rPr>
        <w:t xml:space="preserve">the </w:t>
      </w:r>
      <w:r w:rsidRPr="0095171D">
        <w:rPr>
          <w:rFonts w:ascii="Times New Roman" w:hAnsi="Times New Roman" w:cs="Times New Roman"/>
          <w:sz w:val="24"/>
          <w:szCs w:val="24"/>
        </w:rPr>
        <w:t>first offsets report</w:t>
      </w:r>
      <w:bookmarkEnd w:id="754"/>
    </w:p>
    <w:p w:rsidR="00C666D5" w:rsidRDefault="002F1104" w:rsidP="00B41C12">
      <w:pPr>
        <w:pStyle w:val="R1"/>
        <w:ind w:left="426" w:firstLine="0"/>
        <w:jc w:val="left"/>
      </w:pPr>
      <w:r w:rsidRPr="0095171D">
        <w:t>The following information is required to be included in the first offsets report for a project to which this Methodology Determination applies:</w:t>
      </w:r>
    </w:p>
    <w:p w:rsidR="00A743B4" w:rsidRPr="0095171D" w:rsidRDefault="002F1104" w:rsidP="00BC708B">
      <w:pPr>
        <w:pStyle w:val="P1"/>
        <w:numPr>
          <w:ilvl w:val="4"/>
          <w:numId w:val="59"/>
        </w:numPr>
        <w:tabs>
          <w:tab w:val="clear" w:pos="1191"/>
        </w:tabs>
        <w:spacing w:line="276" w:lineRule="auto"/>
        <w:ind w:left="1418" w:hanging="567"/>
        <w:jc w:val="left"/>
      </w:pPr>
      <w:r w:rsidRPr="0095171D">
        <w:t xml:space="preserve">the </w:t>
      </w:r>
      <w:r w:rsidR="00C03BB7">
        <w:t>CO</w:t>
      </w:r>
      <w:r w:rsidR="00C03BB7" w:rsidRPr="00C03BB7">
        <w:rPr>
          <w:vertAlign w:val="subscript"/>
        </w:rPr>
        <w:t>2</w:t>
      </w:r>
      <w:r w:rsidR="00C03BB7" w:rsidRPr="00C03BB7">
        <w:t>-e</w:t>
      </w:r>
      <w:r w:rsidRPr="0095171D">
        <w:t xml:space="preserve"> net abatement amount for the project;</w:t>
      </w:r>
    </w:p>
    <w:p w:rsidR="00CF1DA1" w:rsidRPr="0095171D" w:rsidRDefault="002F1104" w:rsidP="00BC708B">
      <w:pPr>
        <w:pStyle w:val="P1"/>
        <w:numPr>
          <w:ilvl w:val="4"/>
          <w:numId w:val="59"/>
        </w:numPr>
        <w:tabs>
          <w:tab w:val="clear" w:pos="1191"/>
        </w:tabs>
        <w:spacing w:line="276" w:lineRule="auto"/>
        <w:ind w:left="1418" w:hanging="567"/>
        <w:jc w:val="left"/>
      </w:pPr>
      <w:r w:rsidRPr="0095171D">
        <w:t>the validated vegetation map of the project area;</w:t>
      </w:r>
    </w:p>
    <w:p w:rsidR="00C81D2E" w:rsidRDefault="00017671" w:rsidP="00BC708B">
      <w:pPr>
        <w:pStyle w:val="P1"/>
        <w:numPr>
          <w:ilvl w:val="4"/>
          <w:numId w:val="59"/>
        </w:numPr>
        <w:tabs>
          <w:tab w:val="clear" w:pos="1191"/>
        </w:tabs>
        <w:spacing w:line="276" w:lineRule="auto"/>
        <w:ind w:left="1418" w:hanging="567"/>
        <w:jc w:val="left"/>
      </w:pPr>
      <w:r>
        <w:t>the</w:t>
      </w:r>
      <w:r w:rsidR="008F4A58">
        <w:t xml:space="preserve"> map described in paragraph</w:t>
      </w:r>
      <w:r w:rsidR="00C81D2E">
        <w:t xml:space="preserve"> 4.2</w:t>
      </w:r>
      <w:r w:rsidR="0004451F">
        <w:t xml:space="preserve"> </w:t>
      </w:r>
      <w:r w:rsidR="00C81D2E">
        <w:t>(b)</w:t>
      </w:r>
      <w:r w:rsidR="004D0609">
        <w:t>;</w:t>
      </w:r>
    </w:p>
    <w:p w:rsidR="00CF1DA1" w:rsidRPr="0095171D" w:rsidRDefault="002F1104" w:rsidP="00BC708B">
      <w:pPr>
        <w:pStyle w:val="P1"/>
        <w:numPr>
          <w:ilvl w:val="4"/>
          <w:numId w:val="59"/>
        </w:numPr>
        <w:tabs>
          <w:tab w:val="clear" w:pos="1191"/>
        </w:tabs>
        <w:spacing w:line="276" w:lineRule="auto"/>
        <w:ind w:left="1418" w:hanging="567"/>
        <w:jc w:val="left"/>
      </w:pPr>
      <w:r w:rsidRPr="0095171D">
        <w:t xml:space="preserve">a description of the early dry season burning, including the location, timing and method of prescribed burns; </w:t>
      </w:r>
    </w:p>
    <w:p w:rsidR="00CF1DA1" w:rsidRPr="0095171D" w:rsidRDefault="002F1104" w:rsidP="00BC708B">
      <w:pPr>
        <w:pStyle w:val="P1"/>
        <w:numPr>
          <w:ilvl w:val="4"/>
          <w:numId w:val="59"/>
        </w:numPr>
        <w:tabs>
          <w:tab w:val="clear" w:pos="1191"/>
        </w:tabs>
        <w:spacing w:line="276" w:lineRule="auto"/>
        <w:ind w:left="1418" w:hanging="567"/>
        <w:jc w:val="left"/>
      </w:pPr>
      <w:r w:rsidRPr="0095171D">
        <w:t xml:space="preserve">the seasonal fire maps </w:t>
      </w:r>
      <w:r w:rsidR="0093269D">
        <w:t>for</w:t>
      </w:r>
      <w:r w:rsidRPr="0095171D">
        <w:t xml:space="preserve"> the project area for the baseline period and the reporting period;</w:t>
      </w:r>
    </w:p>
    <w:p w:rsidR="00BE7C2E" w:rsidRPr="0095171D" w:rsidRDefault="002F1104" w:rsidP="00BC708B">
      <w:pPr>
        <w:pStyle w:val="P1"/>
        <w:numPr>
          <w:ilvl w:val="4"/>
          <w:numId w:val="59"/>
        </w:numPr>
        <w:tabs>
          <w:tab w:val="clear" w:pos="1191"/>
        </w:tabs>
        <w:spacing w:line="276" w:lineRule="auto"/>
        <w:ind w:left="1418" w:hanging="567"/>
        <w:jc w:val="left"/>
      </w:pPr>
      <w:r w:rsidRPr="0095171D">
        <w:t>for a fire map sourced from NAFI, evidence of the source;</w:t>
      </w:r>
    </w:p>
    <w:p w:rsidR="00BE7C2E" w:rsidRPr="0095171D" w:rsidRDefault="0051445F" w:rsidP="00BC708B">
      <w:pPr>
        <w:pStyle w:val="P1"/>
        <w:numPr>
          <w:ilvl w:val="4"/>
          <w:numId w:val="59"/>
        </w:numPr>
        <w:tabs>
          <w:tab w:val="clear" w:pos="1191"/>
        </w:tabs>
        <w:spacing w:line="276" w:lineRule="auto"/>
        <w:ind w:left="1418" w:hanging="567"/>
        <w:jc w:val="left"/>
      </w:pPr>
      <w:r w:rsidRPr="0095171D">
        <w:t>for fire maps not sourced from NAFI, the report of the registered greenhouse and energy auditor’s report relating to the validation of the early dry season and late dry season fire maps;</w:t>
      </w:r>
      <w:r w:rsidR="0093269D">
        <w:t xml:space="preserve"> and</w:t>
      </w:r>
    </w:p>
    <w:p w:rsidR="006A1CFD" w:rsidRPr="0095171D" w:rsidRDefault="0051445F" w:rsidP="00BC708B">
      <w:pPr>
        <w:pStyle w:val="P1"/>
        <w:numPr>
          <w:ilvl w:val="4"/>
          <w:numId w:val="59"/>
        </w:numPr>
        <w:tabs>
          <w:tab w:val="clear" w:pos="1191"/>
        </w:tabs>
        <w:spacing w:line="276" w:lineRule="auto"/>
        <w:ind w:left="1418" w:hanging="567"/>
        <w:jc w:val="left"/>
      </w:pPr>
      <w:r w:rsidRPr="0095171D">
        <w:t xml:space="preserve">the results of the calculations and other information </w:t>
      </w:r>
      <w:r w:rsidR="009A2A47">
        <w:t xml:space="preserve">given in </w:t>
      </w:r>
      <w:r w:rsidR="00B0547F" w:rsidRPr="00B0547F">
        <w:t>Form 2 of Schedule 2.</w:t>
      </w:r>
    </w:p>
    <w:p w:rsidR="00ED5E0F" w:rsidRPr="0095171D" w:rsidRDefault="00B0547F" w:rsidP="00BC708B">
      <w:pPr>
        <w:pStyle w:val="Heading3"/>
        <w:numPr>
          <w:ilvl w:val="1"/>
          <w:numId w:val="46"/>
        </w:numPr>
        <w:rPr>
          <w:rFonts w:ascii="Times New Roman" w:hAnsi="Times New Roman" w:cs="Times New Roman"/>
          <w:sz w:val="24"/>
          <w:szCs w:val="24"/>
        </w:rPr>
      </w:pPr>
      <w:bookmarkStart w:id="755" w:name="_Toc325039194"/>
      <w:r w:rsidRPr="00B0547F">
        <w:rPr>
          <w:rFonts w:ascii="Times New Roman" w:hAnsi="Times New Roman" w:cs="Times New Roman"/>
          <w:sz w:val="24"/>
          <w:szCs w:val="24"/>
        </w:rPr>
        <w:t>Subsequent reporting periods</w:t>
      </w:r>
      <w:bookmarkEnd w:id="755"/>
      <w:r w:rsidRPr="00B0547F">
        <w:rPr>
          <w:rFonts w:ascii="Times New Roman" w:hAnsi="Times New Roman" w:cs="Times New Roman"/>
          <w:sz w:val="24"/>
          <w:szCs w:val="24"/>
        </w:rPr>
        <w:t xml:space="preserve"> </w:t>
      </w:r>
    </w:p>
    <w:p w:rsidR="00C666D5" w:rsidRDefault="00B0547F" w:rsidP="00B41C12">
      <w:pPr>
        <w:pStyle w:val="R1"/>
        <w:ind w:left="426" w:firstLine="0"/>
        <w:jc w:val="left"/>
      </w:pPr>
      <w:r w:rsidRPr="00B0547F">
        <w:t>The following information is required to be included in the second and subsequent offsets reports:</w:t>
      </w:r>
    </w:p>
    <w:p w:rsidR="00ED5E0F" w:rsidRPr="0095171D" w:rsidRDefault="00724584" w:rsidP="00BC708B">
      <w:pPr>
        <w:pStyle w:val="P1"/>
        <w:numPr>
          <w:ilvl w:val="4"/>
          <w:numId w:val="60"/>
        </w:numPr>
        <w:tabs>
          <w:tab w:val="clear" w:pos="1191"/>
        </w:tabs>
        <w:spacing w:line="276" w:lineRule="auto"/>
        <w:ind w:left="1418" w:hanging="567"/>
        <w:jc w:val="left"/>
      </w:pPr>
      <w:r>
        <w:t>t</w:t>
      </w:r>
      <w:r w:rsidR="006012EA">
        <w:t xml:space="preserve">he </w:t>
      </w:r>
      <w:r w:rsidR="00C03BB7">
        <w:t>CO</w:t>
      </w:r>
      <w:r w:rsidR="00C03BB7" w:rsidRPr="00C03BB7">
        <w:rPr>
          <w:vertAlign w:val="subscript"/>
        </w:rPr>
        <w:t>2</w:t>
      </w:r>
      <w:r w:rsidR="00C03BB7" w:rsidRPr="00C03BB7">
        <w:t>-e</w:t>
      </w:r>
      <w:r w:rsidR="00B0547F" w:rsidRPr="00B0547F">
        <w:t xml:space="preserve"> net abatement amount for the project;</w:t>
      </w:r>
    </w:p>
    <w:p w:rsidR="00110803" w:rsidRPr="0095171D" w:rsidRDefault="00B0547F" w:rsidP="00BC708B">
      <w:pPr>
        <w:pStyle w:val="P1"/>
        <w:numPr>
          <w:ilvl w:val="4"/>
          <w:numId w:val="60"/>
        </w:numPr>
        <w:tabs>
          <w:tab w:val="clear" w:pos="1191"/>
        </w:tabs>
        <w:spacing w:line="276" w:lineRule="auto"/>
        <w:ind w:left="1418" w:hanging="567"/>
        <w:jc w:val="left"/>
      </w:pPr>
      <w:r w:rsidRPr="00B0547F">
        <w:t>a description of the early dry season burning regime, including the location, timing and method of prescri</w:t>
      </w:r>
      <w:r w:rsidR="001A7F4E">
        <w:t>bed burns;</w:t>
      </w:r>
      <w:r w:rsidRPr="00B0547F">
        <w:t xml:space="preserve"> </w:t>
      </w:r>
    </w:p>
    <w:p w:rsidR="0010183E" w:rsidRDefault="00B0547F">
      <w:pPr>
        <w:pStyle w:val="P1"/>
        <w:numPr>
          <w:ilvl w:val="4"/>
          <w:numId w:val="60"/>
        </w:numPr>
        <w:tabs>
          <w:tab w:val="clear" w:pos="1191"/>
        </w:tabs>
        <w:spacing w:line="276" w:lineRule="auto"/>
        <w:ind w:left="1418" w:hanging="567"/>
        <w:jc w:val="left"/>
      </w:pPr>
      <w:r w:rsidRPr="00B0547F">
        <w:t>the early dry season fire maps of the project area for the years in the reporting period;</w:t>
      </w:r>
    </w:p>
    <w:p w:rsidR="0010183E" w:rsidRDefault="00B0547F">
      <w:pPr>
        <w:pStyle w:val="P1"/>
        <w:numPr>
          <w:ilvl w:val="4"/>
          <w:numId w:val="60"/>
        </w:numPr>
        <w:tabs>
          <w:tab w:val="clear" w:pos="1191"/>
        </w:tabs>
        <w:spacing w:line="276" w:lineRule="auto"/>
        <w:ind w:left="1418" w:hanging="567"/>
        <w:jc w:val="left"/>
      </w:pPr>
      <w:r w:rsidRPr="00B0547F">
        <w:t xml:space="preserve">the late dry season fire maps of the project area for the years in the reporting period; </w:t>
      </w:r>
    </w:p>
    <w:p w:rsidR="0010183E" w:rsidRDefault="00101CAB">
      <w:pPr>
        <w:pStyle w:val="P1"/>
        <w:numPr>
          <w:ilvl w:val="4"/>
          <w:numId w:val="60"/>
        </w:numPr>
        <w:tabs>
          <w:tab w:val="clear" w:pos="1191"/>
        </w:tabs>
        <w:spacing w:line="276" w:lineRule="auto"/>
        <w:ind w:left="1418" w:hanging="567"/>
        <w:jc w:val="left"/>
      </w:pPr>
      <w:r>
        <w:t>f</w:t>
      </w:r>
      <w:r w:rsidR="00B0547F" w:rsidRPr="00B0547F">
        <w:t>or a fire map sourced from NAFI, evidence of the source;</w:t>
      </w:r>
    </w:p>
    <w:p w:rsidR="0010183E" w:rsidRDefault="00B0547F">
      <w:pPr>
        <w:pStyle w:val="P1"/>
        <w:numPr>
          <w:ilvl w:val="4"/>
          <w:numId w:val="60"/>
        </w:numPr>
        <w:tabs>
          <w:tab w:val="clear" w:pos="1191"/>
        </w:tabs>
        <w:spacing w:line="276" w:lineRule="auto"/>
        <w:ind w:left="1418" w:hanging="567"/>
        <w:jc w:val="left"/>
      </w:pPr>
      <w:r w:rsidRPr="00B0547F">
        <w:t>for fire maps not sourced from NAFI, the report of the registered greenhouse and energy auditor’s report relating to the validation of the early dry season and late dry season fire maps;</w:t>
      </w:r>
      <w:r w:rsidR="00C232C6">
        <w:t xml:space="preserve"> and</w:t>
      </w:r>
    </w:p>
    <w:p w:rsidR="0010183E" w:rsidRDefault="00724584">
      <w:pPr>
        <w:pStyle w:val="P1"/>
        <w:numPr>
          <w:ilvl w:val="4"/>
          <w:numId w:val="60"/>
        </w:numPr>
        <w:tabs>
          <w:tab w:val="clear" w:pos="1191"/>
        </w:tabs>
        <w:spacing w:line="276" w:lineRule="auto"/>
        <w:ind w:left="1418" w:hanging="567"/>
        <w:jc w:val="left"/>
      </w:pPr>
      <w:r>
        <w:t>t</w:t>
      </w:r>
      <w:r w:rsidR="00B0547F" w:rsidRPr="00B0547F">
        <w:t xml:space="preserve">he results of the calculations and other information </w:t>
      </w:r>
      <w:r w:rsidR="00101CAB">
        <w:t xml:space="preserve">given in </w:t>
      </w:r>
      <w:r w:rsidR="00B0547F" w:rsidRPr="00B0547F">
        <w:t xml:space="preserve">Form 2 </w:t>
      </w:r>
      <w:r w:rsidR="00101CAB">
        <w:t>of</w:t>
      </w:r>
      <w:r w:rsidR="00B0547F" w:rsidRPr="00B0547F">
        <w:t xml:space="preserve"> Schedule 2.</w:t>
      </w:r>
    </w:p>
    <w:p w:rsidR="00FC10B1" w:rsidRPr="0095171D" w:rsidRDefault="002F1104" w:rsidP="009E4474">
      <w:pPr>
        <w:pStyle w:val="NoteEnd"/>
        <w:keepNext/>
        <w:pBdr>
          <w:top w:val="single" w:sz="4" w:space="3" w:color="auto"/>
        </w:pBdr>
        <w:spacing w:before="480"/>
        <w:ind w:left="0" w:firstLine="0"/>
        <w:rPr>
          <w:b/>
          <w:sz w:val="24"/>
        </w:rPr>
      </w:pPr>
      <w:r w:rsidRPr="0095171D">
        <w:rPr>
          <w:b/>
          <w:sz w:val="24"/>
        </w:rPr>
        <w:lastRenderedPageBreak/>
        <w:t>Note</w:t>
      </w:r>
    </w:p>
    <w:p w:rsidR="00FC10B1" w:rsidRPr="0095171D" w:rsidRDefault="002F1104" w:rsidP="009207F7">
      <w:pPr>
        <w:pStyle w:val="NoteEnd"/>
        <w:rPr>
          <w:color w:val="000000"/>
        </w:rPr>
      </w:pPr>
      <w:r w:rsidRPr="0095171D">
        <w:rPr>
          <w:color w:val="000000"/>
        </w:rPr>
        <w:t>1.</w:t>
      </w:r>
      <w:r w:rsidRPr="0095171D">
        <w:rPr>
          <w:color w:val="000000"/>
        </w:rPr>
        <w:tab/>
        <w:t xml:space="preserve">All legislative instruments and compilations are registered on the Federal Register of Legislative Instruments kept under the </w:t>
      </w:r>
      <w:r w:rsidRPr="0095171D">
        <w:rPr>
          <w:i/>
          <w:color w:val="000000"/>
        </w:rPr>
        <w:t xml:space="preserve">Legislative Instruments Act 2003. </w:t>
      </w:r>
      <w:r w:rsidRPr="0095171D">
        <w:rPr>
          <w:color w:val="000000"/>
        </w:rPr>
        <w:t xml:space="preserve">See </w:t>
      </w:r>
      <w:r w:rsidRPr="0095171D">
        <w:rPr>
          <w:color w:val="000000"/>
          <w:u w:val="single"/>
        </w:rPr>
        <w:t>www.frli.gov.au</w:t>
      </w:r>
      <w:r w:rsidRPr="0095171D">
        <w:rPr>
          <w:color w:val="000000"/>
        </w:rPr>
        <w:t>.</w:t>
      </w:r>
    </w:p>
    <w:p w:rsidR="00FC10B1" w:rsidRPr="0095171D" w:rsidRDefault="00FC10B1" w:rsidP="009207F7">
      <w:pPr>
        <w:pStyle w:val="NotesSectionBreak"/>
        <w:sectPr w:rsidR="00FC10B1" w:rsidRPr="0095171D">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09" w:footer="709" w:gutter="0"/>
          <w:cols w:space="708"/>
          <w:docGrid w:linePitch="360"/>
        </w:sectPr>
      </w:pPr>
    </w:p>
    <w:p w:rsidR="00C6661B" w:rsidRPr="0095171D" w:rsidRDefault="002F1104">
      <w:r w:rsidRPr="0095171D">
        <w:lastRenderedPageBreak/>
        <w:br w:type="page"/>
      </w:r>
    </w:p>
    <w:p w:rsidR="00B0547F" w:rsidRPr="00B0547F" w:rsidRDefault="00B0547F" w:rsidP="00B0547F">
      <w:pPr>
        <w:pStyle w:val="Heading1"/>
        <w:rPr>
          <w:b w:val="0"/>
        </w:rPr>
      </w:pPr>
      <w:bookmarkStart w:id="756" w:name="_Toc325039195"/>
      <w:r w:rsidRPr="00B0547F">
        <w:rPr>
          <w:rFonts w:ascii="Times New Roman" w:hAnsi="Times New Roman" w:cs="Times New Roman"/>
        </w:rPr>
        <w:lastRenderedPageBreak/>
        <w:t>Schedule 1</w:t>
      </w:r>
      <w:bookmarkEnd w:id="756"/>
    </w:p>
    <w:p w:rsidR="00C666D5" w:rsidRDefault="00C666D5">
      <w:pPr>
        <w:pStyle w:val="HR"/>
        <w:spacing w:before="0"/>
        <w:rPr>
          <w:rStyle w:val="CharSectno"/>
          <w:rFonts w:ascii="Times New Roman" w:hAnsi="Times New Roman"/>
          <w:b w:val="0"/>
        </w:rPr>
      </w:pPr>
      <w:bookmarkStart w:id="757" w:name="_Toc325039196"/>
    </w:p>
    <w:p w:rsidR="00C666D5" w:rsidRDefault="00430335">
      <w:pPr>
        <w:pStyle w:val="HR"/>
        <w:spacing w:before="0"/>
        <w:rPr>
          <w:rStyle w:val="CharSectno"/>
          <w:rFonts w:ascii="Times New Roman" w:hAnsi="Times New Roman"/>
        </w:rPr>
      </w:pPr>
      <w:r w:rsidRPr="00430335">
        <w:rPr>
          <w:rStyle w:val="CharSectno"/>
          <w:rFonts w:ascii="Times New Roman" w:hAnsi="Times New Roman"/>
        </w:rPr>
        <w:t>Vegetation classes</w:t>
      </w:r>
      <w:bookmarkEnd w:id="757"/>
    </w:p>
    <w:p w:rsidR="00C666D5" w:rsidRDefault="00C666D5">
      <w:pPr>
        <w:pStyle w:val="R2"/>
        <w:spacing w:before="0"/>
        <w:ind w:left="851" w:firstLine="0"/>
        <w:jc w:val="left"/>
        <w:rPr>
          <w:b/>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8"/>
        <w:gridCol w:w="916"/>
        <w:gridCol w:w="878"/>
        <w:gridCol w:w="1477"/>
        <w:gridCol w:w="1250"/>
        <w:gridCol w:w="1350"/>
        <w:gridCol w:w="1570"/>
      </w:tblGrid>
      <w:tr w:rsidR="00765208" w:rsidRPr="0095171D">
        <w:tc>
          <w:tcPr>
            <w:tcW w:w="1131" w:type="dxa"/>
          </w:tcPr>
          <w:p w:rsidR="007465E1" w:rsidRDefault="002F1104">
            <w:pPr>
              <w:pStyle w:val="NoSpacing"/>
              <w:rPr>
                <w:b/>
                <w:sz w:val="20"/>
              </w:rPr>
            </w:pPr>
            <w:r w:rsidRPr="0095171D">
              <w:rPr>
                <w:b/>
                <w:sz w:val="20"/>
              </w:rPr>
              <w:t>Vegetation class</w:t>
            </w:r>
          </w:p>
        </w:tc>
        <w:tc>
          <w:tcPr>
            <w:tcW w:w="909" w:type="dxa"/>
          </w:tcPr>
          <w:p w:rsidR="007465E1" w:rsidRDefault="002F1104">
            <w:pPr>
              <w:pStyle w:val="NoSpacing"/>
              <w:jc w:val="center"/>
              <w:rPr>
                <w:b/>
                <w:sz w:val="20"/>
              </w:rPr>
            </w:pPr>
            <w:r w:rsidRPr="0095171D">
              <w:rPr>
                <w:b/>
                <w:sz w:val="20"/>
              </w:rPr>
              <w:t>Canopy Height (m)</w:t>
            </w:r>
          </w:p>
        </w:tc>
        <w:tc>
          <w:tcPr>
            <w:tcW w:w="878" w:type="dxa"/>
          </w:tcPr>
          <w:p w:rsidR="007465E1" w:rsidRDefault="002F1104">
            <w:pPr>
              <w:pStyle w:val="NoSpacing"/>
              <w:jc w:val="center"/>
              <w:rPr>
                <w:b/>
                <w:sz w:val="20"/>
              </w:rPr>
            </w:pPr>
            <w:r w:rsidRPr="0095171D">
              <w:rPr>
                <w:b/>
                <w:sz w:val="20"/>
              </w:rPr>
              <w:t xml:space="preserve">Foliage </w:t>
            </w:r>
          </w:p>
          <w:p w:rsidR="007465E1" w:rsidRDefault="002F1104">
            <w:pPr>
              <w:pStyle w:val="NoSpacing"/>
              <w:jc w:val="center"/>
              <w:rPr>
                <w:b/>
                <w:sz w:val="20"/>
              </w:rPr>
            </w:pPr>
            <w:r w:rsidRPr="0095171D">
              <w:rPr>
                <w:b/>
                <w:sz w:val="20"/>
              </w:rPr>
              <w:t>cover</w:t>
            </w:r>
          </w:p>
          <w:p w:rsidR="007465E1" w:rsidRDefault="002F1104">
            <w:pPr>
              <w:pStyle w:val="NoSpacing"/>
              <w:jc w:val="center"/>
              <w:rPr>
                <w:b/>
                <w:sz w:val="20"/>
              </w:rPr>
            </w:pPr>
            <w:r w:rsidRPr="0095171D">
              <w:rPr>
                <w:b/>
                <w:sz w:val="20"/>
              </w:rPr>
              <w:t>(%)</w:t>
            </w:r>
          </w:p>
        </w:tc>
        <w:tc>
          <w:tcPr>
            <w:tcW w:w="4041" w:type="dxa"/>
            <w:gridSpan w:val="3"/>
          </w:tcPr>
          <w:p w:rsidR="007465E1" w:rsidRDefault="002F1104">
            <w:pPr>
              <w:pStyle w:val="NoSpacing"/>
              <w:jc w:val="center"/>
              <w:rPr>
                <w:b/>
                <w:sz w:val="20"/>
              </w:rPr>
            </w:pPr>
            <w:r w:rsidRPr="0095171D">
              <w:rPr>
                <w:b/>
                <w:sz w:val="20"/>
              </w:rPr>
              <w:t>Characteristic species</w:t>
            </w:r>
          </w:p>
        </w:tc>
        <w:tc>
          <w:tcPr>
            <w:tcW w:w="1570" w:type="dxa"/>
          </w:tcPr>
          <w:p w:rsidR="007465E1" w:rsidRDefault="002F1104">
            <w:pPr>
              <w:pStyle w:val="NoSpacing"/>
              <w:jc w:val="center"/>
              <w:rPr>
                <w:b/>
                <w:sz w:val="20"/>
              </w:rPr>
            </w:pPr>
            <w:r w:rsidRPr="0095171D">
              <w:rPr>
                <w:b/>
                <w:sz w:val="20"/>
              </w:rPr>
              <w:t>Characteristic substrates</w:t>
            </w:r>
          </w:p>
        </w:tc>
      </w:tr>
      <w:tr w:rsidR="00765208" w:rsidRPr="0095171D">
        <w:tc>
          <w:tcPr>
            <w:tcW w:w="1131" w:type="dxa"/>
          </w:tcPr>
          <w:p w:rsidR="00765208" w:rsidRPr="0095171D" w:rsidRDefault="00765208" w:rsidP="004B7B58">
            <w:pPr>
              <w:pStyle w:val="NoSpacing"/>
              <w:rPr>
                <w:b/>
                <w:sz w:val="20"/>
              </w:rPr>
            </w:pPr>
          </w:p>
        </w:tc>
        <w:tc>
          <w:tcPr>
            <w:tcW w:w="909" w:type="dxa"/>
          </w:tcPr>
          <w:p w:rsidR="00765208" w:rsidRPr="0095171D" w:rsidRDefault="00765208" w:rsidP="004B7B58">
            <w:pPr>
              <w:pStyle w:val="NoSpacing"/>
              <w:jc w:val="center"/>
              <w:rPr>
                <w:sz w:val="20"/>
              </w:rPr>
            </w:pPr>
          </w:p>
        </w:tc>
        <w:tc>
          <w:tcPr>
            <w:tcW w:w="878" w:type="dxa"/>
          </w:tcPr>
          <w:p w:rsidR="00765208" w:rsidRPr="0095171D" w:rsidRDefault="00765208" w:rsidP="004B7B58">
            <w:pPr>
              <w:pStyle w:val="NoSpacing"/>
              <w:jc w:val="center"/>
              <w:rPr>
                <w:sz w:val="20"/>
              </w:rPr>
            </w:pPr>
          </w:p>
        </w:tc>
        <w:tc>
          <w:tcPr>
            <w:tcW w:w="1470" w:type="dxa"/>
          </w:tcPr>
          <w:p w:rsidR="00765208" w:rsidRPr="0095171D" w:rsidRDefault="002F1104" w:rsidP="004B7B58">
            <w:pPr>
              <w:pStyle w:val="NoSpacing"/>
              <w:jc w:val="center"/>
              <w:rPr>
                <w:b/>
                <w:i/>
                <w:sz w:val="20"/>
              </w:rPr>
            </w:pPr>
            <w:r w:rsidRPr="0095171D">
              <w:rPr>
                <w:b/>
                <w:i/>
                <w:sz w:val="20"/>
              </w:rPr>
              <w:t>Canopy trees</w:t>
            </w:r>
          </w:p>
        </w:tc>
        <w:tc>
          <w:tcPr>
            <w:tcW w:w="1240" w:type="dxa"/>
          </w:tcPr>
          <w:p w:rsidR="00765208" w:rsidRPr="0095171D" w:rsidRDefault="002F1104" w:rsidP="004B7B58">
            <w:pPr>
              <w:pStyle w:val="NoSpacing"/>
              <w:jc w:val="center"/>
              <w:rPr>
                <w:b/>
                <w:i/>
                <w:sz w:val="20"/>
              </w:rPr>
            </w:pPr>
            <w:r w:rsidRPr="0095171D">
              <w:rPr>
                <w:b/>
                <w:i/>
                <w:sz w:val="20"/>
              </w:rPr>
              <w:t>Shrubs</w:t>
            </w:r>
          </w:p>
        </w:tc>
        <w:tc>
          <w:tcPr>
            <w:tcW w:w="1331" w:type="dxa"/>
          </w:tcPr>
          <w:p w:rsidR="00765208" w:rsidRPr="0095171D" w:rsidRDefault="002F1104" w:rsidP="004B7B58">
            <w:pPr>
              <w:pStyle w:val="NoSpacing"/>
              <w:jc w:val="center"/>
              <w:rPr>
                <w:b/>
                <w:i/>
                <w:sz w:val="20"/>
              </w:rPr>
            </w:pPr>
            <w:r w:rsidRPr="0095171D">
              <w:rPr>
                <w:b/>
                <w:i/>
                <w:sz w:val="20"/>
              </w:rPr>
              <w:t>Grasses</w:t>
            </w:r>
          </w:p>
        </w:tc>
        <w:tc>
          <w:tcPr>
            <w:tcW w:w="1570" w:type="dxa"/>
          </w:tcPr>
          <w:p w:rsidR="00765208" w:rsidRPr="0095171D" w:rsidRDefault="00765208" w:rsidP="004B7B58">
            <w:pPr>
              <w:pStyle w:val="NoSpacing"/>
              <w:jc w:val="center"/>
              <w:rPr>
                <w:sz w:val="20"/>
              </w:rPr>
            </w:pPr>
          </w:p>
        </w:tc>
      </w:tr>
      <w:tr w:rsidR="00765208" w:rsidRPr="0095171D">
        <w:tc>
          <w:tcPr>
            <w:tcW w:w="1131" w:type="dxa"/>
          </w:tcPr>
          <w:p w:rsidR="00765208" w:rsidRPr="0095171D" w:rsidRDefault="00CE1B39" w:rsidP="004B7B58">
            <w:pPr>
              <w:pStyle w:val="NoSpacing"/>
              <w:rPr>
                <w:b/>
                <w:sz w:val="20"/>
              </w:rPr>
            </w:pPr>
            <w:r w:rsidRPr="0095171D">
              <w:rPr>
                <w:b/>
                <w:sz w:val="20"/>
              </w:rPr>
              <w:t>EOF</w:t>
            </w:r>
          </w:p>
        </w:tc>
        <w:tc>
          <w:tcPr>
            <w:tcW w:w="909" w:type="dxa"/>
          </w:tcPr>
          <w:p w:rsidR="00765208" w:rsidRPr="0095171D" w:rsidRDefault="002F1104" w:rsidP="004B7B58">
            <w:pPr>
              <w:pStyle w:val="NoSpacing"/>
              <w:jc w:val="center"/>
              <w:rPr>
                <w:sz w:val="20"/>
              </w:rPr>
            </w:pPr>
            <w:r w:rsidRPr="0095171D">
              <w:rPr>
                <w:sz w:val="20"/>
              </w:rPr>
              <w:t>Majority</w:t>
            </w:r>
          </w:p>
          <w:p w:rsidR="00765208" w:rsidRPr="0095171D" w:rsidRDefault="002F1104" w:rsidP="004B7B58">
            <w:pPr>
              <w:pStyle w:val="NoSpacing"/>
              <w:jc w:val="center"/>
              <w:rPr>
                <w:sz w:val="20"/>
              </w:rPr>
            </w:pPr>
            <w:r w:rsidRPr="0095171D">
              <w:rPr>
                <w:sz w:val="20"/>
              </w:rPr>
              <w:t xml:space="preserve"> &gt;15</w:t>
            </w:r>
          </w:p>
        </w:tc>
        <w:tc>
          <w:tcPr>
            <w:tcW w:w="878" w:type="dxa"/>
          </w:tcPr>
          <w:p w:rsidR="00765208" w:rsidRPr="0095171D" w:rsidRDefault="002F1104" w:rsidP="004B7B58">
            <w:pPr>
              <w:pStyle w:val="NoSpacing"/>
              <w:jc w:val="center"/>
              <w:rPr>
                <w:sz w:val="20"/>
              </w:rPr>
            </w:pPr>
            <w:r w:rsidRPr="0095171D">
              <w:rPr>
                <w:sz w:val="20"/>
              </w:rPr>
              <w:t>30-70</w:t>
            </w:r>
          </w:p>
          <w:p w:rsidR="00765208" w:rsidRPr="0095171D" w:rsidRDefault="002F1104" w:rsidP="004B7B58">
            <w:pPr>
              <w:pStyle w:val="NoSpacing"/>
              <w:jc w:val="center"/>
              <w:rPr>
                <w:sz w:val="20"/>
              </w:rPr>
            </w:pPr>
            <w:r w:rsidRPr="0095171D">
              <w:rPr>
                <w:sz w:val="20"/>
              </w:rPr>
              <w:t>(trees)</w:t>
            </w:r>
          </w:p>
        </w:tc>
        <w:tc>
          <w:tcPr>
            <w:tcW w:w="1470" w:type="dxa"/>
          </w:tcPr>
          <w:p w:rsidR="00765208" w:rsidRPr="0095171D" w:rsidRDefault="002F1104" w:rsidP="006012EA">
            <w:pPr>
              <w:pStyle w:val="NoSpacing"/>
              <w:rPr>
                <w:sz w:val="20"/>
                <w:lang w:val="pt-BR"/>
              </w:rPr>
            </w:pPr>
            <w:r w:rsidRPr="0095171D">
              <w:rPr>
                <w:sz w:val="20"/>
                <w:lang w:val="pt-BR"/>
              </w:rPr>
              <w:t xml:space="preserve">Tall eucalypts (e.g. </w:t>
            </w:r>
            <w:r w:rsidRPr="0095171D">
              <w:rPr>
                <w:i/>
                <w:sz w:val="20"/>
                <w:lang w:val="pt-BR"/>
              </w:rPr>
              <w:t>E</w:t>
            </w:r>
            <w:r w:rsidR="006012EA">
              <w:rPr>
                <w:i/>
                <w:sz w:val="20"/>
                <w:lang w:val="pt-BR"/>
              </w:rPr>
              <w:t>ucal</w:t>
            </w:r>
            <w:r w:rsidR="00017671">
              <w:rPr>
                <w:i/>
                <w:sz w:val="20"/>
                <w:lang w:val="pt-BR"/>
              </w:rPr>
              <w:t>y</w:t>
            </w:r>
            <w:r w:rsidR="006012EA">
              <w:rPr>
                <w:i/>
                <w:sz w:val="20"/>
                <w:lang w:val="pt-BR"/>
              </w:rPr>
              <w:t>ptus</w:t>
            </w:r>
            <w:r w:rsidR="006012EA" w:rsidRPr="0095171D">
              <w:rPr>
                <w:i/>
                <w:sz w:val="20"/>
                <w:lang w:val="pt-BR"/>
              </w:rPr>
              <w:t xml:space="preserve"> </w:t>
            </w:r>
            <w:r w:rsidRPr="0095171D">
              <w:rPr>
                <w:i/>
                <w:sz w:val="20"/>
                <w:lang w:val="pt-BR"/>
              </w:rPr>
              <w:t>tetrodonta</w:t>
            </w:r>
            <w:r w:rsidRPr="0095171D">
              <w:rPr>
                <w:sz w:val="20"/>
                <w:lang w:val="pt-BR"/>
              </w:rPr>
              <w:t xml:space="preserve">, </w:t>
            </w:r>
            <w:r w:rsidRPr="0095171D">
              <w:rPr>
                <w:i/>
                <w:sz w:val="20"/>
                <w:lang w:val="pt-BR"/>
              </w:rPr>
              <w:t>E. miniata</w:t>
            </w:r>
            <w:r w:rsidRPr="0095171D">
              <w:rPr>
                <w:sz w:val="20"/>
                <w:lang w:val="pt-BR"/>
              </w:rPr>
              <w:t xml:space="preserve">, </w:t>
            </w:r>
            <w:r w:rsidRPr="0095171D">
              <w:rPr>
                <w:i/>
                <w:sz w:val="20"/>
                <w:lang w:val="pt-BR"/>
              </w:rPr>
              <w:t>Corymbia nesophila</w:t>
            </w:r>
            <w:r w:rsidRPr="0095171D">
              <w:rPr>
                <w:sz w:val="20"/>
                <w:lang w:val="pt-BR"/>
              </w:rPr>
              <w:t>)</w:t>
            </w:r>
          </w:p>
        </w:tc>
        <w:tc>
          <w:tcPr>
            <w:tcW w:w="1240" w:type="dxa"/>
          </w:tcPr>
          <w:p w:rsidR="00765208" w:rsidRPr="0095171D" w:rsidRDefault="002F1104" w:rsidP="004B7B58">
            <w:pPr>
              <w:pStyle w:val="NoSpacing"/>
              <w:rPr>
                <w:sz w:val="20"/>
              </w:rPr>
            </w:pPr>
            <w:r w:rsidRPr="0095171D">
              <w:rPr>
                <w:sz w:val="20"/>
              </w:rPr>
              <w:t xml:space="preserve">Various—well developed shrub layer may / </w:t>
            </w:r>
            <w:r w:rsidR="0041457B">
              <w:rPr>
                <w:sz w:val="20"/>
              </w:rPr>
              <w:t xml:space="preserve">may </w:t>
            </w:r>
            <w:r w:rsidRPr="0095171D">
              <w:rPr>
                <w:sz w:val="20"/>
              </w:rPr>
              <w:t>not be present</w:t>
            </w:r>
          </w:p>
        </w:tc>
        <w:tc>
          <w:tcPr>
            <w:tcW w:w="1331" w:type="dxa"/>
          </w:tcPr>
          <w:p w:rsidR="00765208" w:rsidRPr="0095171D" w:rsidRDefault="002F1104" w:rsidP="004B7B58">
            <w:pPr>
              <w:pStyle w:val="NoSpacing"/>
              <w:rPr>
                <w:sz w:val="20"/>
              </w:rPr>
            </w:pPr>
            <w:r w:rsidRPr="0095171D">
              <w:rPr>
                <w:sz w:val="20"/>
              </w:rPr>
              <w:t>Native perennial and annual tussock grasses</w:t>
            </w:r>
          </w:p>
        </w:tc>
        <w:tc>
          <w:tcPr>
            <w:tcW w:w="1570" w:type="dxa"/>
          </w:tcPr>
          <w:p w:rsidR="00765208" w:rsidRPr="0095171D" w:rsidRDefault="002F1104" w:rsidP="004B7B58">
            <w:pPr>
              <w:pStyle w:val="NoSpacing"/>
              <w:rPr>
                <w:sz w:val="20"/>
              </w:rPr>
            </w:pPr>
            <w:r w:rsidRPr="0095171D">
              <w:rPr>
                <w:sz w:val="20"/>
              </w:rPr>
              <w:t>Well drained deep soils, often sandy loams</w:t>
            </w:r>
          </w:p>
        </w:tc>
      </w:tr>
      <w:tr w:rsidR="00765208" w:rsidRPr="0095171D">
        <w:tc>
          <w:tcPr>
            <w:tcW w:w="1131" w:type="dxa"/>
          </w:tcPr>
          <w:p w:rsidR="00765208" w:rsidRPr="0095171D" w:rsidRDefault="00CE1B39" w:rsidP="004B7B58">
            <w:pPr>
              <w:pStyle w:val="NoSpacing"/>
              <w:rPr>
                <w:b/>
                <w:sz w:val="20"/>
                <w:lang w:val="en-US"/>
              </w:rPr>
            </w:pPr>
            <w:r w:rsidRPr="0095171D">
              <w:rPr>
                <w:b/>
                <w:sz w:val="20"/>
                <w:lang w:val="en-US"/>
              </w:rPr>
              <w:t>EW</w:t>
            </w:r>
          </w:p>
        </w:tc>
        <w:tc>
          <w:tcPr>
            <w:tcW w:w="909" w:type="dxa"/>
          </w:tcPr>
          <w:p w:rsidR="00765208" w:rsidRPr="0095171D" w:rsidRDefault="002F1104" w:rsidP="004B7B58">
            <w:pPr>
              <w:pStyle w:val="NoSpacing"/>
              <w:jc w:val="center"/>
              <w:rPr>
                <w:sz w:val="20"/>
              </w:rPr>
            </w:pPr>
            <w:r w:rsidRPr="0095171D">
              <w:rPr>
                <w:sz w:val="20"/>
              </w:rPr>
              <w:t>Majority</w:t>
            </w:r>
          </w:p>
          <w:p w:rsidR="00765208" w:rsidRPr="0095171D" w:rsidRDefault="002F1104" w:rsidP="004B7B58">
            <w:pPr>
              <w:pStyle w:val="NoSpacing"/>
              <w:jc w:val="center"/>
              <w:rPr>
                <w:sz w:val="20"/>
              </w:rPr>
            </w:pPr>
            <w:r w:rsidRPr="0095171D">
              <w:rPr>
                <w:sz w:val="20"/>
              </w:rPr>
              <w:t xml:space="preserve"> &gt;8</w:t>
            </w:r>
          </w:p>
        </w:tc>
        <w:tc>
          <w:tcPr>
            <w:tcW w:w="878" w:type="dxa"/>
          </w:tcPr>
          <w:p w:rsidR="00765208" w:rsidRPr="0095171D" w:rsidRDefault="002F1104" w:rsidP="004B7B58">
            <w:pPr>
              <w:pStyle w:val="NoSpacing"/>
              <w:jc w:val="center"/>
              <w:rPr>
                <w:sz w:val="20"/>
              </w:rPr>
            </w:pPr>
            <w:r w:rsidRPr="0095171D">
              <w:rPr>
                <w:sz w:val="20"/>
              </w:rPr>
              <w:t xml:space="preserve"> 10-30</w:t>
            </w:r>
          </w:p>
          <w:p w:rsidR="00765208" w:rsidRPr="0095171D" w:rsidRDefault="002F1104" w:rsidP="004B7B58">
            <w:pPr>
              <w:pStyle w:val="NoSpacing"/>
              <w:jc w:val="center"/>
              <w:rPr>
                <w:sz w:val="20"/>
              </w:rPr>
            </w:pPr>
            <w:r w:rsidRPr="0095171D">
              <w:rPr>
                <w:sz w:val="20"/>
              </w:rPr>
              <w:t>(trees)</w:t>
            </w:r>
          </w:p>
        </w:tc>
        <w:tc>
          <w:tcPr>
            <w:tcW w:w="1470" w:type="dxa"/>
          </w:tcPr>
          <w:p w:rsidR="00765208" w:rsidRPr="0095171D" w:rsidRDefault="002F1104" w:rsidP="004B7B58">
            <w:pPr>
              <w:pStyle w:val="NoSpacing"/>
              <w:rPr>
                <w:sz w:val="20"/>
              </w:rPr>
            </w:pPr>
            <w:r w:rsidRPr="0095171D">
              <w:rPr>
                <w:sz w:val="20"/>
              </w:rPr>
              <w:t xml:space="preserve">Various eucalypts, often with other taxa (e.g. </w:t>
            </w:r>
            <w:r w:rsidRPr="0095171D">
              <w:rPr>
                <w:i/>
                <w:sz w:val="20"/>
              </w:rPr>
              <w:t>Erythrophleum</w:t>
            </w:r>
            <w:r w:rsidRPr="0095171D">
              <w:rPr>
                <w:sz w:val="20"/>
              </w:rPr>
              <w:t xml:space="preserve">, </w:t>
            </w:r>
            <w:r w:rsidRPr="0095171D">
              <w:rPr>
                <w:i/>
                <w:sz w:val="20"/>
              </w:rPr>
              <w:t>Terminalia</w:t>
            </w:r>
            <w:r w:rsidRPr="0095171D">
              <w:rPr>
                <w:sz w:val="20"/>
              </w:rPr>
              <w:t xml:space="preserve">, </w:t>
            </w:r>
            <w:r w:rsidRPr="0095171D">
              <w:rPr>
                <w:i/>
                <w:sz w:val="20"/>
              </w:rPr>
              <w:t>Xanthostemon</w:t>
            </w:r>
            <w:r w:rsidRPr="0095171D">
              <w:rPr>
                <w:sz w:val="20"/>
              </w:rPr>
              <w:t>)</w:t>
            </w:r>
          </w:p>
        </w:tc>
        <w:tc>
          <w:tcPr>
            <w:tcW w:w="1240" w:type="dxa"/>
          </w:tcPr>
          <w:p w:rsidR="00765208" w:rsidRPr="0095171D" w:rsidRDefault="002F1104" w:rsidP="004B7B58">
            <w:pPr>
              <w:pStyle w:val="NoSpacing"/>
              <w:rPr>
                <w:sz w:val="20"/>
              </w:rPr>
            </w:pPr>
            <w:r w:rsidRPr="0095171D">
              <w:rPr>
                <w:sz w:val="20"/>
              </w:rPr>
              <w:t xml:space="preserve">Various—well developed shrub layer may / </w:t>
            </w:r>
            <w:r w:rsidR="0041457B">
              <w:rPr>
                <w:sz w:val="20"/>
              </w:rPr>
              <w:t xml:space="preserve">may </w:t>
            </w:r>
            <w:r w:rsidRPr="0095171D">
              <w:rPr>
                <w:sz w:val="20"/>
              </w:rPr>
              <w:t>not be present</w:t>
            </w:r>
          </w:p>
        </w:tc>
        <w:tc>
          <w:tcPr>
            <w:tcW w:w="1331" w:type="dxa"/>
          </w:tcPr>
          <w:p w:rsidR="00765208" w:rsidRPr="0095171D" w:rsidRDefault="002F1104" w:rsidP="004B7B58">
            <w:pPr>
              <w:pStyle w:val="NoSpacing"/>
              <w:rPr>
                <w:sz w:val="20"/>
              </w:rPr>
            </w:pPr>
            <w:r w:rsidRPr="0095171D">
              <w:rPr>
                <w:sz w:val="20"/>
              </w:rPr>
              <w:t>Native perennial and annual tussock grasses</w:t>
            </w:r>
          </w:p>
        </w:tc>
        <w:tc>
          <w:tcPr>
            <w:tcW w:w="1570" w:type="dxa"/>
          </w:tcPr>
          <w:p w:rsidR="00765208" w:rsidRPr="0095171D" w:rsidRDefault="002F1104" w:rsidP="004B7B58">
            <w:pPr>
              <w:pStyle w:val="NoSpacing"/>
              <w:rPr>
                <w:sz w:val="20"/>
              </w:rPr>
            </w:pPr>
            <w:r w:rsidRPr="0095171D">
              <w:rPr>
                <w:sz w:val="20"/>
              </w:rPr>
              <w:t xml:space="preserve">Various situations, from well-drained </w:t>
            </w:r>
            <w:r w:rsidR="00B2064E" w:rsidRPr="00CE028F">
              <w:rPr>
                <w:sz w:val="20"/>
              </w:rPr>
              <w:t>gravelly</w:t>
            </w:r>
            <w:r w:rsidRPr="0095171D">
              <w:rPr>
                <w:sz w:val="20"/>
              </w:rPr>
              <w:t xml:space="preserve"> sites to those with impeded drainage</w:t>
            </w:r>
          </w:p>
        </w:tc>
      </w:tr>
      <w:tr w:rsidR="00765208" w:rsidRPr="0095171D">
        <w:tc>
          <w:tcPr>
            <w:tcW w:w="1131" w:type="dxa"/>
          </w:tcPr>
          <w:p w:rsidR="00765208" w:rsidRPr="0095171D" w:rsidRDefault="00CE1B39" w:rsidP="004B7B58">
            <w:pPr>
              <w:pStyle w:val="NoSpacing"/>
              <w:rPr>
                <w:b/>
                <w:sz w:val="20"/>
              </w:rPr>
            </w:pPr>
            <w:r w:rsidRPr="0095171D">
              <w:rPr>
                <w:b/>
                <w:sz w:val="20"/>
              </w:rPr>
              <w:t>SW</w:t>
            </w:r>
          </w:p>
        </w:tc>
        <w:tc>
          <w:tcPr>
            <w:tcW w:w="909" w:type="dxa"/>
          </w:tcPr>
          <w:p w:rsidR="00765208" w:rsidRPr="0095171D" w:rsidRDefault="002F1104" w:rsidP="004B7B58">
            <w:pPr>
              <w:pStyle w:val="NoSpacing"/>
              <w:jc w:val="center"/>
              <w:rPr>
                <w:sz w:val="20"/>
              </w:rPr>
            </w:pPr>
            <w:r w:rsidRPr="0095171D">
              <w:rPr>
                <w:sz w:val="20"/>
              </w:rPr>
              <w:t>Majority</w:t>
            </w:r>
          </w:p>
          <w:p w:rsidR="00765208" w:rsidRPr="0095171D" w:rsidRDefault="002F1104" w:rsidP="004B7B58">
            <w:pPr>
              <w:pStyle w:val="NoSpacing"/>
              <w:jc w:val="center"/>
              <w:rPr>
                <w:sz w:val="20"/>
              </w:rPr>
            </w:pPr>
            <w:r w:rsidRPr="0095171D">
              <w:rPr>
                <w:sz w:val="20"/>
              </w:rPr>
              <w:t xml:space="preserve"> &gt;8</w:t>
            </w:r>
          </w:p>
        </w:tc>
        <w:tc>
          <w:tcPr>
            <w:tcW w:w="878" w:type="dxa"/>
          </w:tcPr>
          <w:p w:rsidR="00765208" w:rsidRPr="0095171D" w:rsidRDefault="002F1104" w:rsidP="004B7B58">
            <w:pPr>
              <w:pStyle w:val="NoSpacing"/>
              <w:jc w:val="center"/>
              <w:rPr>
                <w:sz w:val="20"/>
              </w:rPr>
            </w:pPr>
            <w:r w:rsidRPr="0095171D">
              <w:rPr>
                <w:sz w:val="20"/>
              </w:rPr>
              <w:t>10-30</w:t>
            </w:r>
          </w:p>
          <w:p w:rsidR="00765208" w:rsidRPr="0095171D" w:rsidRDefault="002F1104" w:rsidP="004B7B58">
            <w:pPr>
              <w:pStyle w:val="NoSpacing"/>
              <w:jc w:val="center"/>
              <w:rPr>
                <w:sz w:val="20"/>
              </w:rPr>
            </w:pPr>
            <w:r w:rsidRPr="0095171D">
              <w:rPr>
                <w:sz w:val="20"/>
              </w:rPr>
              <w:t>(trees)</w:t>
            </w:r>
          </w:p>
        </w:tc>
        <w:tc>
          <w:tcPr>
            <w:tcW w:w="1470" w:type="dxa"/>
          </w:tcPr>
          <w:p w:rsidR="00765208" w:rsidRPr="0095171D" w:rsidRDefault="002F1104" w:rsidP="004B7B58">
            <w:pPr>
              <w:pStyle w:val="NoSpacing"/>
              <w:rPr>
                <w:sz w:val="20"/>
              </w:rPr>
            </w:pPr>
            <w:r w:rsidRPr="0095171D">
              <w:rPr>
                <w:sz w:val="20"/>
              </w:rPr>
              <w:t xml:space="preserve">Various eucalypts, often with other taxa (e.g. </w:t>
            </w:r>
            <w:r w:rsidRPr="0095171D">
              <w:rPr>
                <w:i/>
                <w:sz w:val="20"/>
              </w:rPr>
              <w:t>Erythrophleum</w:t>
            </w:r>
            <w:r w:rsidRPr="0095171D">
              <w:rPr>
                <w:sz w:val="20"/>
              </w:rPr>
              <w:t xml:space="preserve">, </w:t>
            </w:r>
            <w:r w:rsidRPr="0095171D">
              <w:rPr>
                <w:i/>
                <w:sz w:val="20"/>
              </w:rPr>
              <w:t>Terminalia</w:t>
            </w:r>
            <w:r w:rsidRPr="0095171D">
              <w:rPr>
                <w:sz w:val="20"/>
              </w:rPr>
              <w:t xml:space="preserve">, </w:t>
            </w:r>
            <w:r w:rsidRPr="0095171D">
              <w:rPr>
                <w:i/>
                <w:sz w:val="20"/>
              </w:rPr>
              <w:t>Xanthostemon</w:t>
            </w:r>
            <w:r w:rsidRPr="0095171D">
              <w:rPr>
                <w:sz w:val="20"/>
              </w:rPr>
              <w:t>)</w:t>
            </w:r>
          </w:p>
        </w:tc>
        <w:tc>
          <w:tcPr>
            <w:tcW w:w="1240" w:type="dxa"/>
          </w:tcPr>
          <w:p w:rsidR="00765208" w:rsidRPr="0095171D" w:rsidRDefault="002F1104" w:rsidP="004B7B58">
            <w:pPr>
              <w:pStyle w:val="NoSpacing"/>
              <w:rPr>
                <w:sz w:val="20"/>
              </w:rPr>
            </w:pPr>
            <w:r w:rsidRPr="0095171D">
              <w:rPr>
                <w:sz w:val="20"/>
              </w:rPr>
              <w:t>Various—well developed shrub layer may /</w:t>
            </w:r>
            <w:r w:rsidR="00FD470F">
              <w:rPr>
                <w:sz w:val="20"/>
              </w:rPr>
              <w:t>may</w:t>
            </w:r>
            <w:r w:rsidRPr="0095171D">
              <w:rPr>
                <w:sz w:val="20"/>
              </w:rPr>
              <w:t xml:space="preserve"> not be present. Where present, may include woody heath taxa as listed for Sandstone heath</w:t>
            </w:r>
          </w:p>
        </w:tc>
        <w:tc>
          <w:tcPr>
            <w:tcW w:w="1331" w:type="dxa"/>
          </w:tcPr>
          <w:p w:rsidR="00765208" w:rsidRPr="0095171D" w:rsidRDefault="002F1104" w:rsidP="004B7B58">
            <w:pPr>
              <w:pStyle w:val="NoSpacing"/>
              <w:rPr>
                <w:sz w:val="20"/>
              </w:rPr>
            </w:pPr>
            <w:r w:rsidRPr="0095171D">
              <w:rPr>
                <w:sz w:val="20"/>
              </w:rPr>
              <w:t>Mixture of native perennial and annual tussock and hummock (</w:t>
            </w:r>
            <w:r w:rsidRPr="0095171D">
              <w:rPr>
                <w:i/>
                <w:sz w:val="20"/>
              </w:rPr>
              <w:t>Triodia</w:t>
            </w:r>
            <w:r w:rsidRPr="0095171D">
              <w:rPr>
                <w:sz w:val="20"/>
              </w:rPr>
              <w:t>) grasses</w:t>
            </w:r>
          </w:p>
        </w:tc>
        <w:tc>
          <w:tcPr>
            <w:tcW w:w="1570" w:type="dxa"/>
          </w:tcPr>
          <w:p w:rsidR="00765208" w:rsidRPr="0095171D" w:rsidRDefault="002F1104" w:rsidP="004B7B58">
            <w:pPr>
              <w:pStyle w:val="NoSpacing"/>
              <w:rPr>
                <w:sz w:val="20"/>
              </w:rPr>
            </w:pPr>
            <w:r w:rsidRPr="0095171D">
              <w:rPr>
                <w:sz w:val="20"/>
              </w:rPr>
              <w:t>Shallow to rocky substrates derived typically from sandstone, metamorphosed sandstone (e.g. quartzite), sometimes laterised</w:t>
            </w:r>
          </w:p>
        </w:tc>
      </w:tr>
      <w:tr w:rsidR="00765208" w:rsidRPr="0095171D">
        <w:tc>
          <w:tcPr>
            <w:tcW w:w="1131" w:type="dxa"/>
          </w:tcPr>
          <w:p w:rsidR="00765208" w:rsidRPr="0095171D" w:rsidRDefault="00CE1B39" w:rsidP="004B7B58">
            <w:pPr>
              <w:pStyle w:val="NoSpacing"/>
              <w:rPr>
                <w:b/>
                <w:sz w:val="20"/>
              </w:rPr>
            </w:pPr>
            <w:r w:rsidRPr="0095171D">
              <w:rPr>
                <w:b/>
                <w:sz w:val="20"/>
              </w:rPr>
              <w:t>SH</w:t>
            </w:r>
          </w:p>
        </w:tc>
        <w:tc>
          <w:tcPr>
            <w:tcW w:w="909" w:type="dxa"/>
          </w:tcPr>
          <w:p w:rsidR="00765208" w:rsidRPr="0095171D" w:rsidRDefault="002F1104" w:rsidP="004B7B58">
            <w:pPr>
              <w:pStyle w:val="NoSpacing"/>
              <w:jc w:val="center"/>
              <w:rPr>
                <w:sz w:val="20"/>
              </w:rPr>
            </w:pPr>
            <w:r w:rsidRPr="0095171D">
              <w:rPr>
                <w:sz w:val="20"/>
              </w:rPr>
              <w:t>Majority</w:t>
            </w:r>
          </w:p>
          <w:p w:rsidR="00765208" w:rsidRPr="0095171D" w:rsidRDefault="002F1104" w:rsidP="004B7B58">
            <w:pPr>
              <w:pStyle w:val="NoSpacing"/>
              <w:jc w:val="center"/>
              <w:rPr>
                <w:sz w:val="20"/>
              </w:rPr>
            </w:pPr>
            <w:r w:rsidRPr="0095171D">
              <w:rPr>
                <w:sz w:val="20"/>
              </w:rPr>
              <w:t xml:space="preserve"> &lt;5</w:t>
            </w:r>
          </w:p>
        </w:tc>
        <w:tc>
          <w:tcPr>
            <w:tcW w:w="878" w:type="dxa"/>
          </w:tcPr>
          <w:p w:rsidR="00765208" w:rsidRPr="0095171D" w:rsidRDefault="002F1104" w:rsidP="004B7B58">
            <w:pPr>
              <w:pStyle w:val="NoSpacing"/>
              <w:jc w:val="center"/>
              <w:rPr>
                <w:sz w:val="20"/>
              </w:rPr>
            </w:pPr>
            <w:r w:rsidRPr="0095171D">
              <w:rPr>
                <w:sz w:val="20"/>
              </w:rPr>
              <w:t>&lt;10-30</w:t>
            </w:r>
          </w:p>
          <w:p w:rsidR="00765208" w:rsidRPr="0095171D" w:rsidRDefault="002F1104" w:rsidP="004B7B58">
            <w:pPr>
              <w:pStyle w:val="NoSpacing"/>
              <w:jc w:val="center"/>
              <w:rPr>
                <w:sz w:val="20"/>
              </w:rPr>
            </w:pPr>
            <w:r w:rsidRPr="0095171D">
              <w:rPr>
                <w:sz w:val="20"/>
              </w:rPr>
              <w:t>(shrubs)</w:t>
            </w:r>
          </w:p>
        </w:tc>
        <w:tc>
          <w:tcPr>
            <w:tcW w:w="1470" w:type="dxa"/>
          </w:tcPr>
          <w:p w:rsidR="00765208" w:rsidRPr="0095171D" w:rsidRDefault="002F1104" w:rsidP="004B7B58">
            <w:pPr>
              <w:pStyle w:val="NoSpacing"/>
              <w:rPr>
                <w:sz w:val="20"/>
              </w:rPr>
            </w:pPr>
            <w:r w:rsidRPr="0095171D">
              <w:rPr>
                <w:sz w:val="20"/>
              </w:rPr>
              <w:t>Occasional trees</w:t>
            </w:r>
          </w:p>
        </w:tc>
        <w:tc>
          <w:tcPr>
            <w:tcW w:w="1240" w:type="dxa"/>
          </w:tcPr>
          <w:p w:rsidR="00765208" w:rsidRPr="0095171D" w:rsidRDefault="002F1104" w:rsidP="004B7B58">
            <w:pPr>
              <w:pStyle w:val="NoSpacing"/>
              <w:rPr>
                <w:sz w:val="20"/>
              </w:rPr>
            </w:pPr>
            <w:r w:rsidRPr="0095171D">
              <w:rPr>
                <w:sz w:val="20"/>
              </w:rPr>
              <w:t xml:space="preserve">Conspicuous cover of heathy shrubs (e.g. </w:t>
            </w:r>
            <w:r w:rsidRPr="0095171D">
              <w:rPr>
                <w:i/>
                <w:sz w:val="20"/>
              </w:rPr>
              <w:t>Acacia</w:t>
            </w:r>
            <w:r w:rsidRPr="0095171D">
              <w:rPr>
                <w:sz w:val="20"/>
              </w:rPr>
              <w:t xml:space="preserve">, </w:t>
            </w:r>
            <w:r w:rsidRPr="0095171D">
              <w:rPr>
                <w:i/>
                <w:sz w:val="20"/>
              </w:rPr>
              <w:t>Calytrix</w:t>
            </w:r>
            <w:r w:rsidRPr="0095171D">
              <w:rPr>
                <w:sz w:val="20"/>
              </w:rPr>
              <w:t xml:space="preserve">, </w:t>
            </w:r>
            <w:r w:rsidRPr="0095171D">
              <w:rPr>
                <w:i/>
                <w:sz w:val="20"/>
              </w:rPr>
              <w:t>Grevillea</w:t>
            </w:r>
            <w:r w:rsidRPr="0095171D">
              <w:rPr>
                <w:sz w:val="20"/>
              </w:rPr>
              <w:t xml:space="preserve">, </w:t>
            </w:r>
            <w:r w:rsidRPr="0095171D">
              <w:rPr>
                <w:i/>
                <w:sz w:val="20"/>
              </w:rPr>
              <w:t>Hibbertia</w:t>
            </w:r>
            <w:r w:rsidRPr="0095171D">
              <w:rPr>
                <w:sz w:val="20"/>
              </w:rPr>
              <w:t xml:space="preserve">, </w:t>
            </w:r>
            <w:r w:rsidRPr="0095171D">
              <w:rPr>
                <w:i/>
                <w:sz w:val="20"/>
              </w:rPr>
              <w:t>Hibiscus, Jacksonia, Tephrosia, Verticordia</w:t>
            </w:r>
            <w:r w:rsidRPr="0095171D">
              <w:rPr>
                <w:sz w:val="20"/>
              </w:rPr>
              <w:t>)</w:t>
            </w:r>
          </w:p>
        </w:tc>
        <w:tc>
          <w:tcPr>
            <w:tcW w:w="1331" w:type="dxa"/>
          </w:tcPr>
          <w:p w:rsidR="00765208" w:rsidRPr="0095171D" w:rsidRDefault="002F1104" w:rsidP="004B7B58">
            <w:pPr>
              <w:pStyle w:val="NoSpacing"/>
              <w:rPr>
                <w:sz w:val="20"/>
              </w:rPr>
            </w:pPr>
            <w:r w:rsidRPr="0095171D">
              <w:rPr>
                <w:sz w:val="20"/>
              </w:rPr>
              <w:t>Hummock (</w:t>
            </w:r>
            <w:r w:rsidRPr="0095171D">
              <w:rPr>
                <w:i/>
                <w:sz w:val="20"/>
              </w:rPr>
              <w:t>Triodia</w:t>
            </w:r>
            <w:r w:rsidRPr="0095171D">
              <w:rPr>
                <w:sz w:val="20"/>
              </w:rPr>
              <w:t>) grasses, with other perennial restios (</w:t>
            </w:r>
            <w:r w:rsidRPr="0095171D">
              <w:rPr>
                <w:i/>
                <w:sz w:val="20"/>
              </w:rPr>
              <w:t>Lepyrodia, Dapsilanthus</w:t>
            </w:r>
            <w:r w:rsidRPr="0095171D">
              <w:rPr>
                <w:sz w:val="20"/>
              </w:rPr>
              <w:t>) and sedges (</w:t>
            </w:r>
            <w:r w:rsidRPr="0095171D">
              <w:rPr>
                <w:i/>
                <w:sz w:val="20"/>
              </w:rPr>
              <w:t>Schoenus sparteus</w:t>
            </w:r>
            <w:r w:rsidRPr="0095171D">
              <w:rPr>
                <w:sz w:val="20"/>
              </w:rPr>
              <w:t>)</w:t>
            </w:r>
          </w:p>
        </w:tc>
        <w:tc>
          <w:tcPr>
            <w:tcW w:w="1570" w:type="dxa"/>
          </w:tcPr>
          <w:p w:rsidR="00765208" w:rsidRPr="0095171D" w:rsidRDefault="002F1104" w:rsidP="004B7B58">
            <w:pPr>
              <w:pStyle w:val="NoSpacing"/>
              <w:rPr>
                <w:sz w:val="20"/>
              </w:rPr>
            </w:pPr>
            <w:r w:rsidRPr="0095171D">
              <w:rPr>
                <w:sz w:val="20"/>
              </w:rPr>
              <w:t>Shallow to rocky substrates derived from sandstone; sandsheets</w:t>
            </w:r>
          </w:p>
        </w:tc>
      </w:tr>
    </w:tbl>
    <w:p w:rsidR="00010FE9" w:rsidRPr="0095171D" w:rsidRDefault="00010FE9" w:rsidP="00A75F1E">
      <w:pPr>
        <w:widowControl w:val="0"/>
        <w:ind w:right="238"/>
        <w:rPr>
          <w:iCs/>
        </w:rPr>
      </w:pPr>
    </w:p>
    <w:p w:rsidR="00010FE9" w:rsidRPr="0095171D" w:rsidRDefault="002F1104">
      <w:pPr>
        <w:rPr>
          <w:iCs/>
        </w:rPr>
      </w:pPr>
      <w:r w:rsidRPr="0095171D">
        <w:rPr>
          <w:iCs/>
        </w:rPr>
        <w:br w:type="page"/>
      </w:r>
    </w:p>
    <w:p w:rsidR="00B0547F" w:rsidRDefault="00B0547F" w:rsidP="00B0547F">
      <w:pPr>
        <w:pStyle w:val="Heading1"/>
      </w:pPr>
      <w:bookmarkStart w:id="758" w:name="_Toc325039197"/>
      <w:r w:rsidRPr="00B0547F">
        <w:rPr>
          <w:rFonts w:ascii="Times New Roman" w:hAnsi="Times New Roman" w:cs="Times New Roman"/>
        </w:rPr>
        <w:lastRenderedPageBreak/>
        <w:t xml:space="preserve">Schedule 2 </w:t>
      </w:r>
      <w:r w:rsidRPr="00B0547F">
        <w:rPr>
          <w:rFonts w:ascii="Times New Roman" w:hAnsi="Times New Roman" w:cs="Times New Roman"/>
        </w:rPr>
        <w:tab/>
        <w:t>Forms</w:t>
      </w:r>
      <w:bookmarkEnd w:id="758"/>
    </w:p>
    <w:p w:rsidR="00B0547F" w:rsidRPr="0001341E" w:rsidRDefault="00430335" w:rsidP="00B0547F">
      <w:pPr>
        <w:pStyle w:val="HR"/>
        <w:rPr>
          <w:rStyle w:val="CharSectno"/>
          <w:rFonts w:ascii="Times New Roman" w:hAnsi="Times New Roman"/>
        </w:rPr>
      </w:pPr>
      <w:bookmarkStart w:id="759" w:name="_Toc325039198"/>
      <w:r w:rsidRPr="00430335">
        <w:rPr>
          <w:rStyle w:val="CharSectno"/>
          <w:rFonts w:ascii="Times New Roman" w:hAnsi="Times New Roman"/>
        </w:rPr>
        <w:t xml:space="preserve">Form 1 </w:t>
      </w:r>
      <w:r w:rsidRPr="00430335">
        <w:rPr>
          <w:rStyle w:val="CharSectno"/>
          <w:rFonts w:ascii="Times New Roman" w:hAnsi="Times New Roman"/>
        </w:rPr>
        <w:tab/>
        <w:t>Record of Calculations</w:t>
      </w:r>
      <w:bookmarkEnd w:id="759"/>
    </w:p>
    <w:p w:rsidR="003334B1" w:rsidRPr="0001341E" w:rsidRDefault="007456BE" w:rsidP="003334B1">
      <w:pPr>
        <w:pStyle w:val="R2"/>
        <w:ind w:left="0" w:firstLine="0"/>
        <w:jc w:val="left"/>
        <w:rPr>
          <w:i/>
        </w:rPr>
      </w:pPr>
      <w:r>
        <w:rPr>
          <w:i/>
        </w:rPr>
        <w:t>The results of all calculations prescribed by Part 2 must be recorded in the following tables and be retained by the project proponent.</w:t>
      </w:r>
    </w:p>
    <w:p w:rsidR="00010FE9" w:rsidRPr="0095171D" w:rsidRDefault="00010FE9" w:rsidP="00A75F1E">
      <w:pPr>
        <w:widowControl w:val="0"/>
        <w:ind w:right="238"/>
        <w:rPr>
          <w:iCs/>
        </w:rPr>
      </w:pPr>
    </w:p>
    <w:p w:rsidR="00010FE9" w:rsidRDefault="002F1104" w:rsidP="00010FE9">
      <w:pPr>
        <w:jc w:val="center"/>
        <w:rPr>
          <w:b/>
        </w:rPr>
      </w:pPr>
      <w:r w:rsidRPr="0095171D">
        <w:rPr>
          <w:b/>
        </w:rPr>
        <w:t xml:space="preserve">Table </w:t>
      </w:r>
      <w:r w:rsidR="006D7B1F" w:rsidRPr="0095171D">
        <w:rPr>
          <w:b/>
        </w:rPr>
        <w:t>9</w:t>
      </w:r>
      <w:r w:rsidRPr="0095171D">
        <w:rPr>
          <w:b/>
        </w:rPr>
        <w:t>: Start of the LDS for project region</w:t>
      </w:r>
    </w:p>
    <w:p w:rsidR="006D333D" w:rsidRPr="0095171D" w:rsidRDefault="006D333D" w:rsidP="00010FE9">
      <w:pPr>
        <w:jc w:val="center"/>
        <w:rPr>
          <w:b/>
        </w:rPr>
      </w:pPr>
    </w:p>
    <w:tbl>
      <w:tblPr>
        <w:tblW w:w="3089" w:type="dxa"/>
        <w:jc w:val="center"/>
        <w:tblLook w:val="04A0"/>
      </w:tblPr>
      <w:tblGrid>
        <w:gridCol w:w="1256"/>
        <w:gridCol w:w="1833"/>
      </w:tblGrid>
      <w:tr w:rsidR="00010FE9" w:rsidRPr="0095171D" w:rsidTr="003D0A95">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Year</w:t>
            </w:r>
          </w:p>
        </w:tc>
        <w:tc>
          <w:tcPr>
            <w:tcW w:w="1833"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 xml:space="preserve">Month that represents the start of the </w:t>
            </w:r>
            <w:r w:rsidR="00CE1B39" w:rsidRPr="0095171D">
              <w:rPr>
                <w:b/>
                <w:bCs/>
                <w:color w:val="000000"/>
              </w:rPr>
              <w:t>LDS</w:t>
            </w:r>
          </w:p>
        </w:tc>
      </w:tr>
      <w:tr w:rsidR="00010FE9" w:rsidRPr="0095171D" w:rsidTr="003D0A95">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c>
          <w:tcPr>
            <w:tcW w:w="1833" w:type="dxa"/>
            <w:tcBorders>
              <w:top w:val="single" w:sz="4" w:space="0" w:color="auto"/>
              <w:left w:val="nil"/>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r>
    </w:tbl>
    <w:p w:rsidR="00010FE9" w:rsidRPr="0095171D" w:rsidRDefault="00010FE9" w:rsidP="00A75F1E">
      <w:pPr>
        <w:widowControl w:val="0"/>
        <w:ind w:right="238"/>
        <w:rPr>
          <w:iCs/>
        </w:rPr>
      </w:pPr>
    </w:p>
    <w:p w:rsidR="002137D9" w:rsidRDefault="002F1104" w:rsidP="002137D9">
      <w:pPr>
        <w:jc w:val="center"/>
        <w:rPr>
          <w:b/>
        </w:rPr>
      </w:pPr>
      <w:r w:rsidRPr="0095171D">
        <w:rPr>
          <w:b/>
        </w:rPr>
        <w:t xml:space="preserve">Table </w:t>
      </w:r>
      <w:r w:rsidR="006D7B1F" w:rsidRPr="0095171D">
        <w:rPr>
          <w:b/>
        </w:rPr>
        <w:t>10</w:t>
      </w:r>
      <w:r w:rsidRPr="0095171D">
        <w:rPr>
          <w:b/>
        </w:rPr>
        <w:t>: Fire scar area (A) by vegetation class and fire season (ha)</w:t>
      </w:r>
    </w:p>
    <w:p w:rsidR="006D333D" w:rsidRPr="0095171D" w:rsidRDefault="006D333D" w:rsidP="002137D9">
      <w:pPr>
        <w:jc w:val="center"/>
        <w:rPr>
          <w:b/>
        </w:rPr>
      </w:pPr>
    </w:p>
    <w:tbl>
      <w:tblPr>
        <w:tblW w:w="3702" w:type="dxa"/>
        <w:jc w:val="center"/>
        <w:tblLook w:val="04A0"/>
      </w:tblPr>
      <w:tblGrid>
        <w:gridCol w:w="1323"/>
        <w:gridCol w:w="1220"/>
        <w:gridCol w:w="1159"/>
      </w:tblGrid>
      <w:tr w:rsidR="002137D9" w:rsidRPr="0095171D" w:rsidTr="003D0A95">
        <w:trPr>
          <w:trHeight w:val="600"/>
          <w:jc w:val="center"/>
        </w:trPr>
        <w:tc>
          <w:tcPr>
            <w:tcW w:w="1256" w:type="dxa"/>
            <w:vMerge w:val="restart"/>
            <w:tcBorders>
              <w:top w:val="single" w:sz="4" w:space="0" w:color="auto"/>
              <w:left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37D9" w:rsidRPr="0095171D" w:rsidRDefault="002F1104" w:rsidP="003D0A95">
            <w:pPr>
              <w:jc w:val="center"/>
              <w:rPr>
                <w:b/>
                <w:bCs/>
                <w:color w:val="000000"/>
              </w:rPr>
            </w:pPr>
            <w:r w:rsidRPr="0095171D">
              <w:rPr>
                <w:b/>
                <w:bCs/>
                <w:color w:val="000000"/>
              </w:rPr>
              <w:t>Fire season</w:t>
            </w:r>
          </w:p>
        </w:tc>
      </w:tr>
      <w:tr w:rsidR="002137D9" w:rsidRPr="0095171D" w:rsidTr="003D0A95">
        <w:trPr>
          <w:trHeight w:val="300"/>
          <w:jc w:val="center"/>
        </w:trPr>
        <w:tc>
          <w:tcPr>
            <w:tcW w:w="1256"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CE1B39" w:rsidP="00B0547F">
            <w:pPr>
              <w:jc w:val="center"/>
              <w:rPr>
                <w:b/>
                <w:bCs/>
                <w:color w:val="000000"/>
              </w:rPr>
            </w:pPr>
            <w:r w:rsidRPr="0095171D">
              <w:rPr>
                <w:b/>
                <w:bCs/>
                <w:color w:val="000000"/>
              </w:rPr>
              <w:t>EDS</w:t>
            </w:r>
          </w:p>
        </w:tc>
        <w:tc>
          <w:tcPr>
            <w:tcW w:w="1190" w:type="dxa"/>
            <w:tcBorders>
              <w:top w:val="nil"/>
              <w:left w:val="nil"/>
              <w:bottom w:val="single" w:sz="4" w:space="0" w:color="auto"/>
              <w:right w:val="single" w:sz="4" w:space="0" w:color="auto"/>
            </w:tcBorders>
            <w:shd w:val="clear" w:color="auto" w:fill="auto"/>
            <w:vAlign w:val="center"/>
            <w:hideMark/>
          </w:tcPr>
          <w:p w:rsidR="00B0547F" w:rsidRDefault="00CE1B39" w:rsidP="00B0547F">
            <w:pPr>
              <w:jc w:val="center"/>
              <w:rPr>
                <w:b/>
                <w:bCs/>
                <w:color w:val="000000"/>
              </w:rPr>
            </w:pPr>
            <w:r w:rsidRPr="0095171D">
              <w:rPr>
                <w:b/>
                <w:bCs/>
                <w:color w:val="000000"/>
              </w:rPr>
              <w:t>LDS</w:t>
            </w:r>
          </w:p>
        </w:tc>
      </w:tr>
      <w:tr w:rsidR="002137D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r w:rsidR="002137D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r w:rsidR="002137D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r w:rsidR="002137D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bl>
    <w:p w:rsidR="00420D61" w:rsidRPr="0095171D" w:rsidRDefault="00420D61" w:rsidP="00010FE9">
      <w:pPr>
        <w:jc w:val="center"/>
        <w:rPr>
          <w:b/>
        </w:rPr>
      </w:pPr>
    </w:p>
    <w:p w:rsidR="00010FE9" w:rsidRDefault="002F1104" w:rsidP="00420D61">
      <w:pPr>
        <w:jc w:val="center"/>
        <w:rPr>
          <w:b/>
        </w:rPr>
      </w:pPr>
      <w:r w:rsidRPr="0095171D">
        <w:rPr>
          <w:b/>
        </w:rPr>
        <w:t xml:space="preserve">Table </w:t>
      </w:r>
      <w:r w:rsidR="006D7B1F" w:rsidRPr="0095171D">
        <w:rPr>
          <w:b/>
        </w:rPr>
        <w:t>11</w:t>
      </w:r>
      <w:r w:rsidRPr="0095171D">
        <w:rPr>
          <w:b/>
        </w:rPr>
        <w:t>: A</w:t>
      </w:r>
      <w:r w:rsidR="00811577" w:rsidRPr="0095171D">
        <w:rPr>
          <w:b/>
        </w:rPr>
        <w:t>rea burnt</w:t>
      </w:r>
      <w:r w:rsidR="00EB13E3" w:rsidRPr="0095171D">
        <w:rPr>
          <w:b/>
        </w:rPr>
        <w:t xml:space="preserve"> by fire season and vegetation class (ha)</w:t>
      </w:r>
    </w:p>
    <w:p w:rsidR="006D333D" w:rsidRPr="0095171D" w:rsidRDefault="006D333D" w:rsidP="00420D61">
      <w:pPr>
        <w:jc w:val="center"/>
        <w:rPr>
          <w:b/>
        </w:rPr>
      </w:pPr>
    </w:p>
    <w:tbl>
      <w:tblPr>
        <w:tblW w:w="3702" w:type="dxa"/>
        <w:jc w:val="center"/>
        <w:tblLook w:val="04A0"/>
      </w:tblPr>
      <w:tblGrid>
        <w:gridCol w:w="1323"/>
        <w:gridCol w:w="1220"/>
        <w:gridCol w:w="1159"/>
      </w:tblGrid>
      <w:tr w:rsidR="00010FE9" w:rsidRPr="0095171D" w:rsidTr="003D0A95">
        <w:trPr>
          <w:trHeight w:val="600"/>
          <w:jc w:val="center"/>
        </w:trPr>
        <w:tc>
          <w:tcPr>
            <w:tcW w:w="1256" w:type="dxa"/>
            <w:vMerge w:val="restart"/>
            <w:tcBorders>
              <w:top w:val="single" w:sz="4" w:space="0" w:color="auto"/>
              <w:left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FE9" w:rsidRPr="0095171D" w:rsidRDefault="002F1104" w:rsidP="003D0A95">
            <w:pPr>
              <w:jc w:val="center"/>
              <w:rPr>
                <w:b/>
                <w:bCs/>
                <w:color w:val="000000"/>
              </w:rPr>
            </w:pPr>
            <w:r w:rsidRPr="0095171D">
              <w:rPr>
                <w:b/>
                <w:bCs/>
                <w:color w:val="000000"/>
              </w:rPr>
              <w:t>Fire season</w:t>
            </w:r>
          </w:p>
        </w:tc>
      </w:tr>
      <w:tr w:rsidR="00010FE9" w:rsidRPr="0095171D" w:rsidTr="003D0A95">
        <w:trPr>
          <w:trHeight w:val="300"/>
          <w:jc w:val="center"/>
        </w:trPr>
        <w:tc>
          <w:tcPr>
            <w:tcW w:w="1256"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EDS</w:t>
            </w:r>
          </w:p>
        </w:tc>
        <w:tc>
          <w:tcPr>
            <w:tcW w:w="1190" w:type="dxa"/>
            <w:tcBorders>
              <w:top w:val="nil"/>
              <w:left w:val="nil"/>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LDS</w:t>
            </w:r>
          </w:p>
        </w:tc>
      </w:tr>
      <w:tr w:rsidR="00010FE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3D0A95">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bl>
    <w:p w:rsidR="00010FE9" w:rsidRPr="0095171D" w:rsidRDefault="00010FE9" w:rsidP="00A75F1E">
      <w:pPr>
        <w:widowControl w:val="0"/>
        <w:ind w:right="238"/>
        <w:rPr>
          <w:iCs/>
        </w:rPr>
      </w:pPr>
    </w:p>
    <w:p w:rsidR="007F404F" w:rsidRDefault="007F404F">
      <w:pPr>
        <w:rPr>
          <w:b/>
        </w:rPr>
      </w:pPr>
      <w:r>
        <w:rPr>
          <w:b/>
        </w:rPr>
        <w:br w:type="page"/>
      </w:r>
    </w:p>
    <w:p w:rsidR="002137D9" w:rsidRDefault="002F1104" w:rsidP="002137D9">
      <w:pPr>
        <w:jc w:val="center"/>
        <w:rPr>
          <w:b/>
        </w:rPr>
      </w:pPr>
      <w:r w:rsidRPr="0095171D">
        <w:rPr>
          <w:b/>
        </w:rPr>
        <w:lastRenderedPageBreak/>
        <w:t xml:space="preserve">Table </w:t>
      </w:r>
      <w:r w:rsidR="006D7B1F" w:rsidRPr="0095171D">
        <w:rPr>
          <w:b/>
        </w:rPr>
        <w:t>13</w:t>
      </w:r>
      <w:r w:rsidRPr="0095171D">
        <w:rPr>
          <w:b/>
        </w:rPr>
        <w:t xml:space="preserve">: Fuel loads for each vegetation class </w:t>
      </w:r>
      <w:r w:rsidR="00B0547F" w:rsidRPr="00B0547F">
        <w:rPr>
          <w:b/>
        </w:rPr>
        <w:t>(t ha</w:t>
      </w:r>
      <w:r w:rsidR="00B0547F" w:rsidRPr="00B0547F">
        <w:rPr>
          <w:b/>
          <w:vertAlign w:val="superscript"/>
        </w:rPr>
        <w:t>-1</w:t>
      </w:r>
      <w:r w:rsidR="00B0547F" w:rsidRPr="00B0547F">
        <w:rPr>
          <w:b/>
        </w:rPr>
        <w:t>)</w:t>
      </w:r>
    </w:p>
    <w:p w:rsidR="006D333D" w:rsidRPr="0095171D" w:rsidRDefault="006D333D" w:rsidP="002137D9">
      <w:pPr>
        <w:jc w:val="center"/>
        <w:rPr>
          <w:b/>
        </w:rPr>
      </w:pPr>
    </w:p>
    <w:tbl>
      <w:tblPr>
        <w:tblW w:w="7832" w:type="dxa"/>
        <w:jc w:val="center"/>
        <w:tblLook w:val="0000"/>
      </w:tblPr>
      <w:tblGrid>
        <w:gridCol w:w="1700"/>
        <w:gridCol w:w="2021"/>
        <w:gridCol w:w="1276"/>
        <w:gridCol w:w="1417"/>
        <w:gridCol w:w="1418"/>
      </w:tblGrid>
      <w:tr w:rsidR="002137D9" w:rsidRPr="0095171D" w:rsidTr="003D0A95">
        <w:trPr>
          <w:trHeight w:val="322"/>
          <w:jc w:val="center"/>
        </w:trPr>
        <w:tc>
          <w:tcPr>
            <w:tcW w:w="1700" w:type="dxa"/>
            <w:tcBorders>
              <w:top w:val="single" w:sz="4" w:space="0" w:color="auto"/>
              <w:left w:val="single" w:sz="4" w:space="0" w:color="auto"/>
              <w:right w:val="single" w:sz="8" w:space="0" w:color="auto"/>
            </w:tcBorders>
            <w:shd w:val="clear" w:color="auto" w:fill="auto"/>
            <w:noWrap/>
            <w:vAlign w:val="center"/>
          </w:tcPr>
          <w:p w:rsidR="00B0547F" w:rsidRDefault="00430335" w:rsidP="00B0547F">
            <w:pPr>
              <w:jc w:val="center"/>
              <w:rPr>
                <w:b/>
                <w:sz w:val="20"/>
                <w:szCs w:val="20"/>
              </w:rPr>
            </w:pPr>
            <w:r w:rsidRPr="00430335">
              <w:rPr>
                <w:b/>
                <w:bCs/>
                <w:color w:val="000000"/>
              </w:rPr>
              <w:t>Vegetation class</w:t>
            </w:r>
          </w:p>
        </w:tc>
        <w:tc>
          <w:tcPr>
            <w:tcW w:w="6132"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2137D9" w:rsidRPr="0095171D" w:rsidRDefault="00430335" w:rsidP="003D0A95">
            <w:pPr>
              <w:jc w:val="center"/>
              <w:rPr>
                <w:b/>
                <w:sz w:val="20"/>
                <w:szCs w:val="20"/>
              </w:rPr>
            </w:pPr>
            <w:r w:rsidRPr="00430335">
              <w:rPr>
                <w:b/>
                <w:bCs/>
                <w:color w:val="000000"/>
              </w:rPr>
              <w:t>Fuel size class</w:t>
            </w:r>
          </w:p>
        </w:tc>
      </w:tr>
      <w:tr w:rsidR="002137D9" w:rsidRPr="0095171D" w:rsidTr="00D21CE1">
        <w:trPr>
          <w:trHeight w:val="255"/>
          <w:jc w:val="center"/>
        </w:trPr>
        <w:tc>
          <w:tcPr>
            <w:tcW w:w="1700" w:type="dxa"/>
            <w:tcBorders>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D9" w:rsidRPr="0095171D" w:rsidRDefault="00B0547F" w:rsidP="003D0A95">
            <w:pPr>
              <w:jc w:val="center"/>
              <w:rPr>
                <w:b/>
              </w:rPr>
            </w:pPr>
            <w:r w:rsidRPr="00B0547F">
              <w:rPr>
                <w:b/>
              </w:rPr>
              <w:t>Fine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B0547F" w:rsidP="003D0A95">
            <w:pPr>
              <w:jc w:val="center"/>
              <w:rPr>
                <w:b/>
              </w:rPr>
            </w:pPr>
            <w:r w:rsidRPr="00B0547F">
              <w:rPr>
                <w:b/>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B0547F" w:rsidP="003D0A95">
            <w:pPr>
              <w:jc w:val="center"/>
              <w:rPr>
                <w:b/>
              </w:rPr>
            </w:pPr>
            <w:r w:rsidRPr="00B0547F">
              <w:rPr>
                <w:b/>
              </w:rPr>
              <w:t>Heavy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B0547F" w:rsidP="003D0A95">
            <w:pPr>
              <w:jc w:val="center"/>
              <w:rPr>
                <w:b/>
              </w:rPr>
            </w:pPr>
            <w:r w:rsidRPr="00B0547F">
              <w:rPr>
                <w:b/>
              </w:rPr>
              <w:t>Shrub</w:t>
            </w:r>
          </w:p>
        </w:tc>
      </w:tr>
      <w:tr w:rsidR="002137D9" w:rsidRPr="0095171D" w:rsidTr="00D21CE1">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EOF</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D9" w:rsidRPr="0095171D" w:rsidRDefault="002F1104" w:rsidP="003D0A95">
            <w:pPr>
              <w:jc w:val="center"/>
              <w:rPr>
                <w:color w:val="000000"/>
              </w:rPr>
            </w:pPr>
            <w:r w:rsidRPr="0095171D">
              <w:rPr>
                <w:color w:val="000000"/>
              </w:rPr>
              <w:t>Import values from Table 1</w:t>
            </w:r>
            <w:r w:rsidR="00132A95" w:rsidRPr="0095171D">
              <w:rPr>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1.5</w:t>
            </w:r>
          </w:p>
        </w:tc>
      </w:tr>
      <w:tr w:rsidR="002137D9" w:rsidRPr="0095171D" w:rsidTr="00D21CE1">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EW</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D9" w:rsidRPr="0095171D" w:rsidRDefault="002F1104" w:rsidP="003D0A95">
            <w:pPr>
              <w:jc w:val="center"/>
            </w:pPr>
            <w:r w:rsidRPr="0095171D">
              <w:rPr>
                <w:color w:val="000000"/>
              </w:rPr>
              <w:t>Import values from Table 1</w:t>
            </w:r>
            <w:r w:rsidR="00132A95" w:rsidRPr="0095171D">
              <w:rPr>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0.5</w:t>
            </w:r>
          </w:p>
        </w:tc>
      </w:tr>
      <w:tr w:rsidR="002137D9" w:rsidRPr="0095171D" w:rsidTr="00D21CE1">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SW</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D9" w:rsidRPr="0095171D" w:rsidRDefault="002F1104" w:rsidP="003D0A95">
            <w:pPr>
              <w:jc w:val="center"/>
            </w:pPr>
            <w:r w:rsidRPr="0095171D">
              <w:rPr>
                <w:color w:val="000000"/>
              </w:rPr>
              <w:t>Import values from Table 1</w:t>
            </w:r>
            <w:r w:rsidR="00132A95" w:rsidRPr="0095171D">
              <w:rPr>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1.7</w:t>
            </w:r>
          </w:p>
        </w:tc>
      </w:tr>
      <w:tr w:rsidR="002137D9" w:rsidRPr="0095171D" w:rsidTr="00D21CE1">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D9" w:rsidRPr="0095171D" w:rsidRDefault="002F1104" w:rsidP="003D0A95">
            <w:pPr>
              <w:jc w:val="center"/>
            </w:pPr>
            <w:r w:rsidRPr="0095171D">
              <w:rPr>
                <w:color w:val="000000"/>
              </w:rPr>
              <w:t>Import values from Table 1</w:t>
            </w:r>
            <w:r w:rsidR="00132A95" w:rsidRPr="0095171D">
              <w:rPr>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137D9" w:rsidRPr="0095171D" w:rsidRDefault="002F1104" w:rsidP="003D0A95">
            <w:pPr>
              <w:jc w:val="center"/>
              <w:rPr>
                <w:color w:val="000000"/>
              </w:rPr>
            </w:pPr>
            <w:r w:rsidRPr="0095171D">
              <w:rPr>
                <w:color w:val="000000"/>
              </w:rPr>
              <w:t>1.8</w:t>
            </w:r>
          </w:p>
        </w:tc>
      </w:tr>
    </w:tbl>
    <w:p w:rsidR="006546C4" w:rsidRPr="0095171D" w:rsidRDefault="006546C4" w:rsidP="00010FE9">
      <w:pPr>
        <w:jc w:val="center"/>
        <w:rPr>
          <w:iCs/>
        </w:rPr>
      </w:pPr>
    </w:p>
    <w:p w:rsidR="00B0547F" w:rsidRPr="00B0547F" w:rsidRDefault="00B0547F" w:rsidP="00B0547F">
      <w:pPr>
        <w:pStyle w:val="BodyTextIndent"/>
        <w:spacing w:after="0"/>
        <w:ind w:left="0"/>
        <w:jc w:val="center"/>
        <w:rPr>
          <w:rFonts w:eastAsia="Calibri"/>
          <w:b/>
          <w:szCs w:val="22"/>
        </w:rPr>
      </w:pPr>
      <w:r w:rsidRPr="00B0547F">
        <w:rPr>
          <w:rFonts w:eastAsia="Calibri"/>
          <w:b/>
          <w:szCs w:val="22"/>
        </w:rPr>
        <w:t xml:space="preserve">Table 14: Number of burnt pixels by YSLB </w:t>
      </w:r>
    </w:p>
    <w:tbl>
      <w:tblPr>
        <w:tblW w:w="6376" w:type="dxa"/>
        <w:jc w:val="center"/>
        <w:tblLook w:val="04A0"/>
      </w:tblPr>
      <w:tblGrid>
        <w:gridCol w:w="1324"/>
        <w:gridCol w:w="739"/>
        <w:gridCol w:w="726"/>
        <w:gridCol w:w="706"/>
        <w:gridCol w:w="706"/>
        <w:gridCol w:w="706"/>
        <w:gridCol w:w="706"/>
        <w:gridCol w:w="763"/>
      </w:tblGrid>
      <w:tr w:rsidR="002137D9" w:rsidRPr="0095171D" w:rsidTr="003D0A95">
        <w:trPr>
          <w:trHeight w:val="293"/>
          <w:jc w:val="center"/>
        </w:trPr>
        <w:tc>
          <w:tcPr>
            <w:tcW w:w="1230" w:type="dxa"/>
            <w:vMerge w:val="restart"/>
            <w:tcBorders>
              <w:top w:val="single" w:sz="4" w:space="0" w:color="auto"/>
              <w:left w:val="single" w:sz="4" w:space="0" w:color="auto"/>
              <w:right w:val="single" w:sz="4" w:space="0" w:color="auto"/>
            </w:tcBorders>
            <w:vAlign w:val="center"/>
          </w:tcPr>
          <w:p w:rsidR="00B0547F" w:rsidRDefault="00EB13E3" w:rsidP="00B0547F">
            <w:pPr>
              <w:jc w:val="center"/>
              <w:rPr>
                <w:b/>
                <w:bCs/>
                <w:color w:val="000000"/>
              </w:rPr>
            </w:pPr>
            <w:r w:rsidRPr="0095171D">
              <w:rPr>
                <w:b/>
                <w:bCs/>
                <w:color w:val="000000"/>
              </w:rPr>
              <w:t>Vegetation class</w:t>
            </w:r>
          </w:p>
        </w:tc>
        <w:tc>
          <w:tcPr>
            <w:tcW w:w="43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137D9" w:rsidRPr="0095171D" w:rsidRDefault="002F1104" w:rsidP="003D0A95">
            <w:pPr>
              <w:jc w:val="center"/>
              <w:rPr>
                <w:b/>
                <w:bCs/>
                <w:color w:val="000000"/>
              </w:rPr>
            </w:pPr>
            <w:r w:rsidRPr="0095171D">
              <w:rPr>
                <w:b/>
                <w:bCs/>
                <w:color w:val="000000"/>
              </w:rPr>
              <w:t>YSLB</w:t>
            </w:r>
          </w:p>
        </w:tc>
        <w:tc>
          <w:tcPr>
            <w:tcW w:w="758" w:type="dxa"/>
            <w:vMerge w:val="restart"/>
            <w:tcBorders>
              <w:top w:val="single" w:sz="4" w:space="0" w:color="auto"/>
              <w:left w:val="single" w:sz="4" w:space="0" w:color="auto"/>
              <w:right w:val="single" w:sz="4" w:space="0" w:color="auto"/>
            </w:tcBorders>
            <w:vAlign w:val="center"/>
          </w:tcPr>
          <w:p w:rsidR="002137D9" w:rsidRPr="0095171D" w:rsidRDefault="002F1104" w:rsidP="003D0A95">
            <w:pPr>
              <w:jc w:val="center"/>
              <w:rPr>
                <w:b/>
                <w:bCs/>
                <w:color w:val="000000"/>
              </w:rPr>
            </w:pPr>
            <w:r w:rsidRPr="0095171D">
              <w:rPr>
                <w:b/>
                <w:bCs/>
                <w:color w:val="000000"/>
              </w:rPr>
              <w:t>Total</w:t>
            </w:r>
          </w:p>
        </w:tc>
      </w:tr>
      <w:tr w:rsidR="002137D9" w:rsidRPr="0095171D" w:rsidTr="003D0A95">
        <w:trPr>
          <w:trHeight w:val="300"/>
          <w:jc w:val="center"/>
        </w:trPr>
        <w:tc>
          <w:tcPr>
            <w:tcW w:w="1230"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1</w:t>
            </w:r>
          </w:p>
        </w:tc>
        <w:tc>
          <w:tcPr>
            <w:tcW w:w="743"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2</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3</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4</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5</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&gt;5</w:t>
            </w:r>
          </w:p>
        </w:tc>
        <w:tc>
          <w:tcPr>
            <w:tcW w:w="758"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43"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total</w:t>
            </w: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43"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total</w:t>
            </w: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43"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total</w:t>
            </w: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43"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22"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b</w:t>
            </w: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N</w:t>
            </w:r>
            <w:r w:rsidRPr="0095171D">
              <w:rPr>
                <w:vertAlign w:val="subscript"/>
              </w:rPr>
              <w:t>total</w:t>
            </w:r>
          </w:p>
        </w:tc>
      </w:tr>
    </w:tbl>
    <w:p w:rsidR="002137D9" w:rsidRPr="0095171D" w:rsidRDefault="002137D9" w:rsidP="00010FE9">
      <w:pPr>
        <w:jc w:val="center"/>
        <w:rPr>
          <w:iCs/>
        </w:rPr>
      </w:pPr>
    </w:p>
    <w:p w:rsidR="00B0547F" w:rsidRPr="00B0547F" w:rsidRDefault="00B0547F" w:rsidP="00B0547F">
      <w:pPr>
        <w:pStyle w:val="BodyTextIndent"/>
        <w:spacing w:after="0"/>
        <w:ind w:left="0"/>
        <w:jc w:val="center"/>
        <w:rPr>
          <w:rFonts w:eastAsia="Calibri"/>
          <w:b/>
          <w:szCs w:val="22"/>
        </w:rPr>
      </w:pPr>
      <w:r w:rsidRPr="00B0547F">
        <w:rPr>
          <w:rFonts w:eastAsia="Calibri"/>
          <w:b/>
          <w:szCs w:val="22"/>
        </w:rPr>
        <w:t xml:space="preserve">Table 15: </w:t>
      </w:r>
      <w:r w:rsidR="007F404F">
        <w:rPr>
          <w:rFonts w:eastAsia="Calibri"/>
          <w:b/>
          <w:szCs w:val="22"/>
        </w:rPr>
        <w:t>Relative f</w:t>
      </w:r>
      <w:r w:rsidRPr="00B0547F">
        <w:rPr>
          <w:rFonts w:eastAsia="Calibri"/>
          <w:b/>
          <w:szCs w:val="22"/>
        </w:rPr>
        <w:t>requency distribution of YSLB values</w:t>
      </w:r>
    </w:p>
    <w:tbl>
      <w:tblPr>
        <w:tblW w:w="6376" w:type="dxa"/>
        <w:jc w:val="center"/>
        <w:tblLook w:val="04A0"/>
      </w:tblPr>
      <w:tblGrid>
        <w:gridCol w:w="1323"/>
        <w:gridCol w:w="739"/>
        <w:gridCol w:w="725"/>
        <w:gridCol w:w="705"/>
        <w:gridCol w:w="705"/>
        <w:gridCol w:w="705"/>
        <w:gridCol w:w="711"/>
        <w:gridCol w:w="763"/>
      </w:tblGrid>
      <w:tr w:rsidR="002137D9" w:rsidRPr="0095171D" w:rsidTr="003D0A95">
        <w:trPr>
          <w:trHeight w:val="299"/>
          <w:jc w:val="center"/>
        </w:trPr>
        <w:tc>
          <w:tcPr>
            <w:tcW w:w="1230" w:type="dxa"/>
            <w:vMerge w:val="restart"/>
            <w:tcBorders>
              <w:top w:val="single" w:sz="4" w:space="0" w:color="auto"/>
              <w:left w:val="single" w:sz="4" w:space="0" w:color="auto"/>
              <w:right w:val="single" w:sz="4" w:space="0" w:color="auto"/>
            </w:tcBorders>
            <w:vAlign w:val="center"/>
          </w:tcPr>
          <w:p w:rsidR="00B0547F" w:rsidRDefault="00EB13E3" w:rsidP="00B0547F">
            <w:pPr>
              <w:jc w:val="center"/>
              <w:rPr>
                <w:b/>
                <w:bCs/>
                <w:color w:val="000000"/>
              </w:rPr>
            </w:pPr>
            <w:r w:rsidRPr="0095171D">
              <w:rPr>
                <w:b/>
                <w:bCs/>
                <w:color w:val="000000"/>
              </w:rPr>
              <w:t>Vegetation class</w:t>
            </w:r>
          </w:p>
        </w:tc>
        <w:tc>
          <w:tcPr>
            <w:tcW w:w="43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137D9" w:rsidRPr="0095171D" w:rsidRDefault="002F1104" w:rsidP="003D0A95">
            <w:pPr>
              <w:jc w:val="center"/>
              <w:rPr>
                <w:b/>
                <w:bCs/>
                <w:color w:val="000000"/>
              </w:rPr>
            </w:pPr>
            <w:r w:rsidRPr="0095171D">
              <w:rPr>
                <w:b/>
                <w:bCs/>
                <w:color w:val="000000"/>
              </w:rPr>
              <w:t>YSLB</w:t>
            </w:r>
          </w:p>
        </w:tc>
        <w:tc>
          <w:tcPr>
            <w:tcW w:w="758" w:type="dxa"/>
            <w:vMerge w:val="restart"/>
            <w:tcBorders>
              <w:top w:val="single" w:sz="4" w:space="0" w:color="auto"/>
              <w:left w:val="single" w:sz="4" w:space="0" w:color="auto"/>
              <w:right w:val="single" w:sz="4" w:space="0" w:color="auto"/>
            </w:tcBorders>
            <w:vAlign w:val="center"/>
          </w:tcPr>
          <w:p w:rsidR="002137D9" w:rsidRPr="0095171D" w:rsidRDefault="002F1104" w:rsidP="003D0A95">
            <w:pPr>
              <w:jc w:val="center"/>
              <w:rPr>
                <w:b/>
                <w:bCs/>
                <w:color w:val="000000"/>
              </w:rPr>
            </w:pPr>
            <w:r w:rsidRPr="0095171D">
              <w:rPr>
                <w:b/>
                <w:bCs/>
                <w:color w:val="000000"/>
              </w:rPr>
              <w:t>Total</w:t>
            </w:r>
          </w:p>
        </w:tc>
      </w:tr>
      <w:tr w:rsidR="002137D9" w:rsidRPr="0095171D" w:rsidTr="003D0A95">
        <w:trPr>
          <w:trHeight w:val="300"/>
          <w:jc w:val="center"/>
        </w:trPr>
        <w:tc>
          <w:tcPr>
            <w:tcW w:w="1230"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1</w:t>
            </w:r>
          </w:p>
        </w:tc>
        <w:tc>
          <w:tcPr>
            <w:tcW w:w="743"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2</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3</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4</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5</w:t>
            </w:r>
          </w:p>
        </w:tc>
        <w:tc>
          <w:tcPr>
            <w:tcW w:w="722"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&gt;5</w:t>
            </w:r>
          </w:p>
        </w:tc>
        <w:tc>
          <w:tcPr>
            <w:tcW w:w="758"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743"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1</w:t>
            </w: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743"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1</w:t>
            </w: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743"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1</w:t>
            </w:r>
          </w:p>
        </w:tc>
      </w:tr>
      <w:tr w:rsidR="002137D9" w:rsidRPr="0095171D" w:rsidTr="003D0A95">
        <w:trPr>
          <w:trHeight w:val="300"/>
          <w:jc w:val="center"/>
        </w:trPr>
        <w:tc>
          <w:tcPr>
            <w:tcW w:w="1230"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743"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22" w:type="dxa"/>
            <w:tcBorders>
              <w:top w:val="nil"/>
              <w:left w:val="nil"/>
              <w:bottom w:val="single" w:sz="4" w:space="0" w:color="auto"/>
              <w:right w:val="single" w:sz="4" w:space="0" w:color="auto"/>
            </w:tcBorders>
            <w:vAlign w:val="center"/>
          </w:tcPr>
          <w:p w:rsidR="00B0547F" w:rsidRDefault="00B0547F" w:rsidP="00B0547F">
            <w:pPr>
              <w:jc w:val="center"/>
            </w:pPr>
          </w:p>
        </w:tc>
        <w:tc>
          <w:tcPr>
            <w:tcW w:w="758" w:type="dxa"/>
            <w:tcBorders>
              <w:top w:val="nil"/>
              <w:left w:val="nil"/>
              <w:bottom w:val="single" w:sz="4" w:space="0" w:color="auto"/>
              <w:right w:val="single" w:sz="4" w:space="0" w:color="auto"/>
            </w:tcBorders>
            <w:vAlign w:val="center"/>
          </w:tcPr>
          <w:p w:rsidR="00B0547F" w:rsidRDefault="002F1104" w:rsidP="00B0547F">
            <w:pPr>
              <w:jc w:val="center"/>
            </w:pPr>
            <w:r w:rsidRPr="0095171D">
              <w:t>1</w:t>
            </w:r>
          </w:p>
        </w:tc>
      </w:tr>
    </w:tbl>
    <w:p w:rsidR="002137D9" w:rsidRPr="0095171D" w:rsidRDefault="002137D9" w:rsidP="00010FE9">
      <w:pPr>
        <w:jc w:val="center"/>
        <w:rPr>
          <w:iCs/>
        </w:rPr>
      </w:pPr>
    </w:p>
    <w:p w:rsidR="00B0547F" w:rsidRPr="00B0547F" w:rsidRDefault="00B0547F" w:rsidP="00B0547F">
      <w:pPr>
        <w:pStyle w:val="BodyTextIndent"/>
        <w:spacing w:after="0"/>
        <w:ind w:left="0"/>
        <w:jc w:val="center"/>
        <w:rPr>
          <w:rFonts w:eastAsia="Calibri"/>
          <w:b/>
          <w:szCs w:val="22"/>
        </w:rPr>
      </w:pPr>
      <w:r w:rsidRPr="00B0547F">
        <w:rPr>
          <w:rFonts w:eastAsia="Calibri"/>
          <w:b/>
          <w:szCs w:val="22"/>
        </w:rPr>
        <w:t>Table 16: Fine fuel load (t ha</w:t>
      </w:r>
      <w:r w:rsidR="00430335" w:rsidRPr="00430335">
        <w:rPr>
          <w:rFonts w:eastAsia="Calibri"/>
          <w:b/>
          <w:szCs w:val="22"/>
          <w:vertAlign w:val="superscript"/>
        </w:rPr>
        <w:t>-1</w:t>
      </w:r>
      <w:r w:rsidRPr="00B0547F">
        <w:rPr>
          <w:rFonts w:eastAsia="Calibri"/>
          <w:b/>
          <w:szCs w:val="22"/>
        </w:rPr>
        <w:t>)</w:t>
      </w:r>
    </w:p>
    <w:tbl>
      <w:tblPr>
        <w:tblW w:w="6897" w:type="dxa"/>
        <w:jc w:val="center"/>
        <w:tblLook w:val="04A0"/>
      </w:tblPr>
      <w:tblGrid>
        <w:gridCol w:w="1323"/>
        <w:gridCol w:w="702"/>
        <w:gridCol w:w="692"/>
        <w:gridCol w:w="676"/>
        <w:gridCol w:w="676"/>
        <w:gridCol w:w="676"/>
        <w:gridCol w:w="689"/>
        <w:gridCol w:w="1463"/>
      </w:tblGrid>
      <w:tr w:rsidR="002137D9" w:rsidRPr="0095171D" w:rsidTr="00C232C6">
        <w:trPr>
          <w:trHeight w:val="353"/>
          <w:jc w:val="center"/>
        </w:trPr>
        <w:tc>
          <w:tcPr>
            <w:tcW w:w="1323" w:type="dxa"/>
            <w:vMerge w:val="restart"/>
            <w:tcBorders>
              <w:top w:val="single" w:sz="4" w:space="0" w:color="auto"/>
              <w:left w:val="single" w:sz="4" w:space="0" w:color="auto"/>
              <w:right w:val="single" w:sz="4" w:space="0" w:color="auto"/>
            </w:tcBorders>
            <w:vAlign w:val="center"/>
          </w:tcPr>
          <w:p w:rsidR="00B0547F" w:rsidRDefault="00EB13E3" w:rsidP="00B0547F">
            <w:pPr>
              <w:jc w:val="center"/>
              <w:rPr>
                <w:b/>
                <w:bCs/>
                <w:color w:val="000000"/>
              </w:rPr>
            </w:pPr>
            <w:r w:rsidRPr="0095171D">
              <w:rPr>
                <w:b/>
                <w:bCs/>
                <w:color w:val="000000"/>
              </w:rPr>
              <w:t>Vegetation class</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137D9" w:rsidRPr="0095171D" w:rsidRDefault="002F1104" w:rsidP="003D0A95">
            <w:pPr>
              <w:jc w:val="center"/>
              <w:rPr>
                <w:b/>
                <w:bCs/>
                <w:color w:val="000000"/>
              </w:rPr>
            </w:pPr>
            <w:r w:rsidRPr="0095171D">
              <w:rPr>
                <w:b/>
                <w:bCs/>
                <w:color w:val="000000"/>
              </w:rPr>
              <w:t>YSLB</w:t>
            </w:r>
          </w:p>
        </w:tc>
        <w:tc>
          <w:tcPr>
            <w:tcW w:w="1463" w:type="dxa"/>
            <w:vMerge w:val="restart"/>
            <w:tcBorders>
              <w:top w:val="single" w:sz="4" w:space="0" w:color="auto"/>
              <w:left w:val="single" w:sz="4" w:space="0" w:color="auto"/>
              <w:right w:val="single" w:sz="4" w:space="0" w:color="auto"/>
            </w:tcBorders>
            <w:vAlign w:val="center"/>
          </w:tcPr>
          <w:p w:rsidR="002137D9" w:rsidRPr="0095171D" w:rsidRDefault="002F1104" w:rsidP="003D0A95">
            <w:pPr>
              <w:jc w:val="center"/>
              <w:rPr>
                <w:b/>
                <w:bCs/>
                <w:color w:val="000000"/>
              </w:rPr>
            </w:pPr>
            <w:r w:rsidRPr="0095171D">
              <w:rPr>
                <w:b/>
                <w:bCs/>
                <w:color w:val="000000"/>
              </w:rPr>
              <w:t>Total</w:t>
            </w:r>
          </w:p>
        </w:tc>
      </w:tr>
      <w:tr w:rsidR="002137D9" w:rsidRPr="0095171D" w:rsidTr="00C232C6">
        <w:trPr>
          <w:trHeight w:val="300"/>
          <w:jc w:val="center"/>
        </w:trPr>
        <w:tc>
          <w:tcPr>
            <w:tcW w:w="1323"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1</w:t>
            </w:r>
          </w:p>
        </w:tc>
        <w:tc>
          <w:tcPr>
            <w:tcW w:w="692" w:type="dxa"/>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2</w:t>
            </w:r>
          </w:p>
        </w:tc>
        <w:tc>
          <w:tcPr>
            <w:tcW w:w="676"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3</w:t>
            </w:r>
          </w:p>
        </w:tc>
        <w:tc>
          <w:tcPr>
            <w:tcW w:w="676"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4</w:t>
            </w:r>
          </w:p>
        </w:tc>
        <w:tc>
          <w:tcPr>
            <w:tcW w:w="676"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5</w:t>
            </w:r>
          </w:p>
        </w:tc>
        <w:tc>
          <w:tcPr>
            <w:tcW w:w="689" w:type="dxa"/>
            <w:tcBorders>
              <w:top w:val="nil"/>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cr/>
              <w:t>&gt;5</w:t>
            </w:r>
          </w:p>
        </w:tc>
        <w:tc>
          <w:tcPr>
            <w:tcW w:w="1463"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r>
      <w:tr w:rsidR="002137D9" w:rsidRPr="0095171D" w:rsidTr="00C232C6">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692"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89" w:type="dxa"/>
            <w:tcBorders>
              <w:top w:val="nil"/>
              <w:left w:val="nil"/>
              <w:bottom w:val="single" w:sz="4" w:space="0" w:color="auto"/>
              <w:right w:val="single" w:sz="4" w:space="0" w:color="auto"/>
            </w:tcBorders>
            <w:vAlign w:val="center"/>
          </w:tcPr>
          <w:p w:rsidR="00B0547F" w:rsidRDefault="00B0547F" w:rsidP="00B0547F">
            <w:pPr>
              <w:jc w:val="center"/>
            </w:pPr>
          </w:p>
        </w:tc>
        <w:tc>
          <w:tcPr>
            <w:tcW w:w="1463" w:type="dxa"/>
            <w:tcBorders>
              <w:top w:val="nil"/>
              <w:left w:val="nil"/>
              <w:bottom w:val="single" w:sz="4" w:space="0" w:color="auto"/>
              <w:right w:val="single" w:sz="4" w:space="0" w:color="auto"/>
            </w:tcBorders>
            <w:vAlign w:val="center"/>
          </w:tcPr>
          <w:p w:rsidR="002137D9" w:rsidRPr="00C232C6" w:rsidRDefault="00B0547F" w:rsidP="00C232C6">
            <w:pPr>
              <w:jc w:val="center"/>
              <w:rPr>
                <w:sz w:val="20"/>
                <w:szCs w:val="20"/>
                <w:vertAlign w:val="subscript"/>
              </w:rPr>
            </w:pPr>
            <w:r w:rsidRPr="00B0547F">
              <w:rPr>
                <w:sz w:val="20"/>
                <w:szCs w:val="20"/>
              </w:rPr>
              <w:t>Record and transfer to Table 13</w:t>
            </w:r>
          </w:p>
        </w:tc>
      </w:tr>
      <w:tr w:rsidR="00C232C6" w:rsidRPr="0095171D" w:rsidTr="00C232C6">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232C6" w:rsidP="00B0547F">
            <w:pPr>
              <w:jc w:val="center"/>
              <w:rPr>
                <w:b/>
                <w:bCs/>
                <w:color w:val="000000"/>
              </w:rPr>
            </w:pPr>
            <w:r w:rsidRPr="0095171D">
              <w:rPr>
                <w:b/>
                <w:bCs/>
                <w:color w:val="000000"/>
              </w:rPr>
              <w:t>EW</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692"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89" w:type="dxa"/>
            <w:tcBorders>
              <w:top w:val="nil"/>
              <w:left w:val="nil"/>
              <w:bottom w:val="single" w:sz="4" w:space="0" w:color="auto"/>
              <w:right w:val="single" w:sz="4" w:space="0" w:color="auto"/>
            </w:tcBorders>
            <w:vAlign w:val="center"/>
          </w:tcPr>
          <w:p w:rsidR="00B0547F" w:rsidRDefault="00B0547F" w:rsidP="00B0547F">
            <w:pPr>
              <w:jc w:val="center"/>
            </w:pPr>
          </w:p>
        </w:tc>
        <w:tc>
          <w:tcPr>
            <w:tcW w:w="1463" w:type="dxa"/>
            <w:tcBorders>
              <w:top w:val="nil"/>
              <w:left w:val="nil"/>
              <w:bottom w:val="single" w:sz="4" w:space="0" w:color="auto"/>
              <w:right w:val="single" w:sz="4" w:space="0" w:color="auto"/>
            </w:tcBorders>
          </w:tcPr>
          <w:p w:rsidR="00C232C6" w:rsidRPr="0095171D" w:rsidRDefault="00C232C6" w:rsidP="003D0A95">
            <w:pPr>
              <w:jc w:val="center"/>
            </w:pPr>
            <w:r w:rsidRPr="00153E18">
              <w:rPr>
                <w:sz w:val="20"/>
                <w:szCs w:val="20"/>
              </w:rPr>
              <w:t>Record and transfer to Table 13</w:t>
            </w:r>
          </w:p>
        </w:tc>
      </w:tr>
      <w:tr w:rsidR="00C232C6" w:rsidRPr="0095171D" w:rsidTr="00C232C6">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232C6" w:rsidP="00B0547F">
            <w:pPr>
              <w:jc w:val="center"/>
              <w:rPr>
                <w:b/>
                <w:bCs/>
                <w:color w:val="000000"/>
              </w:rPr>
            </w:pPr>
            <w:r w:rsidRPr="0095171D">
              <w:rPr>
                <w:b/>
                <w:bCs/>
                <w:color w:val="000000"/>
              </w:rPr>
              <w:t>SW</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692"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89" w:type="dxa"/>
            <w:tcBorders>
              <w:top w:val="nil"/>
              <w:left w:val="nil"/>
              <w:bottom w:val="single" w:sz="4" w:space="0" w:color="auto"/>
              <w:right w:val="single" w:sz="4" w:space="0" w:color="auto"/>
            </w:tcBorders>
            <w:vAlign w:val="center"/>
          </w:tcPr>
          <w:p w:rsidR="00B0547F" w:rsidRDefault="00B0547F" w:rsidP="00B0547F">
            <w:pPr>
              <w:jc w:val="center"/>
            </w:pPr>
          </w:p>
        </w:tc>
        <w:tc>
          <w:tcPr>
            <w:tcW w:w="1463" w:type="dxa"/>
            <w:tcBorders>
              <w:top w:val="nil"/>
              <w:left w:val="nil"/>
              <w:bottom w:val="single" w:sz="4" w:space="0" w:color="auto"/>
              <w:right w:val="single" w:sz="4" w:space="0" w:color="auto"/>
            </w:tcBorders>
          </w:tcPr>
          <w:p w:rsidR="00C232C6" w:rsidRPr="0095171D" w:rsidRDefault="00C232C6" w:rsidP="003D0A95">
            <w:pPr>
              <w:jc w:val="center"/>
            </w:pPr>
            <w:r w:rsidRPr="00153E18">
              <w:rPr>
                <w:sz w:val="20"/>
                <w:szCs w:val="20"/>
              </w:rPr>
              <w:t>Record and transfer to Table 13</w:t>
            </w:r>
          </w:p>
        </w:tc>
      </w:tr>
      <w:tr w:rsidR="00C232C6" w:rsidRPr="0095171D" w:rsidTr="00C232C6">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232C6" w:rsidP="00B0547F">
            <w:pPr>
              <w:jc w:val="center"/>
              <w:rPr>
                <w:b/>
                <w:bCs/>
                <w:color w:val="000000"/>
              </w:rPr>
            </w:pPr>
            <w:r w:rsidRPr="0095171D">
              <w:rPr>
                <w:b/>
                <w:bCs/>
                <w:color w:val="000000"/>
              </w:rPr>
              <w:t>SH</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692" w:type="dxa"/>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76" w:type="dxa"/>
            <w:tcBorders>
              <w:top w:val="nil"/>
              <w:left w:val="nil"/>
              <w:bottom w:val="single" w:sz="4" w:space="0" w:color="auto"/>
              <w:right w:val="single" w:sz="4" w:space="0" w:color="auto"/>
            </w:tcBorders>
            <w:vAlign w:val="center"/>
          </w:tcPr>
          <w:p w:rsidR="00B0547F" w:rsidRDefault="00B0547F" w:rsidP="00B0547F">
            <w:pPr>
              <w:jc w:val="center"/>
            </w:pPr>
          </w:p>
        </w:tc>
        <w:tc>
          <w:tcPr>
            <w:tcW w:w="689" w:type="dxa"/>
            <w:tcBorders>
              <w:top w:val="nil"/>
              <w:left w:val="nil"/>
              <w:bottom w:val="single" w:sz="4" w:space="0" w:color="auto"/>
              <w:right w:val="single" w:sz="4" w:space="0" w:color="auto"/>
            </w:tcBorders>
            <w:vAlign w:val="center"/>
          </w:tcPr>
          <w:p w:rsidR="00B0547F" w:rsidRDefault="00B0547F" w:rsidP="00B0547F">
            <w:pPr>
              <w:jc w:val="center"/>
            </w:pPr>
          </w:p>
        </w:tc>
        <w:tc>
          <w:tcPr>
            <w:tcW w:w="1463" w:type="dxa"/>
            <w:tcBorders>
              <w:top w:val="nil"/>
              <w:left w:val="nil"/>
              <w:bottom w:val="single" w:sz="4" w:space="0" w:color="auto"/>
              <w:right w:val="single" w:sz="4" w:space="0" w:color="auto"/>
            </w:tcBorders>
          </w:tcPr>
          <w:p w:rsidR="00C232C6" w:rsidRPr="0095171D" w:rsidRDefault="00C232C6" w:rsidP="003D0A95">
            <w:pPr>
              <w:jc w:val="center"/>
            </w:pPr>
            <w:r w:rsidRPr="00153E18">
              <w:rPr>
                <w:sz w:val="20"/>
                <w:szCs w:val="20"/>
              </w:rPr>
              <w:t>Record and transfer to Table 13</w:t>
            </w:r>
          </w:p>
        </w:tc>
      </w:tr>
    </w:tbl>
    <w:p w:rsidR="002137D9" w:rsidRPr="0095171D" w:rsidRDefault="002137D9" w:rsidP="00010FE9">
      <w:pPr>
        <w:jc w:val="center"/>
        <w:rPr>
          <w:iCs/>
        </w:rPr>
      </w:pPr>
    </w:p>
    <w:p w:rsidR="007F404F" w:rsidRDefault="007F404F">
      <w:pPr>
        <w:rPr>
          <w:b/>
        </w:rPr>
      </w:pPr>
      <w:r>
        <w:rPr>
          <w:b/>
        </w:rPr>
        <w:br w:type="page"/>
      </w:r>
    </w:p>
    <w:p w:rsidR="00B0547F" w:rsidRDefault="00B0547F" w:rsidP="00B0547F">
      <w:pPr>
        <w:pStyle w:val="BodyTextIndent"/>
        <w:spacing w:after="0"/>
        <w:ind w:left="0"/>
        <w:jc w:val="center"/>
        <w:rPr>
          <w:b/>
        </w:rPr>
      </w:pPr>
      <w:r w:rsidRPr="00B0547F">
        <w:rPr>
          <w:b/>
        </w:rPr>
        <w:lastRenderedPageBreak/>
        <w:t>Table 17: Potential emissions for CH</w:t>
      </w:r>
      <w:r w:rsidRPr="00B0547F">
        <w:rPr>
          <w:b/>
          <w:vertAlign w:val="subscript"/>
        </w:rPr>
        <w:t>4</w:t>
      </w:r>
      <w:r w:rsidRPr="00B0547F">
        <w:rPr>
          <w:b/>
        </w:rPr>
        <w:t xml:space="preserve"> in EDS (t ha</w:t>
      </w:r>
      <w:r w:rsidRPr="00B0547F">
        <w:rPr>
          <w:b/>
          <w:vertAlign w:val="superscript"/>
        </w:rPr>
        <w:t>-1</w:t>
      </w:r>
      <w:r w:rsidRPr="00B0547F">
        <w:rPr>
          <w:b/>
        </w:rPr>
        <w:t>)</w:t>
      </w:r>
    </w:p>
    <w:tbl>
      <w:tblPr>
        <w:tblW w:w="9016" w:type="dxa"/>
        <w:jc w:val="center"/>
        <w:tblLook w:val="0000"/>
      </w:tblPr>
      <w:tblGrid>
        <w:gridCol w:w="1700"/>
        <w:gridCol w:w="1556"/>
        <w:gridCol w:w="1559"/>
        <w:gridCol w:w="1599"/>
        <w:gridCol w:w="1418"/>
        <w:gridCol w:w="1184"/>
      </w:tblGrid>
      <w:tr w:rsidR="002137D9" w:rsidRPr="0095171D" w:rsidTr="003D0A95">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Vegetation class</w:t>
            </w:r>
          </w:p>
        </w:tc>
        <w:tc>
          <w:tcPr>
            <w:tcW w:w="7316" w:type="dxa"/>
            <w:gridSpan w:val="5"/>
            <w:tcBorders>
              <w:top w:val="single" w:sz="4" w:space="0" w:color="auto"/>
              <w:left w:val="single" w:sz="4" w:space="0" w:color="auto"/>
              <w:bottom w:val="single" w:sz="4" w:space="0" w:color="auto"/>
              <w:right w:val="single" w:sz="8" w:space="0" w:color="auto"/>
            </w:tcBorders>
            <w:shd w:val="clear" w:color="auto" w:fill="auto"/>
            <w:noWrap/>
            <w:vAlign w:val="center"/>
          </w:tcPr>
          <w:p w:rsidR="002137D9" w:rsidRPr="0095171D" w:rsidRDefault="00B0547F" w:rsidP="003D0A95">
            <w:pPr>
              <w:jc w:val="center"/>
              <w:rPr>
                <w:b/>
              </w:rPr>
            </w:pPr>
            <w:r w:rsidRPr="00B0547F">
              <w:rPr>
                <w:b/>
              </w:rPr>
              <w:t>Fuel size class</w:t>
            </w:r>
          </w:p>
        </w:tc>
      </w:tr>
      <w:tr w:rsidR="002137D9" w:rsidRPr="0095171D" w:rsidTr="003D0A95">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Fine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Coarse</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Heavy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Shrub</w:t>
            </w:r>
          </w:p>
        </w:tc>
        <w:tc>
          <w:tcPr>
            <w:tcW w:w="1184" w:type="dxa"/>
            <w:tcBorders>
              <w:top w:val="single" w:sz="8" w:space="0" w:color="auto"/>
              <w:left w:val="single" w:sz="4" w:space="0" w:color="auto"/>
              <w:bottom w:val="single" w:sz="4" w:space="0" w:color="auto"/>
              <w:right w:val="single" w:sz="8" w:space="0" w:color="auto"/>
            </w:tcBorders>
            <w:vAlign w:val="center"/>
          </w:tcPr>
          <w:p w:rsidR="00B0547F" w:rsidRPr="007F404F" w:rsidRDefault="00430335" w:rsidP="00B0547F">
            <w:pPr>
              <w:jc w:val="center"/>
              <w:rPr>
                <w:b/>
              </w:rPr>
            </w:pPr>
            <w:r w:rsidRPr="00430335">
              <w:rPr>
                <w:b/>
              </w:rPr>
              <w:t>Total</w:t>
            </w: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EOF</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EW</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SW</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bl>
    <w:p w:rsidR="00B0547F" w:rsidRDefault="00B0547F" w:rsidP="00B0547F">
      <w:pPr>
        <w:pStyle w:val="BodyTextIndent"/>
        <w:spacing w:after="0"/>
        <w:ind w:left="0"/>
        <w:rPr>
          <w:b/>
          <w:sz w:val="22"/>
          <w:szCs w:val="22"/>
        </w:rPr>
      </w:pPr>
    </w:p>
    <w:p w:rsidR="00B0547F" w:rsidRDefault="00B0547F" w:rsidP="00B0547F">
      <w:pPr>
        <w:pStyle w:val="BodyTextIndent"/>
        <w:spacing w:after="0"/>
        <w:ind w:left="0"/>
        <w:jc w:val="center"/>
        <w:rPr>
          <w:b/>
        </w:rPr>
      </w:pPr>
      <w:r w:rsidRPr="00B0547F">
        <w:rPr>
          <w:b/>
        </w:rPr>
        <w:t>Table 18: Potential emissions for CH</w:t>
      </w:r>
      <w:r w:rsidRPr="00B0547F">
        <w:rPr>
          <w:b/>
          <w:vertAlign w:val="subscript"/>
        </w:rPr>
        <w:t>4</w:t>
      </w:r>
      <w:r w:rsidRPr="00B0547F">
        <w:rPr>
          <w:b/>
        </w:rPr>
        <w:t xml:space="preserve"> in LDS (t ha</w:t>
      </w:r>
      <w:r w:rsidRPr="00B0547F">
        <w:rPr>
          <w:b/>
          <w:vertAlign w:val="superscript"/>
        </w:rPr>
        <w:t>-1</w:t>
      </w:r>
      <w:r w:rsidRPr="00B0547F">
        <w:rPr>
          <w:b/>
        </w:rPr>
        <w:t>)</w:t>
      </w:r>
    </w:p>
    <w:tbl>
      <w:tblPr>
        <w:tblW w:w="9011" w:type="dxa"/>
        <w:jc w:val="center"/>
        <w:tblLook w:val="0000"/>
      </w:tblPr>
      <w:tblGrid>
        <w:gridCol w:w="1700"/>
        <w:gridCol w:w="1555"/>
        <w:gridCol w:w="1558"/>
        <w:gridCol w:w="1598"/>
        <w:gridCol w:w="1417"/>
        <w:gridCol w:w="1183"/>
      </w:tblGrid>
      <w:tr w:rsidR="002137D9" w:rsidRPr="0095171D" w:rsidTr="003D0A95">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Vegetation class</w:t>
            </w:r>
          </w:p>
        </w:tc>
        <w:tc>
          <w:tcPr>
            <w:tcW w:w="7311" w:type="dxa"/>
            <w:gridSpan w:val="5"/>
            <w:tcBorders>
              <w:top w:val="single" w:sz="4" w:space="0" w:color="auto"/>
              <w:left w:val="single" w:sz="4" w:space="0" w:color="auto"/>
              <w:bottom w:val="single" w:sz="4" w:space="0" w:color="auto"/>
              <w:right w:val="single" w:sz="8" w:space="0" w:color="auto"/>
            </w:tcBorders>
            <w:shd w:val="clear" w:color="auto" w:fill="auto"/>
            <w:noWrap/>
            <w:vAlign w:val="center"/>
          </w:tcPr>
          <w:p w:rsidR="002137D9" w:rsidRPr="0095171D" w:rsidRDefault="00B0547F" w:rsidP="003D0A95">
            <w:pPr>
              <w:jc w:val="center"/>
              <w:rPr>
                <w:b/>
              </w:rPr>
            </w:pPr>
            <w:r w:rsidRPr="00B0547F">
              <w:rPr>
                <w:b/>
              </w:rPr>
              <w:t>Fuel size class</w:t>
            </w:r>
          </w:p>
        </w:tc>
      </w:tr>
      <w:tr w:rsidR="002137D9" w:rsidRPr="0095171D" w:rsidTr="003D0A95">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Fine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Coarse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Heavy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Shrub</w:t>
            </w:r>
          </w:p>
        </w:tc>
        <w:tc>
          <w:tcPr>
            <w:tcW w:w="1183" w:type="dxa"/>
            <w:tcBorders>
              <w:top w:val="single" w:sz="8" w:space="0" w:color="auto"/>
              <w:left w:val="single" w:sz="4" w:space="0" w:color="auto"/>
              <w:bottom w:val="single" w:sz="4" w:space="0" w:color="auto"/>
              <w:right w:val="single" w:sz="8" w:space="0" w:color="auto"/>
            </w:tcBorders>
            <w:vAlign w:val="center"/>
          </w:tcPr>
          <w:p w:rsidR="00B0547F" w:rsidRPr="007F404F" w:rsidRDefault="00430335" w:rsidP="00B0547F">
            <w:pPr>
              <w:jc w:val="center"/>
              <w:rPr>
                <w:b/>
              </w:rPr>
            </w:pPr>
            <w:r w:rsidRPr="00430335">
              <w:rPr>
                <w:b/>
              </w:rPr>
              <w:t>Total</w:t>
            </w: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EOF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bl>
    <w:p w:rsidR="007F404F" w:rsidRDefault="007F404F" w:rsidP="00B0547F">
      <w:pPr>
        <w:pStyle w:val="BodyTextIndent"/>
        <w:spacing w:before="120" w:after="0"/>
        <w:ind w:left="0"/>
        <w:jc w:val="center"/>
        <w:rPr>
          <w:b/>
        </w:rPr>
      </w:pPr>
    </w:p>
    <w:p w:rsidR="00B0547F" w:rsidRDefault="00B0547F" w:rsidP="00B0547F">
      <w:pPr>
        <w:pStyle w:val="BodyTextIndent"/>
        <w:spacing w:before="120" w:after="0"/>
        <w:ind w:left="0"/>
        <w:jc w:val="center"/>
        <w:rPr>
          <w:b/>
        </w:rPr>
      </w:pPr>
      <w:r w:rsidRPr="00B0547F">
        <w:rPr>
          <w:b/>
        </w:rPr>
        <w:t>Table 19: Potential emissions for N</w:t>
      </w:r>
      <w:r w:rsidRPr="00B0547F">
        <w:rPr>
          <w:b/>
          <w:vertAlign w:val="subscript"/>
        </w:rPr>
        <w:t>2</w:t>
      </w:r>
      <w:r w:rsidRPr="00B0547F">
        <w:rPr>
          <w:b/>
        </w:rPr>
        <w:t>0 in EDS (t ha</w:t>
      </w:r>
      <w:r w:rsidRPr="00B0547F">
        <w:rPr>
          <w:b/>
          <w:vertAlign w:val="superscript"/>
        </w:rPr>
        <w:t>-1</w:t>
      </w:r>
      <w:r w:rsidRPr="00B0547F">
        <w:rPr>
          <w:b/>
        </w:rPr>
        <w:t>)</w:t>
      </w:r>
    </w:p>
    <w:tbl>
      <w:tblPr>
        <w:tblW w:w="9011" w:type="dxa"/>
        <w:jc w:val="center"/>
        <w:tblLook w:val="0000"/>
      </w:tblPr>
      <w:tblGrid>
        <w:gridCol w:w="1700"/>
        <w:gridCol w:w="1555"/>
        <w:gridCol w:w="1558"/>
        <w:gridCol w:w="1598"/>
        <w:gridCol w:w="1417"/>
        <w:gridCol w:w="1183"/>
      </w:tblGrid>
      <w:tr w:rsidR="002137D9" w:rsidRPr="0095171D" w:rsidTr="003D0A95">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2137D9" w:rsidRPr="0095171D" w:rsidRDefault="00B0547F" w:rsidP="003D0A95">
            <w:pPr>
              <w:jc w:val="center"/>
              <w:rPr>
                <w:b/>
              </w:rPr>
            </w:pPr>
            <w:r w:rsidRPr="00B0547F">
              <w:rPr>
                <w:b/>
              </w:rPr>
              <w:t>Vegetation class</w:t>
            </w:r>
          </w:p>
        </w:tc>
        <w:tc>
          <w:tcPr>
            <w:tcW w:w="7311" w:type="dxa"/>
            <w:gridSpan w:val="5"/>
            <w:tcBorders>
              <w:top w:val="single" w:sz="4" w:space="0" w:color="auto"/>
              <w:left w:val="single" w:sz="4" w:space="0" w:color="auto"/>
              <w:bottom w:val="single" w:sz="4" w:space="0" w:color="auto"/>
              <w:right w:val="single" w:sz="8" w:space="0" w:color="auto"/>
            </w:tcBorders>
            <w:shd w:val="clear" w:color="auto" w:fill="auto"/>
            <w:noWrap/>
            <w:vAlign w:val="center"/>
          </w:tcPr>
          <w:p w:rsidR="002137D9" w:rsidRPr="0095171D" w:rsidRDefault="00B0547F" w:rsidP="003D0A95">
            <w:pPr>
              <w:jc w:val="center"/>
              <w:rPr>
                <w:b/>
              </w:rPr>
            </w:pPr>
            <w:r w:rsidRPr="00B0547F">
              <w:rPr>
                <w:b/>
              </w:rPr>
              <w:t>Fuel size class</w:t>
            </w:r>
          </w:p>
        </w:tc>
      </w:tr>
      <w:tr w:rsidR="002137D9" w:rsidRPr="0095171D" w:rsidTr="003D0A95">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Fine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Coarse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Heavy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Shrub</w:t>
            </w:r>
          </w:p>
        </w:tc>
        <w:tc>
          <w:tcPr>
            <w:tcW w:w="1183" w:type="dxa"/>
            <w:tcBorders>
              <w:top w:val="single" w:sz="8" w:space="0" w:color="auto"/>
              <w:left w:val="single" w:sz="4" w:space="0" w:color="auto"/>
              <w:bottom w:val="single" w:sz="4" w:space="0" w:color="auto"/>
              <w:right w:val="single" w:sz="8" w:space="0" w:color="auto"/>
            </w:tcBorders>
            <w:vAlign w:val="center"/>
          </w:tcPr>
          <w:p w:rsidR="00B0547F" w:rsidRPr="007F404F" w:rsidRDefault="00430335" w:rsidP="00B0547F">
            <w:pPr>
              <w:jc w:val="center"/>
              <w:rPr>
                <w:b/>
              </w:rPr>
            </w:pPr>
            <w:r w:rsidRPr="00430335">
              <w:rPr>
                <w:b/>
              </w:rPr>
              <w:t>Total</w:t>
            </w: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EOF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bl>
    <w:p w:rsidR="00B0547F" w:rsidRDefault="00B0547F" w:rsidP="00B0547F">
      <w:pPr>
        <w:pStyle w:val="BodyTextIndent"/>
        <w:spacing w:after="0"/>
        <w:ind w:left="0"/>
        <w:jc w:val="center"/>
        <w:rPr>
          <w:b/>
        </w:rPr>
      </w:pPr>
    </w:p>
    <w:p w:rsidR="00B0547F" w:rsidRDefault="00B0547F" w:rsidP="00B0547F">
      <w:pPr>
        <w:pStyle w:val="BodyTextIndent"/>
        <w:spacing w:after="0"/>
        <w:ind w:left="0"/>
        <w:jc w:val="center"/>
        <w:rPr>
          <w:b/>
        </w:rPr>
      </w:pPr>
      <w:r w:rsidRPr="00B0547F">
        <w:rPr>
          <w:b/>
        </w:rPr>
        <w:t>Table 20: Potential emissions for N</w:t>
      </w:r>
      <w:r w:rsidRPr="00B0547F">
        <w:rPr>
          <w:b/>
          <w:vertAlign w:val="subscript"/>
        </w:rPr>
        <w:t>2</w:t>
      </w:r>
      <w:r w:rsidRPr="00B0547F">
        <w:rPr>
          <w:b/>
        </w:rPr>
        <w:t>O in LDS (t ha</w:t>
      </w:r>
      <w:r w:rsidRPr="00B0547F">
        <w:rPr>
          <w:b/>
          <w:vertAlign w:val="superscript"/>
        </w:rPr>
        <w:t>-1</w:t>
      </w:r>
      <w:r w:rsidRPr="00B0547F">
        <w:rPr>
          <w:b/>
        </w:rPr>
        <w:t>)</w:t>
      </w:r>
    </w:p>
    <w:tbl>
      <w:tblPr>
        <w:tblW w:w="9011" w:type="dxa"/>
        <w:jc w:val="center"/>
        <w:tblLook w:val="0000"/>
      </w:tblPr>
      <w:tblGrid>
        <w:gridCol w:w="1700"/>
        <w:gridCol w:w="1555"/>
        <w:gridCol w:w="1558"/>
        <w:gridCol w:w="1598"/>
        <w:gridCol w:w="1417"/>
        <w:gridCol w:w="1183"/>
      </w:tblGrid>
      <w:tr w:rsidR="002137D9" w:rsidRPr="0095171D" w:rsidTr="003D0A95">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Vegetation class</w:t>
            </w:r>
          </w:p>
        </w:tc>
        <w:tc>
          <w:tcPr>
            <w:tcW w:w="7311" w:type="dxa"/>
            <w:gridSpan w:val="5"/>
            <w:tcBorders>
              <w:top w:val="single" w:sz="4" w:space="0" w:color="auto"/>
              <w:left w:val="single" w:sz="4" w:space="0" w:color="auto"/>
              <w:bottom w:val="single" w:sz="4" w:space="0" w:color="auto"/>
              <w:right w:val="single" w:sz="8" w:space="0" w:color="auto"/>
            </w:tcBorders>
            <w:shd w:val="clear" w:color="auto" w:fill="auto"/>
            <w:noWrap/>
            <w:vAlign w:val="center"/>
          </w:tcPr>
          <w:p w:rsidR="002137D9" w:rsidRPr="0095171D" w:rsidRDefault="00B0547F" w:rsidP="003D0A95">
            <w:pPr>
              <w:jc w:val="center"/>
              <w:rPr>
                <w:b/>
              </w:rPr>
            </w:pPr>
            <w:r w:rsidRPr="00B0547F">
              <w:rPr>
                <w:b/>
              </w:rPr>
              <w:t>Fuel size class</w:t>
            </w:r>
          </w:p>
        </w:tc>
      </w:tr>
      <w:tr w:rsidR="002137D9" w:rsidRPr="0095171D" w:rsidTr="003D0A95">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Fine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Coarse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Heavy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Shrub</w:t>
            </w:r>
          </w:p>
        </w:tc>
        <w:tc>
          <w:tcPr>
            <w:tcW w:w="1183" w:type="dxa"/>
            <w:tcBorders>
              <w:top w:val="single" w:sz="8" w:space="0" w:color="auto"/>
              <w:left w:val="single" w:sz="4" w:space="0" w:color="auto"/>
              <w:bottom w:val="single" w:sz="4" w:space="0" w:color="auto"/>
              <w:right w:val="single" w:sz="8" w:space="0" w:color="auto"/>
            </w:tcBorders>
            <w:vAlign w:val="center"/>
          </w:tcPr>
          <w:p w:rsidR="00B0547F" w:rsidRPr="007F404F" w:rsidRDefault="00430335" w:rsidP="00B0547F">
            <w:pPr>
              <w:jc w:val="center"/>
              <w:rPr>
                <w:b/>
              </w:rPr>
            </w:pPr>
            <w:r w:rsidRPr="00430335">
              <w:rPr>
                <w:b/>
              </w:rPr>
              <w:t>Total</w:t>
            </w: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EOF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EW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r w:rsidR="002137D9" w:rsidRPr="0095171D" w:rsidTr="003D0A95">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Pr="00B0547F" w:rsidRDefault="00B0547F" w:rsidP="00B0547F">
            <w:pPr>
              <w:jc w:val="center"/>
              <w:rPr>
                <w:b/>
              </w:rPr>
            </w:pPr>
            <w:r w:rsidRPr="00B0547F">
              <w:rPr>
                <w:b/>
              </w:rPr>
              <w:t>SH</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0547F" w:rsidRDefault="00B0547F" w:rsidP="00B0547F">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47F" w:rsidRDefault="00B0547F" w:rsidP="00B0547F">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bl>
    <w:p w:rsidR="002137D9" w:rsidRPr="0095171D" w:rsidRDefault="002137D9" w:rsidP="00010FE9">
      <w:pPr>
        <w:jc w:val="center"/>
        <w:rPr>
          <w:iCs/>
        </w:rPr>
      </w:pPr>
    </w:p>
    <w:p w:rsidR="00B0547F" w:rsidRDefault="00B0547F" w:rsidP="00B0547F">
      <w:pPr>
        <w:pStyle w:val="BodyTextIndent"/>
        <w:spacing w:after="0"/>
        <w:ind w:left="0"/>
        <w:jc w:val="center"/>
        <w:rPr>
          <w:b/>
        </w:rPr>
      </w:pPr>
      <w:r w:rsidRPr="00B0547F">
        <w:rPr>
          <w:b/>
        </w:rPr>
        <w:t>Table 21: Potential emissions for each gas in each fire season by vegetation class</w:t>
      </w:r>
      <w:r w:rsidR="004D0609">
        <w:rPr>
          <w:b/>
        </w:rPr>
        <w:t> </w:t>
      </w:r>
      <w:r w:rsidRPr="00B0547F">
        <w:rPr>
          <w:b/>
        </w:rPr>
        <w:t>(t</w:t>
      </w:r>
      <w:r w:rsidR="004D0609">
        <w:rPr>
          <w:b/>
        </w:rPr>
        <w:t> </w:t>
      </w:r>
      <w:r w:rsidRPr="00B0547F">
        <w:rPr>
          <w:b/>
        </w:rPr>
        <w:t>ha</w:t>
      </w:r>
      <w:r w:rsidRPr="00B0547F">
        <w:rPr>
          <w:b/>
          <w:vertAlign w:val="superscript"/>
        </w:rPr>
        <w:t>-1</w:t>
      </w:r>
      <w:r w:rsidRPr="00B0547F">
        <w:rPr>
          <w:b/>
        </w:rPr>
        <w:t>)</w:t>
      </w:r>
    </w:p>
    <w:tbl>
      <w:tblPr>
        <w:tblW w:w="6082" w:type="dxa"/>
        <w:jc w:val="center"/>
        <w:tblLook w:val="04A0"/>
      </w:tblPr>
      <w:tblGrid>
        <w:gridCol w:w="1323"/>
        <w:gridCol w:w="1237"/>
        <w:gridCol w:w="1173"/>
        <w:gridCol w:w="1176"/>
        <w:gridCol w:w="1165"/>
        <w:gridCol w:w="8"/>
      </w:tblGrid>
      <w:tr w:rsidR="002137D9" w:rsidRPr="0095171D" w:rsidTr="00A005D7">
        <w:trPr>
          <w:gridAfter w:val="1"/>
          <w:wAfter w:w="8" w:type="dxa"/>
          <w:trHeight w:val="600"/>
          <w:jc w:val="center"/>
        </w:trPr>
        <w:tc>
          <w:tcPr>
            <w:tcW w:w="1256" w:type="dxa"/>
            <w:vMerge w:val="restart"/>
            <w:tcBorders>
              <w:top w:val="single" w:sz="4" w:space="0" w:color="auto"/>
              <w:left w:val="single" w:sz="4" w:space="0" w:color="auto"/>
              <w:right w:val="single" w:sz="4" w:space="0" w:color="auto"/>
            </w:tcBorders>
            <w:vAlign w:val="center"/>
          </w:tcPr>
          <w:p w:rsidR="00B0547F" w:rsidRDefault="00EB13E3" w:rsidP="00B0547F">
            <w:pPr>
              <w:jc w:val="center"/>
              <w:rPr>
                <w:b/>
                <w:bCs/>
                <w:color w:val="000000"/>
              </w:rPr>
            </w:pPr>
            <w:r w:rsidRPr="0095171D">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37D9" w:rsidRPr="0095171D" w:rsidRDefault="002F1104" w:rsidP="00A005D7">
            <w:pPr>
              <w:jc w:val="center"/>
              <w:rPr>
                <w:b/>
                <w:bCs/>
                <w:color w:val="000000"/>
              </w:rPr>
            </w:pPr>
            <w:r w:rsidRPr="0095171D">
              <w:rPr>
                <w:b/>
                <w:bCs/>
                <w:color w:val="000000"/>
              </w:rPr>
              <w:t>Gas (CH</w:t>
            </w:r>
            <w:r w:rsidRPr="0095171D">
              <w:rPr>
                <w:b/>
                <w:bCs/>
                <w:color w:val="000000"/>
                <w:vertAlign w:val="subscript"/>
              </w:rPr>
              <w:t>4</w:t>
            </w:r>
            <w:r w:rsidRPr="0095171D">
              <w:rPr>
                <w:b/>
                <w:bCs/>
                <w:color w:val="000000"/>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2137D9" w:rsidRPr="0095171D" w:rsidRDefault="002F1104" w:rsidP="00A005D7">
            <w:pPr>
              <w:jc w:val="center"/>
              <w:rPr>
                <w:b/>
                <w:bCs/>
                <w:color w:val="000000"/>
              </w:rPr>
            </w:pPr>
            <w:r w:rsidRPr="0095171D">
              <w:rPr>
                <w:b/>
                <w:bCs/>
                <w:color w:val="000000"/>
              </w:rPr>
              <w:t>Gas (N</w:t>
            </w:r>
            <w:r w:rsidRPr="0095171D">
              <w:rPr>
                <w:b/>
                <w:bCs/>
                <w:color w:val="000000"/>
                <w:vertAlign w:val="subscript"/>
              </w:rPr>
              <w:t>2</w:t>
            </w:r>
            <w:r w:rsidRPr="0095171D">
              <w:rPr>
                <w:b/>
                <w:bCs/>
                <w:color w:val="000000"/>
              </w:rPr>
              <w:t>O)</w:t>
            </w:r>
          </w:p>
        </w:tc>
      </w:tr>
      <w:tr w:rsidR="002137D9" w:rsidRPr="0095171D" w:rsidTr="00A005D7">
        <w:trPr>
          <w:trHeight w:val="300"/>
          <w:jc w:val="center"/>
        </w:trPr>
        <w:tc>
          <w:tcPr>
            <w:tcW w:w="1256"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EDS</w:t>
            </w:r>
          </w:p>
          <w:p w:rsidR="00B0547F" w:rsidRDefault="00CE1B39" w:rsidP="00B0547F">
            <w:pPr>
              <w:jc w:val="center"/>
              <w:rPr>
                <w:b/>
                <w:bCs/>
                <w:color w:val="000000"/>
              </w:rPr>
            </w:pPr>
            <w:r w:rsidRPr="0095171D">
              <w:rPr>
                <w:b/>
                <w:bCs/>
                <w:color w:val="000000"/>
                <w:sz w:val="18"/>
              </w:rPr>
              <w:t>(totals from Table 17)</w:t>
            </w:r>
          </w:p>
        </w:tc>
        <w:tc>
          <w:tcPr>
            <w:tcW w:w="1190" w:type="dxa"/>
            <w:tcBorders>
              <w:top w:val="single" w:sz="4" w:space="0" w:color="auto"/>
              <w:left w:val="nil"/>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LDS</w:t>
            </w:r>
          </w:p>
          <w:p w:rsidR="00B0547F" w:rsidRDefault="00CE1B39" w:rsidP="00B0547F">
            <w:pPr>
              <w:jc w:val="center"/>
              <w:rPr>
                <w:b/>
                <w:bCs/>
                <w:color w:val="000000"/>
              </w:rPr>
            </w:pPr>
            <w:r w:rsidRPr="0095171D">
              <w:rPr>
                <w:b/>
                <w:bCs/>
                <w:color w:val="000000"/>
                <w:sz w:val="18"/>
              </w:rPr>
              <w:t>(totals from Table 18)</w:t>
            </w:r>
          </w:p>
        </w:tc>
        <w:tc>
          <w:tcPr>
            <w:tcW w:w="1190" w:type="dxa"/>
            <w:tcBorders>
              <w:top w:val="single" w:sz="4" w:space="0" w:color="auto"/>
              <w:left w:val="single" w:sz="4" w:space="0" w:color="auto"/>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EDS</w:t>
            </w:r>
          </w:p>
          <w:p w:rsidR="00B0547F" w:rsidRDefault="00CE1B39" w:rsidP="00B0547F">
            <w:pPr>
              <w:jc w:val="center"/>
              <w:rPr>
                <w:b/>
                <w:bCs/>
                <w:color w:val="000000"/>
              </w:rPr>
            </w:pPr>
            <w:r w:rsidRPr="0095171D">
              <w:rPr>
                <w:b/>
                <w:bCs/>
                <w:color w:val="000000"/>
                <w:sz w:val="18"/>
              </w:rPr>
              <w:t>(totals from Table 19)</w:t>
            </w:r>
          </w:p>
        </w:tc>
        <w:tc>
          <w:tcPr>
            <w:tcW w:w="1190" w:type="dxa"/>
            <w:gridSpan w:val="2"/>
            <w:tcBorders>
              <w:top w:val="nil"/>
              <w:left w:val="nil"/>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LDS</w:t>
            </w:r>
          </w:p>
          <w:p w:rsidR="00B0547F" w:rsidRDefault="00CE1B39" w:rsidP="00B0547F">
            <w:pPr>
              <w:jc w:val="center"/>
              <w:rPr>
                <w:b/>
                <w:bCs/>
                <w:color w:val="000000"/>
              </w:rPr>
            </w:pPr>
            <w:r w:rsidRPr="0095171D">
              <w:rPr>
                <w:b/>
                <w:bCs/>
                <w:color w:val="000000"/>
                <w:sz w:val="18"/>
              </w:rPr>
              <w:t>(totals from Table 20)</w:t>
            </w:r>
          </w:p>
        </w:tc>
      </w:tr>
      <w:tr w:rsidR="002137D9"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rPr>
                <w:vertAlign w:val="subscript"/>
              </w:rPr>
            </w:pPr>
          </w:p>
        </w:tc>
        <w:tc>
          <w:tcPr>
            <w:tcW w:w="1190"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r w:rsidR="002137D9"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r w:rsidR="002137D9"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r w:rsidR="002137D9"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B0547F" w:rsidRDefault="00B0547F" w:rsidP="00B0547F">
            <w:pPr>
              <w:jc w:val="center"/>
            </w:pPr>
          </w:p>
        </w:tc>
        <w:tc>
          <w:tcPr>
            <w:tcW w:w="1190"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B0547F" w:rsidRDefault="00B0547F" w:rsidP="00B0547F">
            <w:pPr>
              <w:jc w:val="center"/>
            </w:pPr>
          </w:p>
        </w:tc>
      </w:tr>
    </w:tbl>
    <w:p w:rsidR="002137D9" w:rsidRPr="0095171D" w:rsidRDefault="002137D9" w:rsidP="00010FE9">
      <w:pPr>
        <w:jc w:val="center"/>
        <w:rPr>
          <w:iCs/>
        </w:rPr>
      </w:pPr>
    </w:p>
    <w:p w:rsidR="00961334" w:rsidRDefault="00961334">
      <w:pPr>
        <w:rPr>
          <w:b/>
        </w:rPr>
      </w:pPr>
      <w:r>
        <w:rPr>
          <w:b/>
        </w:rPr>
        <w:br w:type="page"/>
      </w:r>
    </w:p>
    <w:p w:rsidR="00010FE9" w:rsidRDefault="002F1104" w:rsidP="00010FE9">
      <w:pPr>
        <w:jc w:val="center"/>
        <w:rPr>
          <w:b/>
        </w:rPr>
      </w:pPr>
      <w:r w:rsidRPr="0095171D">
        <w:rPr>
          <w:b/>
        </w:rPr>
        <w:lastRenderedPageBreak/>
        <w:t>Table 22: Emissions by gas by vegetation class by fire season (tonnes)</w:t>
      </w:r>
    </w:p>
    <w:tbl>
      <w:tblPr>
        <w:tblW w:w="6082" w:type="dxa"/>
        <w:jc w:val="center"/>
        <w:tblLook w:val="04A0"/>
      </w:tblPr>
      <w:tblGrid>
        <w:gridCol w:w="1323"/>
        <w:gridCol w:w="1237"/>
        <w:gridCol w:w="1173"/>
        <w:gridCol w:w="1176"/>
        <w:gridCol w:w="1165"/>
        <w:gridCol w:w="8"/>
      </w:tblGrid>
      <w:tr w:rsidR="00010FE9" w:rsidRPr="0095171D" w:rsidTr="00A005D7">
        <w:trPr>
          <w:gridAfter w:val="1"/>
          <w:wAfter w:w="8" w:type="dxa"/>
          <w:trHeight w:val="600"/>
          <w:jc w:val="center"/>
        </w:trPr>
        <w:tc>
          <w:tcPr>
            <w:tcW w:w="1323" w:type="dxa"/>
            <w:vMerge w:val="restart"/>
            <w:tcBorders>
              <w:top w:val="single" w:sz="4" w:space="0" w:color="auto"/>
              <w:left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Vegetation class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0FE9" w:rsidRPr="0095171D" w:rsidRDefault="002F1104" w:rsidP="00A005D7">
            <w:pPr>
              <w:jc w:val="center"/>
              <w:rPr>
                <w:b/>
                <w:bCs/>
                <w:color w:val="000000"/>
              </w:rPr>
            </w:pPr>
            <w:r w:rsidRPr="0095171D">
              <w:rPr>
                <w:b/>
                <w:bCs/>
                <w:color w:val="000000"/>
              </w:rPr>
              <w:t>Gas (CH</w:t>
            </w:r>
            <w:r w:rsidRPr="0095171D">
              <w:rPr>
                <w:b/>
                <w:bCs/>
                <w:color w:val="000000"/>
                <w:vertAlign w:val="subscript"/>
              </w:rPr>
              <w:t>4</w:t>
            </w:r>
            <w:r w:rsidRPr="0095171D">
              <w:rPr>
                <w:b/>
                <w:bCs/>
                <w:color w:val="000000"/>
              </w:rPr>
              <w:t>)</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010FE9" w:rsidRPr="0095171D" w:rsidRDefault="002F1104" w:rsidP="00A005D7">
            <w:pPr>
              <w:jc w:val="center"/>
              <w:rPr>
                <w:b/>
                <w:bCs/>
                <w:color w:val="000000"/>
              </w:rPr>
            </w:pPr>
            <w:r w:rsidRPr="0095171D">
              <w:rPr>
                <w:b/>
                <w:bCs/>
                <w:color w:val="000000"/>
              </w:rPr>
              <w:t>Gas (N</w:t>
            </w:r>
            <w:r w:rsidRPr="0095171D">
              <w:rPr>
                <w:b/>
                <w:bCs/>
                <w:color w:val="000000"/>
                <w:vertAlign w:val="subscript"/>
              </w:rPr>
              <w:t>2</w:t>
            </w:r>
            <w:r w:rsidRPr="0095171D">
              <w:rPr>
                <w:b/>
                <w:bCs/>
                <w:color w:val="000000"/>
              </w:rPr>
              <w:t>O)</w:t>
            </w:r>
          </w:p>
        </w:tc>
      </w:tr>
      <w:tr w:rsidR="00010FE9" w:rsidRPr="0095171D" w:rsidTr="00A005D7">
        <w:trPr>
          <w:trHeight w:val="300"/>
          <w:jc w:val="center"/>
        </w:trPr>
        <w:tc>
          <w:tcPr>
            <w:tcW w:w="1323"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EDS</w:t>
            </w:r>
          </w:p>
        </w:tc>
        <w:tc>
          <w:tcPr>
            <w:tcW w:w="1173" w:type="dxa"/>
            <w:tcBorders>
              <w:top w:val="single" w:sz="4" w:space="0" w:color="auto"/>
              <w:left w:val="nil"/>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LDS</w:t>
            </w: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EDS</w:t>
            </w:r>
          </w:p>
        </w:tc>
        <w:tc>
          <w:tcPr>
            <w:tcW w:w="1173" w:type="dxa"/>
            <w:gridSpan w:val="2"/>
            <w:tcBorders>
              <w:top w:val="nil"/>
              <w:left w:val="nil"/>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LDS</w:t>
            </w:r>
          </w:p>
        </w:tc>
      </w:tr>
      <w:tr w:rsidR="00010FE9"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rFonts w:ascii="Arial" w:hAnsi="Arial"/>
                <w:b/>
                <w:bCs/>
                <w:color w:val="000000"/>
              </w:rPr>
            </w:pPr>
            <w:r w:rsidRPr="0095171D">
              <w:rPr>
                <w:b/>
                <w:bCs/>
                <w:color w:val="000000"/>
              </w:rPr>
              <w:t>EW</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010FE9" w:rsidRPr="0095171D" w:rsidTr="00A005D7">
        <w:trPr>
          <w:trHeight w:val="300"/>
          <w:jc w:val="center"/>
        </w:trPr>
        <w:tc>
          <w:tcPr>
            <w:tcW w:w="1323" w:type="dxa"/>
            <w:tcBorders>
              <w:top w:val="double" w:sz="4" w:space="0" w:color="auto"/>
              <w:left w:val="single" w:sz="4" w:space="0" w:color="auto"/>
              <w:bottom w:val="triple" w:sz="4" w:space="0" w:color="auto"/>
              <w:right w:val="single" w:sz="4" w:space="0" w:color="auto"/>
            </w:tcBorders>
            <w:vAlign w:val="center"/>
          </w:tcPr>
          <w:p w:rsidR="00B0547F" w:rsidRDefault="002F1104" w:rsidP="00B0547F">
            <w:pPr>
              <w:jc w:val="center"/>
              <w:rPr>
                <w:b/>
                <w:bCs/>
                <w:color w:val="000000"/>
              </w:rPr>
            </w:pPr>
            <w:r w:rsidRPr="0095171D">
              <w:rPr>
                <w:b/>
                <w:bCs/>
                <w:color w:val="000000"/>
              </w:rPr>
              <w:t>Total (fire season)</w:t>
            </w:r>
          </w:p>
        </w:tc>
        <w:tc>
          <w:tcPr>
            <w:tcW w:w="1237" w:type="dxa"/>
            <w:tcBorders>
              <w:top w:val="double" w:sz="4" w:space="0" w:color="auto"/>
              <w:left w:val="single" w:sz="4" w:space="0" w:color="auto"/>
              <w:bottom w:val="triple" w:sz="4" w:space="0" w:color="auto"/>
              <w:right w:val="single" w:sz="4" w:space="0" w:color="auto"/>
            </w:tcBorders>
            <w:shd w:val="clear" w:color="auto" w:fill="auto"/>
            <w:vAlign w:val="center"/>
          </w:tcPr>
          <w:p w:rsidR="00B0547F" w:rsidRDefault="00B0547F" w:rsidP="00B0547F">
            <w:pPr>
              <w:jc w:val="center"/>
            </w:pPr>
          </w:p>
        </w:tc>
        <w:tc>
          <w:tcPr>
            <w:tcW w:w="1173" w:type="dxa"/>
            <w:tcBorders>
              <w:top w:val="double" w:sz="4" w:space="0" w:color="auto"/>
              <w:left w:val="nil"/>
              <w:bottom w:val="triple" w:sz="4" w:space="0" w:color="auto"/>
              <w:right w:val="single" w:sz="4" w:space="0" w:color="auto"/>
            </w:tcBorders>
            <w:vAlign w:val="center"/>
          </w:tcPr>
          <w:p w:rsidR="00B0547F" w:rsidRDefault="00B0547F" w:rsidP="00B0547F">
            <w:pPr>
              <w:jc w:val="center"/>
            </w:pPr>
          </w:p>
        </w:tc>
        <w:tc>
          <w:tcPr>
            <w:tcW w:w="1176" w:type="dxa"/>
            <w:tcBorders>
              <w:top w:val="double" w:sz="4" w:space="0" w:color="auto"/>
              <w:left w:val="single" w:sz="4" w:space="0" w:color="auto"/>
              <w:bottom w:val="triple" w:sz="4" w:space="0" w:color="auto"/>
              <w:right w:val="single" w:sz="4" w:space="0" w:color="auto"/>
            </w:tcBorders>
            <w:vAlign w:val="center"/>
          </w:tcPr>
          <w:p w:rsidR="00B0547F" w:rsidRDefault="00B0547F" w:rsidP="00B0547F">
            <w:pPr>
              <w:jc w:val="center"/>
            </w:pPr>
          </w:p>
        </w:tc>
        <w:tc>
          <w:tcPr>
            <w:tcW w:w="1173" w:type="dxa"/>
            <w:gridSpan w:val="2"/>
            <w:tcBorders>
              <w:top w:val="double" w:sz="4" w:space="0" w:color="auto"/>
              <w:left w:val="nil"/>
              <w:bottom w:val="triple" w:sz="4" w:space="0" w:color="auto"/>
              <w:right w:val="single" w:sz="4" w:space="0" w:color="auto"/>
            </w:tcBorders>
            <w:shd w:val="clear" w:color="auto" w:fill="auto"/>
            <w:vAlign w:val="center"/>
          </w:tcPr>
          <w:p w:rsidR="00B0547F" w:rsidRDefault="00B0547F" w:rsidP="00B0547F">
            <w:pPr>
              <w:jc w:val="center"/>
            </w:pPr>
          </w:p>
        </w:tc>
      </w:tr>
      <w:tr w:rsidR="00010FE9" w:rsidRPr="0095171D" w:rsidTr="00A005D7">
        <w:trPr>
          <w:trHeight w:val="300"/>
          <w:jc w:val="center"/>
        </w:trPr>
        <w:tc>
          <w:tcPr>
            <w:tcW w:w="1323" w:type="dxa"/>
            <w:tcBorders>
              <w:top w:val="triple" w:sz="4" w:space="0" w:color="auto"/>
              <w:left w:val="single" w:sz="4" w:space="0" w:color="auto"/>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Total (Gas)</w:t>
            </w:r>
          </w:p>
        </w:tc>
        <w:tc>
          <w:tcPr>
            <w:tcW w:w="2410" w:type="dxa"/>
            <w:gridSpan w:val="2"/>
            <w:tcBorders>
              <w:top w:val="triple" w:sz="4" w:space="0" w:color="auto"/>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2349" w:type="dxa"/>
            <w:gridSpan w:val="3"/>
            <w:tcBorders>
              <w:top w:val="trip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bl>
    <w:p w:rsidR="002137D9" w:rsidRPr="0095171D" w:rsidRDefault="002137D9" w:rsidP="002137D9">
      <w:pPr>
        <w:jc w:val="center"/>
        <w:rPr>
          <w:b/>
        </w:rPr>
      </w:pPr>
    </w:p>
    <w:p w:rsidR="002137D9" w:rsidRDefault="002F1104" w:rsidP="002137D9">
      <w:pPr>
        <w:jc w:val="center"/>
        <w:rPr>
          <w:b/>
        </w:rPr>
      </w:pPr>
      <w:r w:rsidRPr="0095171D">
        <w:rPr>
          <w:b/>
        </w:rPr>
        <w:t>Table 23: Total annual emissions (tonnes CO</w:t>
      </w:r>
      <w:r w:rsidRPr="0095171D">
        <w:rPr>
          <w:b/>
          <w:vertAlign w:val="subscript"/>
        </w:rPr>
        <w:t>2</w:t>
      </w:r>
      <w:r w:rsidRPr="0095171D">
        <w:rPr>
          <w:b/>
        </w:rPr>
        <w:t>-e)</w:t>
      </w:r>
    </w:p>
    <w:tbl>
      <w:tblPr>
        <w:tblW w:w="5920" w:type="dxa"/>
        <w:jc w:val="center"/>
        <w:tblInd w:w="-1031" w:type="dxa"/>
        <w:tblLook w:val="04A0"/>
      </w:tblPr>
      <w:tblGrid>
        <w:gridCol w:w="1072"/>
        <w:gridCol w:w="2472"/>
        <w:gridCol w:w="1216"/>
        <w:gridCol w:w="1160"/>
      </w:tblGrid>
      <w:tr w:rsidR="002137D9" w:rsidRPr="0095171D" w:rsidTr="00B66969">
        <w:trPr>
          <w:trHeight w:val="600"/>
          <w:jc w:val="center"/>
        </w:trPr>
        <w:tc>
          <w:tcPr>
            <w:tcW w:w="1072" w:type="dxa"/>
            <w:tcBorders>
              <w:top w:val="single" w:sz="4" w:space="0" w:color="auto"/>
              <w:left w:val="single" w:sz="4" w:space="0" w:color="auto"/>
              <w:bottom w:val="single" w:sz="4" w:space="0" w:color="auto"/>
              <w:right w:val="single" w:sz="4" w:space="0" w:color="auto"/>
            </w:tcBorders>
          </w:tcPr>
          <w:p w:rsidR="002137D9" w:rsidRPr="0095171D" w:rsidRDefault="002137D9" w:rsidP="009E0D30">
            <w:pPr>
              <w:rPr>
                <w:b/>
                <w:bCs/>
                <w:color w:val="000000"/>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7D9" w:rsidRPr="0095171D" w:rsidRDefault="002F1104" w:rsidP="00B66969">
            <w:pPr>
              <w:jc w:val="center"/>
              <w:rPr>
                <w:b/>
                <w:bCs/>
                <w:color w:val="000000"/>
              </w:rPr>
            </w:pPr>
            <w:r w:rsidRPr="0095171D">
              <w:rPr>
                <w:b/>
                <w:bCs/>
                <w:color w:val="000000"/>
              </w:rPr>
              <w:t>GWP</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137D9" w:rsidRPr="0095171D" w:rsidRDefault="002F1104" w:rsidP="00B66969">
            <w:pPr>
              <w:jc w:val="center"/>
              <w:rPr>
                <w:b/>
                <w:bCs/>
                <w:color w:val="000000"/>
              </w:rPr>
            </w:pPr>
            <w:r w:rsidRPr="0095171D">
              <w:rPr>
                <w:b/>
                <w:bCs/>
                <w:color w:val="000000"/>
              </w:rPr>
              <w:t>E</w:t>
            </w:r>
          </w:p>
        </w:tc>
        <w:tc>
          <w:tcPr>
            <w:tcW w:w="1160" w:type="dxa"/>
            <w:tcBorders>
              <w:top w:val="single" w:sz="4" w:space="0" w:color="auto"/>
              <w:left w:val="single" w:sz="4" w:space="0" w:color="auto"/>
              <w:bottom w:val="single" w:sz="4" w:space="0" w:color="auto"/>
              <w:right w:val="single" w:sz="4" w:space="0" w:color="auto"/>
            </w:tcBorders>
            <w:vAlign w:val="center"/>
          </w:tcPr>
          <w:p w:rsidR="002137D9" w:rsidRPr="0095171D" w:rsidRDefault="002F1104" w:rsidP="00B66969">
            <w:pPr>
              <w:jc w:val="center"/>
              <w:rPr>
                <w:b/>
                <w:bCs/>
                <w:color w:val="000000"/>
              </w:rPr>
            </w:pPr>
            <w:r w:rsidRPr="0095171D">
              <w:rPr>
                <w:b/>
                <w:bCs/>
                <w:color w:val="000000"/>
              </w:rPr>
              <w:t>E</w:t>
            </w:r>
            <w:r w:rsidRPr="0095171D">
              <w:rPr>
                <w:b/>
                <w:bCs/>
                <w:color w:val="000000"/>
                <w:vertAlign w:val="subscript"/>
              </w:rPr>
              <w:t>CO2</w:t>
            </w:r>
            <w:r w:rsidRPr="0095171D">
              <w:rPr>
                <w:b/>
                <w:bCs/>
                <w:color w:val="000000"/>
              </w:rPr>
              <w:t>-e</w:t>
            </w:r>
          </w:p>
        </w:tc>
      </w:tr>
      <w:tr w:rsidR="002137D9" w:rsidRPr="0095171D" w:rsidTr="0030089E">
        <w:trPr>
          <w:trHeight w:val="453"/>
          <w:jc w:val="center"/>
        </w:trPr>
        <w:tc>
          <w:tcPr>
            <w:tcW w:w="1072" w:type="dxa"/>
            <w:tcBorders>
              <w:top w:val="single" w:sz="4" w:space="0" w:color="auto"/>
              <w:left w:val="single" w:sz="4" w:space="0" w:color="auto"/>
              <w:bottom w:val="single" w:sz="4" w:space="0" w:color="auto"/>
              <w:right w:val="single" w:sz="4" w:space="0" w:color="auto"/>
            </w:tcBorders>
          </w:tcPr>
          <w:p w:rsidR="002137D9" w:rsidRPr="0095171D" w:rsidRDefault="002F1104" w:rsidP="009E0D30">
            <w:pPr>
              <w:rPr>
                <w:b/>
                <w:bCs/>
                <w:color w:val="000000"/>
              </w:rPr>
            </w:pPr>
            <w:r w:rsidRPr="0095171D">
              <w:rPr>
                <w:b/>
                <w:bCs/>
                <w:color w:val="000000"/>
              </w:rPr>
              <w:t>CH</w:t>
            </w:r>
            <w:r w:rsidRPr="0095171D">
              <w:rPr>
                <w:b/>
                <w:bCs/>
                <w:color w:val="000000"/>
                <w:vertAlign w:val="subscript"/>
              </w:rPr>
              <w:t>4</w:t>
            </w:r>
          </w:p>
        </w:tc>
        <w:tc>
          <w:tcPr>
            <w:tcW w:w="2472" w:type="dxa"/>
            <w:tcBorders>
              <w:top w:val="nil"/>
              <w:left w:val="single" w:sz="4" w:space="0" w:color="auto"/>
              <w:bottom w:val="single" w:sz="4" w:space="0" w:color="auto"/>
              <w:right w:val="single" w:sz="4" w:space="0" w:color="auto"/>
            </w:tcBorders>
            <w:shd w:val="clear" w:color="auto" w:fill="auto"/>
            <w:hideMark/>
          </w:tcPr>
          <w:p w:rsidR="002137D9" w:rsidRPr="0095171D" w:rsidRDefault="002F1104" w:rsidP="0030089E">
            <w:r w:rsidRPr="0095171D">
              <w:t xml:space="preserve">Value as specified in regulation 2.02 of the </w:t>
            </w:r>
            <w:r w:rsidR="00B0547F" w:rsidRPr="00B0547F">
              <w:rPr>
                <w:iCs/>
              </w:rPr>
              <w:t>NGER Regulations</w:t>
            </w:r>
          </w:p>
        </w:tc>
        <w:tc>
          <w:tcPr>
            <w:tcW w:w="1216" w:type="dxa"/>
            <w:tcBorders>
              <w:top w:val="single" w:sz="4" w:space="0" w:color="auto"/>
              <w:left w:val="nil"/>
              <w:bottom w:val="single" w:sz="4" w:space="0" w:color="auto"/>
              <w:right w:val="single" w:sz="4" w:space="0" w:color="auto"/>
            </w:tcBorders>
          </w:tcPr>
          <w:p w:rsidR="002137D9" w:rsidRPr="0095171D" w:rsidRDefault="002137D9" w:rsidP="009E0D30"/>
        </w:tc>
        <w:tc>
          <w:tcPr>
            <w:tcW w:w="1160" w:type="dxa"/>
            <w:tcBorders>
              <w:top w:val="single" w:sz="4" w:space="0" w:color="auto"/>
              <w:left w:val="single" w:sz="4" w:space="0" w:color="auto"/>
              <w:bottom w:val="single" w:sz="4" w:space="0" w:color="auto"/>
              <w:right w:val="single" w:sz="4" w:space="0" w:color="auto"/>
            </w:tcBorders>
          </w:tcPr>
          <w:p w:rsidR="002137D9" w:rsidRPr="0095171D" w:rsidRDefault="002137D9" w:rsidP="009E0D30"/>
        </w:tc>
      </w:tr>
      <w:tr w:rsidR="002137D9" w:rsidRPr="0095171D" w:rsidTr="0030089E">
        <w:trPr>
          <w:trHeight w:val="300"/>
          <w:jc w:val="center"/>
        </w:trPr>
        <w:tc>
          <w:tcPr>
            <w:tcW w:w="1072" w:type="dxa"/>
            <w:tcBorders>
              <w:top w:val="nil"/>
              <w:left w:val="single" w:sz="4" w:space="0" w:color="auto"/>
              <w:bottom w:val="single" w:sz="4" w:space="0" w:color="auto"/>
              <w:right w:val="single" w:sz="4" w:space="0" w:color="auto"/>
            </w:tcBorders>
          </w:tcPr>
          <w:p w:rsidR="002137D9" w:rsidRPr="0095171D" w:rsidRDefault="002F1104" w:rsidP="009E0D30">
            <w:pPr>
              <w:rPr>
                <w:b/>
                <w:bCs/>
                <w:color w:val="000000"/>
              </w:rPr>
            </w:pPr>
            <w:r w:rsidRPr="0095171D">
              <w:rPr>
                <w:b/>
                <w:bCs/>
                <w:color w:val="000000"/>
              </w:rPr>
              <w:t>N</w:t>
            </w:r>
            <w:r w:rsidRPr="0095171D">
              <w:rPr>
                <w:b/>
                <w:bCs/>
                <w:color w:val="000000"/>
                <w:vertAlign w:val="subscript"/>
              </w:rPr>
              <w:t>2</w:t>
            </w:r>
            <w:r w:rsidRPr="0095171D">
              <w:rPr>
                <w:b/>
                <w:bCs/>
                <w:color w:val="000000"/>
              </w:rPr>
              <w:t>0</w:t>
            </w:r>
          </w:p>
        </w:tc>
        <w:tc>
          <w:tcPr>
            <w:tcW w:w="2472" w:type="dxa"/>
            <w:tcBorders>
              <w:top w:val="nil"/>
              <w:left w:val="single" w:sz="4" w:space="0" w:color="auto"/>
              <w:bottom w:val="single" w:sz="4" w:space="0" w:color="auto"/>
              <w:right w:val="single" w:sz="4" w:space="0" w:color="auto"/>
            </w:tcBorders>
            <w:shd w:val="clear" w:color="auto" w:fill="auto"/>
            <w:hideMark/>
          </w:tcPr>
          <w:p w:rsidR="002137D9" w:rsidRPr="0095171D" w:rsidRDefault="002F1104" w:rsidP="00B50E24">
            <w:r w:rsidRPr="0095171D">
              <w:t xml:space="preserve">Value as specified in regulation 2.02 of the </w:t>
            </w:r>
            <w:r w:rsidR="00B0547F" w:rsidRPr="00B0547F">
              <w:rPr>
                <w:iCs/>
              </w:rPr>
              <w:t>NGER Regulations</w:t>
            </w:r>
          </w:p>
        </w:tc>
        <w:tc>
          <w:tcPr>
            <w:tcW w:w="1216" w:type="dxa"/>
            <w:tcBorders>
              <w:top w:val="single" w:sz="4" w:space="0" w:color="auto"/>
              <w:left w:val="nil"/>
              <w:bottom w:val="single" w:sz="4" w:space="0" w:color="auto"/>
              <w:right w:val="single" w:sz="4" w:space="0" w:color="auto"/>
            </w:tcBorders>
          </w:tcPr>
          <w:p w:rsidR="002137D9" w:rsidRPr="0095171D" w:rsidRDefault="002137D9" w:rsidP="009E0D30"/>
        </w:tc>
        <w:tc>
          <w:tcPr>
            <w:tcW w:w="1160" w:type="dxa"/>
            <w:tcBorders>
              <w:top w:val="single" w:sz="4" w:space="0" w:color="auto"/>
              <w:left w:val="single" w:sz="4" w:space="0" w:color="auto"/>
              <w:bottom w:val="single" w:sz="4" w:space="0" w:color="auto"/>
              <w:right w:val="single" w:sz="4" w:space="0" w:color="auto"/>
            </w:tcBorders>
          </w:tcPr>
          <w:p w:rsidR="002137D9" w:rsidRPr="0095171D" w:rsidRDefault="002137D9" w:rsidP="009E0D30"/>
        </w:tc>
      </w:tr>
      <w:tr w:rsidR="002137D9" w:rsidRPr="0095171D" w:rsidTr="0030089E">
        <w:trPr>
          <w:trHeight w:val="300"/>
          <w:jc w:val="center"/>
        </w:trPr>
        <w:tc>
          <w:tcPr>
            <w:tcW w:w="1072" w:type="dxa"/>
            <w:tcBorders>
              <w:top w:val="nil"/>
              <w:left w:val="single" w:sz="4" w:space="0" w:color="auto"/>
              <w:bottom w:val="single" w:sz="4" w:space="0" w:color="auto"/>
              <w:right w:val="single" w:sz="4" w:space="0" w:color="auto"/>
            </w:tcBorders>
          </w:tcPr>
          <w:p w:rsidR="002137D9" w:rsidRPr="0095171D" w:rsidRDefault="002F1104" w:rsidP="009E0D30">
            <w:pPr>
              <w:rPr>
                <w:b/>
                <w:bCs/>
                <w:color w:val="000000"/>
              </w:rPr>
            </w:pPr>
            <w:r w:rsidRPr="0095171D">
              <w:rPr>
                <w:b/>
                <w:bCs/>
                <w:color w:val="000000"/>
              </w:rPr>
              <w:t>Total</w:t>
            </w:r>
          </w:p>
        </w:tc>
        <w:tc>
          <w:tcPr>
            <w:tcW w:w="2472" w:type="dxa"/>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rsidR="002137D9" w:rsidRPr="0095171D" w:rsidRDefault="002137D9" w:rsidP="009E0D30"/>
        </w:tc>
        <w:tc>
          <w:tcPr>
            <w:tcW w:w="1216" w:type="dxa"/>
            <w:tcBorders>
              <w:top w:val="single" w:sz="4" w:space="0" w:color="auto"/>
              <w:left w:val="nil"/>
              <w:bottom w:val="single" w:sz="4" w:space="0" w:color="auto"/>
              <w:right w:val="single" w:sz="4" w:space="0" w:color="auto"/>
              <w:tr2bl w:val="single" w:sz="4" w:space="0" w:color="auto"/>
            </w:tcBorders>
          </w:tcPr>
          <w:p w:rsidR="002137D9" w:rsidRPr="0095171D" w:rsidRDefault="002137D9" w:rsidP="009E0D30"/>
        </w:tc>
        <w:tc>
          <w:tcPr>
            <w:tcW w:w="1160" w:type="dxa"/>
            <w:tcBorders>
              <w:top w:val="single" w:sz="4" w:space="0" w:color="auto"/>
              <w:left w:val="single" w:sz="4" w:space="0" w:color="auto"/>
              <w:bottom w:val="single" w:sz="4" w:space="0" w:color="auto"/>
              <w:right w:val="single" w:sz="4" w:space="0" w:color="auto"/>
            </w:tcBorders>
            <w:shd w:val="clear" w:color="auto" w:fill="auto"/>
          </w:tcPr>
          <w:p w:rsidR="002137D9" w:rsidRPr="0095171D" w:rsidRDefault="002137D9" w:rsidP="009E0D30"/>
        </w:tc>
      </w:tr>
    </w:tbl>
    <w:p w:rsidR="00010FE9" w:rsidRPr="0095171D" w:rsidRDefault="00010FE9" w:rsidP="00010FE9"/>
    <w:p w:rsidR="00010FE9" w:rsidRDefault="002F1104" w:rsidP="00010FE9">
      <w:pPr>
        <w:jc w:val="center"/>
        <w:rPr>
          <w:b/>
        </w:rPr>
      </w:pPr>
      <w:r w:rsidRPr="0095171D">
        <w:rPr>
          <w:b/>
        </w:rPr>
        <w:t>Table 24: Project baseline (tonnes CO</w:t>
      </w:r>
      <w:r w:rsidR="00B0547F" w:rsidRPr="00B0547F">
        <w:rPr>
          <w:b/>
          <w:vertAlign w:val="subscript"/>
        </w:rPr>
        <w:t>2</w:t>
      </w:r>
      <w:r w:rsidRPr="0095171D">
        <w:rPr>
          <w:b/>
        </w:rPr>
        <w:t>-e)</w:t>
      </w:r>
    </w:p>
    <w:tbl>
      <w:tblPr>
        <w:tblW w:w="3948" w:type="dxa"/>
        <w:jc w:val="center"/>
        <w:tblLook w:val="04A0"/>
      </w:tblPr>
      <w:tblGrid>
        <w:gridCol w:w="1758"/>
        <w:gridCol w:w="2190"/>
      </w:tblGrid>
      <w:tr w:rsidR="00010FE9" w:rsidRPr="0095171D" w:rsidTr="00A005D7">
        <w:trPr>
          <w:trHeight w:val="600"/>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Baseline year</w:t>
            </w:r>
          </w:p>
        </w:tc>
        <w:tc>
          <w:tcPr>
            <w:tcW w:w="2190"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Annual</w:t>
            </w:r>
          </w:p>
          <w:p w:rsidR="00B0547F" w:rsidRDefault="002F1104" w:rsidP="00B0547F">
            <w:pPr>
              <w:jc w:val="center"/>
              <w:rPr>
                <w:b/>
                <w:bCs/>
                <w:color w:val="000000"/>
              </w:rPr>
            </w:pPr>
            <w:r w:rsidRPr="0095171D">
              <w:rPr>
                <w:b/>
                <w:bCs/>
                <w:color w:val="000000"/>
              </w:rPr>
              <w:t>Emissions</w:t>
            </w:r>
          </w:p>
          <w:p w:rsidR="00B0547F" w:rsidRDefault="002F1104" w:rsidP="00B0547F">
            <w:pPr>
              <w:jc w:val="center"/>
              <w:rPr>
                <w:b/>
                <w:bCs/>
                <w:color w:val="000000"/>
              </w:rPr>
            </w:pPr>
            <w:r w:rsidRPr="0095171D">
              <w:rPr>
                <w:b/>
                <w:bCs/>
                <w:color w:val="000000"/>
              </w:rPr>
              <w:t>(E</w:t>
            </w:r>
            <w:r w:rsidRPr="0095171D">
              <w:rPr>
                <w:b/>
                <w:bCs/>
                <w:color w:val="000000"/>
                <w:vertAlign w:val="subscript"/>
              </w:rPr>
              <w:t>CO2</w:t>
            </w:r>
            <w:r w:rsidRPr="0095171D">
              <w:rPr>
                <w:b/>
                <w:bCs/>
                <w:color w:val="000000"/>
              </w:rPr>
              <w:t>-e)</w:t>
            </w: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y-10</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y-9</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y-8</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y-7</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y-6</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y-5</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y-4</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y-3</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y-2</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y-1</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Total</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010FE9"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 xml:space="preserve">Average (project baseline, </w:t>
            </w:r>
            <w:r w:rsidRPr="0095171D">
              <w:rPr>
                <w:b/>
              </w:rPr>
              <w:t>E</w:t>
            </w:r>
            <w:r w:rsidRPr="0095171D">
              <w:rPr>
                <w:b/>
                <w:vertAlign w:val="subscript"/>
              </w:rPr>
              <w:t>BL</w:t>
            </w:r>
            <w:r w:rsidRPr="0095171D">
              <w:rPr>
                <w:b/>
              </w:rPr>
              <w:t>CO</w:t>
            </w:r>
            <w:r w:rsidRPr="0095171D">
              <w:rPr>
                <w:b/>
                <w:vertAlign w:val="subscript"/>
              </w:rPr>
              <w:t>2</w:t>
            </w:r>
            <w:r w:rsidRPr="0095171D">
              <w:rPr>
                <w:b/>
              </w:rPr>
              <w:t>-e)</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bl>
    <w:p w:rsidR="00010FE9" w:rsidRPr="0095171D" w:rsidRDefault="00010FE9" w:rsidP="00A75F1E">
      <w:pPr>
        <w:widowControl w:val="0"/>
        <w:ind w:right="238"/>
        <w:rPr>
          <w:iCs/>
        </w:rPr>
      </w:pPr>
    </w:p>
    <w:p w:rsidR="007F404F" w:rsidRDefault="007F404F" w:rsidP="00010FE9">
      <w:pPr>
        <w:jc w:val="center"/>
        <w:rPr>
          <w:b/>
        </w:rPr>
      </w:pPr>
    </w:p>
    <w:p w:rsidR="00010FE9" w:rsidRDefault="002F1104" w:rsidP="00010FE9">
      <w:pPr>
        <w:jc w:val="center"/>
        <w:rPr>
          <w:b/>
        </w:rPr>
      </w:pPr>
      <w:r w:rsidRPr="0095171D">
        <w:rPr>
          <w:b/>
        </w:rPr>
        <w:t>Table 25: Annual emissions from fire (tonnes CO</w:t>
      </w:r>
      <w:r w:rsidR="00B0547F" w:rsidRPr="00B0547F">
        <w:rPr>
          <w:b/>
          <w:vertAlign w:val="subscript"/>
        </w:rPr>
        <w:t>2</w:t>
      </w:r>
      <w:r w:rsidRPr="0095171D">
        <w:rPr>
          <w:b/>
        </w:rPr>
        <w:t>-e)</w:t>
      </w:r>
    </w:p>
    <w:tbl>
      <w:tblPr>
        <w:tblW w:w="3431" w:type="dxa"/>
        <w:jc w:val="center"/>
        <w:tblLook w:val="04A0"/>
      </w:tblPr>
      <w:tblGrid>
        <w:gridCol w:w="1256"/>
        <w:gridCol w:w="2175"/>
      </w:tblGrid>
      <w:tr w:rsidR="00010FE9" w:rsidRPr="0095171D" w:rsidTr="00A005D7">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Year</w:t>
            </w:r>
          </w:p>
        </w:tc>
        <w:tc>
          <w:tcPr>
            <w:tcW w:w="2175"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spacing w:before="240"/>
              <w:jc w:val="center"/>
              <w:rPr>
                <w:b/>
                <w:bCs/>
                <w:color w:val="000000"/>
              </w:rPr>
            </w:pPr>
            <w:r w:rsidRPr="0095171D">
              <w:rPr>
                <w:b/>
                <w:bCs/>
                <w:color w:val="000000"/>
              </w:rPr>
              <w:t>Annual project emissions (</w:t>
            </w:r>
            <w:r w:rsidRPr="0095171D">
              <w:rPr>
                <w:b/>
              </w:rPr>
              <w:t>E</w:t>
            </w:r>
            <w:r w:rsidRPr="0095171D">
              <w:rPr>
                <w:b/>
                <w:vertAlign w:val="subscript"/>
              </w:rPr>
              <w:t>fire</w:t>
            </w:r>
            <w:r w:rsidRPr="0095171D">
              <w:rPr>
                <w:b/>
              </w:rPr>
              <w:t>CO</w:t>
            </w:r>
            <w:r w:rsidRPr="0095171D">
              <w:rPr>
                <w:b/>
                <w:vertAlign w:val="subscript"/>
              </w:rPr>
              <w:t>2</w:t>
            </w:r>
            <w:r w:rsidRPr="0095171D">
              <w:rPr>
                <w:b/>
              </w:rPr>
              <w:t>-e)</w:t>
            </w:r>
          </w:p>
        </w:tc>
      </w:tr>
      <w:tr w:rsidR="00010FE9" w:rsidRPr="0095171D">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010FE9" w:rsidRPr="0095171D" w:rsidRDefault="00010FE9" w:rsidP="00010FE9">
            <w:pPr>
              <w:rPr>
                <w:b/>
                <w:bCs/>
                <w:color w:val="000000"/>
              </w:rPr>
            </w:pPr>
          </w:p>
        </w:tc>
        <w:tc>
          <w:tcPr>
            <w:tcW w:w="2175" w:type="dxa"/>
            <w:tcBorders>
              <w:top w:val="single" w:sz="4" w:space="0" w:color="auto"/>
              <w:left w:val="nil"/>
              <w:bottom w:val="single" w:sz="4" w:space="0" w:color="auto"/>
              <w:right w:val="single" w:sz="4" w:space="0" w:color="auto"/>
            </w:tcBorders>
            <w:shd w:val="clear" w:color="auto" w:fill="auto"/>
            <w:vAlign w:val="bottom"/>
          </w:tcPr>
          <w:p w:rsidR="00010FE9" w:rsidRPr="0095171D" w:rsidRDefault="00010FE9" w:rsidP="00010FE9">
            <w:pPr>
              <w:rPr>
                <w:b/>
                <w:bCs/>
                <w:color w:val="000000"/>
              </w:rPr>
            </w:pPr>
          </w:p>
        </w:tc>
      </w:tr>
    </w:tbl>
    <w:p w:rsidR="001A7F4E" w:rsidRDefault="001A7F4E" w:rsidP="00A75F1E">
      <w:pPr>
        <w:widowControl w:val="0"/>
        <w:ind w:right="238"/>
        <w:rPr>
          <w:iCs/>
        </w:rPr>
      </w:pPr>
    </w:p>
    <w:p w:rsidR="002137D9" w:rsidRDefault="002F1104" w:rsidP="002137D9">
      <w:pPr>
        <w:jc w:val="center"/>
        <w:rPr>
          <w:b/>
        </w:rPr>
      </w:pPr>
      <w:r w:rsidRPr="0095171D">
        <w:rPr>
          <w:b/>
        </w:rPr>
        <w:t>Table 26: Emissions from fuel use (tonnes CO</w:t>
      </w:r>
      <w:r w:rsidRPr="0095171D">
        <w:rPr>
          <w:b/>
          <w:vertAlign w:val="subscript"/>
        </w:rPr>
        <w:t>2</w:t>
      </w:r>
      <w:r w:rsidRPr="0095171D">
        <w:rPr>
          <w:b/>
        </w:rPr>
        <w:t>-e)</w:t>
      </w:r>
    </w:p>
    <w:tbl>
      <w:tblPr>
        <w:tblW w:w="4892" w:type="dxa"/>
        <w:jc w:val="center"/>
        <w:tblLook w:val="04A0"/>
      </w:tblPr>
      <w:tblGrid>
        <w:gridCol w:w="1255"/>
        <w:gridCol w:w="1213"/>
        <w:gridCol w:w="1180"/>
        <w:gridCol w:w="1244"/>
      </w:tblGrid>
      <w:tr w:rsidR="002137D9" w:rsidRPr="0095171D" w:rsidTr="00B66969">
        <w:trPr>
          <w:trHeight w:val="600"/>
          <w:jc w:val="center"/>
        </w:trPr>
        <w:tc>
          <w:tcPr>
            <w:tcW w:w="1256" w:type="dxa"/>
            <w:tcBorders>
              <w:top w:val="single" w:sz="4" w:space="0" w:color="auto"/>
              <w:left w:val="single" w:sz="4" w:space="0" w:color="auto"/>
              <w:bottom w:val="single" w:sz="4" w:space="0" w:color="auto"/>
              <w:right w:val="single" w:sz="4" w:space="0" w:color="auto"/>
            </w:tcBorders>
          </w:tcPr>
          <w:p w:rsidR="002137D9" w:rsidRPr="0095171D" w:rsidRDefault="002137D9" w:rsidP="009E0D30">
            <w:pPr>
              <w:rPr>
                <w:b/>
                <w:bCs/>
                <w:color w:val="000000"/>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47F" w:rsidRDefault="002F1104" w:rsidP="00B0547F">
            <w:pPr>
              <w:jc w:val="center"/>
              <w:rPr>
                <w:b/>
                <w:bCs/>
                <w:color w:val="000000"/>
              </w:rPr>
            </w:pPr>
            <w:r w:rsidRPr="0095171D">
              <w:rPr>
                <w:b/>
                <w:bCs/>
                <w:color w:val="000000"/>
              </w:rPr>
              <w:t>Fuel type</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2137D9" w:rsidRPr="0095171D" w:rsidRDefault="002F1104" w:rsidP="009E0D30">
            <w:pPr>
              <w:rPr>
                <w:b/>
                <w:bCs/>
                <w:color w:val="000000"/>
              </w:rPr>
            </w:pPr>
            <w:r w:rsidRPr="0095171D">
              <w:rPr>
                <w:b/>
                <w:bCs/>
                <w:color w:val="000000"/>
              </w:rPr>
              <w:t>Amount used (litres)</w:t>
            </w:r>
          </w:p>
        </w:tc>
        <w:tc>
          <w:tcPr>
            <w:tcW w:w="1190" w:type="dxa"/>
            <w:tcBorders>
              <w:top w:val="single" w:sz="4" w:space="0" w:color="auto"/>
              <w:left w:val="nil"/>
              <w:bottom w:val="single" w:sz="4" w:space="0" w:color="auto"/>
              <w:right w:val="single" w:sz="4" w:space="0" w:color="auto"/>
            </w:tcBorders>
          </w:tcPr>
          <w:p w:rsidR="002137D9" w:rsidRPr="0095171D" w:rsidRDefault="002F1104" w:rsidP="009E0D30">
            <w:pPr>
              <w:rPr>
                <w:b/>
                <w:bCs/>
                <w:color w:val="000000"/>
              </w:rPr>
            </w:pPr>
            <w:r w:rsidRPr="0095171D">
              <w:rPr>
                <w:b/>
                <w:bCs/>
                <w:color w:val="000000"/>
              </w:rPr>
              <w:t>Emissions from fuel use</w:t>
            </w:r>
          </w:p>
        </w:tc>
      </w:tr>
      <w:tr w:rsidR="002137D9" w:rsidRPr="0095171D" w:rsidTr="00B66969">
        <w:trPr>
          <w:trHeight w:val="600"/>
          <w:jc w:val="center"/>
        </w:trPr>
        <w:tc>
          <w:tcPr>
            <w:tcW w:w="1256" w:type="dxa"/>
            <w:tcBorders>
              <w:top w:val="single" w:sz="4" w:space="0" w:color="auto"/>
              <w:left w:val="single" w:sz="4" w:space="0" w:color="auto"/>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Source 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7D9" w:rsidRPr="0095171D" w:rsidRDefault="002137D9" w:rsidP="009E0D30">
            <w:pPr>
              <w:rPr>
                <w:b/>
                <w:bCs/>
                <w:color w:val="000000"/>
              </w:rPr>
            </w:pP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2137D9" w:rsidRPr="0095171D" w:rsidRDefault="002137D9" w:rsidP="009E0D30">
            <w:pPr>
              <w:rPr>
                <w:b/>
                <w:bCs/>
                <w:color w:val="000000"/>
              </w:rPr>
            </w:pPr>
          </w:p>
        </w:tc>
        <w:tc>
          <w:tcPr>
            <w:tcW w:w="1190" w:type="dxa"/>
            <w:tcBorders>
              <w:top w:val="single" w:sz="4" w:space="0" w:color="auto"/>
              <w:left w:val="nil"/>
              <w:bottom w:val="single" w:sz="4" w:space="0" w:color="auto"/>
              <w:right w:val="single" w:sz="4" w:space="0" w:color="auto"/>
            </w:tcBorders>
          </w:tcPr>
          <w:p w:rsidR="002137D9" w:rsidRPr="0095171D" w:rsidRDefault="002137D9" w:rsidP="009E0D30">
            <w:pPr>
              <w:rPr>
                <w:b/>
                <w:bCs/>
                <w:color w:val="000000"/>
              </w:rPr>
            </w:pPr>
          </w:p>
        </w:tc>
      </w:tr>
      <w:tr w:rsidR="002137D9" w:rsidRPr="0095171D" w:rsidTr="00B66969">
        <w:trPr>
          <w:trHeight w:val="600"/>
          <w:jc w:val="center"/>
        </w:trPr>
        <w:tc>
          <w:tcPr>
            <w:tcW w:w="1256" w:type="dxa"/>
            <w:tcBorders>
              <w:top w:val="single" w:sz="4" w:space="0" w:color="auto"/>
              <w:left w:val="single" w:sz="4" w:space="0" w:color="auto"/>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Source b</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7D9" w:rsidRPr="0095171D" w:rsidRDefault="002137D9" w:rsidP="009E0D30">
            <w:pPr>
              <w:rPr>
                <w:b/>
                <w:bCs/>
                <w:color w:val="000000"/>
              </w:rPr>
            </w:pP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2137D9" w:rsidRPr="0095171D" w:rsidRDefault="002137D9" w:rsidP="009E0D30">
            <w:pPr>
              <w:rPr>
                <w:b/>
                <w:bCs/>
                <w:color w:val="000000"/>
              </w:rPr>
            </w:pPr>
          </w:p>
        </w:tc>
        <w:tc>
          <w:tcPr>
            <w:tcW w:w="1190" w:type="dxa"/>
            <w:tcBorders>
              <w:top w:val="single" w:sz="4" w:space="0" w:color="auto"/>
              <w:left w:val="nil"/>
              <w:bottom w:val="single" w:sz="4" w:space="0" w:color="auto"/>
              <w:right w:val="single" w:sz="4" w:space="0" w:color="auto"/>
            </w:tcBorders>
          </w:tcPr>
          <w:p w:rsidR="002137D9" w:rsidRPr="0095171D" w:rsidRDefault="002137D9" w:rsidP="009E0D30">
            <w:pPr>
              <w:rPr>
                <w:b/>
                <w:bCs/>
                <w:color w:val="000000"/>
              </w:rPr>
            </w:pPr>
          </w:p>
        </w:tc>
      </w:tr>
      <w:tr w:rsidR="002137D9" w:rsidRPr="0095171D" w:rsidTr="009E0D30">
        <w:trPr>
          <w:trHeight w:val="600"/>
          <w:jc w:val="center"/>
        </w:trPr>
        <w:tc>
          <w:tcPr>
            <w:tcW w:w="1256" w:type="dxa"/>
            <w:tcBorders>
              <w:top w:val="single" w:sz="4" w:space="0" w:color="auto"/>
              <w:left w:val="single" w:sz="4" w:space="0" w:color="auto"/>
              <w:bottom w:val="single" w:sz="4" w:space="0" w:color="auto"/>
              <w:right w:val="single" w:sz="4" w:space="0" w:color="auto"/>
            </w:tcBorders>
          </w:tcPr>
          <w:p w:rsidR="002137D9" w:rsidRPr="0095171D" w:rsidRDefault="002F1104" w:rsidP="009E0D30">
            <w:pPr>
              <w:rPr>
                <w:b/>
                <w:bCs/>
                <w:color w:val="000000"/>
              </w:rPr>
            </w:pPr>
            <w:r w:rsidRPr="0095171D">
              <w:rPr>
                <w:b/>
                <w:bCs/>
                <w:color w:val="000000"/>
              </w:rPr>
              <w:t>Total (</w:t>
            </w:r>
            <w:r w:rsidRPr="0095171D">
              <w:rPr>
                <w:b/>
              </w:rPr>
              <w:t>E</w:t>
            </w:r>
            <w:r w:rsidRPr="0095171D">
              <w:rPr>
                <w:b/>
                <w:vertAlign w:val="subscript"/>
              </w:rPr>
              <w:t>fuel</w:t>
            </w:r>
            <w:r w:rsidRPr="0095171D">
              <w:rPr>
                <w:b/>
              </w:rPr>
              <w:t>CO</w:t>
            </w:r>
            <w:r w:rsidRPr="0095171D">
              <w:rPr>
                <w:b/>
                <w:vertAlign w:val="subscript"/>
              </w:rPr>
              <w:t>2</w:t>
            </w:r>
            <w:r w:rsidRPr="0095171D">
              <w:rPr>
                <w:b/>
              </w:rPr>
              <w:t>-e)</w:t>
            </w:r>
          </w:p>
        </w:tc>
        <w:tc>
          <w:tcPr>
            <w:tcW w:w="125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hideMark/>
          </w:tcPr>
          <w:p w:rsidR="002137D9" w:rsidRPr="0095171D" w:rsidRDefault="002137D9" w:rsidP="009E0D30">
            <w:pPr>
              <w:rPr>
                <w:b/>
                <w:bCs/>
                <w:color w:val="000000"/>
              </w:rPr>
            </w:pPr>
          </w:p>
        </w:tc>
        <w:tc>
          <w:tcPr>
            <w:tcW w:w="1190" w:type="dxa"/>
            <w:tcBorders>
              <w:top w:val="single" w:sz="4" w:space="0" w:color="auto"/>
              <w:left w:val="nil"/>
              <w:bottom w:val="single" w:sz="4" w:space="0" w:color="auto"/>
              <w:right w:val="single" w:sz="4" w:space="0" w:color="auto"/>
              <w:tr2bl w:val="single" w:sz="4" w:space="0" w:color="auto"/>
            </w:tcBorders>
            <w:shd w:val="clear" w:color="auto" w:fill="auto"/>
            <w:vAlign w:val="bottom"/>
            <w:hideMark/>
          </w:tcPr>
          <w:p w:rsidR="002137D9" w:rsidRPr="0095171D" w:rsidRDefault="002137D9" w:rsidP="009E0D30">
            <w:pPr>
              <w:rPr>
                <w:b/>
                <w:bCs/>
                <w:color w:val="000000"/>
              </w:rPr>
            </w:pPr>
          </w:p>
        </w:tc>
        <w:tc>
          <w:tcPr>
            <w:tcW w:w="1190" w:type="dxa"/>
            <w:tcBorders>
              <w:top w:val="single" w:sz="4" w:space="0" w:color="auto"/>
              <w:left w:val="nil"/>
              <w:bottom w:val="single" w:sz="4" w:space="0" w:color="auto"/>
              <w:right w:val="single" w:sz="4" w:space="0" w:color="auto"/>
            </w:tcBorders>
            <w:shd w:val="clear" w:color="auto" w:fill="auto"/>
          </w:tcPr>
          <w:p w:rsidR="002137D9" w:rsidRPr="0095171D" w:rsidRDefault="002137D9" w:rsidP="009E0D30">
            <w:pPr>
              <w:rPr>
                <w:b/>
                <w:bCs/>
                <w:color w:val="000000"/>
              </w:rPr>
            </w:pPr>
          </w:p>
        </w:tc>
      </w:tr>
    </w:tbl>
    <w:p w:rsidR="002137D9" w:rsidRPr="0095171D" w:rsidRDefault="002137D9" w:rsidP="00A75F1E">
      <w:pPr>
        <w:widowControl w:val="0"/>
        <w:ind w:right="238"/>
        <w:rPr>
          <w:iCs/>
        </w:rPr>
      </w:pPr>
    </w:p>
    <w:p w:rsidR="002137D9" w:rsidRDefault="002F1104" w:rsidP="002137D9">
      <w:pPr>
        <w:jc w:val="center"/>
        <w:rPr>
          <w:b/>
        </w:rPr>
      </w:pPr>
      <w:r w:rsidRPr="0095171D">
        <w:rPr>
          <w:b/>
        </w:rPr>
        <w:t>Table 27: Annual project emissions (tonnes CO</w:t>
      </w:r>
      <w:r w:rsidRPr="0095171D">
        <w:rPr>
          <w:b/>
          <w:vertAlign w:val="subscript"/>
        </w:rPr>
        <w:t>2</w:t>
      </w:r>
      <w:r w:rsidRPr="0095171D">
        <w:rPr>
          <w:b/>
        </w:rPr>
        <w:t>-e)</w:t>
      </w:r>
    </w:p>
    <w:tbl>
      <w:tblPr>
        <w:tblW w:w="3231" w:type="dxa"/>
        <w:jc w:val="center"/>
        <w:tblLook w:val="04A0"/>
      </w:tblPr>
      <w:tblGrid>
        <w:gridCol w:w="1256"/>
        <w:gridCol w:w="1975"/>
      </w:tblGrid>
      <w:tr w:rsidR="002137D9" w:rsidRPr="0095171D" w:rsidTr="009E0D30">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7D9" w:rsidRPr="0095171D" w:rsidRDefault="002F1104" w:rsidP="009E0D30">
            <w:pPr>
              <w:rPr>
                <w:b/>
                <w:bCs/>
                <w:color w:val="000000"/>
              </w:rPr>
            </w:pPr>
            <w:r w:rsidRPr="0095171D">
              <w:rPr>
                <w:b/>
                <w:bCs/>
                <w:color w:val="000000"/>
              </w:rPr>
              <w:t>Year</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2137D9" w:rsidRPr="0095171D" w:rsidRDefault="002F1104" w:rsidP="009E0D30">
            <w:pPr>
              <w:rPr>
                <w:b/>
                <w:bCs/>
                <w:color w:val="000000"/>
              </w:rPr>
            </w:pPr>
            <w:r w:rsidRPr="0095171D">
              <w:rPr>
                <w:b/>
                <w:bCs/>
                <w:color w:val="000000"/>
              </w:rPr>
              <w:t>Total annual</w:t>
            </w:r>
          </w:p>
          <w:p w:rsidR="002137D9" w:rsidRPr="0095171D" w:rsidRDefault="002F1104" w:rsidP="009E0D30">
            <w:pPr>
              <w:rPr>
                <w:b/>
                <w:bCs/>
                <w:color w:val="000000"/>
              </w:rPr>
            </w:pPr>
            <w:r w:rsidRPr="0095171D">
              <w:rPr>
                <w:b/>
                <w:bCs/>
                <w:color w:val="000000"/>
              </w:rPr>
              <w:t>Emissions (</w:t>
            </w:r>
            <w:r w:rsidRPr="0095171D">
              <w:rPr>
                <w:b/>
              </w:rPr>
              <w:t>E</w:t>
            </w:r>
            <w:r w:rsidRPr="0095171D">
              <w:rPr>
                <w:b/>
                <w:vertAlign w:val="subscript"/>
              </w:rPr>
              <w:t>total</w:t>
            </w:r>
            <w:r w:rsidRPr="0095171D">
              <w:rPr>
                <w:b/>
              </w:rPr>
              <w:t>CO</w:t>
            </w:r>
            <w:r w:rsidRPr="0095171D">
              <w:rPr>
                <w:b/>
                <w:vertAlign w:val="subscript"/>
              </w:rPr>
              <w:t>2</w:t>
            </w:r>
            <w:r w:rsidRPr="0095171D">
              <w:rPr>
                <w:b/>
              </w:rPr>
              <w:t>-e)</w:t>
            </w:r>
          </w:p>
        </w:tc>
      </w:tr>
      <w:tr w:rsidR="002137D9" w:rsidRPr="0095171D" w:rsidTr="009E0D30">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7D9" w:rsidRPr="0095171D" w:rsidRDefault="002137D9" w:rsidP="009E0D30">
            <w:pPr>
              <w:rPr>
                <w:b/>
                <w:bCs/>
                <w:color w:val="000000"/>
              </w:rPr>
            </w:pP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2137D9" w:rsidRPr="0095171D" w:rsidRDefault="002137D9" w:rsidP="009E0D30">
            <w:pPr>
              <w:rPr>
                <w:b/>
                <w:bCs/>
                <w:color w:val="000000"/>
              </w:rPr>
            </w:pPr>
          </w:p>
        </w:tc>
      </w:tr>
    </w:tbl>
    <w:p w:rsidR="002137D9" w:rsidRPr="0095171D" w:rsidRDefault="002137D9" w:rsidP="00A75F1E">
      <w:pPr>
        <w:widowControl w:val="0"/>
        <w:ind w:right="238"/>
        <w:rPr>
          <w:iCs/>
        </w:rPr>
      </w:pPr>
    </w:p>
    <w:p w:rsidR="00010FE9" w:rsidRDefault="002F1104" w:rsidP="00A410F5">
      <w:pPr>
        <w:jc w:val="center"/>
        <w:rPr>
          <w:b/>
        </w:rPr>
      </w:pPr>
      <w:r w:rsidRPr="0095171D">
        <w:rPr>
          <w:b/>
        </w:rPr>
        <w:t>Table 28: Net annual project abatement (tonnes CO</w:t>
      </w:r>
      <w:r w:rsidR="00430335" w:rsidRPr="00430335">
        <w:rPr>
          <w:b/>
          <w:vertAlign w:val="subscript"/>
        </w:rPr>
        <w:t>2</w:t>
      </w:r>
      <w:r w:rsidRPr="0095171D">
        <w:rPr>
          <w:b/>
        </w:rPr>
        <w:t>-e)</w:t>
      </w:r>
    </w:p>
    <w:tbl>
      <w:tblPr>
        <w:tblW w:w="2844" w:type="dxa"/>
        <w:jc w:val="center"/>
        <w:tblLook w:val="04A0"/>
      </w:tblPr>
      <w:tblGrid>
        <w:gridCol w:w="1223"/>
        <w:gridCol w:w="1621"/>
      </w:tblGrid>
      <w:tr w:rsidR="00010FE9" w:rsidRPr="0095171D">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bottom"/>
          </w:tcPr>
          <w:p w:rsidR="00010FE9" w:rsidRPr="0095171D" w:rsidRDefault="002F1104" w:rsidP="00010FE9">
            <w:pPr>
              <w:rPr>
                <w:b/>
                <w:bCs/>
                <w:color w:val="000000"/>
              </w:rPr>
            </w:pPr>
            <w:r w:rsidRPr="0095171D">
              <w:rPr>
                <w:b/>
                <w:bCs/>
                <w:color w:val="000000"/>
              </w:rPr>
              <w:t>Year</w:t>
            </w:r>
          </w:p>
        </w:tc>
        <w:tc>
          <w:tcPr>
            <w:tcW w:w="1621" w:type="dxa"/>
            <w:tcBorders>
              <w:top w:val="single" w:sz="4" w:space="0" w:color="auto"/>
              <w:left w:val="nil"/>
              <w:bottom w:val="single" w:sz="4" w:space="0" w:color="auto"/>
              <w:right w:val="single" w:sz="4" w:space="0" w:color="auto"/>
            </w:tcBorders>
            <w:shd w:val="clear" w:color="auto" w:fill="auto"/>
            <w:vAlign w:val="bottom"/>
          </w:tcPr>
          <w:p w:rsidR="00010FE9" w:rsidRPr="0095171D" w:rsidRDefault="002F1104" w:rsidP="00010FE9">
            <w:pPr>
              <w:rPr>
                <w:b/>
                <w:bCs/>
                <w:color w:val="000000"/>
              </w:rPr>
            </w:pPr>
            <w:r w:rsidRPr="0095171D">
              <w:rPr>
                <w:b/>
                <w:bCs/>
                <w:color w:val="000000"/>
              </w:rPr>
              <w:t>Net annual project abatement (</w:t>
            </w:r>
            <w:r w:rsidRPr="0095171D">
              <w:rPr>
                <w:b/>
              </w:rPr>
              <w:t>A</w:t>
            </w:r>
            <w:r w:rsidRPr="0095171D">
              <w:rPr>
                <w:b/>
                <w:vertAlign w:val="subscript"/>
              </w:rPr>
              <w:t>net</w:t>
            </w:r>
            <w:r w:rsidRPr="0095171D">
              <w:rPr>
                <w:b/>
              </w:rPr>
              <w:t>CO</w:t>
            </w:r>
            <w:r w:rsidRPr="0095171D">
              <w:rPr>
                <w:b/>
                <w:vertAlign w:val="subscript"/>
              </w:rPr>
              <w:t>2</w:t>
            </w:r>
            <w:r w:rsidRPr="0095171D">
              <w:rPr>
                <w:b/>
              </w:rPr>
              <w:t>-e)</w:t>
            </w:r>
          </w:p>
        </w:tc>
      </w:tr>
      <w:tr w:rsidR="00010FE9" w:rsidRPr="0095171D">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bottom"/>
          </w:tcPr>
          <w:p w:rsidR="00010FE9" w:rsidRPr="0095171D" w:rsidRDefault="00010FE9" w:rsidP="00010FE9">
            <w:pPr>
              <w:rPr>
                <w:b/>
                <w:bCs/>
                <w:color w:val="000000"/>
              </w:rPr>
            </w:pPr>
          </w:p>
        </w:tc>
        <w:tc>
          <w:tcPr>
            <w:tcW w:w="1621" w:type="dxa"/>
            <w:tcBorders>
              <w:top w:val="single" w:sz="4" w:space="0" w:color="auto"/>
              <w:left w:val="nil"/>
              <w:bottom w:val="single" w:sz="4" w:space="0" w:color="auto"/>
              <w:right w:val="single" w:sz="4" w:space="0" w:color="auto"/>
            </w:tcBorders>
            <w:shd w:val="clear" w:color="auto" w:fill="auto"/>
            <w:vAlign w:val="bottom"/>
          </w:tcPr>
          <w:p w:rsidR="00010FE9" w:rsidRPr="0095171D" w:rsidRDefault="00010FE9" w:rsidP="00010FE9">
            <w:pPr>
              <w:rPr>
                <w:b/>
                <w:bCs/>
                <w:color w:val="000000"/>
              </w:rPr>
            </w:pPr>
          </w:p>
        </w:tc>
      </w:tr>
    </w:tbl>
    <w:p w:rsidR="00E50790" w:rsidRPr="0095171D" w:rsidRDefault="00E50790" w:rsidP="00A75F1E">
      <w:pPr>
        <w:widowControl w:val="0"/>
        <w:ind w:right="238"/>
        <w:rPr>
          <w:iCs/>
        </w:rPr>
      </w:pPr>
    </w:p>
    <w:p w:rsidR="00B0547F" w:rsidRPr="00961334" w:rsidRDefault="00A9419F" w:rsidP="00961334">
      <w:pPr>
        <w:rPr>
          <w:rStyle w:val="CharSectno"/>
          <w:b/>
        </w:rPr>
      </w:pPr>
      <w:r w:rsidRPr="0095171D">
        <w:br w:type="page"/>
      </w:r>
      <w:bookmarkStart w:id="760" w:name="_Toc325039199"/>
      <w:r w:rsidR="00B0547F" w:rsidRPr="00961334">
        <w:rPr>
          <w:rStyle w:val="CharSectno"/>
          <w:b/>
        </w:rPr>
        <w:lastRenderedPageBreak/>
        <w:t xml:space="preserve">Form 2 </w:t>
      </w:r>
      <w:r w:rsidR="00B0547F" w:rsidRPr="00961334">
        <w:rPr>
          <w:rStyle w:val="CharSectno"/>
          <w:b/>
        </w:rPr>
        <w:tab/>
        <w:t>Record of Calculations for Offset</w:t>
      </w:r>
      <w:r w:rsidR="007928BD" w:rsidRPr="00961334">
        <w:rPr>
          <w:rStyle w:val="CharSectno"/>
          <w:b/>
        </w:rPr>
        <w:t>s</w:t>
      </w:r>
      <w:r w:rsidR="00B0547F" w:rsidRPr="00961334">
        <w:rPr>
          <w:rStyle w:val="CharSectno"/>
          <w:b/>
        </w:rPr>
        <w:t xml:space="preserve"> Reports</w:t>
      </w:r>
      <w:bookmarkEnd w:id="760"/>
    </w:p>
    <w:p w:rsidR="00CA5136" w:rsidRPr="004D0609" w:rsidRDefault="002F1104" w:rsidP="00CA5136">
      <w:pPr>
        <w:pStyle w:val="R2"/>
        <w:ind w:left="0" w:firstLine="0"/>
        <w:jc w:val="left"/>
        <w:rPr>
          <w:i/>
        </w:rPr>
      </w:pPr>
      <w:r w:rsidRPr="004D0609">
        <w:rPr>
          <w:i/>
        </w:rPr>
        <w:t xml:space="preserve">The results of calculations prescribed by Part </w:t>
      </w:r>
      <w:r w:rsidR="007928BD" w:rsidRPr="004D0609">
        <w:rPr>
          <w:i/>
        </w:rPr>
        <w:t>3</w:t>
      </w:r>
      <w:r w:rsidRPr="004D0609">
        <w:rPr>
          <w:i/>
        </w:rPr>
        <w:t xml:space="preserve"> must be recorded in the following tables and be provided in the </w:t>
      </w:r>
      <w:r w:rsidR="007928BD" w:rsidRPr="004D0609">
        <w:rPr>
          <w:i/>
        </w:rPr>
        <w:t>o</w:t>
      </w:r>
      <w:r w:rsidRPr="004D0609">
        <w:rPr>
          <w:i/>
        </w:rPr>
        <w:t>ffset</w:t>
      </w:r>
      <w:r w:rsidR="007928BD" w:rsidRPr="004D0609">
        <w:rPr>
          <w:i/>
        </w:rPr>
        <w:t>s</w:t>
      </w:r>
      <w:r w:rsidRPr="004D0609">
        <w:rPr>
          <w:i/>
        </w:rPr>
        <w:t xml:space="preserve"> report for the first reporting period and subsequent reporting periods.</w:t>
      </w:r>
    </w:p>
    <w:p w:rsidR="00CA5136" w:rsidRPr="0095171D" w:rsidRDefault="00CA5136">
      <w:pPr>
        <w:rPr>
          <w:iCs/>
        </w:rPr>
      </w:pPr>
    </w:p>
    <w:p w:rsidR="003334B1" w:rsidRDefault="002F1104" w:rsidP="003334B1">
      <w:pPr>
        <w:jc w:val="center"/>
        <w:rPr>
          <w:b/>
        </w:rPr>
      </w:pPr>
      <w:r w:rsidRPr="0095171D">
        <w:rPr>
          <w:b/>
        </w:rPr>
        <w:t xml:space="preserve">Table </w:t>
      </w:r>
      <w:r w:rsidR="006D7B1F" w:rsidRPr="0095171D">
        <w:rPr>
          <w:b/>
        </w:rPr>
        <w:t>9</w:t>
      </w:r>
      <w:r w:rsidRPr="0095171D">
        <w:rPr>
          <w:b/>
        </w:rPr>
        <w:t>: Start of the LDS for project region</w:t>
      </w:r>
    </w:p>
    <w:p w:rsidR="006D333D" w:rsidRPr="0095171D" w:rsidRDefault="006D333D" w:rsidP="003334B1">
      <w:pPr>
        <w:jc w:val="center"/>
        <w:rPr>
          <w:b/>
        </w:rPr>
      </w:pPr>
    </w:p>
    <w:tbl>
      <w:tblPr>
        <w:tblW w:w="3089" w:type="dxa"/>
        <w:jc w:val="center"/>
        <w:tblLook w:val="04A0"/>
      </w:tblPr>
      <w:tblGrid>
        <w:gridCol w:w="1256"/>
        <w:gridCol w:w="1833"/>
      </w:tblGrid>
      <w:tr w:rsidR="003334B1" w:rsidRPr="0095171D" w:rsidTr="00A005D7">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Year</w:t>
            </w:r>
          </w:p>
        </w:tc>
        <w:tc>
          <w:tcPr>
            <w:tcW w:w="1833"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Month that represents the start of the LDS</w:t>
            </w:r>
          </w:p>
        </w:tc>
      </w:tr>
      <w:tr w:rsidR="003334B1" w:rsidRPr="0095171D" w:rsidTr="00A005D7">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c>
          <w:tcPr>
            <w:tcW w:w="1833" w:type="dxa"/>
            <w:tcBorders>
              <w:top w:val="single" w:sz="4" w:space="0" w:color="auto"/>
              <w:left w:val="nil"/>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r>
    </w:tbl>
    <w:p w:rsidR="003334B1" w:rsidRPr="0095171D" w:rsidRDefault="003334B1" w:rsidP="003334B1">
      <w:pPr>
        <w:widowControl w:val="0"/>
        <w:ind w:right="238"/>
        <w:rPr>
          <w:iCs/>
        </w:rPr>
      </w:pPr>
    </w:p>
    <w:p w:rsidR="003334B1" w:rsidRDefault="002F1104" w:rsidP="003334B1">
      <w:pPr>
        <w:jc w:val="center"/>
        <w:rPr>
          <w:b/>
        </w:rPr>
      </w:pPr>
      <w:r w:rsidRPr="0095171D">
        <w:rPr>
          <w:b/>
        </w:rPr>
        <w:t xml:space="preserve">Table </w:t>
      </w:r>
      <w:r w:rsidR="006D7B1F" w:rsidRPr="0095171D">
        <w:rPr>
          <w:b/>
        </w:rPr>
        <w:t>11</w:t>
      </w:r>
      <w:r w:rsidRPr="0095171D">
        <w:rPr>
          <w:b/>
        </w:rPr>
        <w:t>: A</w:t>
      </w:r>
      <w:r w:rsidR="00811577" w:rsidRPr="0095171D">
        <w:rPr>
          <w:b/>
        </w:rPr>
        <w:t>rea burnt</w:t>
      </w:r>
      <w:r w:rsidR="00EB13E3" w:rsidRPr="0095171D">
        <w:rPr>
          <w:b/>
        </w:rPr>
        <w:t xml:space="preserve"> by fire season and vegetation class (ha)</w:t>
      </w:r>
    </w:p>
    <w:tbl>
      <w:tblPr>
        <w:tblW w:w="3702" w:type="dxa"/>
        <w:jc w:val="center"/>
        <w:tblLook w:val="04A0"/>
      </w:tblPr>
      <w:tblGrid>
        <w:gridCol w:w="1323"/>
        <w:gridCol w:w="1220"/>
        <w:gridCol w:w="1159"/>
      </w:tblGrid>
      <w:tr w:rsidR="003334B1" w:rsidRPr="0095171D" w:rsidTr="00A005D7">
        <w:trPr>
          <w:trHeight w:val="600"/>
          <w:jc w:val="center"/>
        </w:trPr>
        <w:tc>
          <w:tcPr>
            <w:tcW w:w="1256" w:type="dxa"/>
            <w:vMerge w:val="restart"/>
            <w:tcBorders>
              <w:top w:val="single" w:sz="4" w:space="0" w:color="auto"/>
              <w:left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4B1" w:rsidRPr="0095171D" w:rsidRDefault="002F1104" w:rsidP="00A005D7">
            <w:pPr>
              <w:jc w:val="center"/>
              <w:rPr>
                <w:b/>
                <w:bCs/>
                <w:color w:val="000000"/>
              </w:rPr>
            </w:pPr>
            <w:r w:rsidRPr="0095171D">
              <w:rPr>
                <w:b/>
                <w:bCs/>
                <w:color w:val="000000"/>
              </w:rPr>
              <w:t>Fire season</w:t>
            </w:r>
          </w:p>
        </w:tc>
      </w:tr>
      <w:tr w:rsidR="003334B1" w:rsidRPr="0095171D" w:rsidTr="00A005D7">
        <w:trPr>
          <w:trHeight w:val="300"/>
          <w:jc w:val="center"/>
        </w:trPr>
        <w:tc>
          <w:tcPr>
            <w:tcW w:w="1256"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EDS</w:t>
            </w:r>
          </w:p>
        </w:tc>
        <w:tc>
          <w:tcPr>
            <w:tcW w:w="1190" w:type="dxa"/>
            <w:tcBorders>
              <w:top w:val="nil"/>
              <w:left w:val="nil"/>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LDS</w:t>
            </w:r>
          </w:p>
        </w:tc>
      </w:tr>
      <w:tr w:rsidR="003334B1"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3334B1"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3334B1"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r w:rsidR="003334B1" w:rsidRPr="0095171D" w:rsidTr="00A005D7">
        <w:trPr>
          <w:trHeight w:val="300"/>
          <w:jc w:val="center"/>
        </w:trPr>
        <w:tc>
          <w:tcPr>
            <w:tcW w:w="1256"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pPr>
          </w:p>
        </w:tc>
      </w:tr>
    </w:tbl>
    <w:p w:rsidR="003334B1" w:rsidRPr="0095171D" w:rsidRDefault="003334B1" w:rsidP="003334B1">
      <w:pPr>
        <w:widowControl w:val="0"/>
        <w:ind w:right="238"/>
        <w:rPr>
          <w:iCs/>
        </w:rPr>
      </w:pPr>
    </w:p>
    <w:p w:rsidR="003334B1" w:rsidRDefault="002F1104" w:rsidP="003334B1">
      <w:pPr>
        <w:jc w:val="center"/>
        <w:rPr>
          <w:b/>
        </w:rPr>
      </w:pPr>
      <w:r w:rsidRPr="0095171D">
        <w:rPr>
          <w:b/>
        </w:rPr>
        <w:t>Table 22: Emissions by gas by vegetation class by fire season (tonnes)</w:t>
      </w:r>
    </w:p>
    <w:tbl>
      <w:tblPr>
        <w:tblW w:w="6082" w:type="dxa"/>
        <w:jc w:val="center"/>
        <w:tblLook w:val="04A0"/>
      </w:tblPr>
      <w:tblGrid>
        <w:gridCol w:w="1323"/>
        <w:gridCol w:w="1237"/>
        <w:gridCol w:w="1173"/>
        <w:gridCol w:w="1176"/>
        <w:gridCol w:w="1165"/>
        <w:gridCol w:w="8"/>
      </w:tblGrid>
      <w:tr w:rsidR="003334B1" w:rsidRPr="0095171D" w:rsidTr="00A005D7">
        <w:trPr>
          <w:gridAfter w:val="1"/>
          <w:wAfter w:w="8" w:type="dxa"/>
          <w:trHeight w:val="600"/>
          <w:jc w:val="center"/>
        </w:trPr>
        <w:tc>
          <w:tcPr>
            <w:tcW w:w="1323" w:type="dxa"/>
            <w:vMerge w:val="restart"/>
            <w:tcBorders>
              <w:top w:val="single" w:sz="4" w:space="0" w:color="auto"/>
              <w:left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Vegetation class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4B1" w:rsidRPr="0095171D" w:rsidRDefault="002F1104" w:rsidP="00A005D7">
            <w:pPr>
              <w:jc w:val="center"/>
              <w:rPr>
                <w:b/>
                <w:bCs/>
                <w:color w:val="000000"/>
              </w:rPr>
            </w:pPr>
            <w:r w:rsidRPr="0095171D">
              <w:rPr>
                <w:b/>
                <w:bCs/>
                <w:color w:val="000000"/>
              </w:rPr>
              <w:t>Gas (CH</w:t>
            </w:r>
            <w:r w:rsidRPr="0095171D">
              <w:rPr>
                <w:b/>
                <w:bCs/>
                <w:color w:val="000000"/>
                <w:vertAlign w:val="subscript"/>
              </w:rPr>
              <w:t>4</w:t>
            </w:r>
            <w:r w:rsidRPr="0095171D">
              <w:rPr>
                <w:b/>
                <w:bCs/>
                <w:color w:val="000000"/>
              </w:rPr>
              <w:t>)</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3334B1" w:rsidRPr="0095171D" w:rsidRDefault="002F1104" w:rsidP="00A005D7">
            <w:pPr>
              <w:jc w:val="center"/>
              <w:rPr>
                <w:b/>
                <w:bCs/>
                <w:color w:val="000000"/>
              </w:rPr>
            </w:pPr>
            <w:r w:rsidRPr="0095171D">
              <w:rPr>
                <w:b/>
                <w:bCs/>
                <w:color w:val="000000"/>
              </w:rPr>
              <w:t>Gas (N</w:t>
            </w:r>
            <w:r w:rsidRPr="0095171D">
              <w:rPr>
                <w:b/>
                <w:bCs/>
                <w:color w:val="000000"/>
                <w:vertAlign w:val="subscript"/>
              </w:rPr>
              <w:t>2</w:t>
            </w:r>
            <w:r w:rsidRPr="0095171D">
              <w:rPr>
                <w:b/>
                <w:bCs/>
                <w:color w:val="000000"/>
              </w:rPr>
              <w:t>O)</w:t>
            </w:r>
          </w:p>
        </w:tc>
      </w:tr>
      <w:tr w:rsidR="003334B1" w:rsidRPr="0095171D" w:rsidTr="00A005D7">
        <w:trPr>
          <w:trHeight w:val="300"/>
          <w:jc w:val="center"/>
        </w:trPr>
        <w:tc>
          <w:tcPr>
            <w:tcW w:w="1323" w:type="dxa"/>
            <w:vMerge/>
            <w:tcBorders>
              <w:left w:val="single" w:sz="4" w:space="0" w:color="auto"/>
              <w:bottom w:val="single" w:sz="4" w:space="0" w:color="auto"/>
              <w:right w:val="single" w:sz="4" w:space="0" w:color="auto"/>
            </w:tcBorders>
            <w:vAlign w:val="center"/>
          </w:tcPr>
          <w:p w:rsidR="00B0547F" w:rsidRDefault="00B0547F" w:rsidP="00B0547F">
            <w:pPr>
              <w:jc w:val="center"/>
              <w:rPr>
                <w:b/>
                <w:bCs/>
                <w:color w:val="000000"/>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CE1B39" w:rsidP="00B0547F">
            <w:pPr>
              <w:jc w:val="center"/>
              <w:rPr>
                <w:b/>
                <w:bCs/>
                <w:color w:val="000000"/>
              </w:rPr>
            </w:pPr>
            <w:r w:rsidRPr="0095171D">
              <w:rPr>
                <w:b/>
                <w:bCs/>
                <w:color w:val="000000"/>
              </w:rPr>
              <w:t>EDS</w:t>
            </w:r>
          </w:p>
        </w:tc>
        <w:tc>
          <w:tcPr>
            <w:tcW w:w="1173" w:type="dxa"/>
            <w:tcBorders>
              <w:top w:val="single" w:sz="4" w:space="0" w:color="auto"/>
              <w:left w:val="nil"/>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LDS</w:t>
            </w: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EDS</w:t>
            </w:r>
          </w:p>
        </w:tc>
        <w:tc>
          <w:tcPr>
            <w:tcW w:w="1173" w:type="dxa"/>
            <w:gridSpan w:val="2"/>
            <w:tcBorders>
              <w:top w:val="nil"/>
              <w:left w:val="nil"/>
              <w:bottom w:val="single" w:sz="4" w:space="0" w:color="auto"/>
              <w:right w:val="single" w:sz="4" w:space="0" w:color="auto"/>
            </w:tcBorders>
            <w:shd w:val="clear" w:color="auto" w:fill="auto"/>
            <w:vAlign w:val="bottom"/>
          </w:tcPr>
          <w:p w:rsidR="003334B1" w:rsidRPr="0095171D" w:rsidRDefault="00CE1B39" w:rsidP="00AC303A">
            <w:pPr>
              <w:rPr>
                <w:b/>
                <w:bCs/>
                <w:color w:val="000000"/>
              </w:rPr>
            </w:pPr>
            <w:r w:rsidRPr="0095171D">
              <w:rPr>
                <w:b/>
                <w:bCs/>
                <w:color w:val="000000"/>
              </w:rPr>
              <w:t>LDS</w:t>
            </w:r>
          </w:p>
        </w:tc>
      </w:tr>
      <w:tr w:rsidR="003334B1"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EOF</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tcPr>
          <w:p w:rsidR="003334B1" w:rsidRPr="0095171D" w:rsidRDefault="003334B1" w:rsidP="00AC303A"/>
        </w:tc>
      </w:tr>
      <w:tr w:rsidR="003334B1"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EW</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tcPr>
          <w:p w:rsidR="003334B1" w:rsidRPr="0095171D" w:rsidRDefault="003334B1" w:rsidP="00AC303A"/>
        </w:tc>
      </w:tr>
      <w:tr w:rsidR="003334B1"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SW</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tcPr>
          <w:p w:rsidR="003334B1" w:rsidRPr="0095171D" w:rsidRDefault="003334B1" w:rsidP="00AC303A"/>
        </w:tc>
      </w:tr>
      <w:tr w:rsidR="003334B1" w:rsidRPr="0095171D" w:rsidTr="00A005D7">
        <w:trPr>
          <w:trHeight w:val="300"/>
          <w:jc w:val="center"/>
        </w:trPr>
        <w:tc>
          <w:tcPr>
            <w:tcW w:w="1323" w:type="dxa"/>
            <w:tcBorders>
              <w:top w:val="nil"/>
              <w:left w:val="single" w:sz="4" w:space="0" w:color="auto"/>
              <w:bottom w:val="single" w:sz="4" w:space="0" w:color="auto"/>
              <w:right w:val="single" w:sz="4" w:space="0" w:color="auto"/>
            </w:tcBorders>
            <w:vAlign w:val="center"/>
          </w:tcPr>
          <w:p w:rsidR="00B0547F" w:rsidRDefault="00CE1B39" w:rsidP="00B0547F">
            <w:pPr>
              <w:jc w:val="center"/>
              <w:rPr>
                <w:b/>
                <w:bCs/>
                <w:color w:val="000000"/>
              </w:rPr>
            </w:pPr>
            <w:r w:rsidRPr="0095171D">
              <w:rPr>
                <w:b/>
                <w:bCs/>
                <w:color w:val="000000"/>
              </w:rPr>
              <w:t>SH</w:t>
            </w:r>
          </w:p>
        </w:tc>
        <w:tc>
          <w:tcPr>
            <w:tcW w:w="1237" w:type="dxa"/>
            <w:tcBorders>
              <w:top w:val="nil"/>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1173" w:type="dxa"/>
            <w:tcBorders>
              <w:top w:val="single" w:sz="4" w:space="0" w:color="auto"/>
              <w:left w:val="nil"/>
              <w:bottom w:val="single" w:sz="4" w:space="0" w:color="auto"/>
              <w:right w:val="single" w:sz="4" w:space="0" w:color="auto"/>
            </w:tcBorders>
            <w:vAlign w:val="center"/>
          </w:tcPr>
          <w:p w:rsidR="00B0547F" w:rsidRDefault="00B0547F" w:rsidP="00B0547F">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B0547F" w:rsidRDefault="00B0547F" w:rsidP="00B0547F">
            <w:pPr>
              <w:jc w:val="center"/>
            </w:pPr>
          </w:p>
        </w:tc>
        <w:tc>
          <w:tcPr>
            <w:tcW w:w="1173" w:type="dxa"/>
            <w:gridSpan w:val="2"/>
            <w:tcBorders>
              <w:top w:val="nil"/>
              <w:left w:val="nil"/>
              <w:bottom w:val="single" w:sz="4" w:space="0" w:color="auto"/>
              <w:right w:val="single" w:sz="4" w:space="0" w:color="auto"/>
            </w:tcBorders>
            <w:shd w:val="clear" w:color="auto" w:fill="auto"/>
          </w:tcPr>
          <w:p w:rsidR="003334B1" w:rsidRPr="0095171D" w:rsidRDefault="003334B1" w:rsidP="00AC303A"/>
        </w:tc>
      </w:tr>
      <w:tr w:rsidR="003334B1" w:rsidRPr="0095171D" w:rsidTr="00A005D7">
        <w:trPr>
          <w:trHeight w:val="300"/>
          <w:jc w:val="center"/>
        </w:trPr>
        <w:tc>
          <w:tcPr>
            <w:tcW w:w="1323" w:type="dxa"/>
            <w:tcBorders>
              <w:top w:val="double" w:sz="4" w:space="0" w:color="auto"/>
              <w:left w:val="single" w:sz="4" w:space="0" w:color="auto"/>
              <w:bottom w:val="triple" w:sz="4" w:space="0" w:color="auto"/>
              <w:right w:val="single" w:sz="4" w:space="0" w:color="auto"/>
            </w:tcBorders>
            <w:vAlign w:val="center"/>
          </w:tcPr>
          <w:p w:rsidR="00B0547F" w:rsidRDefault="002F1104" w:rsidP="00B0547F">
            <w:pPr>
              <w:jc w:val="center"/>
              <w:rPr>
                <w:b/>
                <w:bCs/>
                <w:color w:val="000000"/>
              </w:rPr>
            </w:pPr>
            <w:r w:rsidRPr="0095171D">
              <w:rPr>
                <w:b/>
                <w:bCs/>
                <w:color w:val="000000"/>
              </w:rPr>
              <w:t>Total (fire season)</w:t>
            </w:r>
          </w:p>
        </w:tc>
        <w:tc>
          <w:tcPr>
            <w:tcW w:w="1237" w:type="dxa"/>
            <w:tcBorders>
              <w:top w:val="double" w:sz="4" w:space="0" w:color="auto"/>
              <w:left w:val="single" w:sz="4" w:space="0" w:color="auto"/>
              <w:bottom w:val="triple" w:sz="4" w:space="0" w:color="auto"/>
              <w:right w:val="single" w:sz="4" w:space="0" w:color="auto"/>
            </w:tcBorders>
            <w:shd w:val="clear" w:color="auto" w:fill="auto"/>
            <w:vAlign w:val="center"/>
          </w:tcPr>
          <w:p w:rsidR="00B0547F" w:rsidRDefault="00B0547F" w:rsidP="00B0547F">
            <w:pPr>
              <w:jc w:val="center"/>
            </w:pPr>
          </w:p>
        </w:tc>
        <w:tc>
          <w:tcPr>
            <w:tcW w:w="1173" w:type="dxa"/>
            <w:tcBorders>
              <w:top w:val="double" w:sz="4" w:space="0" w:color="auto"/>
              <w:left w:val="nil"/>
              <w:bottom w:val="triple" w:sz="4" w:space="0" w:color="auto"/>
              <w:right w:val="single" w:sz="4" w:space="0" w:color="auto"/>
            </w:tcBorders>
            <w:vAlign w:val="center"/>
          </w:tcPr>
          <w:p w:rsidR="00B0547F" w:rsidRDefault="00B0547F" w:rsidP="00B0547F">
            <w:pPr>
              <w:jc w:val="center"/>
            </w:pPr>
          </w:p>
        </w:tc>
        <w:tc>
          <w:tcPr>
            <w:tcW w:w="1176" w:type="dxa"/>
            <w:tcBorders>
              <w:top w:val="double" w:sz="4" w:space="0" w:color="auto"/>
              <w:left w:val="single" w:sz="4" w:space="0" w:color="auto"/>
              <w:bottom w:val="triple" w:sz="4" w:space="0" w:color="auto"/>
              <w:right w:val="single" w:sz="4" w:space="0" w:color="auto"/>
            </w:tcBorders>
            <w:vAlign w:val="center"/>
          </w:tcPr>
          <w:p w:rsidR="00B0547F" w:rsidRDefault="00B0547F" w:rsidP="00B0547F">
            <w:pPr>
              <w:jc w:val="center"/>
            </w:pPr>
          </w:p>
        </w:tc>
        <w:tc>
          <w:tcPr>
            <w:tcW w:w="1173" w:type="dxa"/>
            <w:gridSpan w:val="2"/>
            <w:tcBorders>
              <w:top w:val="double" w:sz="4" w:space="0" w:color="auto"/>
              <w:left w:val="nil"/>
              <w:bottom w:val="triple" w:sz="4" w:space="0" w:color="auto"/>
              <w:right w:val="single" w:sz="4" w:space="0" w:color="auto"/>
            </w:tcBorders>
            <w:shd w:val="clear" w:color="auto" w:fill="auto"/>
          </w:tcPr>
          <w:p w:rsidR="003334B1" w:rsidRPr="0095171D" w:rsidRDefault="003334B1" w:rsidP="00AC303A"/>
        </w:tc>
      </w:tr>
      <w:tr w:rsidR="003334B1" w:rsidRPr="0095171D" w:rsidTr="00A005D7">
        <w:trPr>
          <w:trHeight w:val="300"/>
          <w:jc w:val="center"/>
        </w:trPr>
        <w:tc>
          <w:tcPr>
            <w:tcW w:w="1323" w:type="dxa"/>
            <w:tcBorders>
              <w:top w:val="triple" w:sz="4" w:space="0" w:color="auto"/>
              <w:left w:val="single" w:sz="4" w:space="0" w:color="auto"/>
              <w:bottom w:val="single" w:sz="4" w:space="0" w:color="auto"/>
              <w:right w:val="single" w:sz="4" w:space="0" w:color="auto"/>
            </w:tcBorders>
            <w:vAlign w:val="center"/>
          </w:tcPr>
          <w:p w:rsidR="00B0547F" w:rsidRDefault="002F1104" w:rsidP="00B0547F">
            <w:pPr>
              <w:jc w:val="center"/>
              <w:rPr>
                <w:b/>
                <w:bCs/>
                <w:color w:val="000000"/>
              </w:rPr>
            </w:pPr>
            <w:r w:rsidRPr="0095171D">
              <w:rPr>
                <w:b/>
                <w:bCs/>
                <w:color w:val="000000"/>
              </w:rPr>
              <w:t>Total (Gas)</w:t>
            </w:r>
          </w:p>
        </w:tc>
        <w:tc>
          <w:tcPr>
            <w:tcW w:w="2410" w:type="dxa"/>
            <w:gridSpan w:val="2"/>
            <w:tcBorders>
              <w:top w:val="triple" w:sz="4" w:space="0" w:color="auto"/>
              <w:left w:val="single" w:sz="4" w:space="0" w:color="auto"/>
              <w:bottom w:val="single" w:sz="4" w:space="0" w:color="auto"/>
              <w:right w:val="single" w:sz="4" w:space="0" w:color="auto"/>
            </w:tcBorders>
            <w:shd w:val="clear" w:color="auto" w:fill="auto"/>
            <w:vAlign w:val="center"/>
          </w:tcPr>
          <w:p w:rsidR="00B0547F" w:rsidRDefault="00B0547F" w:rsidP="00B0547F">
            <w:pPr>
              <w:jc w:val="center"/>
            </w:pPr>
          </w:p>
        </w:tc>
        <w:tc>
          <w:tcPr>
            <w:tcW w:w="2349" w:type="dxa"/>
            <w:gridSpan w:val="3"/>
            <w:tcBorders>
              <w:top w:val="triple" w:sz="4" w:space="0" w:color="auto"/>
              <w:left w:val="single" w:sz="4" w:space="0" w:color="auto"/>
              <w:bottom w:val="single" w:sz="4" w:space="0" w:color="auto"/>
              <w:right w:val="single" w:sz="4" w:space="0" w:color="auto"/>
            </w:tcBorders>
            <w:vAlign w:val="center"/>
          </w:tcPr>
          <w:p w:rsidR="00B0547F" w:rsidRDefault="00B0547F" w:rsidP="00B0547F">
            <w:pPr>
              <w:jc w:val="center"/>
            </w:pPr>
          </w:p>
        </w:tc>
      </w:tr>
    </w:tbl>
    <w:p w:rsidR="00AA5ABD" w:rsidRDefault="00AA5ABD">
      <w:pPr>
        <w:rPr>
          <w:b/>
        </w:rPr>
      </w:pPr>
      <w:r>
        <w:rPr>
          <w:b/>
        </w:rPr>
        <w:br w:type="page"/>
      </w:r>
    </w:p>
    <w:p w:rsidR="001C2DD5" w:rsidRPr="0095171D" w:rsidRDefault="001C2DD5" w:rsidP="003334B1">
      <w:pPr>
        <w:jc w:val="center"/>
        <w:rPr>
          <w:b/>
        </w:rPr>
      </w:pPr>
    </w:p>
    <w:p w:rsidR="003334B1" w:rsidRDefault="002F1104" w:rsidP="003334B1">
      <w:pPr>
        <w:jc w:val="center"/>
        <w:rPr>
          <w:b/>
        </w:rPr>
      </w:pPr>
      <w:r w:rsidRPr="0095171D">
        <w:rPr>
          <w:b/>
        </w:rPr>
        <w:t>Table 24: Project baseline (tonnes CO</w:t>
      </w:r>
      <w:r w:rsidR="00430335" w:rsidRPr="00430335">
        <w:rPr>
          <w:b/>
          <w:vertAlign w:val="subscript"/>
        </w:rPr>
        <w:t>2</w:t>
      </w:r>
      <w:r w:rsidRPr="0095171D">
        <w:rPr>
          <w:b/>
        </w:rPr>
        <w:t>-e)</w:t>
      </w:r>
    </w:p>
    <w:tbl>
      <w:tblPr>
        <w:tblW w:w="3948" w:type="dxa"/>
        <w:jc w:val="center"/>
        <w:tblLook w:val="04A0"/>
      </w:tblPr>
      <w:tblGrid>
        <w:gridCol w:w="1758"/>
        <w:gridCol w:w="2190"/>
      </w:tblGrid>
      <w:tr w:rsidR="003334B1" w:rsidRPr="0095171D" w:rsidTr="00A005D7">
        <w:trPr>
          <w:trHeight w:val="600"/>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Baseline year</w:t>
            </w:r>
          </w:p>
        </w:tc>
        <w:tc>
          <w:tcPr>
            <w:tcW w:w="2190"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Annual</w:t>
            </w:r>
          </w:p>
          <w:p w:rsidR="00B0547F" w:rsidRDefault="002F1104" w:rsidP="00B0547F">
            <w:pPr>
              <w:jc w:val="center"/>
              <w:rPr>
                <w:b/>
                <w:bCs/>
                <w:color w:val="000000"/>
              </w:rPr>
            </w:pPr>
            <w:r w:rsidRPr="0095171D">
              <w:rPr>
                <w:b/>
                <w:bCs/>
                <w:color w:val="000000"/>
              </w:rPr>
              <w:t>Emissions</w:t>
            </w:r>
          </w:p>
          <w:p w:rsidR="00B0547F" w:rsidRDefault="002F1104" w:rsidP="00B0547F">
            <w:pPr>
              <w:jc w:val="center"/>
              <w:rPr>
                <w:b/>
                <w:bCs/>
                <w:color w:val="000000"/>
              </w:rPr>
            </w:pPr>
            <w:r w:rsidRPr="0095171D">
              <w:rPr>
                <w:b/>
                <w:bCs/>
                <w:color w:val="000000"/>
              </w:rPr>
              <w:t>(E</w:t>
            </w:r>
            <w:r w:rsidRPr="0095171D">
              <w:rPr>
                <w:b/>
                <w:bCs/>
                <w:color w:val="000000"/>
                <w:vertAlign w:val="subscript"/>
              </w:rPr>
              <w:t>CO2</w:t>
            </w:r>
            <w:r w:rsidRPr="0095171D">
              <w:rPr>
                <w:b/>
                <w:bCs/>
                <w:color w:val="000000"/>
              </w:rPr>
              <w:t>-e)</w:t>
            </w: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y-10</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y-9</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y-8</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y-7</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y-6</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y-5</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y-4</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y-3</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y-2</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y-1</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Total</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r w:rsidR="003334B1" w:rsidRPr="0095171D" w:rsidTr="00A005D7">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 xml:space="preserve">Average (project baseline, </w:t>
            </w:r>
            <w:r w:rsidRPr="0095171D">
              <w:rPr>
                <w:b/>
              </w:rPr>
              <w:t>E</w:t>
            </w:r>
            <w:r w:rsidRPr="0095171D">
              <w:rPr>
                <w:b/>
                <w:vertAlign w:val="subscript"/>
              </w:rPr>
              <w:t>BL</w:t>
            </w:r>
            <w:r w:rsidRPr="0095171D">
              <w:rPr>
                <w:b/>
              </w:rPr>
              <w:t>CO</w:t>
            </w:r>
            <w:r w:rsidRPr="0095171D">
              <w:rPr>
                <w:b/>
                <w:vertAlign w:val="subscript"/>
              </w:rPr>
              <w:t>2</w:t>
            </w:r>
            <w:r w:rsidRPr="0095171D">
              <w:rPr>
                <w:b/>
              </w:rPr>
              <w:t>-e)</w:t>
            </w:r>
          </w:p>
        </w:tc>
        <w:tc>
          <w:tcPr>
            <w:tcW w:w="2190" w:type="dxa"/>
            <w:tcBorders>
              <w:top w:val="nil"/>
              <w:left w:val="nil"/>
              <w:bottom w:val="single" w:sz="4" w:space="0" w:color="auto"/>
              <w:right w:val="single" w:sz="4" w:space="0" w:color="auto"/>
            </w:tcBorders>
            <w:shd w:val="clear" w:color="auto" w:fill="auto"/>
            <w:vAlign w:val="center"/>
          </w:tcPr>
          <w:p w:rsidR="00B0547F" w:rsidRDefault="00B0547F" w:rsidP="00B0547F">
            <w:pPr>
              <w:jc w:val="center"/>
              <w:rPr>
                <w:color w:val="000000"/>
              </w:rPr>
            </w:pPr>
          </w:p>
        </w:tc>
      </w:tr>
    </w:tbl>
    <w:p w:rsidR="003334B1" w:rsidRPr="0095171D" w:rsidRDefault="003334B1" w:rsidP="003334B1">
      <w:pPr>
        <w:widowControl w:val="0"/>
        <w:ind w:right="238"/>
        <w:rPr>
          <w:iCs/>
        </w:rPr>
      </w:pPr>
    </w:p>
    <w:p w:rsidR="003334B1" w:rsidRDefault="002F1104" w:rsidP="003334B1">
      <w:pPr>
        <w:jc w:val="center"/>
        <w:rPr>
          <w:b/>
        </w:rPr>
      </w:pPr>
      <w:r w:rsidRPr="0095171D">
        <w:rPr>
          <w:b/>
        </w:rPr>
        <w:t>Table 25: Annual emissions from fire (tonnes CO</w:t>
      </w:r>
      <w:r w:rsidR="00430335" w:rsidRPr="00430335">
        <w:rPr>
          <w:b/>
          <w:vertAlign w:val="subscript"/>
        </w:rPr>
        <w:t>2</w:t>
      </w:r>
      <w:r w:rsidRPr="0095171D">
        <w:rPr>
          <w:b/>
        </w:rPr>
        <w:t>-e)</w:t>
      </w:r>
    </w:p>
    <w:tbl>
      <w:tblPr>
        <w:tblW w:w="3431" w:type="dxa"/>
        <w:jc w:val="center"/>
        <w:tblLook w:val="04A0"/>
      </w:tblPr>
      <w:tblGrid>
        <w:gridCol w:w="1256"/>
        <w:gridCol w:w="2175"/>
      </w:tblGrid>
      <w:tr w:rsidR="003334B1" w:rsidRPr="0095171D" w:rsidTr="00A005D7">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Year</w:t>
            </w:r>
          </w:p>
        </w:tc>
        <w:tc>
          <w:tcPr>
            <w:tcW w:w="2175"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spacing w:before="240"/>
              <w:jc w:val="center"/>
              <w:rPr>
                <w:b/>
                <w:bCs/>
                <w:color w:val="000000"/>
              </w:rPr>
            </w:pPr>
            <w:r w:rsidRPr="0095171D">
              <w:rPr>
                <w:b/>
                <w:bCs/>
                <w:color w:val="000000"/>
              </w:rPr>
              <w:t>Annual project emissions (</w:t>
            </w:r>
            <w:r w:rsidRPr="0095171D">
              <w:rPr>
                <w:b/>
              </w:rPr>
              <w:t>E</w:t>
            </w:r>
            <w:r w:rsidRPr="0095171D">
              <w:rPr>
                <w:b/>
                <w:vertAlign w:val="subscript"/>
              </w:rPr>
              <w:t>fire</w:t>
            </w:r>
            <w:r w:rsidRPr="0095171D">
              <w:rPr>
                <w:b/>
              </w:rPr>
              <w:t>CO</w:t>
            </w:r>
            <w:r w:rsidRPr="0095171D">
              <w:rPr>
                <w:b/>
                <w:vertAlign w:val="subscript"/>
              </w:rPr>
              <w:t>2</w:t>
            </w:r>
            <w:r w:rsidRPr="0095171D">
              <w:rPr>
                <w:b/>
              </w:rPr>
              <w:t>-e)</w:t>
            </w:r>
          </w:p>
        </w:tc>
      </w:tr>
      <w:tr w:rsidR="003334B1" w:rsidRPr="0095171D" w:rsidTr="00A005D7">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c>
          <w:tcPr>
            <w:tcW w:w="2175" w:type="dxa"/>
            <w:tcBorders>
              <w:top w:val="single" w:sz="4" w:space="0" w:color="auto"/>
              <w:left w:val="nil"/>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r>
    </w:tbl>
    <w:p w:rsidR="003334B1" w:rsidRPr="0095171D" w:rsidRDefault="003334B1" w:rsidP="003334B1">
      <w:pPr>
        <w:widowControl w:val="0"/>
        <w:ind w:right="238"/>
        <w:rPr>
          <w:iCs/>
        </w:rPr>
      </w:pPr>
    </w:p>
    <w:p w:rsidR="003334B1" w:rsidRDefault="002F1104" w:rsidP="003334B1">
      <w:pPr>
        <w:jc w:val="center"/>
        <w:rPr>
          <w:b/>
        </w:rPr>
      </w:pPr>
      <w:r w:rsidRPr="0095171D">
        <w:rPr>
          <w:b/>
        </w:rPr>
        <w:t>Table 28: Net annual project abatement (tonnes CO</w:t>
      </w:r>
      <w:r w:rsidR="00430335" w:rsidRPr="00430335">
        <w:rPr>
          <w:b/>
          <w:vertAlign w:val="subscript"/>
        </w:rPr>
        <w:t>2</w:t>
      </w:r>
      <w:r w:rsidRPr="0095171D">
        <w:rPr>
          <w:b/>
        </w:rPr>
        <w:t>-e)</w:t>
      </w:r>
    </w:p>
    <w:tbl>
      <w:tblPr>
        <w:tblW w:w="2844" w:type="dxa"/>
        <w:jc w:val="center"/>
        <w:tblLook w:val="04A0"/>
      </w:tblPr>
      <w:tblGrid>
        <w:gridCol w:w="1223"/>
        <w:gridCol w:w="1621"/>
      </w:tblGrid>
      <w:tr w:rsidR="003334B1" w:rsidRPr="00A9419F" w:rsidTr="00A005D7">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Year</w:t>
            </w:r>
          </w:p>
        </w:tc>
        <w:tc>
          <w:tcPr>
            <w:tcW w:w="1621" w:type="dxa"/>
            <w:tcBorders>
              <w:top w:val="single" w:sz="4" w:space="0" w:color="auto"/>
              <w:left w:val="nil"/>
              <w:bottom w:val="single" w:sz="4" w:space="0" w:color="auto"/>
              <w:right w:val="single" w:sz="4" w:space="0" w:color="auto"/>
            </w:tcBorders>
            <w:shd w:val="clear" w:color="auto" w:fill="auto"/>
            <w:vAlign w:val="center"/>
          </w:tcPr>
          <w:p w:rsidR="00B0547F" w:rsidRDefault="002F1104" w:rsidP="00B0547F">
            <w:pPr>
              <w:jc w:val="center"/>
              <w:rPr>
                <w:b/>
                <w:bCs/>
                <w:color w:val="000000"/>
              </w:rPr>
            </w:pPr>
            <w:r w:rsidRPr="0095171D">
              <w:rPr>
                <w:b/>
                <w:bCs/>
                <w:color w:val="000000"/>
              </w:rPr>
              <w:t>Net annual project abatement (</w:t>
            </w:r>
            <w:r w:rsidRPr="0095171D">
              <w:rPr>
                <w:b/>
              </w:rPr>
              <w:t>A</w:t>
            </w:r>
            <w:r w:rsidRPr="0095171D">
              <w:rPr>
                <w:b/>
                <w:vertAlign w:val="subscript"/>
              </w:rPr>
              <w:t>net</w:t>
            </w:r>
            <w:r w:rsidRPr="0095171D">
              <w:rPr>
                <w:b/>
              </w:rPr>
              <w:t>CO</w:t>
            </w:r>
            <w:r w:rsidRPr="0095171D">
              <w:rPr>
                <w:b/>
                <w:vertAlign w:val="subscript"/>
              </w:rPr>
              <w:t>2</w:t>
            </w:r>
            <w:r w:rsidRPr="0095171D">
              <w:rPr>
                <w:b/>
              </w:rPr>
              <w:t>-e)</w:t>
            </w:r>
          </w:p>
        </w:tc>
      </w:tr>
      <w:tr w:rsidR="003334B1" w:rsidRPr="00A9419F" w:rsidTr="00A005D7">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c>
          <w:tcPr>
            <w:tcW w:w="1621" w:type="dxa"/>
            <w:tcBorders>
              <w:top w:val="single" w:sz="4" w:space="0" w:color="auto"/>
              <w:left w:val="nil"/>
              <w:bottom w:val="single" w:sz="4" w:space="0" w:color="auto"/>
              <w:right w:val="single" w:sz="4" w:space="0" w:color="auto"/>
            </w:tcBorders>
            <w:shd w:val="clear" w:color="auto" w:fill="auto"/>
            <w:vAlign w:val="center"/>
          </w:tcPr>
          <w:p w:rsidR="00B0547F" w:rsidRDefault="00B0547F" w:rsidP="00B0547F">
            <w:pPr>
              <w:jc w:val="center"/>
              <w:rPr>
                <w:b/>
                <w:bCs/>
                <w:color w:val="000000"/>
              </w:rPr>
            </w:pPr>
          </w:p>
        </w:tc>
      </w:tr>
    </w:tbl>
    <w:p w:rsidR="003334B1" w:rsidRPr="00A9419F" w:rsidRDefault="003334B1" w:rsidP="003334B1">
      <w:pPr>
        <w:widowControl w:val="0"/>
        <w:ind w:right="238"/>
        <w:rPr>
          <w:iCs/>
        </w:rPr>
      </w:pPr>
    </w:p>
    <w:p w:rsidR="00E50790" w:rsidRPr="00A9419F" w:rsidRDefault="00E50790" w:rsidP="003334B1">
      <w:pPr>
        <w:rPr>
          <w:iCs/>
        </w:rPr>
      </w:pPr>
    </w:p>
    <w:sectPr w:rsidR="00E50790" w:rsidRPr="00A9419F" w:rsidSect="00FC10B1">
      <w:headerReference w:type="even" r:id="rId19"/>
      <w:headerReference w:type="default" r:id="rId20"/>
      <w:footerReference w:type="even" r:id="rId21"/>
      <w:footerReference w:type="default" r:id="rId22"/>
      <w:footerReference w:type="first" r:id="rId23"/>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A4" w:rsidRDefault="00712CA4">
      <w:r>
        <w:separator/>
      </w:r>
    </w:p>
  </w:endnote>
  <w:endnote w:type="continuationSeparator" w:id="0">
    <w:p w:rsidR="00712CA4" w:rsidRDefault="00712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712CA4">
      <w:tc>
        <w:tcPr>
          <w:tcW w:w="1134" w:type="dxa"/>
          <w:shd w:val="clear" w:color="auto" w:fill="auto"/>
        </w:tcPr>
        <w:p w:rsidR="00712CA4" w:rsidRPr="00967C45" w:rsidRDefault="00B36D41">
          <w:pPr>
            <w:spacing w:line="240" w:lineRule="exact"/>
            <w:rPr>
              <w:sz w:val="20"/>
              <w:szCs w:val="20"/>
            </w:rPr>
          </w:pPr>
          <w:r w:rsidRPr="00967C45">
            <w:rPr>
              <w:rStyle w:val="PageNumber"/>
              <w:rFonts w:ascii="Times New Roman" w:hAnsi="Times New Roman"/>
              <w:sz w:val="20"/>
              <w:szCs w:val="20"/>
            </w:rPr>
            <w:fldChar w:fldCharType="begin"/>
          </w:r>
          <w:r w:rsidR="00712CA4" w:rsidRPr="00967C45">
            <w:rPr>
              <w:rStyle w:val="PageNumber"/>
              <w:rFonts w:ascii="Times New Roman" w:hAnsi="Times New Roman"/>
              <w:sz w:val="20"/>
              <w:szCs w:val="20"/>
            </w:rPr>
            <w:instrText xml:space="preserve">PAGE  </w:instrText>
          </w:r>
          <w:r w:rsidRPr="00967C45">
            <w:rPr>
              <w:rStyle w:val="PageNumber"/>
              <w:rFonts w:ascii="Times New Roman" w:hAnsi="Times New Roman"/>
              <w:sz w:val="20"/>
              <w:szCs w:val="20"/>
            </w:rPr>
            <w:fldChar w:fldCharType="separate"/>
          </w:r>
          <w:r w:rsidR="001756BA">
            <w:rPr>
              <w:rStyle w:val="PageNumber"/>
              <w:rFonts w:ascii="Times New Roman" w:hAnsi="Times New Roman"/>
              <w:noProof/>
              <w:sz w:val="20"/>
              <w:szCs w:val="20"/>
            </w:rPr>
            <w:t>2</w:t>
          </w:r>
          <w:r w:rsidRPr="00967C45">
            <w:rPr>
              <w:rStyle w:val="PageNumber"/>
              <w:rFonts w:ascii="Times New Roman" w:hAnsi="Times New Roman"/>
              <w:sz w:val="20"/>
              <w:szCs w:val="20"/>
            </w:rPr>
            <w:fldChar w:fldCharType="end"/>
          </w:r>
        </w:p>
      </w:tc>
      <w:tc>
        <w:tcPr>
          <w:tcW w:w="6095" w:type="dxa"/>
          <w:shd w:val="clear" w:color="auto" w:fill="auto"/>
        </w:tcPr>
        <w:p w:rsidR="00712CA4" w:rsidRPr="00B4664D" w:rsidRDefault="00B36D41" w:rsidP="00B837B6">
          <w:pPr>
            <w:pStyle w:val="FooterCitation"/>
            <w:rPr>
              <w:rFonts w:ascii="Times New Roman" w:hAnsi="Times New Roman"/>
            </w:rPr>
          </w:pPr>
          <w:r>
            <w:fldChar w:fldCharType="begin"/>
          </w:r>
          <w:r w:rsidR="00712CA4">
            <w:instrText xml:space="preserve"> REF  Citation  \* MERGEFORMAT </w:instrText>
          </w:r>
          <w:r>
            <w:fldChar w:fldCharType="separate"/>
          </w:r>
          <w:r w:rsidR="001756BA" w:rsidRPr="0095171D">
            <w:rPr>
              <w:rFonts w:ascii="Times New Roman" w:hAnsi="Times New Roman"/>
            </w:rPr>
            <w:t xml:space="preserve">Carbon Farming (Reduction of Greenhouse Gas Emissions through Early </w:t>
          </w:r>
          <w:r w:rsidR="001756BA">
            <w:rPr>
              <w:rFonts w:ascii="Times New Roman" w:hAnsi="Times New Roman"/>
            </w:rPr>
            <w:t xml:space="preserve">Dry </w:t>
          </w:r>
          <w:r w:rsidR="001756BA" w:rsidRPr="0095171D">
            <w:rPr>
              <w:rFonts w:ascii="Times New Roman" w:hAnsi="Times New Roman"/>
            </w:rPr>
            <w:t xml:space="preserve">Season </w:t>
          </w:r>
          <w:proofErr w:type="spellStart"/>
          <w:r w:rsidR="001756BA" w:rsidRPr="0095171D">
            <w:rPr>
              <w:rFonts w:ascii="Times New Roman" w:hAnsi="Times New Roman"/>
            </w:rPr>
            <w:t>Savanna</w:t>
          </w:r>
          <w:proofErr w:type="spellEnd"/>
          <w:r w:rsidR="001756BA" w:rsidRPr="0095171D">
            <w:rPr>
              <w:rFonts w:ascii="Times New Roman" w:hAnsi="Times New Roman"/>
            </w:rPr>
            <w:t xml:space="preserve"> Burning) Methodology Determination</w:t>
          </w:r>
          <w:r w:rsidR="001756BA">
            <w:rPr>
              <w:rFonts w:ascii="Times New Roman" w:hAnsi="Times New Roman"/>
            </w:rPr>
            <w:t xml:space="preserve"> </w:t>
          </w:r>
          <w:r w:rsidR="001756BA" w:rsidRPr="0095171D">
            <w:rPr>
              <w:rFonts w:ascii="Times New Roman" w:hAnsi="Times New Roman"/>
            </w:rPr>
            <w:t xml:space="preserve"> </w:t>
          </w:r>
          <w:r>
            <w:fldChar w:fldCharType="end"/>
          </w:r>
        </w:p>
      </w:tc>
      <w:tc>
        <w:tcPr>
          <w:tcW w:w="1134" w:type="dxa"/>
          <w:shd w:val="clear" w:color="auto" w:fill="auto"/>
        </w:tcPr>
        <w:p w:rsidR="00712CA4" w:rsidRPr="00451BF5" w:rsidRDefault="00712CA4">
          <w:pPr>
            <w:spacing w:line="240" w:lineRule="exact"/>
            <w:jc w:val="right"/>
            <w:rPr>
              <w:rStyle w:val="PageNumber"/>
              <w:i/>
            </w:rPr>
          </w:pPr>
        </w:p>
      </w:tc>
    </w:tr>
  </w:tbl>
  <w:p w:rsidR="00712CA4" w:rsidRDefault="00712CA4">
    <w:pPr>
      <w:pStyle w:val="FooterInfo"/>
    </w:pPr>
  </w:p>
  <w:p w:rsidR="00712CA4" w:rsidRPr="0055794B" w:rsidRDefault="00712C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pPr>
      <w:spacing w:line="200" w:lineRule="exact"/>
    </w:pPr>
  </w:p>
  <w:tbl>
    <w:tblPr>
      <w:tblW w:w="0" w:type="auto"/>
      <w:tblBorders>
        <w:top w:val="single" w:sz="4" w:space="0" w:color="auto"/>
      </w:tblBorders>
      <w:tblLayout w:type="fixed"/>
      <w:tblLook w:val="01E0"/>
    </w:tblPr>
    <w:tblGrid>
      <w:gridCol w:w="1134"/>
      <w:gridCol w:w="6095"/>
      <w:gridCol w:w="1134"/>
    </w:tblGrid>
    <w:tr w:rsidR="00712CA4">
      <w:tc>
        <w:tcPr>
          <w:tcW w:w="1134" w:type="dxa"/>
          <w:shd w:val="clear" w:color="auto" w:fill="auto"/>
        </w:tcPr>
        <w:p w:rsidR="00712CA4" w:rsidRDefault="00712CA4">
          <w:pPr>
            <w:spacing w:line="240" w:lineRule="exact"/>
          </w:pPr>
        </w:p>
      </w:tc>
      <w:tc>
        <w:tcPr>
          <w:tcW w:w="6095" w:type="dxa"/>
          <w:shd w:val="clear" w:color="auto" w:fill="auto"/>
        </w:tcPr>
        <w:p w:rsidR="00712CA4" w:rsidRPr="004F5D6D" w:rsidRDefault="00B36D41">
          <w:pPr>
            <w:pStyle w:val="FooterCitation"/>
          </w:pPr>
          <w:r>
            <w:fldChar w:fldCharType="begin"/>
          </w:r>
          <w:r w:rsidR="00712CA4">
            <w:instrText xml:space="preserve"> REF  Citation </w:instrText>
          </w:r>
          <w:r>
            <w:fldChar w:fldCharType="separate"/>
          </w:r>
          <w:r w:rsidR="001756BA" w:rsidRPr="0095171D">
            <w:rPr>
              <w:rFonts w:ascii="Times New Roman" w:hAnsi="Times New Roman"/>
            </w:rPr>
            <w:t xml:space="preserve">Carbon Farming (Reduction of Greenhouse Gas Emissions through Early </w:t>
          </w:r>
          <w:r w:rsidR="001756BA">
            <w:rPr>
              <w:rFonts w:ascii="Times New Roman" w:hAnsi="Times New Roman"/>
            </w:rPr>
            <w:t xml:space="preserve">Dry </w:t>
          </w:r>
          <w:r w:rsidR="001756BA" w:rsidRPr="0095171D">
            <w:rPr>
              <w:rFonts w:ascii="Times New Roman" w:hAnsi="Times New Roman"/>
            </w:rPr>
            <w:t xml:space="preserve">Season </w:t>
          </w:r>
          <w:proofErr w:type="spellStart"/>
          <w:r w:rsidR="001756BA" w:rsidRPr="0095171D">
            <w:rPr>
              <w:rFonts w:ascii="Times New Roman" w:hAnsi="Times New Roman"/>
            </w:rPr>
            <w:t>Savanna</w:t>
          </w:r>
          <w:proofErr w:type="spellEnd"/>
          <w:r w:rsidR="001756BA" w:rsidRPr="0095171D">
            <w:rPr>
              <w:rFonts w:ascii="Times New Roman" w:hAnsi="Times New Roman"/>
            </w:rPr>
            <w:t xml:space="preserve"> Burning) Methodology Determination </w:t>
          </w:r>
          <w:r>
            <w:fldChar w:fldCharType="end"/>
          </w:r>
        </w:p>
      </w:tc>
      <w:tc>
        <w:tcPr>
          <w:tcW w:w="1134" w:type="dxa"/>
          <w:shd w:val="clear" w:color="auto" w:fill="auto"/>
        </w:tcPr>
        <w:p w:rsidR="00712CA4" w:rsidRPr="000D7143" w:rsidRDefault="00B36D41">
          <w:pPr>
            <w:spacing w:line="240" w:lineRule="exact"/>
            <w:jc w:val="right"/>
            <w:rPr>
              <w:rStyle w:val="PageNumber"/>
              <w:rFonts w:ascii="Times New Roman" w:hAnsi="Times New Roman"/>
              <w:i/>
              <w:sz w:val="20"/>
              <w:szCs w:val="20"/>
            </w:rPr>
          </w:pPr>
          <w:r w:rsidRPr="000D7143">
            <w:rPr>
              <w:rStyle w:val="PageNumber"/>
              <w:rFonts w:ascii="Times New Roman" w:hAnsi="Times New Roman"/>
              <w:sz w:val="20"/>
              <w:szCs w:val="20"/>
            </w:rPr>
            <w:fldChar w:fldCharType="begin"/>
          </w:r>
          <w:r w:rsidR="00712CA4" w:rsidRPr="000D7143">
            <w:rPr>
              <w:rStyle w:val="PageNumber"/>
              <w:rFonts w:ascii="Times New Roman" w:hAnsi="Times New Roman"/>
              <w:sz w:val="20"/>
              <w:szCs w:val="20"/>
            </w:rPr>
            <w:instrText xml:space="preserve">PAGE  </w:instrText>
          </w:r>
          <w:r w:rsidRPr="000D7143">
            <w:rPr>
              <w:rStyle w:val="PageNumber"/>
              <w:rFonts w:ascii="Times New Roman" w:hAnsi="Times New Roman"/>
              <w:sz w:val="20"/>
              <w:szCs w:val="20"/>
            </w:rPr>
            <w:fldChar w:fldCharType="separate"/>
          </w:r>
          <w:r w:rsidR="001756BA">
            <w:rPr>
              <w:rStyle w:val="PageNumber"/>
              <w:rFonts w:ascii="Times New Roman" w:hAnsi="Times New Roman"/>
              <w:noProof/>
              <w:sz w:val="20"/>
              <w:szCs w:val="20"/>
            </w:rPr>
            <w:t>3</w:t>
          </w:r>
          <w:r w:rsidRPr="000D7143">
            <w:rPr>
              <w:rStyle w:val="PageNumber"/>
              <w:rFonts w:ascii="Times New Roman" w:hAnsi="Times New Roman"/>
              <w:sz w:val="20"/>
              <w:szCs w:val="20"/>
            </w:rPr>
            <w:fldChar w:fldCharType="end"/>
          </w:r>
        </w:p>
      </w:tc>
    </w:tr>
  </w:tbl>
  <w:p w:rsidR="00712CA4" w:rsidRPr="00F10D43" w:rsidRDefault="00712CA4">
    <w:pPr>
      <w:pStyle w:val="Footerinfo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rsidP="009207F7">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712CA4" w:rsidTr="0053089B">
      <w:trPr>
        <w:trHeight w:val="1066"/>
      </w:trPr>
      <w:tc>
        <w:tcPr>
          <w:tcW w:w="1134" w:type="dxa"/>
          <w:shd w:val="clear" w:color="auto" w:fill="auto"/>
        </w:tcPr>
        <w:p w:rsidR="00712CA4" w:rsidRPr="0053089B" w:rsidRDefault="00B36D41" w:rsidP="009207F7">
          <w:pPr>
            <w:spacing w:line="240" w:lineRule="exact"/>
            <w:rPr>
              <w:sz w:val="20"/>
              <w:szCs w:val="20"/>
            </w:rPr>
          </w:pPr>
          <w:r w:rsidRPr="0053089B">
            <w:rPr>
              <w:rStyle w:val="PageNumber"/>
              <w:rFonts w:ascii="Times New Roman" w:hAnsi="Times New Roman"/>
              <w:sz w:val="20"/>
              <w:szCs w:val="20"/>
            </w:rPr>
            <w:fldChar w:fldCharType="begin"/>
          </w:r>
          <w:r w:rsidR="00712CA4" w:rsidRPr="0053089B">
            <w:rPr>
              <w:rStyle w:val="PageNumber"/>
              <w:rFonts w:ascii="Times New Roman" w:hAnsi="Times New Roman"/>
              <w:sz w:val="20"/>
              <w:szCs w:val="20"/>
            </w:rPr>
            <w:instrText xml:space="preserve">PAGE  </w:instrText>
          </w:r>
          <w:r w:rsidRPr="0053089B">
            <w:rPr>
              <w:rStyle w:val="PageNumber"/>
              <w:rFonts w:ascii="Times New Roman" w:hAnsi="Times New Roman"/>
              <w:sz w:val="20"/>
              <w:szCs w:val="20"/>
            </w:rPr>
            <w:fldChar w:fldCharType="separate"/>
          </w:r>
          <w:r w:rsidR="001756BA">
            <w:rPr>
              <w:rStyle w:val="PageNumber"/>
              <w:rFonts w:ascii="Times New Roman" w:hAnsi="Times New Roman"/>
              <w:noProof/>
              <w:sz w:val="20"/>
              <w:szCs w:val="20"/>
            </w:rPr>
            <w:t>6</w:t>
          </w:r>
          <w:r w:rsidRPr="0053089B">
            <w:rPr>
              <w:rStyle w:val="PageNumber"/>
              <w:rFonts w:ascii="Times New Roman" w:hAnsi="Times New Roman"/>
              <w:sz w:val="20"/>
              <w:szCs w:val="20"/>
            </w:rPr>
            <w:fldChar w:fldCharType="end"/>
          </w:r>
        </w:p>
      </w:tc>
      <w:tc>
        <w:tcPr>
          <w:tcW w:w="6095" w:type="dxa"/>
          <w:shd w:val="clear" w:color="auto" w:fill="auto"/>
        </w:tcPr>
        <w:p w:rsidR="00712CA4" w:rsidRPr="00B4664D" w:rsidRDefault="00B36D41" w:rsidP="00510036">
          <w:pPr>
            <w:pStyle w:val="FooterCitation"/>
            <w:rPr>
              <w:rFonts w:ascii="Times New Roman" w:hAnsi="Times New Roman"/>
            </w:rPr>
          </w:pPr>
          <w:r w:rsidRPr="004763EF">
            <w:rPr>
              <w:rFonts w:ascii="Times New Roman" w:hAnsi="Times New Roman"/>
            </w:rPr>
            <w:fldChar w:fldCharType="begin"/>
          </w:r>
          <w:r w:rsidR="00712CA4" w:rsidRPr="004763EF">
            <w:rPr>
              <w:rFonts w:ascii="Times New Roman" w:hAnsi="Times New Roman"/>
            </w:rPr>
            <w:instrText xml:space="preserve"> REF  Citation\*charformat </w:instrText>
          </w:r>
          <w:r w:rsidR="00712CA4">
            <w:rPr>
              <w:rFonts w:ascii="Times New Roman" w:hAnsi="Times New Roman"/>
            </w:rPr>
            <w:instrText xml:space="preserve"> \* MERGEFORMAT </w:instrText>
          </w:r>
          <w:r w:rsidRPr="004763EF">
            <w:rPr>
              <w:rFonts w:ascii="Times New Roman" w:hAnsi="Times New Roman"/>
            </w:rPr>
            <w:fldChar w:fldCharType="separate"/>
          </w:r>
          <w:r w:rsidR="001756BA" w:rsidRPr="0095171D">
            <w:rPr>
              <w:rFonts w:ascii="Times New Roman" w:hAnsi="Times New Roman"/>
            </w:rPr>
            <w:t xml:space="preserve">Carbon Farming (Reduction of Greenhouse Gas Emissions through Early </w:t>
          </w:r>
          <w:r w:rsidR="001756BA">
            <w:rPr>
              <w:rFonts w:ascii="Times New Roman" w:hAnsi="Times New Roman"/>
            </w:rPr>
            <w:t xml:space="preserve">Dry </w:t>
          </w:r>
          <w:r w:rsidR="001756BA" w:rsidRPr="0095171D">
            <w:rPr>
              <w:rFonts w:ascii="Times New Roman" w:hAnsi="Times New Roman"/>
            </w:rPr>
            <w:t xml:space="preserve">Season </w:t>
          </w:r>
          <w:proofErr w:type="spellStart"/>
          <w:r w:rsidR="001756BA" w:rsidRPr="0095171D">
            <w:rPr>
              <w:rFonts w:ascii="Times New Roman" w:hAnsi="Times New Roman"/>
            </w:rPr>
            <w:t>Savanna</w:t>
          </w:r>
          <w:proofErr w:type="spellEnd"/>
          <w:r w:rsidR="001756BA" w:rsidRPr="0095171D">
            <w:rPr>
              <w:rFonts w:ascii="Times New Roman" w:hAnsi="Times New Roman"/>
            </w:rPr>
            <w:t xml:space="preserve"> Burning) Methodology Determination </w:t>
          </w:r>
          <w:r w:rsidRPr="004763EF">
            <w:rPr>
              <w:rFonts w:ascii="Times New Roman" w:hAnsi="Times New Roman"/>
            </w:rPr>
            <w:fldChar w:fldCharType="end"/>
          </w:r>
        </w:p>
      </w:tc>
      <w:tc>
        <w:tcPr>
          <w:tcW w:w="1134" w:type="dxa"/>
          <w:shd w:val="clear" w:color="auto" w:fill="auto"/>
        </w:tcPr>
        <w:p w:rsidR="00712CA4" w:rsidRPr="00451BF5" w:rsidRDefault="00712CA4" w:rsidP="009207F7">
          <w:pPr>
            <w:spacing w:line="240" w:lineRule="exact"/>
            <w:jc w:val="right"/>
            <w:rPr>
              <w:rStyle w:val="PageNumber"/>
              <w:i/>
            </w:rPr>
          </w:pPr>
        </w:p>
      </w:tc>
    </w:tr>
  </w:tbl>
  <w:p w:rsidR="00712CA4" w:rsidRDefault="00712CA4" w:rsidP="009207F7">
    <w:pPr>
      <w:pStyle w:val="FooterInfo"/>
    </w:pPr>
  </w:p>
  <w:p w:rsidR="00712CA4" w:rsidRPr="0055794B" w:rsidRDefault="00712CA4" w:rsidP="009207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rsidP="009207F7">
    <w:pPr>
      <w:spacing w:line="200" w:lineRule="exact"/>
    </w:pPr>
  </w:p>
  <w:tbl>
    <w:tblPr>
      <w:tblW w:w="0" w:type="auto"/>
      <w:tblBorders>
        <w:top w:val="single" w:sz="4" w:space="0" w:color="auto"/>
      </w:tblBorders>
      <w:tblLayout w:type="fixed"/>
      <w:tblLook w:val="01E0"/>
    </w:tblPr>
    <w:tblGrid>
      <w:gridCol w:w="1134"/>
      <w:gridCol w:w="6095"/>
      <w:gridCol w:w="1134"/>
    </w:tblGrid>
    <w:tr w:rsidR="00712CA4" w:rsidRPr="000D7143">
      <w:tc>
        <w:tcPr>
          <w:tcW w:w="1134" w:type="dxa"/>
          <w:shd w:val="clear" w:color="auto" w:fill="auto"/>
        </w:tcPr>
        <w:p w:rsidR="00712CA4" w:rsidRDefault="00712CA4" w:rsidP="009207F7">
          <w:pPr>
            <w:spacing w:line="240" w:lineRule="exact"/>
          </w:pPr>
        </w:p>
      </w:tc>
      <w:tc>
        <w:tcPr>
          <w:tcW w:w="6095" w:type="dxa"/>
          <w:shd w:val="clear" w:color="auto" w:fill="auto"/>
        </w:tcPr>
        <w:p w:rsidR="00712CA4" w:rsidRPr="00B4664D" w:rsidRDefault="00B36D41" w:rsidP="0063651D">
          <w:pPr>
            <w:pStyle w:val="FooterCitation"/>
            <w:rPr>
              <w:rFonts w:ascii="Times New Roman" w:hAnsi="Times New Roman"/>
            </w:rPr>
          </w:pPr>
          <w:r w:rsidRPr="004763EF">
            <w:rPr>
              <w:rFonts w:ascii="Times New Roman" w:hAnsi="Times New Roman"/>
            </w:rPr>
            <w:fldChar w:fldCharType="begin"/>
          </w:r>
          <w:r w:rsidR="00712CA4" w:rsidRPr="004763EF">
            <w:rPr>
              <w:rFonts w:ascii="Times New Roman" w:hAnsi="Times New Roman"/>
            </w:rPr>
            <w:instrText xml:space="preserve"> REF  Citation\*charformat </w:instrText>
          </w:r>
          <w:r w:rsidR="00712CA4">
            <w:rPr>
              <w:rFonts w:ascii="Times New Roman" w:hAnsi="Times New Roman"/>
            </w:rPr>
            <w:instrText xml:space="preserve"> \* MERGEFORMAT </w:instrText>
          </w:r>
          <w:r w:rsidRPr="004763EF">
            <w:rPr>
              <w:rFonts w:ascii="Times New Roman" w:hAnsi="Times New Roman"/>
            </w:rPr>
            <w:fldChar w:fldCharType="separate"/>
          </w:r>
          <w:r w:rsidR="001756BA" w:rsidRPr="0095171D">
            <w:rPr>
              <w:rFonts w:ascii="Times New Roman" w:hAnsi="Times New Roman"/>
            </w:rPr>
            <w:t xml:space="preserve">Carbon Farming (Reduction of Greenhouse Gas Emissions through Early </w:t>
          </w:r>
          <w:r w:rsidR="001756BA">
            <w:rPr>
              <w:rFonts w:ascii="Times New Roman" w:hAnsi="Times New Roman"/>
            </w:rPr>
            <w:t xml:space="preserve">Dry </w:t>
          </w:r>
          <w:r w:rsidR="001756BA" w:rsidRPr="0095171D">
            <w:rPr>
              <w:rFonts w:ascii="Times New Roman" w:hAnsi="Times New Roman"/>
            </w:rPr>
            <w:t xml:space="preserve">Season </w:t>
          </w:r>
          <w:proofErr w:type="spellStart"/>
          <w:r w:rsidR="001756BA" w:rsidRPr="0095171D">
            <w:rPr>
              <w:rFonts w:ascii="Times New Roman" w:hAnsi="Times New Roman"/>
            </w:rPr>
            <w:t>Savanna</w:t>
          </w:r>
          <w:proofErr w:type="spellEnd"/>
          <w:r w:rsidR="001756BA" w:rsidRPr="0095171D">
            <w:rPr>
              <w:rFonts w:ascii="Times New Roman" w:hAnsi="Times New Roman"/>
            </w:rPr>
            <w:t xml:space="preserve"> Burning) Methodology Determination </w:t>
          </w:r>
          <w:r w:rsidRPr="004763EF">
            <w:rPr>
              <w:rFonts w:ascii="Times New Roman" w:hAnsi="Times New Roman"/>
            </w:rPr>
            <w:fldChar w:fldCharType="end"/>
          </w:r>
          <w:r w:rsidR="00712CA4">
            <w:rPr>
              <w:rFonts w:ascii="Times New Roman" w:hAnsi="Times New Roman"/>
            </w:rPr>
            <w:t>2012</w:t>
          </w:r>
        </w:p>
      </w:tc>
      <w:tc>
        <w:tcPr>
          <w:tcW w:w="1134" w:type="dxa"/>
          <w:shd w:val="clear" w:color="auto" w:fill="auto"/>
        </w:tcPr>
        <w:p w:rsidR="00712CA4" w:rsidRPr="000D7143" w:rsidRDefault="00B36D41" w:rsidP="009207F7">
          <w:pPr>
            <w:spacing w:line="240" w:lineRule="exact"/>
            <w:jc w:val="right"/>
            <w:rPr>
              <w:rStyle w:val="PageNumber"/>
              <w:rFonts w:ascii="Times New Roman" w:hAnsi="Times New Roman"/>
              <w:i/>
              <w:sz w:val="20"/>
              <w:szCs w:val="20"/>
            </w:rPr>
          </w:pPr>
          <w:r w:rsidRPr="000D7143">
            <w:rPr>
              <w:rStyle w:val="PageNumber"/>
              <w:rFonts w:ascii="Times New Roman" w:hAnsi="Times New Roman"/>
              <w:sz w:val="20"/>
              <w:szCs w:val="20"/>
            </w:rPr>
            <w:fldChar w:fldCharType="begin"/>
          </w:r>
          <w:r w:rsidR="00712CA4" w:rsidRPr="000D7143">
            <w:rPr>
              <w:rStyle w:val="PageNumber"/>
              <w:rFonts w:ascii="Times New Roman" w:hAnsi="Times New Roman"/>
              <w:sz w:val="20"/>
              <w:szCs w:val="20"/>
            </w:rPr>
            <w:instrText xml:space="preserve">PAGE  </w:instrText>
          </w:r>
          <w:r w:rsidRPr="000D7143">
            <w:rPr>
              <w:rStyle w:val="PageNumber"/>
              <w:rFonts w:ascii="Times New Roman" w:hAnsi="Times New Roman"/>
              <w:sz w:val="20"/>
              <w:szCs w:val="20"/>
            </w:rPr>
            <w:fldChar w:fldCharType="separate"/>
          </w:r>
          <w:r w:rsidR="001756BA">
            <w:rPr>
              <w:rStyle w:val="PageNumber"/>
              <w:rFonts w:ascii="Times New Roman" w:hAnsi="Times New Roman"/>
              <w:noProof/>
              <w:sz w:val="20"/>
              <w:szCs w:val="20"/>
            </w:rPr>
            <w:t>5</w:t>
          </w:r>
          <w:r w:rsidRPr="000D7143">
            <w:rPr>
              <w:rStyle w:val="PageNumber"/>
              <w:rFonts w:ascii="Times New Roman" w:hAnsi="Times New Roman"/>
              <w:sz w:val="20"/>
              <w:szCs w:val="20"/>
            </w:rPr>
            <w:fldChar w:fldCharType="end"/>
          </w:r>
        </w:p>
      </w:tc>
    </w:tr>
  </w:tbl>
  <w:p w:rsidR="00712CA4" w:rsidRDefault="00712CA4" w:rsidP="009207F7">
    <w:pPr>
      <w:pStyle w:val="FooterInfo"/>
    </w:pPr>
  </w:p>
  <w:p w:rsidR="00712CA4" w:rsidRPr="00C83A6D" w:rsidRDefault="00712CA4" w:rsidP="009207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Pr="00556EB9" w:rsidRDefault="00712CA4" w:rsidP="009207F7">
    <w:pPr>
      <w:pStyle w:val="FooterCitation"/>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p w:rsidR="00712CA4" w:rsidRDefault="00712CA4"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712CA4">
      <w:tc>
        <w:tcPr>
          <w:tcW w:w="1134" w:type="dxa"/>
        </w:tcPr>
        <w:p w:rsidR="00712CA4" w:rsidRPr="000D7143" w:rsidRDefault="00B36D41" w:rsidP="00BD545A">
          <w:pPr>
            <w:spacing w:line="240" w:lineRule="exact"/>
            <w:rPr>
              <w:sz w:val="20"/>
              <w:szCs w:val="20"/>
            </w:rPr>
          </w:pPr>
          <w:r w:rsidRPr="000D7143">
            <w:rPr>
              <w:rStyle w:val="PageNumber"/>
              <w:rFonts w:ascii="Times New Roman" w:hAnsi="Times New Roman"/>
              <w:sz w:val="20"/>
              <w:szCs w:val="20"/>
            </w:rPr>
            <w:fldChar w:fldCharType="begin"/>
          </w:r>
          <w:r w:rsidR="00712CA4" w:rsidRPr="000D7143">
            <w:rPr>
              <w:rStyle w:val="PageNumber"/>
              <w:rFonts w:ascii="Times New Roman" w:hAnsi="Times New Roman"/>
              <w:sz w:val="20"/>
              <w:szCs w:val="20"/>
            </w:rPr>
            <w:instrText xml:space="preserve">PAGE  </w:instrText>
          </w:r>
          <w:r w:rsidRPr="000D7143">
            <w:rPr>
              <w:rStyle w:val="PageNumber"/>
              <w:rFonts w:ascii="Times New Roman" w:hAnsi="Times New Roman"/>
              <w:sz w:val="20"/>
              <w:szCs w:val="20"/>
            </w:rPr>
            <w:fldChar w:fldCharType="separate"/>
          </w:r>
          <w:r w:rsidR="001756BA">
            <w:rPr>
              <w:rStyle w:val="PageNumber"/>
              <w:rFonts w:ascii="Times New Roman" w:hAnsi="Times New Roman"/>
              <w:noProof/>
              <w:sz w:val="20"/>
              <w:szCs w:val="20"/>
            </w:rPr>
            <w:t>36</w:t>
          </w:r>
          <w:r w:rsidRPr="000D7143">
            <w:rPr>
              <w:rStyle w:val="PageNumber"/>
              <w:rFonts w:ascii="Times New Roman" w:hAnsi="Times New Roman"/>
              <w:sz w:val="20"/>
              <w:szCs w:val="20"/>
            </w:rPr>
            <w:fldChar w:fldCharType="end"/>
          </w:r>
        </w:p>
      </w:tc>
      <w:tc>
        <w:tcPr>
          <w:tcW w:w="6095" w:type="dxa"/>
        </w:tcPr>
        <w:p w:rsidR="00712CA4" w:rsidRPr="004F5D6D" w:rsidRDefault="00B36D41" w:rsidP="00BD545A">
          <w:pPr>
            <w:pStyle w:val="Footer"/>
            <w:spacing w:before="20" w:line="240" w:lineRule="exact"/>
          </w:pPr>
          <w:r>
            <w:fldChar w:fldCharType="begin"/>
          </w:r>
          <w:r w:rsidR="00712CA4">
            <w:instrText xml:space="preserve"> REF  Citation </w:instrText>
          </w:r>
          <w:r>
            <w:fldChar w:fldCharType="separate"/>
          </w:r>
          <w:r w:rsidR="001756BA" w:rsidRPr="0095171D">
            <w:rPr>
              <w:rFonts w:ascii="Times New Roman" w:hAnsi="Times New Roman"/>
            </w:rPr>
            <w:t xml:space="preserve">Carbon Farming (Reduction of Greenhouse Gas Emissions through Early </w:t>
          </w:r>
          <w:r w:rsidR="001756BA">
            <w:rPr>
              <w:rFonts w:ascii="Times New Roman" w:hAnsi="Times New Roman"/>
            </w:rPr>
            <w:t xml:space="preserve">Dry </w:t>
          </w:r>
          <w:r w:rsidR="001756BA" w:rsidRPr="0095171D">
            <w:rPr>
              <w:rFonts w:ascii="Times New Roman" w:hAnsi="Times New Roman"/>
            </w:rPr>
            <w:t xml:space="preserve">Season </w:t>
          </w:r>
          <w:proofErr w:type="spellStart"/>
          <w:r w:rsidR="001756BA" w:rsidRPr="0095171D">
            <w:rPr>
              <w:rFonts w:ascii="Times New Roman" w:hAnsi="Times New Roman"/>
            </w:rPr>
            <w:t>Savanna</w:t>
          </w:r>
          <w:proofErr w:type="spellEnd"/>
          <w:r w:rsidR="001756BA" w:rsidRPr="0095171D">
            <w:rPr>
              <w:rFonts w:ascii="Times New Roman" w:hAnsi="Times New Roman"/>
            </w:rPr>
            <w:t xml:space="preserve"> Burning) Methodology Determination </w:t>
          </w:r>
          <w:r>
            <w:fldChar w:fldCharType="end"/>
          </w:r>
        </w:p>
      </w:tc>
      <w:tc>
        <w:tcPr>
          <w:tcW w:w="1134" w:type="dxa"/>
        </w:tcPr>
        <w:p w:rsidR="00712CA4" w:rsidRPr="00451BF5" w:rsidRDefault="00712CA4" w:rsidP="00BD545A">
          <w:pPr>
            <w:spacing w:line="240" w:lineRule="exact"/>
            <w:jc w:val="right"/>
            <w:rPr>
              <w:rStyle w:val="PageNumber"/>
              <w:i/>
              <w:szCs w:val="18"/>
            </w:rPr>
          </w:pPr>
        </w:p>
      </w:tc>
    </w:tr>
  </w:tbl>
  <w:p w:rsidR="00712CA4" w:rsidRDefault="00712CA4" w:rsidP="0053089B">
    <w:pPr>
      <w:pStyle w:val="FooterDraft"/>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712CA4" w:rsidRPr="000D7143">
      <w:tc>
        <w:tcPr>
          <w:tcW w:w="1134" w:type="dxa"/>
        </w:tcPr>
        <w:p w:rsidR="00712CA4" w:rsidRDefault="00712CA4" w:rsidP="00BD545A">
          <w:pPr>
            <w:spacing w:line="240" w:lineRule="exact"/>
          </w:pPr>
        </w:p>
      </w:tc>
      <w:tc>
        <w:tcPr>
          <w:tcW w:w="6095" w:type="dxa"/>
        </w:tcPr>
        <w:p w:rsidR="00712CA4" w:rsidRPr="004F5D6D" w:rsidRDefault="00B36D41" w:rsidP="00AA4AA8">
          <w:pPr>
            <w:pStyle w:val="FooterCitation"/>
          </w:pPr>
          <w:r>
            <w:fldChar w:fldCharType="begin"/>
          </w:r>
          <w:r w:rsidR="00712CA4">
            <w:instrText xml:space="preserve"> REF  Citation  \* MERGEFORMAT </w:instrText>
          </w:r>
          <w:r>
            <w:fldChar w:fldCharType="separate"/>
          </w:r>
          <w:r w:rsidR="001756BA" w:rsidRPr="0095171D">
            <w:rPr>
              <w:rFonts w:ascii="Times New Roman" w:hAnsi="Times New Roman"/>
            </w:rPr>
            <w:t xml:space="preserve">Carbon Farming (Reduction of Greenhouse Gas Emissions through Early </w:t>
          </w:r>
          <w:r w:rsidR="001756BA">
            <w:rPr>
              <w:rFonts w:ascii="Times New Roman" w:hAnsi="Times New Roman"/>
            </w:rPr>
            <w:t xml:space="preserve">Dry </w:t>
          </w:r>
          <w:r w:rsidR="001756BA" w:rsidRPr="0095171D">
            <w:rPr>
              <w:rFonts w:ascii="Times New Roman" w:hAnsi="Times New Roman"/>
            </w:rPr>
            <w:t xml:space="preserve">Season </w:t>
          </w:r>
          <w:proofErr w:type="spellStart"/>
          <w:r w:rsidR="001756BA" w:rsidRPr="0095171D">
            <w:rPr>
              <w:rFonts w:ascii="Times New Roman" w:hAnsi="Times New Roman"/>
            </w:rPr>
            <w:t>Savanna</w:t>
          </w:r>
          <w:proofErr w:type="spellEnd"/>
          <w:r w:rsidR="001756BA" w:rsidRPr="0095171D">
            <w:rPr>
              <w:rFonts w:ascii="Times New Roman" w:hAnsi="Times New Roman"/>
            </w:rPr>
            <w:t xml:space="preserve"> Burning) Methodology Determination </w:t>
          </w:r>
          <w:r>
            <w:fldChar w:fldCharType="end"/>
          </w:r>
        </w:p>
      </w:tc>
      <w:tc>
        <w:tcPr>
          <w:tcW w:w="1134" w:type="dxa"/>
        </w:tcPr>
        <w:p w:rsidR="00712CA4" w:rsidRPr="000D7143" w:rsidRDefault="00B36D41" w:rsidP="00BD545A">
          <w:pPr>
            <w:spacing w:line="240" w:lineRule="exact"/>
            <w:jc w:val="right"/>
            <w:rPr>
              <w:rStyle w:val="PageNumber"/>
              <w:rFonts w:ascii="Times New Roman" w:hAnsi="Times New Roman"/>
              <w:i/>
              <w:sz w:val="20"/>
              <w:szCs w:val="20"/>
            </w:rPr>
          </w:pPr>
          <w:r w:rsidRPr="000D7143">
            <w:rPr>
              <w:rStyle w:val="PageNumber"/>
              <w:rFonts w:ascii="Times New Roman" w:hAnsi="Times New Roman"/>
              <w:sz w:val="20"/>
              <w:szCs w:val="20"/>
            </w:rPr>
            <w:fldChar w:fldCharType="begin"/>
          </w:r>
          <w:r w:rsidR="00712CA4" w:rsidRPr="000D7143">
            <w:rPr>
              <w:rStyle w:val="PageNumber"/>
              <w:rFonts w:ascii="Times New Roman" w:hAnsi="Times New Roman"/>
              <w:sz w:val="20"/>
              <w:szCs w:val="20"/>
            </w:rPr>
            <w:instrText xml:space="preserve">PAGE  </w:instrText>
          </w:r>
          <w:r w:rsidRPr="000D7143">
            <w:rPr>
              <w:rStyle w:val="PageNumber"/>
              <w:rFonts w:ascii="Times New Roman" w:hAnsi="Times New Roman"/>
              <w:sz w:val="20"/>
              <w:szCs w:val="20"/>
            </w:rPr>
            <w:fldChar w:fldCharType="separate"/>
          </w:r>
          <w:r w:rsidR="001756BA">
            <w:rPr>
              <w:rStyle w:val="PageNumber"/>
              <w:rFonts w:ascii="Times New Roman" w:hAnsi="Times New Roman"/>
              <w:noProof/>
              <w:sz w:val="20"/>
              <w:szCs w:val="20"/>
            </w:rPr>
            <w:t>37</w:t>
          </w:r>
          <w:r w:rsidRPr="000D7143">
            <w:rPr>
              <w:rStyle w:val="PageNumber"/>
              <w:rFonts w:ascii="Times New Roman" w:hAnsi="Times New Roman"/>
              <w:sz w:val="20"/>
              <w:szCs w:val="20"/>
            </w:rPr>
            <w:fldChar w:fldCharType="end"/>
          </w:r>
        </w:p>
      </w:tc>
    </w:tr>
  </w:tbl>
  <w:p w:rsidR="00712CA4" w:rsidRDefault="00712CA4" w:rsidP="0053089B">
    <w:pPr>
      <w:pStyle w:val="FooterInf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Pr="00974D8C" w:rsidRDefault="00712CA4">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A4" w:rsidRDefault="00712CA4">
      <w:r>
        <w:separator/>
      </w:r>
    </w:p>
  </w:footnote>
  <w:footnote w:type="continuationSeparator" w:id="0">
    <w:p w:rsidR="00712CA4" w:rsidRDefault="00712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712CA4">
      <w:tc>
        <w:tcPr>
          <w:tcW w:w="8414" w:type="dxa"/>
          <w:gridSpan w:val="2"/>
        </w:tcPr>
        <w:p w:rsidR="00712CA4" w:rsidRPr="000D7143" w:rsidRDefault="00712CA4">
          <w:pPr>
            <w:pStyle w:val="HeaderLiteEven"/>
            <w:ind w:right="-108"/>
            <w:rPr>
              <w:rFonts w:ascii="Times New Roman" w:hAnsi="Times New Roman"/>
              <w:sz w:val="20"/>
              <w:szCs w:val="20"/>
            </w:rPr>
          </w:pPr>
        </w:p>
      </w:tc>
    </w:tr>
    <w:tr w:rsidR="00712CA4">
      <w:tc>
        <w:tcPr>
          <w:tcW w:w="1546" w:type="dxa"/>
        </w:tcPr>
        <w:p w:rsidR="00712CA4" w:rsidRDefault="00712CA4">
          <w:pPr>
            <w:pStyle w:val="HeaderLiteEven"/>
            <w:ind w:right="-108"/>
          </w:pPr>
        </w:p>
      </w:tc>
      <w:tc>
        <w:tcPr>
          <w:tcW w:w="6868" w:type="dxa"/>
          <w:vAlign w:val="bottom"/>
        </w:tcPr>
        <w:p w:rsidR="00712CA4" w:rsidRDefault="00712CA4">
          <w:pPr>
            <w:pStyle w:val="HeaderLiteEven"/>
            <w:ind w:right="-108"/>
          </w:pPr>
        </w:p>
      </w:tc>
    </w:tr>
    <w:tr w:rsidR="00712CA4">
      <w:tc>
        <w:tcPr>
          <w:tcW w:w="1546" w:type="dxa"/>
          <w:tcBorders>
            <w:bottom w:val="single" w:sz="4" w:space="0" w:color="auto"/>
          </w:tcBorders>
          <w:shd w:val="clear" w:color="auto" w:fill="auto"/>
        </w:tcPr>
        <w:p w:rsidR="00712CA4" w:rsidRDefault="00712CA4">
          <w:pPr>
            <w:pStyle w:val="HeaderLiteEven"/>
            <w:spacing w:before="120" w:after="60"/>
            <w:ind w:right="-108"/>
          </w:pPr>
        </w:p>
      </w:tc>
      <w:tc>
        <w:tcPr>
          <w:tcW w:w="6868" w:type="dxa"/>
          <w:tcBorders>
            <w:bottom w:val="single" w:sz="4" w:space="0" w:color="auto"/>
          </w:tcBorders>
          <w:shd w:val="clear" w:color="auto" w:fill="auto"/>
          <w:vAlign w:val="bottom"/>
        </w:tcPr>
        <w:p w:rsidR="00712CA4" w:rsidRDefault="00712CA4">
          <w:pPr>
            <w:pStyle w:val="HeaderLiteEven"/>
            <w:spacing w:before="120" w:after="60"/>
            <w:ind w:right="-108"/>
          </w:pPr>
        </w:p>
      </w:tc>
    </w:tr>
  </w:tbl>
  <w:p w:rsidR="00712CA4" w:rsidRPr="000D7143" w:rsidRDefault="00712CA4">
    <w:pPr>
      <w:pStyle w:val="HeaderContentsPage"/>
      <w:rPr>
        <w:rFonts w:ascii="Times New Roman" w:hAnsi="Times New Roman"/>
      </w:rPr>
    </w:pPr>
    <w:r w:rsidRPr="000D7143">
      <w:rPr>
        <w:rFonts w:ascii="Times New Roman" w:hAnsi="Times New Roman"/>
      </w:rPr>
      <w:t>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712CA4">
      <w:tc>
        <w:tcPr>
          <w:tcW w:w="8414" w:type="dxa"/>
          <w:gridSpan w:val="2"/>
        </w:tcPr>
        <w:p w:rsidR="00712CA4" w:rsidRDefault="00712CA4">
          <w:pPr>
            <w:pStyle w:val="HeaderLiteOdd"/>
          </w:pPr>
        </w:p>
      </w:tc>
    </w:tr>
    <w:tr w:rsidR="00712CA4">
      <w:tc>
        <w:tcPr>
          <w:tcW w:w="6868" w:type="dxa"/>
          <w:vAlign w:val="bottom"/>
        </w:tcPr>
        <w:p w:rsidR="00712CA4" w:rsidRDefault="00712CA4">
          <w:pPr>
            <w:pStyle w:val="HeaderLiteOdd"/>
          </w:pPr>
        </w:p>
      </w:tc>
      <w:tc>
        <w:tcPr>
          <w:tcW w:w="1546" w:type="dxa"/>
        </w:tcPr>
        <w:p w:rsidR="00712CA4" w:rsidRDefault="00712CA4">
          <w:pPr>
            <w:pStyle w:val="HeaderLiteOdd"/>
          </w:pPr>
        </w:p>
      </w:tc>
    </w:tr>
    <w:tr w:rsidR="00712CA4">
      <w:tc>
        <w:tcPr>
          <w:tcW w:w="6868" w:type="dxa"/>
          <w:tcBorders>
            <w:bottom w:val="single" w:sz="4" w:space="0" w:color="auto"/>
          </w:tcBorders>
          <w:shd w:val="clear" w:color="auto" w:fill="auto"/>
          <w:vAlign w:val="bottom"/>
        </w:tcPr>
        <w:p w:rsidR="00712CA4" w:rsidRDefault="00712CA4">
          <w:pPr>
            <w:pStyle w:val="HeaderLiteOdd"/>
            <w:spacing w:before="120" w:after="60"/>
          </w:pPr>
        </w:p>
      </w:tc>
      <w:tc>
        <w:tcPr>
          <w:tcW w:w="1546" w:type="dxa"/>
          <w:tcBorders>
            <w:bottom w:val="single" w:sz="4" w:space="0" w:color="auto"/>
          </w:tcBorders>
          <w:shd w:val="clear" w:color="auto" w:fill="auto"/>
        </w:tcPr>
        <w:p w:rsidR="00712CA4" w:rsidRDefault="00712CA4">
          <w:pPr>
            <w:pStyle w:val="HeaderLiteOdd"/>
            <w:spacing w:before="120" w:after="60"/>
          </w:pPr>
        </w:p>
      </w:tc>
    </w:tr>
  </w:tbl>
  <w:p w:rsidR="00712CA4" w:rsidRPr="000D7143" w:rsidRDefault="00712CA4">
    <w:pPr>
      <w:pStyle w:val="HeaderContentsPage"/>
      <w:rPr>
        <w:rFonts w:ascii="Times New Roman" w:hAnsi="Times New Roman"/>
      </w:rPr>
    </w:pPr>
    <w:r w:rsidRPr="000D7143">
      <w:rPr>
        <w:rFonts w:ascii="Times New Roman" w:hAnsi="Times New Roman"/>
      </w:rPr>
      <w:t>Page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712CA4">
      <w:tc>
        <w:tcPr>
          <w:tcW w:w="8357" w:type="dxa"/>
          <w:tcBorders>
            <w:bottom w:val="single" w:sz="4" w:space="0" w:color="auto"/>
          </w:tcBorders>
          <w:shd w:val="clear" w:color="auto" w:fill="auto"/>
        </w:tcPr>
        <w:p w:rsidR="00712CA4" w:rsidRPr="000D4CDA" w:rsidRDefault="00712CA4">
          <w:pPr>
            <w:pStyle w:val="HeaderBoldEven"/>
          </w:pPr>
        </w:p>
      </w:tc>
    </w:tr>
  </w:tbl>
  <w:p w:rsidR="00712CA4" w:rsidRDefault="00712CA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712CA4" w:rsidRPr="00375ADF">
      <w:tc>
        <w:tcPr>
          <w:tcW w:w="8357" w:type="dxa"/>
        </w:tcPr>
        <w:p w:rsidR="00712CA4" w:rsidRPr="00375ADF" w:rsidRDefault="00712CA4" w:rsidP="00A16B39">
          <w:pPr>
            <w:pStyle w:val="HeaderLiteOdd"/>
            <w:jc w:val="left"/>
          </w:pPr>
        </w:p>
      </w:tc>
    </w:tr>
    <w:tr w:rsidR="00712CA4">
      <w:tc>
        <w:tcPr>
          <w:tcW w:w="8357" w:type="dxa"/>
        </w:tcPr>
        <w:p w:rsidR="00712CA4" w:rsidRDefault="00712CA4">
          <w:pPr>
            <w:pStyle w:val="HeaderLiteOdd"/>
          </w:pPr>
        </w:p>
      </w:tc>
    </w:tr>
    <w:tr w:rsidR="00712CA4">
      <w:tc>
        <w:tcPr>
          <w:tcW w:w="8357" w:type="dxa"/>
          <w:tcBorders>
            <w:bottom w:val="single" w:sz="4" w:space="0" w:color="auto"/>
          </w:tcBorders>
          <w:shd w:val="clear" w:color="auto" w:fill="auto"/>
        </w:tcPr>
        <w:p w:rsidR="00712CA4" w:rsidRPr="000D4CDA" w:rsidRDefault="00712CA4">
          <w:pPr>
            <w:pStyle w:val="HeaderBoldOdd"/>
          </w:pPr>
        </w:p>
      </w:tc>
    </w:tr>
  </w:tbl>
  <w:p w:rsidR="00712CA4" w:rsidRDefault="00712CA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A4" w:rsidRDefault="00712CA4">
    <w:r>
      <w:c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1E0"/>
    </w:tblPr>
    <w:tblGrid>
      <w:gridCol w:w="6095"/>
    </w:tblGrid>
    <w:tr w:rsidR="00712CA4">
      <w:tc>
        <w:tcPr>
          <w:tcW w:w="6095" w:type="dxa"/>
          <w:shd w:val="clear" w:color="auto" w:fill="auto"/>
        </w:tcPr>
        <w:p w:rsidR="00712CA4" w:rsidRPr="004F5D6D" w:rsidRDefault="00712CA4" w:rsidP="0063651D">
          <w:pPr>
            <w:pStyle w:val="FooterCitation"/>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B75D36"/>
    <w:multiLevelType w:val="hybridMultilevel"/>
    <w:tmpl w:val="43822D42"/>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
    <w:nsid w:val="03B907FA"/>
    <w:multiLevelType w:val="hybridMultilevel"/>
    <w:tmpl w:val="49E2D5FA"/>
    <w:lvl w:ilvl="0" w:tplc="808C10A8">
      <w:start w:val="1"/>
      <w:numFmt w:val="lowerLetter"/>
      <w:lvlText w:val="(%1)"/>
      <w:lvlJc w:val="left"/>
      <w:pPr>
        <w:ind w:left="1211" w:hanging="360"/>
      </w:pPr>
      <w:rPr>
        <w:rFonts w:hint="default"/>
        <w:i w:val="0"/>
        <w:sz w:val="24"/>
        <w:szCs w:val="24"/>
      </w:rPr>
    </w:lvl>
    <w:lvl w:ilvl="1" w:tplc="80CA6BA2">
      <w:start w:val="1"/>
      <w:numFmt w:val="lowerLetter"/>
      <w:lvlText w:val="%2."/>
      <w:lvlJc w:val="left"/>
      <w:pPr>
        <w:ind w:left="1211" w:hanging="360"/>
      </w:pPr>
    </w:lvl>
    <w:lvl w:ilvl="2" w:tplc="9AFADAEE">
      <w:start w:val="1"/>
      <w:numFmt w:val="lowerRoman"/>
      <w:lvlText w:val="%3."/>
      <w:lvlJc w:val="right"/>
      <w:pPr>
        <w:ind w:left="1931" w:hanging="180"/>
      </w:pPr>
    </w:lvl>
    <w:lvl w:ilvl="3" w:tplc="8838302C" w:tentative="1">
      <w:start w:val="1"/>
      <w:numFmt w:val="decimal"/>
      <w:lvlText w:val="%4."/>
      <w:lvlJc w:val="left"/>
      <w:pPr>
        <w:ind w:left="2651" w:hanging="360"/>
      </w:pPr>
    </w:lvl>
    <w:lvl w:ilvl="4" w:tplc="75581692" w:tentative="1">
      <w:start w:val="1"/>
      <w:numFmt w:val="lowerLetter"/>
      <w:lvlText w:val="%5."/>
      <w:lvlJc w:val="left"/>
      <w:pPr>
        <w:ind w:left="3371" w:hanging="360"/>
      </w:pPr>
    </w:lvl>
    <w:lvl w:ilvl="5" w:tplc="4B2E8782" w:tentative="1">
      <w:start w:val="1"/>
      <w:numFmt w:val="lowerRoman"/>
      <w:lvlText w:val="%6."/>
      <w:lvlJc w:val="right"/>
      <w:pPr>
        <w:ind w:left="4091" w:hanging="180"/>
      </w:pPr>
    </w:lvl>
    <w:lvl w:ilvl="6" w:tplc="F5E25FBA" w:tentative="1">
      <w:start w:val="1"/>
      <w:numFmt w:val="decimal"/>
      <w:lvlText w:val="%7."/>
      <w:lvlJc w:val="left"/>
      <w:pPr>
        <w:ind w:left="4811" w:hanging="360"/>
      </w:pPr>
    </w:lvl>
    <w:lvl w:ilvl="7" w:tplc="F1304920" w:tentative="1">
      <w:start w:val="1"/>
      <w:numFmt w:val="lowerLetter"/>
      <w:lvlText w:val="%8."/>
      <w:lvlJc w:val="left"/>
      <w:pPr>
        <w:ind w:left="5531" w:hanging="360"/>
      </w:pPr>
    </w:lvl>
    <w:lvl w:ilvl="8" w:tplc="A7F28F96" w:tentative="1">
      <w:start w:val="1"/>
      <w:numFmt w:val="lowerRoman"/>
      <w:lvlText w:val="%9."/>
      <w:lvlJc w:val="right"/>
      <w:pPr>
        <w:ind w:left="6251" w:hanging="180"/>
      </w:pPr>
    </w:lvl>
  </w:abstractNum>
  <w:abstractNum w:abstractNumId="3">
    <w:nsid w:val="03C66B7B"/>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
    <w:nsid w:val="05E66765"/>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
    <w:nsid w:val="07FA2CC2"/>
    <w:multiLevelType w:val="hybridMultilevel"/>
    <w:tmpl w:val="CC0A353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
    <w:nsid w:val="0861257B"/>
    <w:multiLevelType w:val="multilevel"/>
    <w:tmpl w:val="7DF6EC00"/>
    <w:lvl w:ilvl="0">
      <w:start w:val="5"/>
      <w:numFmt w:val="decimal"/>
      <w:lvlText w:val="(%1)"/>
      <w:lvlJc w:val="left"/>
      <w:pPr>
        <w:tabs>
          <w:tab w:val="num" w:pos="520"/>
        </w:tabs>
        <w:ind w:left="520" w:hanging="520"/>
      </w:pPr>
      <w:rPr>
        <w:rFonts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4"/>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7">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BCC42C1"/>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
    <w:nsid w:val="0C152D3C"/>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10">
    <w:nsid w:val="0DD30667"/>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1">
    <w:nsid w:val="0E2B4509"/>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2">
    <w:nsid w:val="0E2D0BA4"/>
    <w:multiLevelType w:val="hybridMultilevel"/>
    <w:tmpl w:val="5464F130"/>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3">
    <w:nsid w:val="0F7A651B"/>
    <w:multiLevelType w:val="hybridMultilevel"/>
    <w:tmpl w:val="094E3E94"/>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4">
    <w:nsid w:val="102632AE"/>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5">
    <w:nsid w:val="10401B10"/>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nsid w:val="104B49B2"/>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7">
    <w:nsid w:val="106F26BD"/>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8">
    <w:nsid w:val="12613B60"/>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nsid w:val="165854C9"/>
    <w:multiLevelType w:val="hybridMultilevel"/>
    <w:tmpl w:val="5464F130"/>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0">
    <w:nsid w:val="16B42790"/>
    <w:multiLevelType w:val="hybridMultilevel"/>
    <w:tmpl w:val="DF50C2DC"/>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nsid w:val="174202CC"/>
    <w:multiLevelType w:val="multilevel"/>
    <w:tmpl w:val="EAE4A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93419E8"/>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nsid w:val="1C645D6B"/>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2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1D1D23B5"/>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6">
    <w:nsid w:val="1E136E3F"/>
    <w:multiLevelType w:val="hybridMultilevel"/>
    <w:tmpl w:val="CC0A353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7">
    <w:nsid w:val="1E8162D0"/>
    <w:multiLevelType w:val="hybridMultilevel"/>
    <w:tmpl w:val="81B47E3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8">
    <w:nsid w:val="22037E2C"/>
    <w:multiLevelType w:val="hybridMultilevel"/>
    <w:tmpl w:val="65644C7A"/>
    <w:lvl w:ilvl="0" w:tplc="1CC4F3A4">
      <w:start w:val="1"/>
      <w:numFmt w:val="lowerLetter"/>
      <w:lvlText w:val="(%1)"/>
      <w:lvlJc w:val="left"/>
      <w:pPr>
        <w:ind w:left="1289" w:hanging="495"/>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29">
    <w:nsid w:val="226070E2"/>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0">
    <w:nsid w:val="262211A3"/>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31">
    <w:nsid w:val="267931EE"/>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2">
    <w:nsid w:val="29560737"/>
    <w:multiLevelType w:val="hybridMultilevel"/>
    <w:tmpl w:val="094E3E94"/>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3">
    <w:nsid w:val="297F1935"/>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4">
    <w:nsid w:val="2A6A6565"/>
    <w:multiLevelType w:val="hybridMultilevel"/>
    <w:tmpl w:val="577A5F62"/>
    <w:lvl w:ilvl="0" w:tplc="2BD62478">
      <w:start w:val="1"/>
      <w:numFmt w:val="lowerRoman"/>
      <w:lvlText w:val="(%1)"/>
      <w:lvlJc w:val="righ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nsid w:val="2A7D3537"/>
    <w:multiLevelType w:val="hybridMultilevel"/>
    <w:tmpl w:val="1EEA7E5E"/>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start w:val="1"/>
      <w:numFmt w:val="lowerRoman"/>
      <w:lvlText w:val="%3."/>
      <w:lvlJc w:val="right"/>
      <w:pPr>
        <w:ind w:left="2325" w:hanging="180"/>
      </w:pPr>
    </w:lvl>
    <w:lvl w:ilvl="3" w:tplc="684A396E">
      <w:start w:val="1"/>
      <w:numFmt w:val="lowerRoman"/>
      <w:lvlText w:val="(%4)"/>
      <w:lvlJc w:val="left"/>
      <w:pPr>
        <w:ind w:left="3405" w:hanging="720"/>
      </w:pPr>
      <w:rPr>
        <w:rFonts w:hint="default"/>
      </w:r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6">
    <w:nsid w:val="2B57743C"/>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7">
    <w:nsid w:val="2B6C0AF4"/>
    <w:multiLevelType w:val="multilevel"/>
    <w:tmpl w:val="DD22F9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2191DAD"/>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9">
    <w:nsid w:val="32E711FF"/>
    <w:multiLevelType w:val="hybridMultilevel"/>
    <w:tmpl w:val="094E3E94"/>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0">
    <w:nsid w:val="33685E5C"/>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1">
    <w:nsid w:val="34816DFF"/>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42">
    <w:nsid w:val="362D15FE"/>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3">
    <w:nsid w:val="364F3181"/>
    <w:multiLevelType w:val="hybridMultilevel"/>
    <w:tmpl w:val="D04EB706"/>
    <w:lvl w:ilvl="0" w:tplc="7130C2E4">
      <w:start w:val="1"/>
      <w:numFmt w:val="lowerRoman"/>
      <w:lvlText w:val="(%1)"/>
      <w:lvlJc w:val="left"/>
      <w:pPr>
        <w:ind w:left="2487"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44">
    <w:nsid w:val="365B07F2"/>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45">
    <w:nsid w:val="3907097D"/>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6">
    <w:nsid w:val="39437D19"/>
    <w:multiLevelType w:val="multilevel"/>
    <w:tmpl w:val="DA544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39856AF0"/>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8">
    <w:nsid w:val="39E77FAD"/>
    <w:multiLevelType w:val="hybridMultilevel"/>
    <w:tmpl w:val="C64E22B2"/>
    <w:lvl w:ilvl="0" w:tplc="0C090001">
      <w:start w:val="1"/>
      <w:numFmt w:val="bullet"/>
      <w:lvlText w:val=""/>
      <w:lvlJc w:val="left"/>
      <w:pPr>
        <w:ind w:left="786" w:hanging="360"/>
      </w:pPr>
      <w:rPr>
        <w:rFonts w:ascii="Symbol" w:hAnsi="Symbol"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49">
    <w:nsid w:val="3BCA644C"/>
    <w:multiLevelType w:val="multilevel"/>
    <w:tmpl w:val="2A508E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3BF43D4B"/>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2">
    <w:nsid w:val="3CFA0B4E"/>
    <w:multiLevelType w:val="hybridMultilevel"/>
    <w:tmpl w:val="0BDEA15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3">
    <w:nsid w:val="3DAB0119"/>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54">
    <w:nsid w:val="3DAC2A08"/>
    <w:multiLevelType w:val="hybridMultilevel"/>
    <w:tmpl w:val="6C7663FE"/>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5">
    <w:nsid w:val="40000085"/>
    <w:multiLevelType w:val="hybridMultilevel"/>
    <w:tmpl w:val="4A94A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0B92CF6"/>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57">
    <w:nsid w:val="430B3E6F"/>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8">
    <w:nsid w:val="4454013A"/>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9">
    <w:nsid w:val="45162949"/>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0">
    <w:nsid w:val="45D95A5E"/>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1">
    <w:nsid w:val="48B766E4"/>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62">
    <w:nsid w:val="48E11FF7"/>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3">
    <w:nsid w:val="4A6839D5"/>
    <w:multiLevelType w:val="hybridMultilevel"/>
    <w:tmpl w:val="094E3E94"/>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4">
    <w:nsid w:val="4D2C5F4E"/>
    <w:multiLevelType w:val="hybridMultilevel"/>
    <w:tmpl w:val="CC0A353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65">
    <w:nsid w:val="4D9C29E2"/>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6">
    <w:nsid w:val="507C7131"/>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7">
    <w:nsid w:val="5235774E"/>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8">
    <w:nsid w:val="531F1E49"/>
    <w:multiLevelType w:val="hybridMultilevel"/>
    <w:tmpl w:val="B96AA33E"/>
    <w:lvl w:ilvl="0" w:tplc="80DE4210">
      <w:start w:val="1"/>
      <w:numFmt w:val="lowerRoman"/>
      <w:lvlText w:val="(%1)"/>
      <w:lvlJc w:val="right"/>
      <w:pPr>
        <w:ind w:left="1920" w:hanging="36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9">
    <w:nsid w:val="533B3B7B"/>
    <w:multiLevelType w:val="hybridMultilevel"/>
    <w:tmpl w:val="ECCAA6FA"/>
    <w:name w:val="StandardNumberedList23232"/>
    <w:lvl w:ilvl="0" w:tplc="95CC19B8">
      <w:start w:val="1"/>
      <w:numFmt w:val="decimal"/>
      <w:lvlText w:val="(%1)"/>
      <w:lvlJc w:val="left"/>
      <w:pPr>
        <w:ind w:left="1495" w:hanging="360"/>
      </w:pPr>
      <w:rPr>
        <w:rFonts w:hint="default"/>
        <w:b w:val="0"/>
        <w:i w:val="0"/>
      </w:rPr>
    </w:lvl>
    <w:lvl w:ilvl="1" w:tplc="035648A6" w:tentative="1">
      <w:start w:val="1"/>
      <w:numFmt w:val="lowerLetter"/>
      <w:lvlText w:val="%2."/>
      <w:lvlJc w:val="left"/>
      <w:pPr>
        <w:ind w:left="1965" w:hanging="360"/>
      </w:pPr>
    </w:lvl>
    <w:lvl w:ilvl="2" w:tplc="5788570A" w:tentative="1">
      <w:start w:val="1"/>
      <w:numFmt w:val="lowerRoman"/>
      <w:lvlText w:val="%3."/>
      <w:lvlJc w:val="right"/>
      <w:pPr>
        <w:ind w:left="2685" w:hanging="180"/>
      </w:pPr>
    </w:lvl>
    <w:lvl w:ilvl="3" w:tplc="86D05DB2" w:tentative="1">
      <w:start w:val="1"/>
      <w:numFmt w:val="decimal"/>
      <w:lvlText w:val="%4."/>
      <w:lvlJc w:val="left"/>
      <w:pPr>
        <w:ind w:left="3405" w:hanging="360"/>
      </w:pPr>
    </w:lvl>
    <w:lvl w:ilvl="4" w:tplc="F9D88F10" w:tentative="1">
      <w:start w:val="1"/>
      <w:numFmt w:val="lowerLetter"/>
      <w:lvlText w:val="%5."/>
      <w:lvlJc w:val="left"/>
      <w:pPr>
        <w:ind w:left="4125" w:hanging="360"/>
      </w:pPr>
    </w:lvl>
    <w:lvl w:ilvl="5" w:tplc="EFC61328" w:tentative="1">
      <w:start w:val="1"/>
      <w:numFmt w:val="lowerRoman"/>
      <w:lvlText w:val="%6."/>
      <w:lvlJc w:val="right"/>
      <w:pPr>
        <w:ind w:left="4845" w:hanging="180"/>
      </w:pPr>
    </w:lvl>
    <w:lvl w:ilvl="6" w:tplc="4A1682EC" w:tentative="1">
      <w:start w:val="1"/>
      <w:numFmt w:val="decimal"/>
      <w:lvlText w:val="%7."/>
      <w:lvlJc w:val="left"/>
      <w:pPr>
        <w:ind w:left="5565" w:hanging="360"/>
      </w:pPr>
    </w:lvl>
    <w:lvl w:ilvl="7" w:tplc="FFC85EAA" w:tentative="1">
      <w:start w:val="1"/>
      <w:numFmt w:val="lowerLetter"/>
      <w:lvlText w:val="%8."/>
      <w:lvlJc w:val="left"/>
      <w:pPr>
        <w:ind w:left="6285" w:hanging="360"/>
      </w:pPr>
    </w:lvl>
    <w:lvl w:ilvl="8" w:tplc="F4ECBD20" w:tentative="1">
      <w:start w:val="1"/>
      <w:numFmt w:val="lowerRoman"/>
      <w:lvlText w:val="%9."/>
      <w:lvlJc w:val="right"/>
      <w:pPr>
        <w:ind w:left="7005" w:hanging="180"/>
      </w:pPr>
    </w:lvl>
  </w:abstractNum>
  <w:abstractNum w:abstractNumId="70">
    <w:nsid w:val="542B4649"/>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1">
    <w:nsid w:val="564B41E4"/>
    <w:multiLevelType w:val="hybridMultilevel"/>
    <w:tmpl w:val="D04EB706"/>
    <w:lvl w:ilvl="0" w:tplc="7130C2E4">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2">
    <w:nsid w:val="57103C1A"/>
    <w:multiLevelType w:val="hybridMultilevel"/>
    <w:tmpl w:val="AC48F6C4"/>
    <w:lvl w:ilvl="0" w:tplc="1CC4F3A4">
      <w:start w:val="1"/>
      <w:numFmt w:val="lowerLetter"/>
      <w:lvlText w:val="(%1)"/>
      <w:lvlJc w:val="left"/>
      <w:pPr>
        <w:ind w:left="855" w:hanging="49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57454413"/>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74">
    <w:nsid w:val="58451E92"/>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5">
    <w:nsid w:val="594F66B7"/>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6">
    <w:nsid w:val="59EF736E"/>
    <w:multiLevelType w:val="hybridMultilevel"/>
    <w:tmpl w:val="D04EB706"/>
    <w:lvl w:ilvl="0" w:tplc="7130C2E4">
      <w:start w:val="1"/>
      <w:numFmt w:val="lowerRoman"/>
      <w:lvlText w:val="(%1)"/>
      <w:lvlJc w:val="left"/>
      <w:pPr>
        <w:ind w:left="2487"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77">
    <w:nsid w:val="5AAA6CAC"/>
    <w:multiLevelType w:val="hybridMultilevel"/>
    <w:tmpl w:val="A9E662FC"/>
    <w:lvl w:ilvl="0" w:tplc="9DBEF3AA">
      <w:start w:val="1"/>
      <w:numFmt w:val="bullet"/>
      <w:lvlText w:val=""/>
      <w:lvlJc w:val="left"/>
      <w:pPr>
        <w:ind w:left="1324" w:hanging="360"/>
      </w:pPr>
      <w:rPr>
        <w:rFonts w:ascii="Symbol" w:hAnsi="Symbol" w:hint="default"/>
      </w:rPr>
    </w:lvl>
    <w:lvl w:ilvl="1" w:tplc="0C090019">
      <w:start w:val="1"/>
      <w:numFmt w:val="decimal"/>
      <w:lvlText w:val="%2."/>
      <w:lvlJc w:val="left"/>
      <w:pPr>
        <w:tabs>
          <w:tab w:val="num" w:pos="2044"/>
        </w:tabs>
        <w:ind w:left="2044" w:hanging="360"/>
      </w:pPr>
    </w:lvl>
    <w:lvl w:ilvl="2" w:tplc="0C09001B">
      <w:start w:val="1"/>
      <w:numFmt w:val="decimal"/>
      <w:lvlText w:val="%3."/>
      <w:lvlJc w:val="left"/>
      <w:pPr>
        <w:tabs>
          <w:tab w:val="num" w:pos="2764"/>
        </w:tabs>
        <w:ind w:left="2764" w:hanging="360"/>
      </w:pPr>
    </w:lvl>
    <w:lvl w:ilvl="3" w:tplc="0C09000F">
      <w:start w:val="1"/>
      <w:numFmt w:val="decimal"/>
      <w:lvlText w:val="%4."/>
      <w:lvlJc w:val="left"/>
      <w:pPr>
        <w:tabs>
          <w:tab w:val="num" w:pos="3484"/>
        </w:tabs>
        <w:ind w:left="3484" w:hanging="360"/>
      </w:pPr>
    </w:lvl>
    <w:lvl w:ilvl="4" w:tplc="0C090019">
      <w:start w:val="1"/>
      <w:numFmt w:val="decimal"/>
      <w:lvlText w:val="%5."/>
      <w:lvlJc w:val="left"/>
      <w:pPr>
        <w:tabs>
          <w:tab w:val="num" w:pos="4204"/>
        </w:tabs>
        <w:ind w:left="4204" w:hanging="360"/>
      </w:pPr>
    </w:lvl>
    <w:lvl w:ilvl="5" w:tplc="0C09001B">
      <w:start w:val="1"/>
      <w:numFmt w:val="decimal"/>
      <w:lvlText w:val="%6."/>
      <w:lvlJc w:val="left"/>
      <w:pPr>
        <w:tabs>
          <w:tab w:val="num" w:pos="4924"/>
        </w:tabs>
        <w:ind w:left="4924" w:hanging="360"/>
      </w:pPr>
    </w:lvl>
    <w:lvl w:ilvl="6" w:tplc="0C09000F">
      <w:start w:val="1"/>
      <w:numFmt w:val="decimal"/>
      <w:lvlText w:val="%7."/>
      <w:lvlJc w:val="left"/>
      <w:pPr>
        <w:tabs>
          <w:tab w:val="num" w:pos="5644"/>
        </w:tabs>
        <w:ind w:left="5644" w:hanging="360"/>
      </w:pPr>
    </w:lvl>
    <w:lvl w:ilvl="7" w:tplc="0C090019">
      <w:start w:val="1"/>
      <w:numFmt w:val="decimal"/>
      <w:lvlText w:val="%8."/>
      <w:lvlJc w:val="left"/>
      <w:pPr>
        <w:tabs>
          <w:tab w:val="num" w:pos="6364"/>
        </w:tabs>
        <w:ind w:left="6364" w:hanging="360"/>
      </w:pPr>
    </w:lvl>
    <w:lvl w:ilvl="8" w:tplc="0C09001B">
      <w:start w:val="1"/>
      <w:numFmt w:val="decimal"/>
      <w:lvlText w:val="%9."/>
      <w:lvlJc w:val="left"/>
      <w:pPr>
        <w:tabs>
          <w:tab w:val="num" w:pos="7084"/>
        </w:tabs>
        <w:ind w:left="7084" w:hanging="360"/>
      </w:pPr>
    </w:lvl>
  </w:abstractNum>
  <w:abstractNum w:abstractNumId="78">
    <w:nsid w:val="5B58174C"/>
    <w:multiLevelType w:val="hybridMultilevel"/>
    <w:tmpl w:val="859EA91A"/>
    <w:lvl w:ilvl="0" w:tplc="F55EA2AE">
      <w:start w:val="1"/>
      <w:numFmt w:val="decimal"/>
      <w:lvlText w:val="(%1)"/>
      <w:lvlJc w:val="left"/>
      <w:pPr>
        <w:ind w:left="1077" w:hanging="360"/>
      </w:pPr>
      <w:rPr>
        <w:rFonts w:hint="default"/>
      </w:rPr>
    </w:lvl>
    <w:lvl w:ilvl="1" w:tplc="0C090019">
      <w:start w:val="1"/>
      <w:numFmt w:val="lowerLetter"/>
      <w:lvlText w:val="%2."/>
      <w:lvlJc w:val="left"/>
      <w:pPr>
        <w:ind w:left="1896" w:hanging="360"/>
      </w:pPr>
    </w:lvl>
    <w:lvl w:ilvl="2" w:tplc="0C09001B" w:tentative="1">
      <w:start w:val="1"/>
      <w:numFmt w:val="lowerRoman"/>
      <w:lvlText w:val="%3."/>
      <w:lvlJc w:val="right"/>
      <w:pPr>
        <w:ind w:left="2616" w:hanging="180"/>
      </w:pPr>
    </w:lvl>
    <w:lvl w:ilvl="3" w:tplc="0C09000F" w:tentative="1">
      <w:start w:val="1"/>
      <w:numFmt w:val="decimal"/>
      <w:lvlText w:val="%4."/>
      <w:lvlJc w:val="left"/>
      <w:pPr>
        <w:ind w:left="3336" w:hanging="360"/>
      </w:pPr>
    </w:lvl>
    <w:lvl w:ilvl="4" w:tplc="0C090019" w:tentative="1">
      <w:start w:val="1"/>
      <w:numFmt w:val="lowerLetter"/>
      <w:lvlText w:val="%5."/>
      <w:lvlJc w:val="left"/>
      <w:pPr>
        <w:ind w:left="4056" w:hanging="360"/>
      </w:pPr>
    </w:lvl>
    <w:lvl w:ilvl="5" w:tplc="0C09001B" w:tentative="1">
      <w:start w:val="1"/>
      <w:numFmt w:val="lowerRoman"/>
      <w:lvlText w:val="%6."/>
      <w:lvlJc w:val="right"/>
      <w:pPr>
        <w:ind w:left="4776" w:hanging="180"/>
      </w:pPr>
    </w:lvl>
    <w:lvl w:ilvl="6" w:tplc="0C09000F" w:tentative="1">
      <w:start w:val="1"/>
      <w:numFmt w:val="decimal"/>
      <w:lvlText w:val="%7."/>
      <w:lvlJc w:val="left"/>
      <w:pPr>
        <w:ind w:left="5496" w:hanging="360"/>
      </w:pPr>
    </w:lvl>
    <w:lvl w:ilvl="7" w:tplc="0C090019" w:tentative="1">
      <w:start w:val="1"/>
      <w:numFmt w:val="lowerLetter"/>
      <w:lvlText w:val="%8."/>
      <w:lvlJc w:val="left"/>
      <w:pPr>
        <w:ind w:left="6216" w:hanging="360"/>
      </w:pPr>
    </w:lvl>
    <w:lvl w:ilvl="8" w:tplc="0C09001B" w:tentative="1">
      <w:start w:val="1"/>
      <w:numFmt w:val="lowerRoman"/>
      <w:lvlText w:val="%9."/>
      <w:lvlJc w:val="right"/>
      <w:pPr>
        <w:ind w:left="6936" w:hanging="180"/>
      </w:pPr>
    </w:lvl>
  </w:abstractNum>
  <w:abstractNum w:abstractNumId="79">
    <w:nsid w:val="5B842D64"/>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80">
    <w:nsid w:val="5C4F7CB5"/>
    <w:multiLevelType w:val="multilevel"/>
    <w:tmpl w:val="7DF6EC00"/>
    <w:lvl w:ilvl="0">
      <w:start w:val="5"/>
      <w:numFmt w:val="decimal"/>
      <w:lvlText w:val="(%1)"/>
      <w:lvlJc w:val="left"/>
      <w:pPr>
        <w:tabs>
          <w:tab w:val="num" w:pos="520"/>
        </w:tabs>
        <w:ind w:left="520" w:hanging="520"/>
      </w:pPr>
      <w:rPr>
        <w:rFonts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4"/>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81">
    <w:nsid w:val="5CAC7002"/>
    <w:multiLevelType w:val="hybridMultilevel"/>
    <w:tmpl w:val="CC0A353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82">
    <w:nsid w:val="5D6240FC"/>
    <w:multiLevelType w:val="hybridMultilevel"/>
    <w:tmpl w:val="5CD6E4C6"/>
    <w:lvl w:ilvl="0" w:tplc="6F94F75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nsid w:val="61985B4E"/>
    <w:multiLevelType w:val="hybridMultilevel"/>
    <w:tmpl w:val="D04EB706"/>
    <w:lvl w:ilvl="0" w:tplc="7130C2E4">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4">
    <w:nsid w:val="62E77E59"/>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85">
    <w:nsid w:val="63B84790"/>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86">
    <w:nsid w:val="66964847"/>
    <w:multiLevelType w:val="multilevel"/>
    <w:tmpl w:val="7DF6EC00"/>
    <w:lvl w:ilvl="0">
      <w:start w:val="5"/>
      <w:numFmt w:val="decimal"/>
      <w:lvlText w:val="(%1)"/>
      <w:lvlJc w:val="left"/>
      <w:pPr>
        <w:tabs>
          <w:tab w:val="num" w:pos="520"/>
        </w:tabs>
        <w:ind w:left="520" w:hanging="520"/>
      </w:pPr>
      <w:rPr>
        <w:rFonts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4"/>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87">
    <w:nsid w:val="685D183D"/>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88">
    <w:nsid w:val="6899762D"/>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89">
    <w:nsid w:val="68E74144"/>
    <w:multiLevelType w:val="multilevel"/>
    <w:tmpl w:val="3A10D47E"/>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90">
    <w:nsid w:val="696B0267"/>
    <w:multiLevelType w:val="hybridMultilevel"/>
    <w:tmpl w:val="D04EB706"/>
    <w:lvl w:ilvl="0" w:tplc="7130C2E4">
      <w:start w:val="1"/>
      <w:numFmt w:val="lowerRoman"/>
      <w:lvlText w:val="(%1)"/>
      <w:lvlJc w:val="left"/>
      <w:pPr>
        <w:ind w:left="2865" w:hanging="360"/>
      </w:pPr>
      <w:rPr>
        <w:rFonts w:hint="default"/>
      </w:rPr>
    </w:lvl>
    <w:lvl w:ilvl="1" w:tplc="0C090019" w:tentative="1">
      <w:start w:val="1"/>
      <w:numFmt w:val="lowerLetter"/>
      <w:lvlText w:val="%2."/>
      <w:lvlJc w:val="left"/>
      <w:pPr>
        <w:ind w:left="3585" w:hanging="360"/>
      </w:pPr>
    </w:lvl>
    <w:lvl w:ilvl="2" w:tplc="0C09001B" w:tentative="1">
      <w:start w:val="1"/>
      <w:numFmt w:val="lowerRoman"/>
      <w:lvlText w:val="%3."/>
      <w:lvlJc w:val="right"/>
      <w:pPr>
        <w:ind w:left="4305" w:hanging="180"/>
      </w:pPr>
    </w:lvl>
    <w:lvl w:ilvl="3" w:tplc="0C09000F" w:tentative="1">
      <w:start w:val="1"/>
      <w:numFmt w:val="decimal"/>
      <w:lvlText w:val="%4."/>
      <w:lvlJc w:val="left"/>
      <w:pPr>
        <w:ind w:left="5025" w:hanging="360"/>
      </w:pPr>
    </w:lvl>
    <w:lvl w:ilvl="4" w:tplc="0C090019" w:tentative="1">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91">
    <w:nsid w:val="696F26DB"/>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2">
    <w:nsid w:val="6A337B66"/>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3">
    <w:nsid w:val="6B4048D3"/>
    <w:multiLevelType w:val="hybridMultilevel"/>
    <w:tmpl w:val="6AF8125E"/>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4">
    <w:nsid w:val="6C6D6AB7"/>
    <w:multiLevelType w:val="hybridMultilevel"/>
    <w:tmpl w:val="D04EB706"/>
    <w:lvl w:ilvl="0" w:tplc="7130C2E4">
      <w:start w:val="1"/>
      <w:numFmt w:val="lowerRoman"/>
      <w:lvlText w:val="(%1)"/>
      <w:lvlJc w:val="left"/>
      <w:pPr>
        <w:ind w:left="2865" w:hanging="360"/>
      </w:pPr>
      <w:rPr>
        <w:rFonts w:hint="default"/>
      </w:rPr>
    </w:lvl>
    <w:lvl w:ilvl="1" w:tplc="0C090019">
      <w:start w:val="1"/>
      <w:numFmt w:val="lowerLetter"/>
      <w:lvlText w:val="%2."/>
      <w:lvlJc w:val="left"/>
      <w:pPr>
        <w:ind w:left="3585" w:hanging="360"/>
      </w:pPr>
    </w:lvl>
    <w:lvl w:ilvl="2" w:tplc="0C09001B">
      <w:start w:val="1"/>
      <w:numFmt w:val="lowerRoman"/>
      <w:lvlText w:val="%3."/>
      <w:lvlJc w:val="right"/>
      <w:pPr>
        <w:ind w:left="4305" w:hanging="180"/>
      </w:pPr>
    </w:lvl>
    <w:lvl w:ilvl="3" w:tplc="0C09000F">
      <w:start w:val="1"/>
      <w:numFmt w:val="decimal"/>
      <w:lvlText w:val="%4."/>
      <w:lvlJc w:val="left"/>
      <w:pPr>
        <w:ind w:left="5025" w:hanging="360"/>
      </w:pPr>
    </w:lvl>
    <w:lvl w:ilvl="4" w:tplc="0C090019">
      <w:start w:val="1"/>
      <w:numFmt w:val="lowerLetter"/>
      <w:lvlText w:val="%5."/>
      <w:lvlJc w:val="left"/>
      <w:pPr>
        <w:ind w:left="5745" w:hanging="360"/>
      </w:pPr>
    </w:lvl>
    <w:lvl w:ilvl="5" w:tplc="0C09001B" w:tentative="1">
      <w:start w:val="1"/>
      <w:numFmt w:val="lowerRoman"/>
      <w:lvlText w:val="%6."/>
      <w:lvlJc w:val="right"/>
      <w:pPr>
        <w:ind w:left="6465" w:hanging="180"/>
      </w:pPr>
    </w:lvl>
    <w:lvl w:ilvl="6" w:tplc="0C09000F" w:tentative="1">
      <w:start w:val="1"/>
      <w:numFmt w:val="decimal"/>
      <w:lvlText w:val="%7."/>
      <w:lvlJc w:val="left"/>
      <w:pPr>
        <w:ind w:left="7185" w:hanging="360"/>
      </w:pPr>
    </w:lvl>
    <w:lvl w:ilvl="7" w:tplc="0C090019" w:tentative="1">
      <w:start w:val="1"/>
      <w:numFmt w:val="lowerLetter"/>
      <w:lvlText w:val="%8."/>
      <w:lvlJc w:val="left"/>
      <w:pPr>
        <w:ind w:left="7905" w:hanging="360"/>
      </w:pPr>
    </w:lvl>
    <w:lvl w:ilvl="8" w:tplc="0C09001B" w:tentative="1">
      <w:start w:val="1"/>
      <w:numFmt w:val="lowerRoman"/>
      <w:lvlText w:val="%9."/>
      <w:lvlJc w:val="right"/>
      <w:pPr>
        <w:ind w:left="8625" w:hanging="180"/>
      </w:pPr>
    </w:lvl>
  </w:abstractNum>
  <w:abstractNum w:abstractNumId="95">
    <w:nsid w:val="6C8A48D9"/>
    <w:multiLevelType w:val="multilevel"/>
    <w:tmpl w:val="EAE4A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6FC05923"/>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7">
    <w:nsid w:val="71192178"/>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8">
    <w:nsid w:val="72417C05"/>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9">
    <w:nsid w:val="72C83816"/>
    <w:multiLevelType w:val="multilevel"/>
    <w:tmpl w:val="F7BEE33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00">
    <w:nsid w:val="739A1FF1"/>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1">
    <w:nsid w:val="762121E6"/>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2">
    <w:nsid w:val="762A7EAF"/>
    <w:multiLevelType w:val="hybridMultilevel"/>
    <w:tmpl w:val="80A4884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3">
    <w:nsid w:val="762F292A"/>
    <w:multiLevelType w:val="hybridMultilevel"/>
    <w:tmpl w:val="65644C7A"/>
    <w:lvl w:ilvl="0" w:tplc="1CC4F3A4">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4">
    <w:nsid w:val="7CCA2CBE"/>
    <w:multiLevelType w:val="hybridMultilevel"/>
    <w:tmpl w:val="859EA91A"/>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5">
    <w:nsid w:val="7E4E3785"/>
    <w:multiLevelType w:val="hybridMultilevel"/>
    <w:tmpl w:val="06460AD8"/>
    <w:lvl w:ilvl="0" w:tplc="F55EA2AE">
      <w:start w:val="1"/>
      <w:numFmt w:val="decimal"/>
      <w:lvlText w:val="(%1)"/>
      <w:lvlJc w:val="left"/>
      <w:pPr>
        <w:ind w:left="786"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6">
    <w:nsid w:val="7E7D5B44"/>
    <w:multiLevelType w:val="multilevel"/>
    <w:tmpl w:val="60A400A8"/>
    <w:lvl w:ilvl="0">
      <w:start w:val="5"/>
      <w:numFmt w:val="decimal"/>
      <w:lvlText w:val="(%1)"/>
      <w:lvlJc w:val="left"/>
      <w:pPr>
        <w:tabs>
          <w:tab w:val="num" w:pos="520"/>
        </w:tabs>
        <w:ind w:left="520" w:hanging="520"/>
      </w:pPr>
      <w:rPr>
        <w:rFonts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4"/>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right"/>
      <w:pPr>
        <w:ind w:left="1778" w:hanging="360"/>
      </w:pPr>
      <w:rPr>
        <w:rFonts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num w:numId="1">
    <w:abstractNumId w:val="7"/>
  </w:num>
  <w:num w:numId="2">
    <w:abstractNumId w:val="24"/>
  </w:num>
  <w:num w:numId="3">
    <w:abstractNumId w:val="50"/>
  </w:num>
  <w:num w:numId="4">
    <w:abstractNumId w:val="0"/>
  </w:num>
  <w:num w:numId="5">
    <w:abstractNumId w:val="99"/>
  </w:num>
  <w:num w:numId="6">
    <w:abstractNumId w:val="106"/>
  </w:num>
  <w:num w:numId="7">
    <w:abstractNumId w:val="77"/>
  </w:num>
  <w:num w:numId="8">
    <w:abstractNumId w:val="2"/>
  </w:num>
  <w:num w:numId="9">
    <w:abstractNumId w:val="26"/>
  </w:num>
  <w:num w:numId="10">
    <w:abstractNumId w:val="43"/>
  </w:num>
  <w:num w:numId="11">
    <w:abstractNumId w:val="78"/>
  </w:num>
  <w:num w:numId="12">
    <w:abstractNumId w:val="79"/>
  </w:num>
  <w:num w:numId="13">
    <w:abstractNumId w:val="67"/>
  </w:num>
  <w:num w:numId="14">
    <w:abstractNumId w:val="54"/>
  </w:num>
  <w:num w:numId="15">
    <w:abstractNumId w:val="33"/>
  </w:num>
  <w:num w:numId="16">
    <w:abstractNumId w:val="52"/>
  </w:num>
  <w:num w:numId="17">
    <w:abstractNumId w:val="95"/>
  </w:num>
  <w:num w:numId="18">
    <w:abstractNumId w:val="59"/>
  </w:num>
  <w:num w:numId="19">
    <w:abstractNumId w:val="45"/>
  </w:num>
  <w:num w:numId="20">
    <w:abstractNumId w:val="25"/>
  </w:num>
  <w:num w:numId="21">
    <w:abstractNumId w:val="100"/>
  </w:num>
  <w:num w:numId="22">
    <w:abstractNumId w:val="18"/>
  </w:num>
  <w:num w:numId="23">
    <w:abstractNumId w:val="90"/>
  </w:num>
  <w:num w:numId="24">
    <w:abstractNumId w:val="27"/>
  </w:num>
  <w:num w:numId="25">
    <w:abstractNumId w:val="42"/>
  </w:num>
  <w:num w:numId="26">
    <w:abstractNumId w:val="51"/>
  </w:num>
  <w:num w:numId="27">
    <w:abstractNumId w:val="85"/>
  </w:num>
  <w:num w:numId="28">
    <w:abstractNumId w:val="36"/>
  </w:num>
  <w:num w:numId="29">
    <w:abstractNumId w:val="105"/>
  </w:num>
  <w:num w:numId="30">
    <w:abstractNumId w:val="93"/>
  </w:num>
  <w:num w:numId="31">
    <w:abstractNumId w:val="84"/>
  </w:num>
  <w:num w:numId="32">
    <w:abstractNumId w:val="11"/>
  </w:num>
  <w:num w:numId="33">
    <w:abstractNumId w:val="91"/>
  </w:num>
  <w:num w:numId="34">
    <w:abstractNumId w:val="70"/>
  </w:num>
  <w:num w:numId="35">
    <w:abstractNumId w:val="101"/>
  </w:num>
  <w:num w:numId="36">
    <w:abstractNumId w:val="46"/>
  </w:num>
  <w:num w:numId="37">
    <w:abstractNumId w:val="14"/>
  </w:num>
  <w:num w:numId="38">
    <w:abstractNumId w:val="60"/>
  </w:num>
  <w:num w:numId="39">
    <w:abstractNumId w:val="98"/>
  </w:num>
  <w:num w:numId="40">
    <w:abstractNumId w:val="74"/>
  </w:num>
  <w:num w:numId="41">
    <w:abstractNumId w:val="68"/>
  </w:num>
  <w:num w:numId="42">
    <w:abstractNumId w:val="16"/>
  </w:num>
  <w:num w:numId="43">
    <w:abstractNumId w:val="38"/>
  </w:num>
  <w:num w:numId="44">
    <w:abstractNumId w:val="5"/>
  </w:num>
  <w:num w:numId="45">
    <w:abstractNumId w:val="49"/>
  </w:num>
  <w:num w:numId="46">
    <w:abstractNumId w:val="37"/>
  </w:num>
  <w:num w:numId="47">
    <w:abstractNumId w:val="102"/>
  </w:num>
  <w:num w:numId="48">
    <w:abstractNumId w:val="97"/>
  </w:num>
  <w:num w:numId="49">
    <w:abstractNumId w:val="64"/>
  </w:num>
  <w:num w:numId="50">
    <w:abstractNumId w:val="103"/>
  </w:num>
  <w:num w:numId="51">
    <w:abstractNumId w:val="65"/>
  </w:num>
  <w:num w:numId="52">
    <w:abstractNumId w:val="28"/>
  </w:num>
  <w:num w:numId="53">
    <w:abstractNumId w:val="57"/>
  </w:num>
  <w:num w:numId="54">
    <w:abstractNumId w:val="19"/>
  </w:num>
  <w:num w:numId="55">
    <w:abstractNumId w:val="73"/>
  </w:num>
  <w:num w:numId="56">
    <w:abstractNumId w:val="20"/>
  </w:num>
  <w:num w:numId="57">
    <w:abstractNumId w:val="17"/>
  </w:num>
  <w:num w:numId="58">
    <w:abstractNumId w:val="80"/>
  </w:num>
  <w:num w:numId="59">
    <w:abstractNumId w:val="86"/>
  </w:num>
  <w:num w:numId="60">
    <w:abstractNumId w:val="6"/>
  </w:num>
  <w:num w:numId="61">
    <w:abstractNumId w:val="62"/>
  </w:num>
  <w:num w:numId="62">
    <w:abstractNumId w:val="35"/>
  </w:num>
  <w:num w:numId="63">
    <w:abstractNumId w:val="76"/>
  </w:num>
  <w:num w:numId="64">
    <w:abstractNumId w:val="39"/>
  </w:num>
  <w:num w:numId="65">
    <w:abstractNumId w:val="1"/>
  </w:num>
  <w:num w:numId="66">
    <w:abstractNumId w:val="89"/>
  </w:num>
  <w:num w:numId="67">
    <w:abstractNumId w:val="72"/>
  </w:num>
  <w:num w:numId="68">
    <w:abstractNumId w:val="66"/>
  </w:num>
  <w:num w:numId="69">
    <w:abstractNumId w:val="40"/>
  </w:num>
  <w:num w:numId="70">
    <w:abstractNumId w:val="58"/>
  </w:num>
  <w:num w:numId="71">
    <w:abstractNumId w:val="4"/>
  </w:num>
  <w:num w:numId="72">
    <w:abstractNumId w:val="55"/>
  </w:num>
  <w:num w:numId="73">
    <w:abstractNumId w:val="31"/>
  </w:num>
  <w:num w:numId="74">
    <w:abstractNumId w:val="83"/>
  </w:num>
  <w:num w:numId="75">
    <w:abstractNumId w:val="88"/>
  </w:num>
  <w:num w:numId="76">
    <w:abstractNumId w:val="29"/>
  </w:num>
  <w:num w:numId="77">
    <w:abstractNumId w:val="15"/>
  </w:num>
  <w:num w:numId="78">
    <w:abstractNumId w:val="30"/>
  </w:num>
  <w:num w:numId="79">
    <w:abstractNumId w:val="9"/>
  </w:num>
  <w:num w:numId="80">
    <w:abstractNumId w:val="94"/>
  </w:num>
  <w:num w:numId="81">
    <w:abstractNumId w:val="104"/>
  </w:num>
  <w:num w:numId="82">
    <w:abstractNumId w:val="13"/>
  </w:num>
  <w:num w:numId="83">
    <w:abstractNumId w:val="21"/>
  </w:num>
  <w:num w:numId="84">
    <w:abstractNumId w:val="23"/>
  </w:num>
  <w:num w:numId="85">
    <w:abstractNumId w:val="61"/>
  </w:num>
  <w:num w:numId="86">
    <w:abstractNumId w:val="12"/>
  </w:num>
  <w:num w:numId="87">
    <w:abstractNumId w:val="44"/>
  </w:num>
  <w:num w:numId="88">
    <w:abstractNumId w:val="53"/>
  </w:num>
  <w:num w:numId="89">
    <w:abstractNumId w:val="41"/>
  </w:num>
  <w:num w:numId="90">
    <w:abstractNumId w:val="56"/>
  </w:num>
  <w:num w:numId="91">
    <w:abstractNumId w:val="96"/>
  </w:num>
  <w:num w:numId="92">
    <w:abstractNumId w:val="63"/>
  </w:num>
  <w:num w:numId="93">
    <w:abstractNumId w:val="32"/>
  </w:num>
  <w:num w:numId="94">
    <w:abstractNumId w:val="82"/>
  </w:num>
  <w:num w:numId="95">
    <w:abstractNumId w:val="8"/>
  </w:num>
  <w:num w:numId="96">
    <w:abstractNumId w:val="47"/>
  </w:num>
  <w:num w:numId="97">
    <w:abstractNumId w:val="10"/>
  </w:num>
  <w:num w:numId="98">
    <w:abstractNumId w:val="75"/>
  </w:num>
  <w:num w:numId="99">
    <w:abstractNumId w:val="22"/>
  </w:num>
  <w:num w:numId="100">
    <w:abstractNumId w:val="81"/>
  </w:num>
  <w:num w:numId="101">
    <w:abstractNumId w:val="71"/>
  </w:num>
  <w:num w:numId="102">
    <w:abstractNumId w:val="34"/>
  </w:num>
  <w:num w:numId="103">
    <w:abstractNumId w:val="3"/>
  </w:num>
  <w:num w:numId="104">
    <w:abstractNumId w:val="92"/>
  </w:num>
  <w:num w:numId="105">
    <w:abstractNumId w:val="87"/>
  </w:num>
  <w:num w:numId="106">
    <w:abstractNumId w:val="4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8"/>
  <w:doNotTrackMoves/>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cVars>
    <w:docVar w:name="dgnword-docGUID" w:val="{5FDA81E2-4D13-4384-8D74-66044128C3BA}"/>
    <w:docVar w:name="dgnword-eventsink" w:val="35057808"/>
  </w:docVars>
  <w:rsids>
    <w:rsidRoot w:val="00D063E2"/>
    <w:rsid w:val="0000042E"/>
    <w:rsid w:val="0000093C"/>
    <w:rsid w:val="00002A57"/>
    <w:rsid w:val="000038A0"/>
    <w:rsid w:val="00003BC7"/>
    <w:rsid w:val="0000583B"/>
    <w:rsid w:val="00006535"/>
    <w:rsid w:val="000070B0"/>
    <w:rsid w:val="00010342"/>
    <w:rsid w:val="00010692"/>
    <w:rsid w:val="00010FBD"/>
    <w:rsid w:val="00010FE9"/>
    <w:rsid w:val="00012002"/>
    <w:rsid w:val="0001240F"/>
    <w:rsid w:val="000125F1"/>
    <w:rsid w:val="00012B76"/>
    <w:rsid w:val="00012F8A"/>
    <w:rsid w:val="000130B2"/>
    <w:rsid w:val="0001341E"/>
    <w:rsid w:val="00014190"/>
    <w:rsid w:val="00014572"/>
    <w:rsid w:val="00014C42"/>
    <w:rsid w:val="000162D0"/>
    <w:rsid w:val="0001662A"/>
    <w:rsid w:val="00016D21"/>
    <w:rsid w:val="00017671"/>
    <w:rsid w:val="00020108"/>
    <w:rsid w:val="0002198C"/>
    <w:rsid w:val="00024707"/>
    <w:rsid w:val="00026A71"/>
    <w:rsid w:val="000310DF"/>
    <w:rsid w:val="0003244F"/>
    <w:rsid w:val="00032704"/>
    <w:rsid w:val="00032984"/>
    <w:rsid w:val="00032F2C"/>
    <w:rsid w:val="00033072"/>
    <w:rsid w:val="00033FAE"/>
    <w:rsid w:val="00034D0A"/>
    <w:rsid w:val="00035A23"/>
    <w:rsid w:val="00035CED"/>
    <w:rsid w:val="000368E9"/>
    <w:rsid w:val="000368FD"/>
    <w:rsid w:val="00036C17"/>
    <w:rsid w:val="000373C0"/>
    <w:rsid w:val="00040090"/>
    <w:rsid w:val="000403D5"/>
    <w:rsid w:val="00041553"/>
    <w:rsid w:val="00041A86"/>
    <w:rsid w:val="00042242"/>
    <w:rsid w:val="000427E4"/>
    <w:rsid w:val="00042EFA"/>
    <w:rsid w:val="00044003"/>
    <w:rsid w:val="0004451F"/>
    <w:rsid w:val="0004456C"/>
    <w:rsid w:val="00045994"/>
    <w:rsid w:val="00045BA4"/>
    <w:rsid w:val="00045F1B"/>
    <w:rsid w:val="00050F44"/>
    <w:rsid w:val="00051DA7"/>
    <w:rsid w:val="000520F0"/>
    <w:rsid w:val="000521B7"/>
    <w:rsid w:val="000527E9"/>
    <w:rsid w:val="0005339D"/>
    <w:rsid w:val="000558DA"/>
    <w:rsid w:val="00055B14"/>
    <w:rsid w:val="00055B4E"/>
    <w:rsid w:val="000569DA"/>
    <w:rsid w:val="0005730E"/>
    <w:rsid w:val="000573D6"/>
    <w:rsid w:val="00057E42"/>
    <w:rsid w:val="00057FCE"/>
    <w:rsid w:val="00060076"/>
    <w:rsid w:val="00061321"/>
    <w:rsid w:val="00061C19"/>
    <w:rsid w:val="00061E9F"/>
    <w:rsid w:val="000633E2"/>
    <w:rsid w:val="00063838"/>
    <w:rsid w:val="000646EC"/>
    <w:rsid w:val="00064DC8"/>
    <w:rsid w:val="00065118"/>
    <w:rsid w:val="00065296"/>
    <w:rsid w:val="00065376"/>
    <w:rsid w:val="0006610A"/>
    <w:rsid w:val="00066FFD"/>
    <w:rsid w:val="0006797C"/>
    <w:rsid w:val="000679A3"/>
    <w:rsid w:val="00067D5A"/>
    <w:rsid w:val="00070A4B"/>
    <w:rsid w:val="0007114D"/>
    <w:rsid w:val="000715D1"/>
    <w:rsid w:val="00072FD7"/>
    <w:rsid w:val="00073DDE"/>
    <w:rsid w:val="000742A2"/>
    <w:rsid w:val="0008000F"/>
    <w:rsid w:val="000809E4"/>
    <w:rsid w:val="00081874"/>
    <w:rsid w:val="00081920"/>
    <w:rsid w:val="00082916"/>
    <w:rsid w:val="00083189"/>
    <w:rsid w:val="00083417"/>
    <w:rsid w:val="00083648"/>
    <w:rsid w:val="0008386E"/>
    <w:rsid w:val="00083D6D"/>
    <w:rsid w:val="00084527"/>
    <w:rsid w:val="0008466C"/>
    <w:rsid w:val="0008560A"/>
    <w:rsid w:val="00085A34"/>
    <w:rsid w:val="000874BB"/>
    <w:rsid w:val="00087F6E"/>
    <w:rsid w:val="00090495"/>
    <w:rsid w:val="0009068C"/>
    <w:rsid w:val="00091146"/>
    <w:rsid w:val="00091930"/>
    <w:rsid w:val="000923B4"/>
    <w:rsid w:val="00092E8F"/>
    <w:rsid w:val="00093375"/>
    <w:rsid w:val="00093EB5"/>
    <w:rsid w:val="00095849"/>
    <w:rsid w:val="000961DE"/>
    <w:rsid w:val="000966D1"/>
    <w:rsid w:val="00097AB1"/>
    <w:rsid w:val="000A03C8"/>
    <w:rsid w:val="000A0788"/>
    <w:rsid w:val="000A0CCA"/>
    <w:rsid w:val="000A103D"/>
    <w:rsid w:val="000A156F"/>
    <w:rsid w:val="000A1742"/>
    <w:rsid w:val="000A2E42"/>
    <w:rsid w:val="000A31FD"/>
    <w:rsid w:val="000A33A8"/>
    <w:rsid w:val="000A3FAB"/>
    <w:rsid w:val="000A3FE5"/>
    <w:rsid w:val="000A429A"/>
    <w:rsid w:val="000A4A26"/>
    <w:rsid w:val="000A620C"/>
    <w:rsid w:val="000A63EC"/>
    <w:rsid w:val="000A7869"/>
    <w:rsid w:val="000B0147"/>
    <w:rsid w:val="000B08B1"/>
    <w:rsid w:val="000B12AA"/>
    <w:rsid w:val="000B1466"/>
    <w:rsid w:val="000B1823"/>
    <w:rsid w:val="000B1B3C"/>
    <w:rsid w:val="000B33D0"/>
    <w:rsid w:val="000B4121"/>
    <w:rsid w:val="000B4194"/>
    <w:rsid w:val="000B51B3"/>
    <w:rsid w:val="000B5851"/>
    <w:rsid w:val="000B7C2C"/>
    <w:rsid w:val="000C1090"/>
    <w:rsid w:val="000C1613"/>
    <w:rsid w:val="000C2639"/>
    <w:rsid w:val="000C3898"/>
    <w:rsid w:val="000C3BEF"/>
    <w:rsid w:val="000C487D"/>
    <w:rsid w:val="000C4FAF"/>
    <w:rsid w:val="000C6903"/>
    <w:rsid w:val="000C6D98"/>
    <w:rsid w:val="000D1916"/>
    <w:rsid w:val="000D2320"/>
    <w:rsid w:val="000D31B1"/>
    <w:rsid w:val="000D44DA"/>
    <w:rsid w:val="000D4751"/>
    <w:rsid w:val="000D4906"/>
    <w:rsid w:val="000D4FA5"/>
    <w:rsid w:val="000D69F8"/>
    <w:rsid w:val="000D6B9B"/>
    <w:rsid w:val="000D6CE7"/>
    <w:rsid w:val="000D705F"/>
    <w:rsid w:val="000D7143"/>
    <w:rsid w:val="000D7783"/>
    <w:rsid w:val="000D7F55"/>
    <w:rsid w:val="000E16EC"/>
    <w:rsid w:val="000E27E3"/>
    <w:rsid w:val="000E2895"/>
    <w:rsid w:val="000E2DAF"/>
    <w:rsid w:val="000E459E"/>
    <w:rsid w:val="000E48BD"/>
    <w:rsid w:val="000E50F5"/>
    <w:rsid w:val="000E5717"/>
    <w:rsid w:val="000E5837"/>
    <w:rsid w:val="000E63F9"/>
    <w:rsid w:val="000E70EF"/>
    <w:rsid w:val="000E7494"/>
    <w:rsid w:val="000F0327"/>
    <w:rsid w:val="000F052D"/>
    <w:rsid w:val="000F217E"/>
    <w:rsid w:val="000F6916"/>
    <w:rsid w:val="0010183E"/>
    <w:rsid w:val="00101CAB"/>
    <w:rsid w:val="00102FB6"/>
    <w:rsid w:val="0010366F"/>
    <w:rsid w:val="00103B10"/>
    <w:rsid w:val="001051FF"/>
    <w:rsid w:val="00105BB8"/>
    <w:rsid w:val="001105F7"/>
    <w:rsid w:val="00110803"/>
    <w:rsid w:val="00111C71"/>
    <w:rsid w:val="00111D90"/>
    <w:rsid w:val="00112C4C"/>
    <w:rsid w:val="00113A8D"/>
    <w:rsid w:val="00114536"/>
    <w:rsid w:val="00115DCF"/>
    <w:rsid w:val="001165F3"/>
    <w:rsid w:val="00116989"/>
    <w:rsid w:val="00116C26"/>
    <w:rsid w:val="00120064"/>
    <w:rsid w:val="0012092A"/>
    <w:rsid w:val="00120BBA"/>
    <w:rsid w:val="00120DEC"/>
    <w:rsid w:val="001226B4"/>
    <w:rsid w:val="00124D43"/>
    <w:rsid w:val="00125657"/>
    <w:rsid w:val="001258A2"/>
    <w:rsid w:val="00127A26"/>
    <w:rsid w:val="001307A9"/>
    <w:rsid w:val="001312D8"/>
    <w:rsid w:val="0013141D"/>
    <w:rsid w:val="001321D5"/>
    <w:rsid w:val="001328CE"/>
    <w:rsid w:val="00132A95"/>
    <w:rsid w:val="001348DC"/>
    <w:rsid w:val="00134DDC"/>
    <w:rsid w:val="001361FD"/>
    <w:rsid w:val="001367F9"/>
    <w:rsid w:val="00140090"/>
    <w:rsid w:val="001407B6"/>
    <w:rsid w:val="001408E8"/>
    <w:rsid w:val="00140952"/>
    <w:rsid w:val="001409F1"/>
    <w:rsid w:val="00140E8C"/>
    <w:rsid w:val="0014186A"/>
    <w:rsid w:val="00141A1C"/>
    <w:rsid w:val="00141CBA"/>
    <w:rsid w:val="00142D0A"/>
    <w:rsid w:val="00144DE3"/>
    <w:rsid w:val="00144F41"/>
    <w:rsid w:val="00145672"/>
    <w:rsid w:val="00150215"/>
    <w:rsid w:val="0015126C"/>
    <w:rsid w:val="0015200A"/>
    <w:rsid w:val="00152967"/>
    <w:rsid w:val="00153195"/>
    <w:rsid w:val="00153CEB"/>
    <w:rsid w:val="00154D67"/>
    <w:rsid w:val="00155026"/>
    <w:rsid w:val="00155404"/>
    <w:rsid w:val="00155841"/>
    <w:rsid w:val="0015641D"/>
    <w:rsid w:val="00156EEB"/>
    <w:rsid w:val="00157A26"/>
    <w:rsid w:val="00157C05"/>
    <w:rsid w:val="0016078E"/>
    <w:rsid w:val="00160838"/>
    <w:rsid w:val="00161211"/>
    <w:rsid w:val="00162609"/>
    <w:rsid w:val="00162C30"/>
    <w:rsid w:val="00164935"/>
    <w:rsid w:val="00165443"/>
    <w:rsid w:val="0016561A"/>
    <w:rsid w:val="00165D61"/>
    <w:rsid w:val="001663ED"/>
    <w:rsid w:val="00166FEE"/>
    <w:rsid w:val="001672A7"/>
    <w:rsid w:val="0017004F"/>
    <w:rsid w:val="00170628"/>
    <w:rsid w:val="00170B4E"/>
    <w:rsid w:val="00170F05"/>
    <w:rsid w:val="00170FAD"/>
    <w:rsid w:val="00171353"/>
    <w:rsid w:val="0017144B"/>
    <w:rsid w:val="00171AE6"/>
    <w:rsid w:val="00172B6E"/>
    <w:rsid w:val="00172BD5"/>
    <w:rsid w:val="00174461"/>
    <w:rsid w:val="001749BB"/>
    <w:rsid w:val="00174E83"/>
    <w:rsid w:val="001756BA"/>
    <w:rsid w:val="00176297"/>
    <w:rsid w:val="0017685B"/>
    <w:rsid w:val="001807E9"/>
    <w:rsid w:val="00181B31"/>
    <w:rsid w:val="001830B9"/>
    <w:rsid w:val="0018357E"/>
    <w:rsid w:val="00183E0B"/>
    <w:rsid w:val="00184042"/>
    <w:rsid w:val="00184251"/>
    <w:rsid w:val="00185F83"/>
    <w:rsid w:val="00186360"/>
    <w:rsid w:val="00186782"/>
    <w:rsid w:val="00187D63"/>
    <w:rsid w:val="00187E22"/>
    <w:rsid w:val="00190030"/>
    <w:rsid w:val="00190181"/>
    <w:rsid w:val="00190AC6"/>
    <w:rsid w:val="00191079"/>
    <w:rsid w:val="00191FA5"/>
    <w:rsid w:val="00192C10"/>
    <w:rsid w:val="001937D4"/>
    <w:rsid w:val="00193F32"/>
    <w:rsid w:val="001940CC"/>
    <w:rsid w:val="001958CF"/>
    <w:rsid w:val="001A0887"/>
    <w:rsid w:val="001A4576"/>
    <w:rsid w:val="001A4DD7"/>
    <w:rsid w:val="001A5185"/>
    <w:rsid w:val="001A5565"/>
    <w:rsid w:val="001A6C59"/>
    <w:rsid w:val="001A7F4E"/>
    <w:rsid w:val="001A7F97"/>
    <w:rsid w:val="001B2015"/>
    <w:rsid w:val="001B2249"/>
    <w:rsid w:val="001B519A"/>
    <w:rsid w:val="001B548D"/>
    <w:rsid w:val="001B5E6E"/>
    <w:rsid w:val="001B5F23"/>
    <w:rsid w:val="001B5F8A"/>
    <w:rsid w:val="001B606B"/>
    <w:rsid w:val="001B6BDE"/>
    <w:rsid w:val="001B71B1"/>
    <w:rsid w:val="001C1B59"/>
    <w:rsid w:val="001C1B93"/>
    <w:rsid w:val="001C22F5"/>
    <w:rsid w:val="001C2449"/>
    <w:rsid w:val="001C25FE"/>
    <w:rsid w:val="001C2DD5"/>
    <w:rsid w:val="001C3424"/>
    <w:rsid w:val="001C41E9"/>
    <w:rsid w:val="001C5BA4"/>
    <w:rsid w:val="001C5C39"/>
    <w:rsid w:val="001C6B85"/>
    <w:rsid w:val="001C7118"/>
    <w:rsid w:val="001C769F"/>
    <w:rsid w:val="001D023C"/>
    <w:rsid w:val="001D09C3"/>
    <w:rsid w:val="001D0BB2"/>
    <w:rsid w:val="001D1B67"/>
    <w:rsid w:val="001D1EF7"/>
    <w:rsid w:val="001D1EF8"/>
    <w:rsid w:val="001D276E"/>
    <w:rsid w:val="001D3831"/>
    <w:rsid w:val="001D4D8A"/>
    <w:rsid w:val="001D4EFA"/>
    <w:rsid w:val="001D6180"/>
    <w:rsid w:val="001D6559"/>
    <w:rsid w:val="001D69B8"/>
    <w:rsid w:val="001D6D71"/>
    <w:rsid w:val="001D7241"/>
    <w:rsid w:val="001D75C8"/>
    <w:rsid w:val="001E0923"/>
    <w:rsid w:val="001E092D"/>
    <w:rsid w:val="001E0C3E"/>
    <w:rsid w:val="001E11AB"/>
    <w:rsid w:val="001E1268"/>
    <w:rsid w:val="001E1392"/>
    <w:rsid w:val="001E1749"/>
    <w:rsid w:val="001E1E46"/>
    <w:rsid w:val="001E2F0F"/>
    <w:rsid w:val="001E5A26"/>
    <w:rsid w:val="001E6731"/>
    <w:rsid w:val="001E6735"/>
    <w:rsid w:val="001E6C36"/>
    <w:rsid w:val="001E70F9"/>
    <w:rsid w:val="001F06BC"/>
    <w:rsid w:val="001F108C"/>
    <w:rsid w:val="001F3C41"/>
    <w:rsid w:val="001F41C5"/>
    <w:rsid w:val="001F49D5"/>
    <w:rsid w:val="001F6ABC"/>
    <w:rsid w:val="001F709E"/>
    <w:rsid w:val="001F73B5"/>
    <w:rsid w:val="001F7816"/>
    <w:rsid w:val="001F7D85"/>
    <w:rsid w:val="0020118A"/>
    <w:rsid w:val="002015B2"/>
    <w:rsid w:val="002015BA"/>
    <w:rsid w:val="002016E1"/>
    <w:rsid w:val="0020184E"/>
    <w:rsid w:val="00202805"/>
    <w:rsid w:val="00203232"/>
    <w:rsid w:val="002041B6"/>
    <w:rsid w:val="00204836"/>
    <w:rsid w:val="00204D7B"/>
    <w:rsid w:val="00205A99"/>
    <w:rsid w:val="00206D5C"/>
    <w:rsid w:val="00207703"/>
    <w:rsid w:val="00210652"/>
    <w:rsid w:val="002106E3"/>
    <w:rsid w:val="00211046"/>
    <w:rsid w:val="00212105"/>
    <w:rsid w:val="00213190"/>
    <w:rsid w:val="0021363F"/>
    <w:rsid w:val="002137D9"/>
    <w:rsid w:val="00213B34"/>
    <w:rsid w:val="002143E5"/>
    <w:rsid w:val="0021484F"/>
    <w:rsid w:val="00214C3B"/>
    <w:rsid w:val="00214D6F"/>
    <w:rsid w:val="00214FBA"/>
    <w:rsid w:val="0021639D"/>
    <w:rsid w:val="00216DFF"/>
    <w:rsid w:val="00221016"/>
    <w:rsid w:val="00221073"/>
    <w:rsid w:val="002214BE"/>
    <w:rsid w:val="00221E9B"/>
    <w:rsid w:val="00222E4F"/>
    <w:rsid w:val="00222FD0"/>
    <w:rsid w:val="00223440"/>
    <w:rsid w:val="002252C7"/>
    <w:rsid w:val="00226B26"/>
    <w:rsid w:val="002271F1"/>
    <w:rsid w:val="0022734F"/>
    <w:rsid w:val="00227472"/>
    <w:rsid w:val="00230893"/>
    <w:rsid w:val="0023095B"/>
    <w:rsid w:val="00231040"/>
    <w:rsid w:val="00231249"/>
    <w:rsid w:val="0023312E"/>
    <w:rsid w:val="002333F9"/>
    <w:rsid w:val="00233914"/>
    <w:rsid w:val="00233C57"/>
    <w:rsid w:val="002343A8"/>
    <w:rsid w:val="0023489C"/>
    <w:rsid w:val="00235E92"/>
    <w:rsid w:val="002367BF"/>
    <w:rsid w:val="0024027B"/>
    <w:rsid w:val="0024222C"/>
    <w:rsid w:val="002432CA"/>
    <w:rsid w:val="00243601"/>
    <w:rsid w:val="00244688"/>
    <w:rsid w:val="002447C7"/>
    <w:rsid w:val="0024495E"/>
    <w:rsid w:val="00244C01"/>
    <w:rsid w:val="00245DB0"/>
    <w:rsid w:val="00246042"/>
    <w:rsid w:val="00250388"/>
    <w:rsid w:val="0025045D"/>
    <w:rsid w:val="00251456"/>
    <w:rsid w:val="002524E1"/>
    <w:rsid w:val="00252F17"/>
    <w:rsid w:val="00252F2B"/>
    <w:rsid w:val="00253DDD"/>
    <w:rsid w:val="002542AA"/>
    <w:rsid w:val="00256A9F"/>
    <w:rsid w:val="002578DA"/>
    <w:rsid w:val="0026049B"/>
    <w:rsid w:val="00260912"/>
    <w:rsid w:val="0026102E"/>
    <w:rsid w:val="00261648"/>
    <w:rsid w:val="002617A3"/>
    <w:rsid w:val="00261A26"/>
    <w:rsid w:val="00262C57"/>
    <w:rsid w:val="002634FD"/>
    <w:rsid w:val="00263EE5"/>
    <w:rsid w:val="00264A4A"/>
    <w:rsid w:val="002656A3"/>
    <w:rsid w:val="002675FB"/>
    <w:rsid w:val="00271103"/>
    <w:rsid w:val="00271725"/>
    <w:rsid w:val="002723E8"/>
    <w:rsid w:val="0027304B"/>
    <w:rsid w:val="00273B24"/>
    <w:rsid w:val="00274834"/>
    <w:rsid w:val="00274E23"/>
    <w:rsid w:val="00275245"/>
    <w:rsid w:val="002754C7"/>
    <w:rsid w:val="002773EB"/>
    <w:rsid w:val="00277674"/>
    <w:rsid w:val="0028057B"/>
    <w:rsid w:val="00280EAD"/>
    <w:rsid w:val="00281E63"/>
    <w:rsid w:val="00283034"/>
    <w:rsid w:val="0028609E"/>
    <w:rsid w:val="002861AD"/>
    <w:rsid w:val="0028638E"/>
    <w:rsid w:val="00286CEA"/>
    <w:rsid w:val="00287482"/>
    <w:rsid w:val="00290446"/>
    <w:rsid w:val="00290657"/>
    <w:rsid w:val="00291077"/>
    <w:rsid w:val="00291988"/>
    <w:rsid w:val="00292432"/>
    <w:rsid w:val="00293BC3"/>
    <w:rsid w:val="0029784B"/>
    <w:rsid w:val="00297C8B"/>
    <w:rsid w:val="002A0984"/>
    <w:rsid w:val="002A105C"/>
    <w:rsid w:val="002A1680"/>
    <w:rsid w:val="002A19B0"/>
    <w:rsid w:val="002A23B9"/>
    <w:rsid w:val="002A2AE6"/>
    <w:rsid w:val="002A3218"/>
    <w:rsid w:val="002A37DA"/>
    <w:rsid w:val="002A38E4"/>
    <w:rsid w:val="002A6229"/>
    <w:rsid w:val="002A63AD"/>
    <w:rsid w:val="002A6525"/>
    <w:rsid w:val="002A7CB3"/>
    <w:rsid w:val="002B0360"/>
    <w:rsid w:val="002B0F3F"/>
    <w:rsid w:val="002B104A"/>
    <w:rsid w:val="002B16F3"/>
    <w:rsid w:val="002B1EBA"/>
    <w:rsid w:val="002B23A6"/>
    <w:rsid w:val="002B265A"/>
    <w:rsid w:val="002B2A0E"/>
    <w:rsid w:val="002B2B15"/>
    <w:rsid w:val="002B3023"/>
    <w:rsid w:val="002B3196"/>
    <w:rsid w:val="002B32C5"/>
    <w:rsid w:val="002B3503"/>
    <w:rsid w:val="002B519A"/>
    <w:rsid w:val="002B51AB"/>
    <w:rsid w:val="002B6461"/>
    <w:rsid w:val="002B7BB8"/>
    <w:rsid w:val="002B7DCF"/>
    <w:rsid w:val="002C03BC"/>
    <w:rsid w:val="002C1443"/>
    <w:rsid w:val="002C3F9E"/>
    <w:rsid w:val="002C41B8"/>
    <w:rsid w:val="002C4DCC"/>
    <w:rsid w:val="002C50F4"/>
    <w:rsid w:val="002C602D"/>
    <w:rsid w:val="002C7CEC"/>
    <w:rsid w:val="002D00C2"/>
    <w:rsid w:val="002D1870"/>
    <w:rsid w:val="002D254F"/>
    <w:rsid w:val="002D298A"/>
    <w:rsid w:val="002D2BCD"/>
    <w:rsid w:val="002D3806"/>
    <w:rsid w:val="002D4558"/>
    <w:rsid w:val="002D4827"/>
    <w:rsid w:val="002D4B61"/>
    <w:rsid w:val="002D4BB3"/>
    <w:rsid w:val="002D4C04"/>
    <w:rsid w:val="002D52AF"/>
    <w:rsid w:val="002D5F1B"/>
    <w:rsid w:val="002D60DE"/>
    <w:rsid w:val="002D71AC"/>
    <w:rsid w:val="002D74E4"/>
    <w:rsid w:val="002D7932"/>
    <w:rsid w:val="002E15E8"/>
    <w:rsid w:val="002E4D14"/>
    <w:rsid w:val="002E5749"/>
    <w:rsid w:val="002E6B30"/>
    <w:rsid w:val="002F0651"/>
    <w:rsid w:val="002F1104"/>
    <w:rsid w:val="002F1370"/>
    <w:rsid w:val="002F26EA"/>
    <w:rsid w:val="002F4024"/>
    <w:rsid w:val="002F4929"/>
    <w:rsid w:val="002F78D5"/>
    <w:rsid w:val="0030089E"/>
    <w:rsid w:val="0030123B"/>
    <w:rsid w:val="003014D4"/>
    <w:rsid w:val="003015BB"/>
    <w:rsid w:val="00305853"/>
    <w:rsid w:val="00306194"/>
    <w:rsid w:val="00306338"/>
    <w:rsid w:val="00306E18"/>
    <w:rsid w:val="00307203"/>
    <w:rsid w:val="003072E7"/>
    <w:rsid w:val="003106DD"/>
    <w:rsid w:val="00311A86"/>
    <w:rsid w:val="003130A0"/>
    <w:rsid w:val="00315737"/>
    <w:rsid w:val="00315BF1"/>
    <w:rsid w:val="00316605"/>
    <w:rsid w:val="0031675C"/>
    <w:rsid w:val="00316D60"/>
    <w:rsid w:val="003175EE"/>
    <w:rsid w:val="00317D9D"/>
    <w:rsid w:val="003205FB"/>
    <w:rsid w:val="00320BFB"/>
    <w:rsid w:val="003215BF"/>
    <w:rsid w:val="0032209F"/>
    <w:rsid w:val="003227BA"/>
    <w:rsid w:val="00322965"/>
    <w:rsid w:val="003231FF"/>
    <w:rsid w:val="00326228"/>
    <w:rsid w:val="00326885"/>
    <w:rsid w:val="003301A3"/>
    <w:rsid w:val="00330599"/>
    <w:rsid w:val="00330A3C"/>
    <w:rsid w:val="00330EB8"/>
    <w:rsid w:val="00331B68"/>
    <w:rsid w:val="00331C2A"/>
    <w:rsid w:val="0033238D"/>
    <w:rsid w:val="0033337A"/>
    <w:rsid w:val="00333421"/>
    <w:rsid w:val="003334B1"/>
    <w:rsid w:val="0033573E"/>
    <w:rsid w:val="00336724"/>
    <w:rsid w:val="00336782"/>
    <w:rsid w:val="00340A73"/>
    <w:rsid w:val="0034156A"/>
    <w:rsid w:val="003427FD"/>
    <w:rsid w:val="00342C42"/>
    <w:rsid w:val="00343746"/>
    <w:rsid w:val="00343B24"/>
    <w:rsid w:val="00344163"/>
    <w:rsid w:val="00344AB2"/>
    <w:rsid w:val="003469E3"/>
    <w:rsid w:val="00347198"/>
    <w:rsid w:val="0035001E"/>
    <w:rsid w:val="003523BE"/>
    <w:rsid w:val="00352A11"/>
    <w:rsid w:val="00353139"/>
    <w:rsid w:val="00353F3B"/>
    <w:rsid w:val="00354934"/>
    <w:rsid w:val="00354F3E"/>
    <w:rsid w:val="0035551B"/>
    <w:rsid w:val="00357657"/>
    <w:rsid w:val="00357E80"/>
    <w:rsid w:val="00362A6A"/>
    <w:rsid w:val="00366E2C"/>
    <w:rsid w:val="00367E3E"/>
    <w:rsid w:val="00367E3F"/>
    <w:rsid w:val="00370787"/>
    <w:rsid w:val="00370DD7"/>
    <w:rsid w:val="003713AB"/>
    <w:rsid w:val="00372487"/>
    <w:rsid w:val="0037255F"/>
    <w:rsid w:val="00372F88"/>
    <w:rsid w:val="0037327F"/>
    <w:rsid w:val="003732FC"/>
    <w:rsid w:val="00373E4F"/>
    <w:rsid w:val="00374E68"/>
    <w:rsid w:val="003765AC"/>
    <w:rsid w:val="00377D7F"/>
    <w:rsid w:val="00380BE1"/>
    <w:rsid w:val="00381716"/>
    <w:rsid w:val="0038199B"/>
    <w:rsid w:val="00382536"/>
    <w:rsid w:val="00382B83"/>
    <w:rsid w:val="00383026"/>
    <w:rsid w:val="00383102"/>
    <w:rsid w:val="00383F62"/>
    <w:rsid w:val="0038739C"/>
    <w:rsid w:val="00387DCC"/>
    <w:rsid w:val="00387F34"/>
    <w:rsid w:val="00390148"/>
    <w:rsid w:val="003902B3"/>
    <w:rsid w:val="00391FEB"/>
    <w:rsid w:val="00392557"/>
    <w:rsid w:val="00392F18"/>
    <w:rsid w:val="0039331A"/>
    <w:rsid w:val="0039396B"/>
    <w:rsid w:val="00396556"/>
    <w:rsid w:val="003A013C"/>
    <w:rsid w:val="003A15C6"/>
    <w:rsid w:val="003A15F4"/>
    <w:rsid w:val="003A1EFC"/>
    <w:rsid w:val="003A2BEB"/>
    <w:rsid w:val="003A3006"/>
    <w:rsid w:val="003A334F"/>
    <w:rsid w:val="003A4189"/>
    <w:rsid w:val="003A5AF1"/>
    <w:rsid w:val="003A61D6"/>
    <w:rsid w:val="003A7326"/>
    <w:rsid w:val="003A77F7"/>
    <w:rsid w:val="003B0974"/>
    <w:rsid w:val="003B0A65"/>
    <w:rsid w:val="003B0D29"/>
    <w:rsid w:val="003B1B47"/>
    <w:rsid w:val="003B1DCD"/>
    <w:rsid w:val="003B46BC"/>
    <w:rsid w:val="003B5FE8"/>
    <w:rsid w:val="003B6FEC"/>
    <w:rsid w:val="003B7B5E"/>
    <w:rsid w:val="003B7E2B"/>
    <w:rsid w:val="003C0D1E"/>
    <w:rsid w:val="003C1D25"/>
    <w:rsid w:val="003C3739"/>
    <w:rsid w:val="003C4A30"/>
    <w:rsid w:val="003D0A95"/>
    <w:rsid w:val="003D1079"/>
    <w:rsid w:val="003D1FD3"/>
    <w:rsid w:val="003D4BEB"/>
    <w:rsid w:val="003D5FC8"/>
    <w:rsid w:val="003D659C"/>
    <w:rsid w:val="003D69B4"/>
    <w:rsid w:val="003D6F03"/>
    <w:rsid w:val="003D77F3"/>
    <w:rsid w:val="003D78BE"/>
    <w:rsid w:val="003E0B8D"/>
    <w:rsid w:val="003E1518"/>
    <w:rsid w:val="003E406D"/>
    <w:rsid w:val="003E6D06"/>
    <w:rsid w:val="003E7B25"/>
    <w:rsid w:val="003F0FD6"/>
    <w:rsid w:val="003F3634"/>
    <w:rsid w:val="003F3EF5"/>
    <w:rsid w:val="003F420E"/>
    <w:rsid w:val="003F4A61"/>
    <w:rsid w:val="003F4D5B"/>
    <w:rsid w:val="003F6833"/>
    <w:rsid w:val="003F6EA7"/>
    <w:rsid w:val="003F79EE"/>
    <w:rsid w:val="003F7EBC"/>
    <w:rsid w:val="004005D4"/>
    <w:rsid w:val="00401776"/>
    <w:rsid w:val="00401E5E"/>
    <w:rsid w:val="0040202E"/>
    <w:rsid w:val="00403F78"/>
    <w:rsid w:val="00405FB0"/>
    <w:rsid w:val="00411122"/>
    <w:rsid w:val="00411A84"/>
    <w:rsid w:val="00411D29"/>
    <w:rsid w:val="004121C3"/>
    <w:rsid w:val="00412C85"/>
    <w:rsid w:val="00413B64"/>
    <w:rsid w:val="0041425B"/>
    <w:rsid w:val="0041457B"/>
    <w:rsid w:val="00415326"/>
    <w:rsid w:val="00415760"/>
    <w:rsid w:val="00415E0F"/>
    <w:rsid w:val="00416870"/>
    <w:rsid w:val="0041740D"/>
    <w:rsid w:val="00417E7F"/>
    <w:rsid w:val="00420D61"/>
    <w:rsid w:val="0042152B"/>
    <w:rsid w:val="00421964"/>
    <w:rsid w:val="00422494"/>
    <w:rsid w:val="00422522"/>
    <w:rsid w:val="00422910"/>
    <w:rsid w:val="004255DD"/>
    <w:rsid w:val="004256A1"/>
    <w:rsid w:val="00427725"/>
    <w:rsid w:val="00430134"/>
    <w:rsid w:val="00430335"/>
    <w:rsid w:val="00430459"/>
    <w:rsid w:val="004311E3"/>
    <w:rsid w:val="00432B2E"/>
    <w:rsid w:val="00433B06"/>
    <w:rsid w:val="00434E05"/>
    <w:rsid w:val="004361A5"/>
    <w:rsid w:val="00436D4E"/>
    <w:rsid w:val="0043746D"/>
    <w:rsid w:val="00440A28"/>
    <w:rsid w:val="00440B24"/>
    <w:rsid w:val="00440DBE"/>
    <w:rsid w:val="00441E56"/>
    <w:rsid w:val="00442AA3"/>
    <w:rsid w:val="00442F27"/>
    <w:rsid w:val="00443007"/>
    <w:rsid w:val="0044314B"/>
    <w:rsid w:val="00443890"/>
    <w:rsid w:val="004439D1"/>
    <w:rsid w:val="00443DFA"/>
    <w:rsid w:val="0044430D"/>
    <w:rsid w:val="00444571"/>
    <w:rsid w:val="004447F9"/>
    <w:rsid w:val="00444F77"/>
    <w:rsid w:val="004459DE"/>
    <w:rsid w:val="00446426"/>
    <w:rsid w:val="004464BF"/>
    <w:rsid w:val="00447D36"/>
    <w:rsid w:val="00450392"/>
    <w:rsid w:val="00450DE1"/>
    <w:rsid w:val="004512A2"/>
    <w:rsid w:val="0045332E"/>
    <w:rsid w:val="004533FC"/>
    <w:rsid w:val="00453615"/>
    <w:rsid w:val="00454784"/>
    <w:rsid w:val="00456358"/>
    <w:rsid w:val="00456B81"/>
    <w:rsid w:val="00460BE5"/>
    <w:rsid w:val="00460F66"/>
    <w:rsid w:val="004611A9"/>
    <w:rsid w:val="004611BD"/>
    <w:rsid w:val="004618D7"/>
    <w:rsid w:val="00461CA5"/>
    <w:rsid w:val="00461EFE"/>
    <w:rsid w:val="0046248F"/>
    <w:rsid w:val="004624D8"/>
    <w:rsid w:val="00462E39"/>
    <w:rsid w:val="00464092"/>
    <w:rsid w:val="004640EA"/>
    <w:rsid w:val="004649FB"/>
    <w:rsid w:val="00464AD1"/>
    <w:rsid w:val="00464DAA"/>
    <w:rsid w:val="00466DBA"/>
    <w:rsid w:val="004752DC"/>
    <w:rsid w:val="00475570"/>
    <w:rsid w:val="004763EF"/>
    <w:rsid w:val="00476B6F"/>
    <w:rsid w:val="00481337"/>
    <w:rsid w:val="00481784"/>
    <w:rsid w:val="004827E1"/>
    <w:rsid w:val="00482F49"/>
    <w:rsid w:val="004839A4"/>
    <w:rsid w:val="00484E6F"/>
    <w:rsid w:val="004879CB"/>
    <w:rsid w:val="00487F85"/>
    <w:rsid w:val="00490111"/>
    <w:rsid w:val="0049172E"/>
    <w:rsid w:val="00492400"/>
    <w:rsid w:val="0049340E"/>
    <w:rsid w:val="00493FF8"/>
    <w:rsid w:val="0049577C"/>
    <w:rsid w:val="004A20E2"/>
    <w:rsid w:val="004A2E3B"/>
    <w:rsid w:val="004A2F3E"/>
    <w:rsid w:val="004A3E04"/>
    <w:rsid w:val="004A57A2"/>
    <w:rsid w:val="004A65A2"/>
    <w:rsid w:val="004A6CCE"/>
    <w:rsid w:val="004A7713"/>
    <w:rsid w:val="004A7AA7"/>
    <w:rsid w:val="004A7C7C"/>
    <w:rsid w:val="004A7FFE"/>
    <w:rsid w:val="004B1AC1"/>
    <w:rsid w:val="004B3F39"/>
    <w:rsid w:val="004B42D9"/>
    <w:rsid w:val="004B65AE"/>
    <w:rsid w:val="004B6C4F"/>
    <w:rsid w:val="004B7216"/>
    <w:rsid w:val="004B7B18"/>
    <w:rsid w:val="004B7B58"/>
    <w:rsid w:val="004B7F3C"/>
    <w:rsid w:val="004C33F3"/>
    <w:rsid w:val="004C3987"/>
    <w:rsid w:val="004C50AF"/>
    <w:rsid w:val="004C6845"/>
    <w:rsid w:val="004C6E99"/>
    <w:rsid w:val="004C7710"/>
    <w:rsid w:val="004D0181"/>
    <w:rsid w:val="004D05BD"/>
    <w:rsid w:val="004D0609"/>
    <w:rsid w:val="004D0A79"/>
    <w:rsid w:val="004D2382"/>
    <w:rsid w:val="004D32C2"/>
    <w:rsid w:val="004D3888"/>
    <w:rsid w:val="004D44EF"/>
    <w:rsid w:val="004D489E"/>
    <w:rsid w:val="004D4A2D"/>
    <w:rsid w:val="004D5EAB"/>
    <w:rsid w:val="004D6045"/>
    <w:rsid w:val="004D6336"/>
    <w:rsid w:val="004D7DE7"/>
    <w:rsid w:val="004E0619"/>
    <w:rsid w:val="004E186D"/>
    <w:rsid w:val="004E19B3"/>
    <w:rsid w:val="004E1BDF"/>
    <w:rsid w:val="004E1C75"/>
    <w:rsid w:val="004E2F81"/>
    <w:rsid w:val="004E2FEB"/>
    <w:rsid w:val="004E3F9E"/>
    <w:rsid w:val="004E43D8"/>
    <w:rsid w:val="004E476F"/>
    <w:rsid w:val="004E5054"/>
    <w:rsid w:val="004E54D0"/>
    <w:rsid w:val="004E5F85"/>
    <w:rsid w:val="004E7590"/>
    <w:rsid w:val="004E775C"/>
    <w:rsid w:val="004F0F23"/>
    <w:rsid w:val="004F3CB1"/>
    <w:rsid w:val="004F4B88"/>
    <w:rsid w:val="004F4F9F"/>
    <w:rsid w:val="004F5407"/>
    <w:rsid w:val="004F5D6D"/>
    <w:rsid w:val="004F6F54"/>
    <w:rsid w:val="00500E82"/>
    <w:rsid w:val="00501E0C"/>
    <w:rsid w:val="005021BE"/>
    <w:rsid w:val="00503EAC"/>
    <w:rsid w:val="00504C99"/>
    <w:rsid w:val="005056C8"/>
    <w:rsid w:val="00505F02"/>
    <w:rsid w:val="00506182"/>
    <w:rsid w:val="005063FA"/>
    <w:rsid w:val="00506451"/>
    <w:rsid w:val="00507AFD"/>
    <w:rsid w:val="00510036"/>
    <w:rsid w:val="0051137B"/>
    <w:rsid w:val="00511776"/>
    <w:rsid w:val="00511924"/>
    <w:rsid w:val="00512974"/>
    <w:rsid w:val="00513004"/>
    <w:rsid w:val="005131BE"/>
    <w:rsid w:val="00513B1D"/>
    <w:rsid w:val="00513DE8"/>
    <w:rsid w:val="005143A8"/>
    <w:rsid w:val="0051445F"/>
    <w:rsid w:val="005149A3"/>
    <w:rsid w:val="0051511D"/>
    <w:rsid w:val="0051585C"/>
    <w:rsid w:val="00515E86"/>
    <w:rsid w:val="005172EF"/>
    <w:rsid w:val="00520BF5"/>
    <w:rsid w:val="00521BEA"/>
    <w:rsid w:val="0052220C"/>
    <w:rsid w:val="00522F58"/>
    <w:rsid w:val="005234C7"/>
    <w:rsid w:val="005238E0"/>
    <w:rsid w:val="0052473D"/>
    <w:rsid w:val="005250FE"/>
    <w:rsid w:val="005277E8"/>
    <w:rsid w:val="005279EB"/>
    <w:rsid w:val="005306EC"/>
    <w:rsid w:val="0053089B"/>
    <w:rsid w:val="00530B76"/>
    <w:rsid w:val="00531F0F"/>
    <w:rsid w:val="00532152"/>
    <w:rsid w:val="00533E99"/>
    <w:rsid w:val="00535E5C"/>
    <w:rsid w:val="00537503"/>
    <w:rsid w:val="00540B7C"/>
    <w:rsid w:val="00540F1B"/>
    <w:rsid w:val="005418B6"/>
    <w:rsid w:val="00542167"/>
    <w:rsid w:val="00542869"/>
    <w:rsid w:val="005428AD"/>
    <w:rsid w:val="00542CC2"/>
    <w:rsid w:val="0054351E"/>
    <w:rsid w:val="00543D45"/>
    <w:rsid w:val="005449AE"/>
    <w:rsid w:val="0054504B"/>
    <w:rsid w:val="005459A9"/>
    <w:rsid w:val="00546C47"/>
    <w:rsid w:val="00546D7D"/>
    <w:rsid w:val="00547CE1"/>
    <w:rsid w:val="005503ED"/>
    <w:rsid w:val="005512E1"/>
    <w:rsid w:val="005516CA"/>
    <w:rsid w:val="005516EE"/>
    <w:rsid w:val="0055267E"/>
    <w:rsid w:val="00552F1E"/>
    <w:rsid w:val="00552FE7"/>
    <w:rsid w:val="00555D5D"/>
    <w:rsid w:val="00555F5D"/>
    <w:rsid w:val="00556A18"/>
    <w:rsid w:val="00560C8A"/>
    <w:rsid w:val="00561B01"/>
    <w:rsid w:val="00563D65"/>
    <w:rsid w:val="0056409B"/>
    <w:rsid w:val="00564B9D"/>
    <w:rsid w:val="00565492"/>
    <w:rsid w:val="00565F64"/>
    <w:rsid w:val="0056643C"/>
    <w:rsid w:val="00566FE0"/>
    <w:rsid w:val="005672DE"/>
    <w:rsid w:val="00567AFE"/>
    <w:rsid w:val="00571E7E"/>
    <w:rsid w:val="00573982"/>
    <w:rsid w:val="005749F6"/>
    <w:rsid w:val="00574AC8"/>
    <w:rsid w:val="005752C4"/>
    <w:rsid w:val="00576569"/>
    <w:rsid w:val="00576570"/>
    <w:rsid w:val="00576684"/>
    <w:rsid w:val="005800D7"/>
    <w:rsid w:val="00580301"/>
    <w:rsid w:val="00580B22"/>
    <w:rsid w:val="005849F0"/>
    <w:rsid w:val="005859FB"/>
    <w:rsid w:val="00585F43"/>
    <w:rsid w:val="00586C2A"/>
    <w:rsid w:val="00587B1E"/>
    <w:rsid w:val="005911FB"/>
    <w:rsid w:val="005919EA"/>
    <w:rsid w:val="00591A1C"/>
    <w:rsid w:val="005924C4"/>
    <w:rsid w:val="00592551"/>
    <w:rsid w:val="0059426C"/>
    <w:rsid w:val="005943B6"/>
    <w:rsid w:val="00594CA1"/>
    <w:rsid w:val="00595514"/>
    <w:rsid w:val="005959E4"/>
    <w:rsid w:val="00596D96"/>
    <w:rsid w:val="0059754D"/>
    <w:rsid w:val="005A0444"/>
    <w:rsid w:val="005A22B3"/>
    <w:rsid w:val="005A33F4"/>
    <w:rsid w:val="005A4031"/>
    <w:rsid w:val="005A4147"/>
    <w:rsid w:val="005A45F1"/>
    <w:rsid w:val="005A5D3D"/>
    <w:rsid w:val="005A5E8F"/>
    <w:rsid w:val="005A70A1"/>
    <w:rsid w:val="005A7966"/>
    <w:rsid w:val="005B154B"/>
    <w:rsid w:val="005B1F04"/>
    <w:rsid w:val="005B41D0"/>
    <w:rsid w:val="005B447B"/>
    <w:rsid w:val="005B5BAF"/>
    <w:rsid w:val="005B6729"/>
    <w:rsid w:val="005B69F8"/>
    <w:rsid w:val="005B6B2F"/>
    <w:rsid w:val="005B7B02"/>
    <w:rsid w:val="005B7FBC"/>
    <w:rsid w:val="005C4A85"/>
    <w:rsid w:val="005C6840"/>
    <w:rsid w:val="005D01B7"/>
    <w:rsid w:val="005D0A45"/>
    <w:rsid w:val="005D0D39"/>
    <w:rsid w:val="005D124E"/>
    <w:rsid w:val="005D296B"/>
    <w:rsid w:val="005D29B7"/>
    <w:rsid w:val="005D2F97"/>
    <w:rsid w:val="005D4E80"/>
    <w:rsid w:val="005D609D"/>
    <w:rsid w:val="005D692B"/>
    <w:rsid w:val="005D76B3"/>
    <w:rsid w:val="005E18C0"/>
    <w:rsid w:val="005E1DA2"/>
    <w:rsid w:val="005E43E5"/>
    <w:rsid w:val="005E4894"/>
    <w:rsid w:val="005E563D"/>
    <w:rsid w:val="005E5EED"/>
    <w:rsid w:val="005E6F97"/>
    <w:rsid w:val="005F0D46"/>
    <w:rsid w:val="005F0DDB"/>
    <w:rsid w:val="005F247D"/>
    <w:rsid w:val="005F2F39"/>
    <w:rsid w:val="005F47D8"/>
    <w:rsid w:val="005F52A1"/>
    <w:rsid w:val="005F62D1"/>
    <w:rsid w:val="005F723A"/>
    <w:rsid w:val="00600271"/>
    <w:rsid w:val="006012EA"/>
    <w:rsid w:val="006019B9"/>
    <w:rsid w:val="00601A28"/>
    <w:rsid w:val="00602748"/>
    <w:rsid w:val="00602C64"/>
    <w:rsid w:val="00603C3A"/>
    <w:rsid w:val="006047C5"/>
    <w:rsid w:val="0060504C"/>
    <w:rsid w:val="006054A3"/>
    <w:rsid w:val="006063AD"/>
    <w:rsid w:val="006067C7"/>
    <w:rsid w:val="00607FB8"/>
    <w:rsid w:val="0061007F"/>
    <w:rsid w:val="006124AB"/>
    <w:rsid w:val="00613904"/>
    <w:rsid w:val="0061437C"/>
    <w:rsid w:val="00614FC8"/>
    <w:rsid w:val="00615ADE"/>
    <w:rsid w:val="00621915"/>
    <w:rsid w:val="00622B72"/>
    <w:rsid w:val="00622E59"/>
    <w:rsid w:val="0062358B"/>
    <w:rsid w:val="00624074"/>
    <w:rsid w:val="00624512"/>
    <w:rsid w:val="00624CCA"/>
    <w:rsid w:val="00626A35"/>
    <w:rsid w:val="0062769F"/>
    <w:rsid w:val="006278DE"/>
    <w:rsid w:val="00630CC4"/>
    <w:rsid w:val="006319F7"/>
    <w:rsid w:val="0063651D"/>
    <w:rsid w:val="00636884"/>
    <w:rsid w:val="006371A8"/>
    <w:rsid w:val="006404C7"/>
    <w:rsid w:val="00640F66"/>
    <w:rsid w:val="00641664"/>
    <w:rsid w:val="00643337"/>
    <w:rsid w:val="006435DD"/>
    <w:rsid w:val="00643D3C"/>
    <w:rsid w:val="00643DB7"/>
    <w:rsid w:val="00647072"/>
    <w:rsid w:val="00647737"/>
    <w:rsid w:val="006479D7"/>
    <w:rsid w:val="0065001E"/>
    <w:rsid w:val="00651086"/>
    <w:rsid w:val="006516DF"/>
    <w:rsid w:val="006519B5"/>
    <w:rsid w:val="006533B7"/>
    <w:rsid w:val="00653D5E"/>
    <w:rsid w:val="0065456E"/>
    <w:rsid w:val="006546C4"/>
    <w:rsid w:val="00654E25"/>
    <w:rsid w:val="006558D4"/>
    <w:rsid w:val="00655CCB"/>
    <w:rsid w:val="00660C5C"/>
    <w:rsid w:val="00661427"/>
    <w:rsid w:val="00662434"/>
    <w:rsid w:val="00662E22"/>
    <w:rsid w:val="0066308A"/>
    <w:rsid w:val="006633EB"/>
    <w:rsid w:val="00663464"/>
    <w:rsid w:val="006645F0"/>
    <w:rsid w:val="006656C7"/>
    <w:rsid w:val="006658A5"/>
    <w:rsid w:val="006667E2"/>
    <w:rsid w:val="00667044"/>
    <w:rsid w:val="006704B7"/>
    <w:rsid w:val="00670C88"/>
    <w:rsid w:val="006738BF"/>
    <w:rsid w:val="006739A1"/>
    <w:rsid w:val="00673A6F"/>
    <w:rsid w:val="0067418D"/>
    <w:rsid w:val="0067457D"/>
    <w:rsid w:val="00674606"/>
    <w:rsid w:val="00674B00"/>
    <w:rsid w:val="0067505B"/>
    <w:rsid w:val="00675100"/>
    <w:rsid w:val="006759AB"/>
    <w:rsid w:val="00676002"/>
    <w:rsid w:val="00676EB1"/>
    <w:rsid w:val="0067781E"/>
    <w:rsid w:val="00680A96"/>
    <w:rsid w:val="00681F98"/>
    <w:rsid w:val="006826A6"/>
    <w:rsid w:val="0068278A"/>
    <w:rsid w:val="00682D0A"/>
    <w:rsid w:val="00682E00"/>
    <w:rsid w:val="00683519"/>
    <w:rsid w:val="00685450"/>
    <w:rsid w:val="0068705D"/>
    <w:rsid w:val="006915BD"/>
    <w:rsid w:val="00692328"/>
    <w:rsid w:val="006923F5"/>
    <w:rsid w:val="006946BF"/>
    <w:rsid w:val="0069479C"/>
    <w:rsid w:val="00694CFB"/>
    <w:rsid w:val="00695271"/>
    <w:rsid w:val="00695386"/>
    <w:rsid w:val="006A01DA"/>
    <w:rsid w:val="006A0CB0"/>
    <w:rsid w:val="006A1AFC"/>
    <w:rsid w:val="006A1CFD"/>
    <w:rsid w:val="006A51FD"/>
    <w:rsid w:val="006A6967"/>
    <w:rsid w:val="006A75A0"/>
    <w:rsid w:val="006B1716"/>
    <w:rsid w:val="006B7FF4"/>
    <w:rsid w:val="006C0760"/>
    <w:rsid w:val="006C0F39"/>
    <w:rsid w:val="006C2616"/>
    <w:rsid w:val="006C2FBB"/>
    <w:rsid w:val="006C4517"/>
    <w:rsid w:val="006C4D7A"/>
    <w:rsid w:val="006C5742"/>
    <w:rsid w:val="006C6885"/>
    <w:rsid w:val="006C69FB"/>
    <w:rsid w:val="006C6AD0"/>
    <w:rsid w:val="006D018E"/>
    <w:rsid w:val="006D227E"/>
    <w:rsid w:val="006D3078"/>
    <w:rsid w:val="006D3230"/>
    <w:rsid w:val="006D333D"/>
    <w:rsid w:val="006D33AB"/>
    <w:rsid w:val="006D3DF1"/>
    <w:rsid w:val="006D4034"/>
    <w:rsid w:val="006D4C10"/>
    <w:rsid w:val="006D6F29"/>
    <w:rsid w:val="006D6FFE"/>
    <w:rsid w:val="006D7B1F"/>
    <w:rsid w:val="006E02E8"/>
    <w:rsid w:val="006E2530"/>
    <w:rsid w:val="006E2A12"/>
    <w:rsid w:val="006E3786"/>
    <w:rsid w:val="006E548F"/>
    <w:rsid w:val="006E54B6"/>
    <w:rsid w:val="006E637C"/>
    <w:rsid w:val="006E7097"/>
    <w:rsid w:val="006E7851"/>
    <w:rsid w:val="006E7E7A"/>
    <w:rsid w:val="006E7EF1"/>
    <w:rsid w:val="006F0422"/>
    <w:rsid w:val="006F0BD8"/>
    <w:rsid w:val="006F1991"/>
    <w:rsid w:val="006F1EED"/>
    <w:rsid w:val="006F370B"/>
    <w:rsid w:val="006F4323"/>
    <w:rsid w:val="006F60A9"/>
    <w:rsid w:val="006F63D5"/>
    <w:rsid w:val="006F6741"/>
    <w:rsid w:val="006F73F0"/>
    <w:rsid w:val="0070063B"/>
    <w:rsid w:val="00700C16"/>
    <w:rsid w:val="0070174B"/>
    <w:rsid w:val="00702998"/>
    <w:rsid w:val="007038D2"/>
    <w:rsid w:val="00706C3D"/>
    <w:rsid w:val="00707ABF"/>
    <w:rsid w:val="00707B7B"/>
    <w:rsid w:val="0071055A"/>
    <w:rsid w:val="00710D2D"/>
    <w:rsid w:val="00711011"/>
    <w:rsid w:val="00712CA4"/>
    <w:rsid w:val="00713559"/>
    <w:rsid w:val="0071414A"/>
    <w:rsid w:val="00714319"/>
    <w:rsid w:val="007145E5"/>
    <w:rsid w:val="00714B04"/>
    <w:rsid w:val="00714C4F"/>
    <w:rsid w:val="0071514F"/>
    <w:rsid w:val="00715C9D"/>
    <w:rsid w:val="007161BA"/>
    <w:rsid w:val="00716F1E"/>
    <w:rsid w:val="00717010"/>
    <w:rsid w:val="00717AED"/>
    <w:rsid w:val="00717EA6"/>
    <w:rsid w:val="007214D7"/>
    <w:rsid w:val="00723A7F"/>
    <w:rsid w:val="00724421"/>
    <w:rsid w:val="00724584"/>
    <w:rsid w:val="00724A3D"/>
    <w:rsid w:val="00724CB2"/>
    <w:rsid w:val="00725473"/>
    <w:rsid w:val="00725F2D"/>
    <w:rsid w:val="00725FC4"/>
    <w:rsid w:val="00727276"/>
    <w:rsid w:val="0072729B"/>
    <w:rsid w:val="00727685"/>
    <w:rsid w:val="007277B8"/>
    <w:rsid w:val="007308C0"/>
    <w:rsid w:val="007308C9"/>
    <w:rsid w:val="00730AF8"/>
    <w:rsid w:val="00730C4B"/>
    <w:rsid w:val="00730E8F"/>
    <w:rsid w:val="00731227"/>
    <w:rsid w:val="00732300"/>
    <w:rsid w:val="00732C23"/>
    <w:rsid w:val="0073432E"/>
    <w:rsid w:val="00735D7F"/>
    <w:rsid w:val="007371C7"/>
    <w:rsid w:val="007375F7"/>
    <w:rsid w:val="00737879"/>
    <w:rsid w:val="00740322"/>
    <w:rsid w:val="00740916"/>
    <w:rsid w:val="00740DEF"/>
    <w:rsid w:val="00741403"/>
    <w:rsid w:val="00741AAB"/>
    <w:rsid w:val="00741F01"/>
    <w:rsid w:val="00742DD3"/>
    <w:rsid w:val="00742FC6"/>
    <w:rsid w:val="007430E0"/>
    <w:rsid w:val="007431FF"/>
    <w:rsid w:val="00744CA1"/>
    <w:rsid w:val="00744E4C"/>
    <w:rsid w:val="007456BE"/>
    <w:rsid w:val="00745F8E"/>
    <w:rsid w:val="007465E1"/>
    <w:rsid w:val="007466FF"/>
    <w:rsid w:val="007467F5"/>
    <w:rsid w:val="00747933"/>
    <w:rsid w:val="00750293"/>
    <w:rsid w:val="0075061D"/>
    <w:rsid w:val="00750622"/>
    <w:rsid w:val="007513F7"/>
    <w:rsid w:val="0075179D"/>
    <w:rsid w:val="00752341"/>
    <w:rsid w:val="00752DE6"/>
    <w:rsid w:val="0075452D"/>
    <w:rsid w:val="00756F9E"/>
    <w:rsid w:val="0076036E"/>
    <w:rsid w:val="00761F12"/>
    <w:rsid w:val="00762AAA"/>
    <w:rsid w:val="007631F8"/>
    <w:rsid w:val="0076399C"/>
    <w:rsid w:val="00763D6A"/>
    <w:rsid w:val="00763EEE"/>
    <w:rsid w:val="00765208"/>
    <w:rsid w:val="007653E8"/>
    <w:rsid w:val="0076592E"/>
    <w:rsid w:val="00772ADE"/>
    <w:rsid w:val="00773874"/>
    <w:rsid w:val="00774E8A"/>
    <w:rsid w:val="00775D96"/>
    <w:rsid w:val="007775E9"/>
    <w:rsid w:val="00780030"/>
    <w:rsid w:val="007806E6"/>
    <w:rsid w:val="0078180C"/>
    <w:rsid w:val="00781D20"/>
    <w:rsid w:val="0078300B"/>
    <w:rsid w:val="007833A9"/>
    <w:rsid w:val="007840E0"/>
    <w:rsid w:val="007844E1"/>
    <w:rsid w:val="00784873"/>
    <w:rsid w:val="007851E9"/>
    <w:rsid w:val="00785426"/>
    <w:rsid w:val="0078597A"/>
    <w:rsid w:val="00786B0A"/>
    <w:rsid w:val="00787103"/>
    <w:rsid w:val="0078724C"/>
    <w:rsid w:val="0078760E"/>
    <w:rsid w:val="0079036F"/>
    <w:rsid w:val="007903A0"/>
    <w:rsid w:val="00790AD7"/>
    <w:rsid w:val="00790B31"/>
    <w:rsid w:val="007910D2"/>
    <w:rsid w:val="00791719"/>
    <w:rsid w:val="007928BD"/>
    <w:rsid w:val="00794754"/>
    <w:rsid w:val="00796180"/>
    <w:rsid w:val="0079682B"/>
    <w:rsid w:val="0079730B"/>
    <w:rsid w:val="00797386"/>
    <w:rsid w:val="0079785D"/>
    <w:rsid w:val="007979BD"/>
    <w:rsid w:val="007A0787"/>
    <w:rsid w:val="007A2D8C"/>
    <w:rsid w:val="007A3064"/>
    <w:rsid w:val="007A46FE"/>
    <w:rsid w:val="007A4A17"/>
    <w:rsid w:val="007A50ED"/>
    <w:rsid w:val="007A53D3"/>
    <w:rsid w:val="007A651B"/>
    <w:rsid w:val="007A6DB6"/>
    <w:rsid w:val="007A75B1"/>
    <w:rsid w:val="007A772E"/>
    <w:rsid w:val="007B0E14"/>
    <w:rsid w:val="007B11D7"/>
    <w:rsid w:val="007B295A"/>
    <w:rsid w:val="007B300E"/>
    <w:rsid w:val="007B3E22"/>
    <w:rsid w:val="007B730C"/>
    <w:rsid w:val="007B7993"/>
    <w:rsid w:val="007B7E75"/>
    <w:rsid w:val="007C06E4"/>
    <w:rsid w:val="007C07D7"/>
    <w:rsid w:val="007C2AD6"/>
    <w:rsid w:val="007C33D1"/>
    <w:rsid w:val="007C3B53"/>
    <w:rsid w:val="007C474E"/>
    <w:rsid w:val="007C47BD"/>
    <w:rsid w:val="007C4D7C"/>
    <w:rsid w:val="007C4F48"/>
    <w:rsid w:val="007C6505"/>
    <w:rsid w:val="007C7467"/>
    <w:rsid w:val="007C7959"/>
    <w:rsid w:val="007D199D"/>
    <w:rsid w:val="007D1A1E"/>
    <w:rsid w:val="007D1C53"/>
    <w:rsid w:val="007D1DB0"/>
    <w:rsid w:val="007D24AC"/>
    <w:rsid w:val="007D594A"/>
    <w:rsid w:val="007D6A37"/>
    <w:rsid w:val="007D7359"/>
    <w:rsid w:val="007E0989"/>
    <w:rsid w:val="007E0C4C"/>
    <w:rsid w:val="007E231D"/>
    <w:rsid w:val="007E347D"/>
    <w:rsid w:val="007E3AA5"/>
    <w:rsid w:val="007E4B89"/>
    <w:rsid w:val="007E530C"/>
    <w:rsid w:val="007E58AD"/>
    <w:rsid w:val="007E63A6"/>
    <w:rsid w:val="007E6BAE"/>
    <w:rsid w:val="007F0286"/>
    <w:rsid w:val="007F100C"/>
    <w:rsid w:val="007F29B4"/>
    <w:rsid w:val="007F2FB7"/>
    <w:rsid w:val="007F37E2"/>
    <w:rsid w:val="007F404F"/>
    <w:rsid w:val="007F488D"/>
    <w:rsid w:val="007F577A"/>
    <w:rsid w:val="007F75DF"/>
    <w:rsid w:val="007F7B22"/>
    <w:rsid w:val="008000B8"/>
    <w:rsid w:val="008002E8"/>
    <w:rsid w:val="008006D5"/>
    <w:rsid w:val="00801EB6"/>
    <w:rsid w:val="0080223B"/>
    <w:rsid w:val="008049EC"/>
    <w:rsid w:val="00805D6D"/>
    <w:rsid w:val="0080657F"/>
    <w:rsid w:val="008070EA"/>
    <w:rsid w:val="00807842"/>
    <w:rsid w:val="00811577"/>
    <w:rsid w:val="00811B2B"/>
    <w:rsid w:val="008125C4"/>
    <w:rsid w:val="00813222"/>
    <w:rsid w:val="00813C72"/>
    <w:rsid w:val="00814797"/>
    <w:rsid w:val="008149B7"/>
    <w:rsid w:val="008163FF"/>
    <w:rsid w:val="00820AD5"/>
    <w:rsid w:val="00821BE1"/>
    <w:rsid w:val="0082389D"/>
    <w:rsid w:val="00825250"/>
    <w:rsid w:val="0082533C"/>
    <w:rsid w:val="00825DCA"/>
    <w:rsid w:val="00826207"/>
    <w:rsid w:val="00826A02"/>
    <w:rsid w:val="008279D8"/>
    <w:rsid w:val="0083019E"/>
    <w:rsid w:val="00830BB0"/>
    <w:rsid w:val="0083139A"/>
    <w:rsid w:val="008320D7"/>
    <w:rsid w:val="00832122"/>
    <w:rsid w:val="008322B6"/>
    <w:rsid w:val="008349F1"/>
    <w:rsid w:val="008356EB"/>
    <w:rsid w:val="00836024"/>
    <w:rsid w:val="00836392"/>
    <w:rsid w:val="00837050"/>
    <w:rsid w:val="00840233"/>
    <w:rsid w:val="008416EA"/>
    <w:rsid w:val="00841EF8"/>
    <w:rsid w:val="00842117"/>
    <w:rsid w:val="008432C6"/>
    <w:rsid w:val="008436CF"/>
    <w:rsid w:val="00844132"/>
    <w:rsid w:val="00844D37"/>
    <w:rsid w:val="00845F84"/>
    <w:rsid w:val="008464D7"/>
    <w:rsid w:val="00847850"/>
    <w:rsid w:val="00850CB3"/>
    <w:rsid w:val="00850DAF"/>
    <w:rsid w:val="008510C6"/>
    <w:rsid w:val="00851DCE"/>
    <w:rsid w:val="00852B44"/>
    <w:rsid w:val="00852C0B"/>
    <w:rsid w:val="008546A9"/>
    <w:rsid w:val="00854857"/>
    <w:rsid w:val="008565C6"/>
    <w:rsid w:val="00856AE1"/>
    <w:rsid w:val="00856EB5"/>
    <w:rsid w:val="008605BB"/>
    <w:rsid w:val="00861388"/>
    <w:rsid w:val="008618C2"/>
    <w:rsid w:val="00861D45"/>
    <w:rsid w:val="008620FF"/>
    <w:rsid w:val="00862883"/>
    <w:rsid w:val="008628B4"/>
    <w:rsid w:val="00862D52"/>
    <w:rsid w:val="00863597"/>
    <w:rsid w:val="00863B9F"/>
    <w:rsid w:val="0086648B"/>
    <w:rsid w:val="0086666F"/>
    <w:rsid w:val="00867088"/>
    <w:rsid w:val="00867163"/>
    <w:rsid w:val="0086728B"/>
    <w:rsid w:val="00867314"/>
    <w:rsid w:val="008673F2"/>
    <w:rsid w:val="00867823"/>
    <w:rsid w:val="00867A15"/>
    <w:rsid w:val="00867B37"/>
    <w:rsid w:val="00867E7D"/>
    <w:rsid w:val="00870E05"/>
    <w:rsid w:val="00872EB7"/>
    <w:rsid w:val="008731F9"/>
    <w:rsid w:val="00873699"/>
    <w:rsid w:val="00873BB2"/>
    <w:rsid w:val="00873E3C"/>
    <w:rsid w:val="00873F6F"/>
    <w:rsid w:val="008743E1"/>
    <w:rsid w:val="008750E2"/>
    <w:rsid w:val="0087643C"/>
    <w:rsid w:val="00876486"/>
    <w:rsid w:val="0087727F"/>
    <w:rsid w:val="008779E4"/>
    <w:rsid w:val="00877B09"/>
    <w:rsid w:val="0088018E"/>
    <w:rsid w:val="008813A6"/>
    <w:rsid w:val="00882858"/>
    <w:rsid w:val="00882E5A"/>
    <w:rsid w:val="008832C4"/>
    <w:rsid w:val="0088382B"/>
    <w:rsid w:val="00883C0A"/>
    <w:rsid w:val="00884D74"/>
    <w:rsid w:val="00886003"/>
    <w:rsid w:val="008866E8"/>
    <w:rsid w:val="0088671C"/>
    <w:rsid w:val="00886C7C"/>
    <w:rsid w:val="00886D0D"/>
    <w:rsid w:val="00886E51"/>
    <w:rsid w:val="00887C9A"/>
    <w:rsid w:val="00890605"/>
    <w:rsid w:val="0089095E"/>
    <w:rsid w:val="00892590"/>
    <w:rsid w:val="00892E74"/>
    <w:rsid w:val="008938B6"/>
    <w:rsid w:val="00894535"/>
    <w:rsid w:val="00894CEC"/>
    <w:rsid w:val="00895428"/>
    <w:rsid w:val="008968F6"/>
    <w:rsid w:val="00897816"/>
    <w:rsid w:val="00897C63"/>
    <w:rsid w:val="008A0F2B"/>
    <w:rsid w:val="008A0F7E"/>
    <w:rsid w:val="008A23D1"/>
    <w:rsid w:val="008A2CE6"/>
    <w:rsid w:val="008A30A6"/>
    <w:rsid w:val="008A4808"/>
    <w:rsid w:val="008A4831"/>
    <w:rsid w:val="008A656F"/>
    <w:rsid w:val="008A6DFE"/>
    <w:rsid w:val="008A7E4D"/>
    <w:rsid w:val="008B0EFE"/>
    <w:rsid w:val="008B1578"/>
    <w:rsid w:val="008B17F5"/>
    <w:rsid w:val="008B183C"/>
    <w:rsid w:val="008B1E93"/>
    <w:rsid w:val="008B5981"/>
    <w:rsid w:val="008B6C52"/>
    <w:rsid w:val="008B6EB0"/>
    <w:rsid w:val="008B6EFA"/>
    <w:rsid w:val="008C2D82"/>
    <w:rsid w:val="008C3068"/>
    <w:rsid w:val="008C43C2"/>
    <w:rsid w:val="008C4511"/>
    <w:rsid w:val="008C48D9"/>
    <w:rsid w:val="008C7586"/>
    <w:rsid w:val="008C7D4D"/>
    <w:rsid w:val="008D0DE8"/>
    <w:rsid w:val="008D0E5E"/>
    <w:rsid w:val="008D278C"/>
    <w:rsid w:val="008D2D9E"/>
    <w:rsid w:val="008D472E"/>
    <w:rsid w:val="008D5B3D"/>
    <w:rsid w:val="008D7696"/>
    <w:rsid w:val="008D7B24"/>
    <w:rsid w:val="008D7B54"/>
    <w:rsid w:val="008D7BF7"/>
    <w:rsid w:val="008D7CD1"/>
    <w:rsid w:val="008E1014"/>
    <w:rsid w:val="008E148E"/>
    <w:rsid w:val="008E2235"/>
    <w:rsid w:val="008E3423"/>
    <w:rsid w:val="008E3F1C"/>
    <w:rsid w:val="008E40DB"/>
    <w:rsid w:val="008E4BF4"/>
    <w:rsid w:val="008E5A5B"/>
    <w:rsid w:val="008E61D8"/>
    <w:rsid w:val="008E63C4"/>
    <w:rsid w:val="008E6A8F"/>
    <w:rsid w:val="008E7137"/>
    <w:rsid w:val="008F1375"/>
    <w:rsid w:val="008F16BC"/>
    <w:rsid w:val="008F1DAB"/>
    <w:rsid w:val="008F1FB6"/>
    <w:rsid w:val="008F3B60"/>
    <w:rsid w:val="008F3C01"/>
    <w:rsid w:val="008F3EBC"/>
    <w:rsid w:val="008F440D"/>
    <w:rsid w:val="008F4A58"/>
    <w:rsid w:val="008F5ADE"/>
    <w:rsid w:val="008F6A37"/>
    <w:rsid w:val="008F6E1D"/>
    <w:rsid w:val="009007F1"/>
    <w:rsid w:val="00900A1E"/>
    <w:rsid w:val="00900A88"/>
    <w:rsid w:val="00900EB0"/>
    <w:rsid w:val="009047D9"/>
    <w:rsid w:val="00904E35"/>
    <w:rsid w:val="0090500F"/>
    <w:rsid w:val="009051FA"/>
    <w:rsid w:val="00906D54"/>
    <w:rsid w:val="00907266"/>
    <w:rsid w:val="009078CC"/>
    <w:rsid w:val="00910333"/>
    <w:rsid w:val="0091073F"/>
    <w:rsid w:val="00911C09"/>
    <w:rsid w:val="00911F7B"/>
    <w:rsid w:val="00912D6D"/>
    <w:rsid w:val="0091317C"/>
    <w:rsid w:val="00913281"/>
    <w:rsid w:val="009132DD"/>
    <w:rsid w:val="00913EA5"/>
    <w:rsid w:val="009141AD"/>
    <w:rsid w:val="009142A1"/>
    <w:rsid w:val="00914614"/>
    <w:rsid w:val="009146C1"/>
    <w:rsid w:val="00915C2F"/>
    <w:rsid w:val="00915D96"/>
    <w:rsid w:val="00915FC6"/>
    <w:rsid w:val="009164D4"/>
    <w:rsid w:val="009171C0"/>
    <w:rsid w:val="00920260"/>
    <w:rsid w:val="00920414"/>
    <w:rsid w:val="009207F7"/>
    <w:rsid w:val="00920B1E"/>
    <w:rsid w:val="009262CC"/>
    <w:rsid w:val="00926A1D"/>
    <w:rsid w:val="00927849"/>
    <w:rsid w:val="00930919"/>
    <w:rsid w:val="009325B6"/>
    <w:rsid w:val="0093269D"/>
    <w:rsid w:val="00933DFA"/>
    <w:rsid w:val="00934A49"/>
    <w:rsid w:val="00935BE3"/>
    <w:rsid w:val="00937549"/>
    <w:rsid w:val="00940286"/>
    <w:rsid w:val="00941D6D"/>
    <w:rsid w:val="009426C7"/>
    <w:rsid w:val="00942D8B"/>
    <w:rsid w:val="00943570"/>
    <w:rsid w:val="009437E8"/>
    <w:rsid w:val="00943CEA"/>
    <w:rsid w:val="00945A5E"/>
    <w:rsid w:val="00945DD3"/>
    <w:rsid w:val="00947BC3"/>
    <w:rsid w:val="009507B8"/>
    <w:rsid w:val="00950B73"/>
    <w:rsid w:val="00951564"/>
    <w:rsid w:val="0095171D"/>
    <w:rsid w:val="00952703"/>
    <w:rsid w:val="00952D4A"/>
    <w:rsid w:val="00953764"/>
    <w:rsid w:val="009542F2"/>
    <w:rsid w:val="00954589"/>
    <w:rsid w:val="00954933"/>
    <w:rsid w:val="00955745"/>
    <w:rsid w:val="009565EE"/>
    <w:rsid w:val="00956C95"/>
    <w:rsid w:val="00957B05"/>
    <w:rsid w:val="009612A7"/>
    <w:rsid w:val="00961334"/>
    <w:rsid w:val="00961B7C"/>
    <w:rsid w:val="00962892"/>
    <w:rsid w:val="00963ADB"/>
    <w:rsid w:val="00963B51"/>
    <w:rsid w:val="009642C1"/>
    <w:rsid w:val="009642FD"/>
    <w:rsid w:val="0096481A"/>
    <w:rsid w:val="00964FCA"/>
    <w:rsid w:val="009673C0"/>
    <w:rsid w:val="00967444"/>
    <w:rsid w:val="00967525"/>
    <w:rsid w:val="00967C45"/>
    <w:rsid w:val="00970751"/>
    <w:rsid w:val="00970E1A"/>
    <w:rsid w:val="00972D6B"/>
    <w:rsid w:val="00972E42"/>
    <w:rsid w:val="00972E96"/>
    <w:rsid w:val="00974CC0"/>
    <w:rsid w:val="00975694"/>
    <w:rsid w:val="00976374"/>
    <w:rsid w:val="0097696A"/>
    <w:rsid w:val="009809ED"/>
    <w:rsid w:val="00980B3F"/>
    <w:rsid w:val="0098154B"/>
    <w:rsid w:val="009827B5"/>
    <w:rsid w:val="00983A1F"/>
    <w:rsid w:val="00983B2B"/>
    <w:rsid w:val="009849A3"/>
    <w:rsid w:val="00985DB4"/>
    <w:rsid w:val="00986CD3"/>
    <w:rsid w:val="0098741F"/>
    <w:rsid w:val="00987485"/>
    <w:rsid w:val="009913F5"/>
    <w:rsid w:val="0099167B"/>
    <w:rsid w:val="009923A0"/>
    <w:rsid w:val="009928C9"/>
    <w:rsid w:val="00993442"/>
    <w:rsid w:val="0099485A"/>
    <w:rsid w:val="00995015"/>
    <w:rsid w:val="00995889"/>
    <w:rsid w:val="009977A0"/>
    <w:rsid w:val="00997B93"/>
    <w:rsid w:val="009A030C"/>
    <w:rsid w:val="009A0681"/>
    <w:rsid w:val="009A0CC8"/>
    <w:rsid w:val="009A1BA2"/>
    <w:rsid w:val="009A207B"/>
    <w:rsid w:val="009A2A47"/>
    <w:rsid w:val="009A2FA0"/>
    <w:rsid w:val="009A4326"/>
    <w:rsid w:val="009A4450"/>
    <w:rsid w:val="009A4CE9"/>
    <w:rsid w:val="009A5488"/>
    <w:rsid w:val="009A5A0D"/>
    <w:rsid w:val="009A679E"/>
    <w:rsid w:val="009A68E1"/>
    <w:rsid w:val="009A6CD7"/>
    <w:rsid w:val="009A6D1B"/>
    <w:rsid w:val="009A7C79"/>
    <w:rsid w:val="009B0635"/>
    <w:rsid w:val="009B093E"/>
    <w:rsid w:val="009B0A4A"/>
    <w:rsid w:val="009B166E"/>
    <w:rsid w:val="009B303B"/>
    <w:rsid w:val="009B3BDA"/>
    <w:rsid w:val="009B58C4"/>
    <w:rsid w:val="009B76D8"/>
    <w:rsid w:val="009B785F"/>
    <w:rsid w:val="009C029E"/>
    <w:rsid w:val="009C0398"/>
    <w:rsid w:val="009C3040"/>
    <w:rsid w:val="009C368D"/>
    <w:rsid w:val="009C5290"/>
    <w:rsid w:val="009C657B"/>
    <w:rsid w:val="009C71CB"/>
    <w:rsid w:val="009D16DB"/>
    <w:rsid w:val="009D20E3"/>
    <w:rsid w:val="009D38BE"/>
    <w:rsid w:val="009D3CCD"/>
    <w:rsid w:val="009D4E26"/>
    <w:rsid w:val="009D57E9"/>
    <w:rsid w:val="009D610D"/>
    <w:rsid w:val="009D616C"/>
    <w:rsid w:val="009D6B0C"/>
    <w:rsid w:val="009D6B2A"/>
    <w:rsid w:val="009D6C2A"/>
    <w:rsid w:val="009D72C5"/>
    <w:rsid w:val="009D74F0"/>
    <w:rsid w:val="009D7BDF"/>
    <w:rsid w:val="009E0AE2"/>
    <w:rsid w:val="009E0D30"/>
    <w:rsid w:val="009E1C06"/>
    <w:rsid w:val="009E28DB"/>
    <w:rsid w:val="009E2D2F"/>
    <w:rsid w:val="009E40A0"/>
    <w:rsid w:val="009E4474"/>
    <w:rsid w:val="009E55D6"/>
    <w:rsid w:val="009E5B2D"/>
    <w:rsid w:val="009E5E9B"/>
    <w:rsid w:val="009E77FB"/>
    <w:rsid w:val="009E7E76"/>
    <w:rsid w:val="009F174A"/>
    <w:rsid w:val="009F1E7E"/>
    <w:rsid w:val="009F2378"/>
    <w:rsid w:val="009F2D3B"/>
    <w:rsid w:val="009F30C2"/>
    <w:rsid w:val="009F3F7B"/>
    <w:rsid w:val="009F48B1"/>
    <w:rsid w:val="009F56C3"/>
    <w:rsid w:val="009F59F9"/>
    <w:rsid w:val="009F6C84"/>
    <w:rsid w:val="00A005D7"/>
    <w:rsid w:val="00A00C88"/>
    <w:rsid w:val="00A00D07"/>
    <w:rsid w:val="00A01B3F"/>
    <w:rsid w:val="00A020CA"/>
    <w:rsid w:val="00A0279E"/>
    <w:rsid w:val="00A03DAD"/>
    <w:rsid w:val="00A044FD"/>
    <w:rsid w:val="00A046F7"/>
    <w:rsid w:val="00A04AE2"/>
    <w:rsid w:val="00A05726"/>
    <w:rsid w:val="00A06CDD"/>
    <w:rsid w:val="00A10157"/>
    <w:rsid w:val="00A10B39"/>
    <w:rsid w:val="00A11960"/>
    <w:rsid w:val="00A124AB"/>
    <w:rsid w:val="00A136A8"/>
    <w:rsid w:val="00A13909"/>
    <w:rsid w:val="00A13F63"/>
    <w:rsid w:val="00A15082"/>
    <w:rsid w:val="00A15372"/>
    <w:rsid w:val="00A15843"/>
    <w:rsid w:val="00A15864"/>
    <w:rsid w:val="00A15B2B"/>
    <w:rsid w:val="00A15D72"/>
    <w:rsid w:val="00A16B39"/>
    <w:rsid w:val="00A16C71"/>
    <w:rsid w:val="00A21D2D"/>
    <w:rsid w:val="00A2214D"/>
    <w:rsid w:val="00A2234B"/>
    <w:rsid w:val="00A223AA"/>
    <w:rsid w:val="00A228E9"/>
    <w:rsid w:val="00A23BEE"/>
    <w:rsid w:val="00A23EF7"/>
    <w:rsid w:val="00A240DD"/>
    <w:rsid w:val="00A24588"/>
    <w:rsid w:val="00A24B5F"/>
    <w:rsid w:val="00A24F06"/>
    <w:rsid w:val="00A266F5"/>
    <w:rsid w:val="00A26F7D"/>
    <w:rsid w:val="00A27584"/>
    <w:rsid w:val="00A27B61"/>
    <w:rsid w:val="00A30ABA"/>
    <w:rsid w:val="00A30E62"/>
    <w:rsid w:val="00A314B9"/>
    <w:rsid w:val="00A31B16"/>
    <w:rsid w:val="00A31E6B"/>
    <w:rsid w:val="00A32AD8"/>
    <w:rsid w:val="00A32D92"/>
    <w:rsid w:val="00A32DF7"/>
    <w:rsid w:val="00A33D5D"/>
    <w:rsid w:val="00A34D18"/>
    <w:rsid w:val="00A36110"/>
    <w:rsid w:val="00A37B68"/>
    <w:rsid w:val="00A41085"/>
    <w:rsid w:val="00A410F5"/>
    <w:rsid w:val="00A41885"/>
    <w:rsid w:val="00A41B45"/>
    <w:rsid w:val="00A42C68"/>
    <w:rsid w:val="00A43937"/>
    <w:rsid w:val="00A453F8"/>
    <w:rsid w:val="00A469BF"/>
    <w:rsid w:val="00A47D38"/>
    <w:rsid w:val="00A47EB7"/>
    <w:rsid w:val="00A5013C"/>
    <w:rsid w:val="00A52515"/>
    <w:rsid w:val="00A52C1E"/>
    <w:rsid w:val="00A52FD2"/>
    <w:rsid w:val="00A53F58"/>
    <w:rsid w:val="00A54B37"/>
    <w:rsid w:val="00A55AF5"/>
    <w:rsid w:val="00A5660C"/>
    <w:rsid w:val="00A5672E"/>
    <w:rsid w:val="00A609DD"/>
    <w:rsid w:val="00A60B57"/>
    <w:rsid w:val="00A6172E"/>
    <w:rsid w:val="00A61815"/>
    <w:rsid w:val="00A61839"/>
    <w:rsid w:val="00A61CF5"/>
    <w:rsid w:val="00A62EEA"/>
    <w:rsid w:val="00A644DE"/>
    <w:rsid w:val="00A64F26"/>
    <w:rsid w:val="00A64F69"/>
    <w:rsid w:val="00A65157"/>
    <w:rsid w:val="00A66FB0"/>
    <w:rsid w:val="00A6740F"/>
    <w:rsid w:val="00A740A2"/>
    <w:rsid w:val="00A743B4"/>
    <w:rsid w:val="00A75F1E"/>
    <w:rsid w:val="00A76A5B"/>
    <w:rsid w:val="00A76FCD"/>
    <w:rsid w:val="00A77042"/>
    <w:rsid w:val="00A77573"/>
    <w:rsid w:val="00A77671"/>
    <w:rsid w:val="00A77920"/>
    <w:rsid w:val="00A77A03"/>
    <w:rsid w:val="00A81631"/>
    <w:rsid w:val="00A827E9"/>
    <w:rsid w:val="00A82BE5"/>
    <w:rsid w:val="00A83726"/>
    <w:rsid w:val="00A83FB3"/>
    <w:rsid w:val="00A8507F"/>
    <w:rsid w:val="00A85545"/>
    <w:rsid w:val="00A86392"/>
    <w:rsid w:val="00A86BB0"/>
    <w:rsid w:val="00A90C9D"/>
    <w:rsid w:val="00A921BD"/>
    <w:rsid w:val="00A92307"/>
    <w:rsid w:val="00A92F4A"/>
    <w:rsid w:val="00A93B96"/>
    <w:rsid w:val="00A9419F"/>
    <w:rsid w:val="00A94F1E"/>
    <w:rsid w:val="00A94FB6"/>
    <w:rsid w:val="00A9526D"/>
    <w:rsid w:val="00A9531B"/>
    <w:rsid w:val="00A95563"/>
    <w:rsid w:val="00A95A88"/>
    <w:rsid w:val="00A961D6"/>
    <w:rsid w:val="00A96846"/>
    <w:rsid w:val="00A96975"/>
    <w:rsid w:val="00A96DFD"/>
    <w:rsid w:val="00A97029"/>
    <w:rsid w:val="00A9707E"/>
    <w:rsid w:val="00A9739F"/>
    <w:rsid w:val="00AA1B63"/>
    <w:rsid w:val="00AA3188"/>
    <w:rsid w:val="00AA3A63"/>
    <w:rsid w:val="00AA420D"/>
    <w:rsid w:val="00AA4AA8"/>
    <w:rsid w:val="00AA5277"/>
    <w:rsid w:val="00AA5ABD"/>
    <w:rsid w:val="00AA5FE7"/>
    <w:rsid w:val="00AA61D5"/>
    <w:rsid w:val="00AA6A09"/>
    <w:rsid w:val="00AA71C8"/>
    <w:rsid w:val="00AB1261"/>
    <w:rsid w:val="00AB18B6"/>
    <w:rsid w:val="00AB2325"/>
    <w:rsid w:val="00AB235F"/>
    <w:rsid w:val="00AB2C8C"/>
    <w:rsid w:val="00AB350B"/>
    <w:rsid w:val="00AB444A"/>
    <w:rsid w:val="00AB4980"/>
    <w:rsid w:val="00AB5AA0"/>
    <w:rsid w:val="00AC0468"/>
    <w:rsid w:val="00AC0E74"/>
    <w:rsid w:val="00AC15CF"/>
    <w:rsid w:val="00AC16CA"/>
    <w:rsid w:val="00AC2390"/>
    <w:rsid w:val="00AC303A"/>
    <w:rsid w:val="00AC405E"/>
    <w:rsid w:val="00AC5979"/>
    <w:rsid w:val="00AC6961"/>
    <w:rsid w:val="00AC6C73"/>
    <w:rsid w:val="00AC7434"/>
    <w:rsid w:val="00AC7875"/>
    <w:rsid w:val="00AD0906"/>
    <w:rsid w:val="00AD100E"/>
    <w:rsid w:val="00AD114F"/>
    <w:rsid w:val="00AD3919"/>
    <w:rsid w:val="00AD47F3"/>
    <w:rsid w:val="00AD4B3D"/>
    <w:rsid w:val="00AD5196"/>
    <w:rsid w:val="00AD5662"/>
    <w:rsid w:val="00AD56B4"/>
    <w:rsid w:val="00AD57BC"/>
    <w:rsid w:val="00AD5906"/>
    <w:rsid w:val="00AD640F"/>
    <w:rsid w:val="00AD7EA8"/>
    <w:rsid w:val="00AE058C"/>
    <w:rsid w:val="00AE082E"/>
    <w:rsid w:val="00AE0AF8"/>
    <w:rsid w:val="00AE0D0D"/>
    <w:rsid w:val="00AE1688"/>
    <w:rsid w:val="00AE1C14"/>
    <w:rsid w:val="00AE1C48"/>
    <w:rsid w:val="00AE2478"/>
    <w:rsid w:val="00AE3376"/>
    <w:rsid w:val="00AE47FE"/>
    <w:rsid w:val="00AE708C"/>
    <w:rsid w:val="00AE732F"/>
    <w:rsid w:val="00AE7B01"/>
    <w:rsid w:val="00AF074C"/>
    <w:rsid w:val="00AF0E47"/>
    <w:rsid w:val="00AF2EEA"/>
    <w:rsid w:val="00AF453F"/>
    <w:rsid w:val="00AF47C8"/>
    <w:rsid w:val="00AF5C5B"/>
    <w:rsid w:val="00AF6351"/>
    <w:rsid w:val="00AF6BCB"/>
    <w:rsid w:val="00AF716F"/>
    <w:rsid w:val="00B004D4"/>
    <w:rsid w:val="00B03AF0"/>
    <w:rsid w:val="00B03F4D"/>
    <w:rsid w:val="00B044BC"/>
    <w:rsid w:val="00B04534"/>
    <w:rsid w:val="00B05373"/>
    <w:rsid w:val="00B0547F"/>
    <w:rsid w:val="00B054F3"/>
    <w:rsid w:val="00B067E6"/>
    <w:rsid w:val="00B0778E"/>
    <w:rsid w:val="00B1067A"/>
    <w:rsid w:val="00B10885"/>
    <w:rsid w:val="00B10AB1"/>
    <w:rsid w:val="00B11A88"/>
    <w:rsid w:val="00B12082"/>
    <w:rsid w:val="00B12260"/>
    <w:rsid w:val="00B137BC"/>
    <w:rsid w:val="00B13B10"/>
    <w:rsid w:val="00B13F00"/>
    <w:rsid w:val="00B14B51"/>
    <w:rsid w:val="00B1557C"/>
    <w:rsid w:val="00B156E1"/>
    <w:rsid w:val="00B162F8"/>
    <w:rsid w:val="00B2064E"/>
    <w:rsid w:val="00B20A0C"/>
    <w:rsid w:val="00B222B1"/>
    <w:rsid w:val="00B2290F"/>
    <w:rsid w:val="00B22A06"/>
    <w:rsid w:val="00B240F5"/>
    <w:rsid w:val="00B2438A"/>
    <w:rsid w:val="00B25433"/>
    <w:rsid w:val="00B25497"/>
    <w:rsid w:val="00B2576A"/>
    <w:rsid w:val="00B2626C"/>
    <w:rsid w:val="00B26657"/>
    <w:rsid w:val="00B30EAA"/>
    <w:rsid w:val="00B31E86"/>
    <w:rsid w:val="00B32B8F"/>
    <w:rsid w:val="00B34F27"/>
    <w:rsid w:val="00B36D41"/>
    <w:rsid w:val="00B36E89"/>
    <w:rsid w:val="00B3728B"/>
    <w:rsid w:val="00B37F1E"/>
    <w:rsid w:val="00B408B6"/>
    <w:rsid w:val="00B4113D"/>
    <w:rsid w:val="00B413A2"/>
    <w:rsid w:val="00B4168A"/>
    <w:rsid w:val="00B41968"/>
    <w:rsid w:val="00B41A64"/>
    <w:rsid w:val="00B41C12"/>
    <w:rsid w:val="00B42927"/>
    <w:rsid w:val="00B42E1E"/>
    <w:rsid w:val="00B45B20"/>
    <w:rsid w:val="00B45B21"/>
    <w:rsid w:val="00B4664D"/>
    <w:rsid w:val="00B4666F"/>
    <w:rsid w:val="00B46CF7"/>
    <w:rsid w:val="00B50E24"/>
    <w:rsid w:val="00B512EE"/>
    <w:rsid w:val="00B514FF"/>
    <w:rsid w:val="00B523A1"/>
    <w:rsid w:val="00B526CE"/>
    <w:rsid w:val="00B52852"/>
    <w:rsid w:val="00B531ED"/>
    <w:rsid w:val="00B53574"/>
    <w:rsid w:val="00B54595"/>
    <w:rsid w:val="00B5495D"/>
    <w:rsid w:val="00B55226"/>
    <w:rsid w:val="00B57325"/>
    <w:rsid w:val="00B60027"/>
    <w:rsid w:val="00B608E2"/>
    <w:rsid w:val="00B60FEF"/>
    <w:rsid w:val="00B61247"/>
    <w:rsid w:val="00B61908"/>
    <w:rsid w:val="00B63AE9"/>
    <w:rsid w:val="00B6431E"/>
    <w:rsid w:val="00B6478B"/>
    <w:rsid w:val="00B65246"/>
    <w:rsid w:val="00B656C8"/>
    <w:rsid w:val="00B662B0"/>
    <w:rsid w:val="00B66969"/>
    <w:rsid w:val="00B670FF"/>
    <w:rsid w:val="00B67282"/>
    <w:rsid w:val="00B675C1"/>
    <w:rsid w:val="00B7048E"/>
    <w:rsid w:val="00B70B80"/>
    <w:rsid w:val="00B711A6"/>
    <w:rsid w:val="00B7129E"/>
    <w:rsid w:val="00B71564"/>
    <w:rsid w:val="00B717BF"/>
    <w:rsid w:val="00B7197A"/>
    <w:rsid w:val="00B71F3F"/>
    <w:rsid w:val="00B72158"/>
    <w:rsid w:val="00B72198"/>
    <w:rsid w:val="00B72CEA"/>
    <w:rsid w:val="00B73154"/>
    <w:rsid w:val="00B7375F"/>
    <w:rsid w:val="00B73D2C"/>
    <w:rsid w:val="00B73E07"/>
    <w:rsid w:val="00B73E7F"/>
    <w:rsid w:val="00B7511D"/>
    <w:rsid w:val="00B75AF7"/>
    <w:rsid w:val="00B76BE0"/>
    <w:rsid w:val="00B7720C"/>
    <w:rsid w:val="00B77EEE"/>
    <w:rsid w:val="00B80913"/>
    <w:rsid w:val="00B8139C"/>
    <w:rsid w:val="00B822ED"/>
    <w:rsid w:val="00B824B9"/>
    <w:rsid w:val="00B82934"/>
    <w:rsid w:val="00B82AA9"/>
    <w:rsid w:val="00B837B6"/>
    <w:rsid w:val="00B85169"/>
    <w:rsid w:val="00B864AE"/>
    <w:rsid w:val="00B86822"/>
    <w:rsid w:val="00B87523"/>
    <w:rsid w:val="00B87A23"/>
    <w:rsid w:val="00B90C96"/>
    <w:rsid w:val="00B91011"/>
    <w:rsid w:val="00B918A7"/>
    <w:rsid w:val="00B91A8D"/>
    <w:rsid w:val="00B93EEA"/>
    <w:rsid w:val="00B9473D"/>
    <w:rsid w:val="00B95524"/>
    <w:rsid w:val="00B95988"/>
    <w:rsid w:val="00B95A1D"/>
    <w:rsid w:val="00B964C1"/>
    <w:rsid w:val="00B97257"/>
    <w:rsid w:val="00B975F8"/>
    <w:rsid w:val="00B97BAD"/>
    <w:rsid w:val="00BA00FC"/>
    <w:rsid w:val="00BA28BC"/>
    <w:rsid w:val="00BA2967"/>
    <w:rsid w:val="00BA34AD"/>
    <w:rsid w:val="00BA39E8"/>
    <w:rsid w:val="00BA4B2A"/>
    <w:rsid w:val="00BA6C2B"/>
    <w:rsid w:val="00BB043F"/>
    <w:rsid w:val="00BB053A"/>
    <w:rsid w:val="00BB10A6"/>
    <w:rsid w:val="00BB1799"/>
    <w:rsid w:val="00BB28A8"/>
    <w:rsid w:val="00BB2ACA"/>
    <w:rsid w:val="00BB40C3"/>
    <w:rsid w:val="00BB5F61"/>
    <w:rsid w:val="00BB61C7"/>
    <w:rsid w:val="00BB69FF"/>
    <w:rsid w:val="00BB7627"/>
    <w:rsid w:val="00BC16CE"/>
    <w:rsid w:val="00BC19AA"/>
    <w:rsid w:val="00BC2A30"/>
    <w:rsid w:val="00BC2BAD"/>
    <w:rsid w:val="00BC38DF"/>
    <w:rsid w:val="00BC3AB8"/>
    <w:rsid w:val="00BC3CD6"/>
    <w:rsid w:val="00BC6AC7"/>
    <w:rsid w:val="00BC708B"/>
    <w:rsid w:val="00BC7441"/>
    <w:rsid w:val="00BD018C"/>
    <w:rsid w:val="00BD1442"/>
    <w:rsid w:val="00BD182A"/>
    <w:rsid w:val="00BD1D8F"/>
    <w:rsid w:val="00BD277F"/>
    <w:rsid w:val="00BD2CD2"/>
    <w:rsid w:val="00BD3121"/>
    <w:rsid w:val="00BD33AF"/>
    <w:rsid w:val="00BD38F7"/>
    <w:rsid w:val="00BD545A"/>
    <w:rsid w:val="00BD7237"/>
    <w:rsid w:val="00BD7BC8"/>
    <w:rsid w:val="00BE0926"/>
    <w:rsid w:val="00BE0EAC"/>
    <w:rsid w:val="00BE31C6"/>
    <w:rsid w:val="00BE347E"/>
    <w:rsid w:val="00BE5079"/>
    <w:rsid w:val="00BE59A5"/>
    <w:rsid w:val="00BE6A9F"/>
    <w:rsid w:val="00BE7C2E"/>
    <w:rsid w:val="00BE7DF3"/>
    <w:rsid w:val="00BF1787"/>
    <w:rsid w:val="00BF1C2D"/>
    <w:rsid w:val="00BF252F"/>
    <w:rsid w:val="00BF2735"/>
    <w:rsid w:val="00BF2F7B"/>
    <w:rsid w:val="00BF3635"/>
    <w:rsid w:val="00BF738E"/>
    <w:rsid w:val="00BF7477"/>
    <w:rsid w:val="00BF7B12"/>
    <w:rsid w:val="00C0018F"/>
    <w:rsid w:val="00C01812"/>
    <w:rsid w:val="00C021CF"/>
    <w:rsid w:val="00C02BD1"/>
    <w:rsid w:val="00C0334A"/>
    <w:rsid w:val="00C03521"/>
    <w:rsid w:val="00C035F9"/>
    <w:rsid w:val="00C03A74"/>
    <w:rsid w:val="00C03BB7"/>
    <w:rsid w:val="00C0402F"/>
    <w:rsid w:val="00C04611"/>
    <w:rsid w:val="00C06810"/>
    <w:rsid w:val="00C06AB4"/>
    <w:rsid w:val="00C076AD"/>
    <w:rsid w:val="00C078B3"/>
    <w:rsid w:val="00C1027E"/>
    <w:rsid w:val="00C13705"/>
    <w:rsid w:val="00C14126"/>
    <w:rsid w:val="00C14CE5"/>
    <w:rsid w:val="00C15204"/>
    <w:rsid w:val="00C15B60"/>
    <w:rsid w:val="00C16DBC"/>
    <w:rsid w:val="00C170C5"/>
    <w:rsid w:val="00C17230"/>
    <w:rsid w:val="00C232C6"/>
    <w:rsid w:val="00C233EF"/>
    <w:rsid w:val="00C23569"/>
    <w:rsid w:val="00C249D8"/>
    <w:rsid w:val="00C24D41"/>
    <w:rsid w:val="00C25AC1"/>
    <w:rsid w:val="00C26170"/>
    <w:rsid w:val="00C270D1"/>
    <w:rsid w:val="00C30025"/>
    <w:rsid w:val="00C31C9D"/>
    <w:rsid w:val="00C3254A"/>
    <w:rsid w:val="00C329A2"/>
    <w:rsid w:val="00C331E7"/>
    <w:rsid w:val="00C334B7"/>
    <w:rsid w:val="00C33CA3"/>
    <w:rsid w:val="00C34CB5"/>
    <w:rsid w:val="00C35EC8"/>
    <w:rsid w:val="00C36178"/>
    <w:rsid w:val="00C365B9"/>
    <w:rsid w:val="00C36900"/>
    <w:rsid w:val="00C37937"/>
    <w:rsid w:val="00C37D8A"/>
    <w:rsid w:val="00C37F37"/>
    <w:rsid w:val="00C404A5"/>
    <w:rsid w:val="00C404E2"/>
    <w:rsid w:val="00C4065A"/>
    <w:rsid w:val="00C40A58"/>
    <w:rsid w:val="00C40B46"/>
    <w:rsid w:val="00C40C0A"/>
    <w:rsid w:val="00C412B4"/>
    <w:rsid w:val="00C413D6"/>
    <w:rsid w:val="00C41A7D"/>
    <w:rsid w:val="00C42FF3"/>
    <w:rsid w:val="00C43237"/>
    <w:rsid w:val="00C440A7"/>
    <w:rsid w:val="00C44563"/>
    <w:rsid w:val="00C4478A"/>
    <w:rsid w:val="00C447FD"/>
    <w:rsid w:val="00C44BA2"/>
    <w:rsid w:val="00C45C56"/>
    <w:rsid w:val="00C46082"/>
    <w:rsid w:val="00C464FB"/>
    <w:rsid w:val="00C47094"/>
    <w:rsid w:val="00C479EC"/>
    <w:rsid w:val="00C5024F"/>
    <w:rsid w:val="00C50B38"/>
    <w:rsid w:val="00C51630"/>
    <w:rsid w:val="00C51864"/>
    <w:rsid w:val="00C51ECD"/>
    <w:rsid w:val="00C52007"/>
    <w:rsid w:val="00C52755"/>
    <w:rsid w:val="00C527E8"/>
    <w:rsid w:val="00C52BD6"/>
    <w:rsid w:val="00C52F4B"/>
    <w:rsid w:val="00C5347C"/>
    <w:rsid w:val="00C53754"/>
    <w:rsid w:val="00C540D0"/>
    <w:rsid w:val="00C5440F"/>
    <w:rsid w:val="00C5454A"/>
    <w:rsid w:val="00C551BD"/>
    <w:rsid w:val="00C55A8D"/>
    <w:rsid w:val="00C55B1E"/>
    <w:rsid w:val="00C55D8F"/>
    <w:rsid w:val="00C56C5A"/>
    <w:rsid w:val="00C6035E"/>
    <w:rsid w:val="00C606D8"/>
    <w:rsid w:val="00C6127A"/>
    <w:rsid w:val="00C61506"/>
    <w:rsid w:val="00C639B5"/>
    <w:rsid w:val="00C64B1F"/>
    <w:rsid w:val="00C651A6"/>
    <w:rsid w:val="00C65E16"/>
    <w:rsid w:val="00C6661B"/>
    <w:rsid w:val="00C666D5"/>
    <w:rsid w:val="00C66A5E"/>
    <w:rsid w:val="00C67460"/>
    <w:rsid w:val="00C71996"/>
    <w:rsid w:val="00C71EC6"/>
    <w:rsid w:val="00C725F3"/>
    <w:rsid w:val="00C72C99"/>
    <w:rsid w:val="00C75B68"/>
    <w:rsid w:val="00C76D19"/>
    <w:rsid w:val="00C7752B"/>
    <w:rsid w:val="00C802D2"/>
    <w:rsid w:val="00C81D2E"/>
    <w:rsid w:val="00C81DEE"/>
    <w:rsid w:val="00C822F8"/>
    <w:rsid w:val="00C8251B"/>
    <w:rsid w:val="00C83482"/>
    <w:rsid w:val="00C83A6F"/>
    <w:rsid w:val="00C84C55"/>
    <w:rsid w:val="00C8628D"/>
    <w:rsid w:val="00C8655A"/>
    <w:rsid w:val="00C87583"/>
    <w:rsid w:val="00C879E8"/>
    <w:rsid w:val="00C90572"/>
    <w:rsid w:val="00C90732"/>
    <w:rsid w:val="00C9074D"/>
    <w:rsid w:val="00C90773"/>
    <w:rsid w:val="00C90777"/>
    <w:rsid w:val="00C9167B"/>
    <w:rsid w:val="00C927AB"/>
    <w:rsid w:val="00C92BE0"/>
    <w:rsid w:val="00C92D6F"/>
    <w:rsid w:val="00C93894"/>
    <w:rsid w:val="00C93927"/>
    <w:rsid w:val="00C93DEA"/>
    <w:rsid w:val="00C9655A"/>
    <w:rsid w:val="00C967BA"/>
    <w:rsid w:val="00C96E39"/>
    <w:rsid w:val="00C96F3C"/>
    <w:rsid w:val="00C97351"/>
    <w:rsid w:val="00C9795F"/>
    <w:rsid w:val="00C97CDD"/>
    <w:rsid w:val="00C97D8E"/>
    <w:rsid w:val="00CA084C"/>
    <w:rsid w:val="00CA2A23"/>
    <w:rsid w:val="00CA3B04"/>
    <w:rsid w:val="00CA44BC"/>
    <w:rsid w:val="00CA5136"/>
    <w:rsid w:val="00CA5B54"/>
    <w:rsid w:val="00CA5D6B"/>
    <w:rsid w:val="00CA61FC"/>
    <w:rsid w:val="00CA729E"/>
    <w:rsid w:val="00CA752C"/>
    <w:rsid w:val="00CA7816"/>
    <w:rsid w:val="00CB009F"/>
    <w:rsid w:val="00CB00CE"/>
    <w:rsid w:val="00CB01BE"/>
    <w:rsid w:val="00CB0414"/>
    <w:rsid w:val="00CB0C4E"/>
    <w:rsid w:val="00CB146E"/>
    <w:rsid w:val="00CB19C4"/>
    <w:rsid w:val="00CB1B2F"/>
    <w:rsid w:val="00CB1F9C"/>
    <w:rsid w:val="00CB221F"/>
    <w:rsid w:val="00CB2FB1"/>
    <w:rsid w:val="00CB309A"/>
    <w:rsid w:val="00CB4ED2"/>
    <w:rsid w:val="00CB6911"/>
    <w:rsid w:val="00CC18A4"/>
    <w:rsid w:val="00CC1AC7"/>
    <w:rsid w:val="00CC3524"/>
    <w:rsid w:val="00CC3D20"/>
    <w:rsid w:val="00CC40F4"/>
    <w:rsid w:val="00CC41F9"/>
    <w:rsid w:val="00CC4336"/>
    <w:rsid w:val="00CC56C0"/>
    <w:rsid w:val="00CC65C7"/>
    <w:rsid w:val="00CC6C98"/>
    <w:rsid w:val="00CD00BC"/>
    <w:rsid w:val="00CD0DF3"/>
    <w:rsid w:val="00CD1B65"/>
    <w:rsid w:val="00CD1FBC"/>
    <w:rsid w:val="00CD37ED"/>
    <w:rsid w:val="00CD3C04"/>
    <w:rsid w:val="00CD3C10"/>
    <w:rsid w:val="00CD3C3C"/>
    <w:rsid w:val="00CD3E5B"/>
    <w:rsid w:val="00CD44E8"/>
    <w:rsid w:val="00CD4FE4"/>
    <w:rsid w:val="00CD5B8F"/>
    <w:rsid w:val="00CD63AE"/>
    <w:rsid w:val="00CE028F"/>
    <w:rsid w:val="00CE1B39"/>
    <w:rsid w:val="00CE22C4"/>
    <w:rsid w:val="00CE30F9"/>
    <w:rsid w:val="00CE38FA"/>
    <w:rsid w:val="00CE5CAB"/>
    <w:rsid w:val="00CE6072"/>
    <w:rsid w:val="00CE61DE"/>
    <w:rsid w:val="00CE662A"/>
    <w:rsid w:val="00CE68C5"/>
    <w:rsid w:val="00CE69D1"/>
    <w:rsid w:val="00CE70FB"/>
    <w:rsid w:val="00CE7F70"/>
    <w:rsid w:val="00CF17EA"/>
    <w:rsid w:val="00CF1DA1"/>
    <w:rsid w:val="00CF2FD5"/>
    <w:rsid w:val="00CF360D"/>
    <w:rsid w:val="00CF4C7E"/>
    <w:rsid w:val="00CF4E5A"/>
    <w:rsid w:val="00CF537D"/>
    <w:rsid w:val="00CF70D6"/>
    <w:rsid w:val="00CF73A6"/>
    <w:rsid w:val="00D00940"/>
    <w:rsid w:val="00D009F6"/>
    <w:rsid w:val="00D00B3D"/>
    <w:rsid w:val="00D00EE8"/>
    <w:rsid w:val="00D0167F"/>
    <w:rsid w:val="00D01BBA"/>
    <w:rsid w:val="00D01DFC"/>
    <w:rsid w:val="00D039CE"/>
    <w:rsid w:val="00D03EA2"/>
    <w:rsid w:val="00D04BA3"/>
    <w:rsid w:val="00D05241"/>
    <w:rsid w:val="00D05575"/>
    <w:rsid w:val="00D06130"/>
    <w:rsid w:val="00D063E2"/>
    <w:rsid w:val="00D0688F"/>
    <w:rsid w:val="00D06C3E"/>
    <w:rsid w:val="00D06E87"/>
    <w:rsid w:val="00D074CB"/>
    <w:rsid w:val="00D074D1"/>
    <w:rsid w:val="00D07ABC"/>
    <w:rsid w:val="00D118BD"/>
    <w:rsid w:val="00D11F5C"/>
    <w:rsid w:val="00D12D48"/>
    <w:rsid w:val="00D13C76"/>
    <w:rsid w:val="00D146CB"/>
    <w:rsid w:val="00D15738"/>
    <w:rsid w:val="00D16215"/>
    <w:rsid w:val="00D1657D"/>
    <w:rsid w:val="00D2157E"/>
    <w:rsid w:val="00D21CE1"/>
    <w:rsid w:val="00D22AE7"/>
    <w:rsid w:val="00D2424C"/>
    <w:rsid w:val="00D24F42"/>
    <w:rsid w:val="00D2550B"/>
    <w:rsid w:val="00D26E5D"/>
    <w:rsid w:val="00D271FF"/>
    <w:rsid w:val="00D300F8"/>
    <w:rsid w:val="00D3058D"/>
    <w:rsid w:val="00D30FFA"/>
    <w:rsid w:val="00D33073"/>
    <w:rsid w:val="00D3367E"/>
    <w:rsid w:val="00D33956"/>
    <w:rsid w:val="00D340E6"/>
    <w:rsid w:val="00D34993"/>
    <w:rsid w:val="00D34F1B"/>
    <w:rsid w:val="00D36789"/>
    <w:rsid w:val="00D404CF"/>
    <w:rsid w:val="00D41229"/>
    <w:rsid w:val="00D41D0B"/>
    <w:rsid w:val="00D42C41"/>
    <w:rsid w:val="00D4366E"/>
    <w:rsid w:val="00D4367A"/>
    <w:rsid w:val="00D437A1"/>
    <w:rsid w:val="00D43DBA"/>
    <w:rsid w:val="00D461D6"/>
    <w:rsid w:val="00D46F03"/>
    <w:rsid w:val="00D47B63"/>
    <w:rsid w:val="00D47F51"/>
    <w:rsid w:val="00D50326"/>
    <w:rsid w:val="00D50DC7"/>
    <w:rsid w:val="00D50EEB"/>
    <w:rsid w:val="00D51C57"/>
    <w:rsid w:val="00D521F5"/>
    <w:rsid w:val="00D52D65"/>
    <w:rsid w:val="00D55251"/>
    <w:rsid w:val="00D55419"/>
    <w:rsid w:val="00D5544B"/>
    <w:rsid w:val="00D56A81"/>
    <w:rsid w:val="00D56C07"/>
    <w:rsid w:val="00D56C7A"/>
    <w:rsid w:val="00D57C85"/>
    <w:rsid w:val="00D57CE4"/>
    <w:rsid w:val="00D57D13"/>
    <w:rsid w:val="00D57F17"/>
    <w:rsid w:val="00D603D8"/>
    <w:rsid w:val="00D6243F"/>
    <w:rsid w:val="00D63B0E"/>
    <w:rsid w:val="00D6403A"/>
    <w:rsid w:val="00D65B94"/>
    <w:rsid w:val="00D6687F"/>
    <w:rsid w:val="00D671C7"/>
    <w:rsid w:val="00D67699"/>
    <w:rsid w:val="00D67DC0"/>
    <w:rsid w:val="00D704B8"/>
    <w:rsid w:val="00D70518"/>
    <w:rsid w:val="00D71684"/>
    <w:rsid w:val="00D72A10"/>
    <w:rsid w:val="00D74251"/>
    <w:rsid w:val="00D75911"/>
    <w:rsid w:val="00D774C6"/>
    <w:rsid w:val="00D77C67"/>
    <w:rsid w:val="00D80163"/>
    <w:rsid w:val="00D802E4"/>
    <w:rsid w:val="00D819EC"/>
    <w:rsid w:val="00D83294"/>
    <w:rsid w:val="00D84C03"/>
    <w:rsid w:val="00D84CCB"/>
    <w:rsid w:val="00D84E18"/>
    <w:rsid w:val="00D84F07"/>
    <w:rsid w:val="00D85B43"/>
    <w:rsid w:val="00D87586"/>
    <w:rsid w:val="00D9084A"/>
    <w:rsid w:val="00D90D76"/>
    <w:rsid w:val="00D91897"/>
    <w:rsid w:val="00D91DBA"/>
    <w:rsid w:val="00D929FB"/>
    <w:rsid w:val="00D930DD"/>
    <w:rsid w:val="00D93BB3"/>
    <w:rsid w:val="00D94D08"/>
    <w:rsid w:val="00D95125"/>
    <w:rsid w:val="00D95626"/>
    <w:rsid w:val="00D9630F"/>
    <w:rsid w:val="00D97890"/>
    <w:rsid w:val="00DA0BB3"/>
    <w:rsid w:val="00DA0D21"/>
    <w:rsid w:val="00DA110A"/>
    <w:rsid w:val="00DA2E1F"/>
    <w:rsid w:val="00DA43E5"/>
    <w:rsid w:val="00DA481C"/>
    <w:rsid w:val="00DA4E97"/>
    <w:rsid w:val="00DA51AD"/>
    <w:rsid w:val="00DA6083"/>
    <w:rsid w:val="00DA6A99"/>
    <w:rsid w:val="00DA7948"/>
    <w:rsid w:val="00DA7B44"/>
    <w:rsid w:val="00DB02C8"/>
    <w:rsid w:val="00DB0E6D"/>
    <w:rsid w:val="00DB1318"/>
    <w:rsid w:val="00DB1CA5"/>
    <w:rsid w:val="00DB2470"/>
    <w:rsid w:val="00DB2C97"/>
    <w:rsid w:val="00DB4BD2"/>
    <w:rsid w:val="00DB6AE7"/>
    <w:rsid w:val="00DB6CD9"/>
    <w:rsid w:val="00DB6CF2"/>
    <w:rsid w:val="00DC0706"/>
    <w:rsid w:val="00DC0E82"/>
    <w:rsid w:val="00DC19D9"/>
    <w:rsid w:val="00DC1F8C"/>
    <w:rsid w:val="00DC5C75"/>
    <w:rsid w:val="00DC6243"/>
    <w:rsid w:val="00DC65D9"/>
    <w:rsid w:val="00DC6B1A"/>
    <w:rsid w:val="00DC7F35"/>
    <w:rsid w:val="00DC7FB4"/>
    <w:rsid w:val="00DD0161"/>
    <w:rsid w:val="00DD0828"/>
    <w:rsid w:val="00DD2022"/>
    <w:rsid w:val="00DD2325"/>
    <w:rsid w:val="00DD3FD3"/>
    <w:rsid w:val="00DD469E"/>
    <w:rsid w:val="00DD481E"/>
    <w:rsid w:val="00DD5F3D"/>
    <w:rsid w:val="00DD78EA"/>
    <w:rsid w:val="00DE0745"/>
    <w:rsid w:val="00DE07D5"/>
    <w:rsid w:val="00DE26A6"/>
    <w:rsid w:val="00DE3181"/>
    <w:rsid w:val="00DE5043"/>
    <w:rsid w:val="00DE5243"/>
    <w:rsid w:val="00DE6CBB"/>
    <w:rsid w:val="00DE73A6"/>
    <w:rsid w:val="00DE7476"/>
    <w:rsid w:val="00DE7EBC"/>
    <w:rsid w:val="00DF0853"/>
    <w:rsid w:val="00DF38E4"/>
    <w:rsid w:val="00DF3E80"/>
    <w:rsid w:val="00DF44BE"/>
    <w:rsid w:val="00DF64FD"/>
    <w:rsid w:val="00E0023F"/>
    <w:rsid w:val="00E007E4"/>
    <w:rsid w:val="00E00C60"/>
    <w:rsid w:val="00E034B3"/>
    <w:rsid w:val="00E05AF6"/>
    <w:rsid w:val="00E05B0E"/>
    <w:rsid w:val="00E06644"/>
    <w:rsid w:val="00E07CFB"/>
    <w:rsid w:val="00E10958"/>
    <w:rsid w:val="00E10B61"/>
    <w:rsid w:val="00E1108C"/>
    <w:rsid w:val="00E11B23"/>
    <w:rsid w:val="00E11BAB"/>
    <w:rsid w:val="00E127AC"/>
    <w:rsid w:val="00E12FEA"/>
    <w:rsid w:val="00E13889"/>
    <w:rsid w:val="00E13EEC"/>
    <w:rsid w:val="00E14318"/>
    <w:rsid w:val="00E143CB"/>
    <w:rsid w:val="00E14EB5"/>
    <w:rsid w:val="00E155FD"/>
    <w:rsid w:val="00E156B2"/>
    <w:rsid w:val="00E16B51"/>
    <w:rsid w:val="00E16D96"/>
    <w:rsid w:val="00E1718D"/>
    <w:rsid w:val="00E172E8"/>
    <w:rsid w:val="00E20247"/>
    <w:rsid w:val="00E23178"/>
    <w:rsid w:val="00E24EF9"/>
    <w:rsid w:val="00E24FB9"/>
    <w:rsid w:val="00E26CD1"/>
    <w:rsid w:val="00E26F82"/>
    <w:rsid w:val="00E27AC3"/>
    <w:rsid w:val="00E27CE9"/>
    <w:rsid w:val="00E309BE"/>
    <w:rsid w:val="00E31202"/>
    <w:rsid w:val="00E3166E"/>
    <w:rsid w:val="00E316EA"/>
    <w:rsid w:val="00E32C78"/>
    <w:rsid w:val="00E3345F"/>
    <w:rsid w:val="00E33EBE"/>
    <w:rsid w:val="00E34106"/>
    <w:rsid w:val="00E35189"/>
    <w:rsid w:val="00E4144C"/>
    <w:rsid w:val="00E42FB3"/>
    <w:rsid w:val="00E432CA"/>
    <w:rsid w:val="00E43519"/>
    <w:rsid w:val="00E43629"/>
    <w:rsid w:val="00E4396B"/>
    <w:rsid w:val="00E44149"/>
    <w:rsid w:val="00E4445C"/>
    <w:rsid w:val="00E4447A"/>
    <w:rsid w:val="00E44628"/>
    <w:rsid w:val="00E44774"/>
    <w:rsid w:val="00E44D80"/>
    <w:rsid w:val="00E44ECA"/>
    <w:rsid w:val="00E45349"/>
    <w:rsid w:val="00E459C3"/>
    <w:rsid w:val="00E46771"/>
    <w:rsid w:val="00E46A9D"/>
    <w:rsid w:val="00E50624"/>
    <w:rsid w:val="00E50790"/>
    <w:rsid w:val="00E50BF0"/>
    <w:rsid w:val="00E51355"/>
    <w:rsid w:val="00E52FF3"/>
    <w:rsid w:val="00E5348F"/>
    <w:rsid w:val="00E537DD"/>
    <w:rsid w:val="00E53A61"/>
    <w:rsid w:val="00E53DF0"/>
    <w:rsid w:val="00E5587F"/>
    <w:rsid w:val="00E56271"/>
    <w:rsid w:val="00E569AC"/>
    <w:rsid w:val="00E571D0"/>
    <w:rsid w:val="00E57384"/>
    <w:rsid w:val="00E5755C"/>
    <w:rsid w:val="00E61096"/>
    <w:rsid w:val="00E61124"/>
    <w:rsid w:val="00E61C2A"/>
    <w:rsid w:val="00E61C80"/>
    <w:rsid w:val="00E62735"/>
    <w:rsid w:val="00E6578A"/>
    <w:rsid w:val="00E678BB"/>
    <w:rsid w:val="00E70FA7"/>
    <w:rsid w:val="00E712F7"/>
    <w:rsid w:val="00E71C89"/>
    <w:rsid w:val="00E726B2"/>
    <w:rsid w:val="00E7293B"/>
    <w:rsid w:val="00E72A49"/>
    <w:rsid w:val="00E73D8E"/>
    <w:rsid w:val="00E74109"/>
    <w:rsid w:val="00E750F1"/>
    <w:rsid w:val="00E75C4C"/>
    <w:rsid w:val="00E77603"/>
    <w:rsid w:val="00E80216"/>
    <w:rsid w:val="00E814E3"/>
    <w:rsid w:val="00E8188A"/>
    <w:rsid w:val="00E83542"/>
    <w:rsid w:val="00E835F5"/>
    <w:rsid w:val="00E83A03"/>
    <w:rsid w:val="00E83A41"/>
    <w:rsid w:val="00E84EC7"/>
    <w:rsid w:val="00E859FB"/>
    <w:rsid w:val="00E86B00"/>
    <w:rsid w:val="00E86DB0"/>
    <w:rsid w:val="00E877F9"/>
    <w:rsid w:val="00E87DE2"/>
    <w:rsid w:val="00E87F01"/>
    <w:rsid w:val="00E9172F"/>
    <w:rsid w:val="00E9466A"/>
    <w:rsid w:val="00E9499A"/>
    <w:rsid w:val="00E95067"/>
    <w:rsid w:val="00E96C35"/>
    <w:rsid w:val="00E97BD2"/>
    <w:rsid w:val="00EA074C"/>
    <w:rsid w:val="00EA0DE3"/>
    <w:rsid w:val="00EA0E4D"/>
    <w:rsid w:val="00EA1A75"/>
    <w:rsid w:val="00EA28CD"/>
    <w:rsid w:val="00EA2A94"/>
    <w:rsid w:val="00EA35B9"/>
    <w:rsid w:val="00EA5DDC"/>
    <w:rsid w:val="00EA6285"/>
    <w:rsid w:val="00EA6E5C"/>
    <w:rsid w:val="00EA7456"/>
    <w:rsid w:val="00EA7F44"/>
    <w:rsid w:val="00EB13E3"/>
    <w:rsid w:val="00EB1E0E"/>
    <w:rsid w:val="00EB31F7"/>
    <w:rsid w:val="00EB3F63"/>
    <w:rsid w:val="00EB490C"/>
    <w:rsid w:val="00EB49B2"/>
    <w:rsid w:val="00EB77D8"/>
    <w:rsid w:val="00EB7CEA"/>
    <w:rsid w:val="00EC02AE"/>
    <w:rsid w:val="00EC0E44"/>
    <w:rsid w:val="00EC0EAA"/>
    <w:rsid w:val="00EC100A"/>
    <w:rsid w:val="00EC3D15"/>
    <w:rsid w:val="00EC470B"/>
    <w:rsid w:val="00EC4B93"/>
    <w:rsid w:val="00EC4EAB"/>
    <w:rsid w:val="00EC6BEA"/>
    <w:rsid w:val="00ED1662"/>
    <w:rsid w:val="00ED1C66"/>
    <w:rsid w:val="00ED1FB9"/>
    <w:rsid w:val="00ED2B95"/>
    <w:rsid w:val="00ED3D6F"/>
    <w:rsid w:val="00ED4498"/>
    <w:rsid w:val="00ED515E"/>
    <w:rsid w:val="00ED5E0F"/>
    <w:rsid w:val="00ED5F7B"/>
    <w:rsid w:val="00ED604F"/>
    <w:rsid w:val="00ED6BF5"/>
    <w:rsid w:val="00ED7478"/>
    <w:rsid w:val="00EE03A3"/>
    <w:rsid w:val="00EE1699"/>
    <w:rsid w:val="00EE1B49"/>
    <w:rsid w:val="00EE1E82"/>
    <w:rsid w:val="00EE22CF"/>
    <w:rsid w:val="00EE4AA2"/>
    <w:rsid w:val="00EE4BF8"/>
    <w:rsid w:val="00EE4C77"/>
    <w:rsid w:val="00EE6719"/>
    <w:rsid w:val="00EE690D"/>
    <w:rsid w:val="00EE739D"/>
    <w:rsid w:val="00EF0569"/>
    <w:rsid w:val="00EF14C9"/>
    <w:rsid w:val="00EF15F7"/>
    <w:rsid w:val="00EF1728"/>
    <w:rsid w:val="00EF1C04"/>
    <w:rsid w:val="00EF1EE8"/>
    <w:rsid w:val="00EF2BD4"/>
    <w:rsid w:val="00EF2E61"/>
    <w:rsid w:val="00EF4D23"/>
    <w:rsid w:val="00EF63BE"/>
    <w:rsid w:val="00EF69B2"/>
    <w:rsid w:val="00F009E7"/>
    <w:rsid w:val="00F01821"/>
    <w:rsid w:val="00F01C91"/>
    <w:rsid w:val="00F01EA6"/>
    <w:rsid w:val="00F02133"/>
    <w:rsid w:val="00F02197"/>
    <w:rsid w:val="00F02711"/>
    <w:rsid w:val="00F02993"/>
    <w:rsid w:val="00F02C90"/>
    <w:rsid w:val="00F03C23"/>
    <w:rsid w:val="00F03E8A"/>
    <w:rsid w:val="00F04B2B"/>
    <w:rsid w:val="00F05514"/>
    <w:rsid w:val="00F05FB0"/>
    <w:rsid w:val="00F06652"/>
    <w:rsid w:val="00F10F95"/>
    <w:rsid w:val="00F11A57"/>
    <w:rsid w:val="00F11D4D"/>
    <w:rsid w:val="00F1224F"/>
    <w:rsid w:val="00F13A1D"/>
    <w:rsid w:val="00F15433"/>
    <w:rsid w:val="00F1554F"/>
    <w:rsid w:val="00F15612"/>
    <w:rsid w:val="00F15DDE"/>
    <w:rsid w:val="00F15E75"/>
    <w:rsid w:val="00F16F02"/>
    <w:rsid w:val="00F17039"/>
    <w:rsid w:val="00F172D2"/>
    <w:rsid w:val="00F17553"/>
    <w:rsid w:val="00F175DE"/>
    <w:rsid w:val="00F17C13"/>
    <w:rsid w:val="00F2220B"/>
    <w:rsid w:val="00F228FF"/>
    <w:rsid w:val="00F22C69"/>
    <w:rsid w:val="00F2331E"/>
    <w:rsid w:val="00F23B82"/>
    <w:rsid w:val="00F242C4"/>
    <w:rsid w:val="00F25267"/>
    <w:rsid w:val="00F26B56"/>
    <w:rsid w:val="00F27110"/>
    <w:rsid w:val="00F27497"/>
    <w:rsid w:val="00F27912"/>
    <w:rsid w:val="00F3012B"/>
    <w:rsid w:val="00F30300"/>
    <w:rsid w:val="00F32985"/>
    <w:rsid w:val="00F33374"/>
    <w:rsid w:val="00F336D9"/>
    <w:rsid w:val="00F3375E"/>
    <w:rsid w:val="00F33C9E"/>
    <w:rsid w:val="00F3457B"/>
    <w:rsid w:val="00F3466B"/>
    <w:rsid w:val="00F35455"/>
    <w:rsid w:val="00F35601"/>
    <w:rsid w:val="00F37E63"/>
    <w:rsid w:val="00F41F12"/>
    <w:rsid w:val="00F42538"/>
    <w:rsid w:val="00F45C19"/>
    <w:rsid w:val="00F465D2"/>
    <w:rsid w:val="00F511C0"/>
    <w:rsid w:val="00F53A7C"/>
    <w:rsid w:val="00F5477E"/>
    <w:rsid w:val="00F54EAD"/>
    <w:rsid w:val="00F54F19"/>
    <w:rsid w:val="00F56E98"/>
    <w:rsid w:val="00F57643"/>
    <w:rsid w:val="00F60B5B"/>
    <w:rsid w:val="00F61554"/>
    <w:rsid w:val="00F6281C"/>
    <w:rsid w:val="00F65FF9"/>
    <w:rsid w:val="00F660B6"/>
    <w:rsid w:val="00F670E9"/>
    <w:rsid w:val="00F719EC"/>
    <w:rsid w:val="00F73649"/>
    <w:rsid w:val="00F757C7"/>
    <w:rsid w:val="00F7591B"/>
    <w:rsid w:val="00F75C35"/>
    <w:rsid w:val="00F75F8F"/>
    <w:rsid w:val="00F76053"/>
    <w:rsid w:val="00F76347"/>
    <w:rsid w:val="00F76ECD"/>
    <w:rsid w:val="00F77393"/>
    <w:rsid w:val="00F828DA"/>
    <w:rsid w:val="00F82904"/>
    <w:rsid w:val="00F8388B"/>
    <w:rsid w:val="00F84AEA"/>
    <w:rsid w:val="00F856FC"/>
    <w:rsid w:val="00F860D6"/>
    <w:rsid w:val="00F86BD5"/>
    <w:rsid w:val="00F906A3"/>
    <w:rsid w:val="00F90B1C"/>
    <w:rsid w:val="00F91461"/>
    <w:rsid w:val="00F92D2D"/>
    <w:rsid w:val="00F93664"/>
    <w:rsid w:val="00F938CF"/>
    <w:rsid w:val="00F94B89"/>
    <w:rsid w:val="00F9606B"/>
    <w:rsid w:val="00F96341"/>
    <w:rsid w:val="00F96711"/>
    <w:rsid w:val="00F96DF2"/>
    <w:rsid w:val="00F97D20"/>
    <w:rsid w:val="00FA1D48"/>
    <w:rsid w:val="00FA3576"/>
    <w:rsid w:val="00FA541D"/>
    <w:rsid w:val="00FA5E0F"/>
    <w:rsid w:val="00FA7C27"/>
    <w:rsid w:val="00FB06A1"/>
    <w:rsid w:val="00FB14AC"/>
    <w:rsid w:val="00FB1906"/>
    <w:rsid w:val="00FB25A0"/>
    <w:rsid w:val="00FB2A97"/>
    <w:rsid w:val="00FB2FCF"/>
    <w:rsid w:val="00FB3F61"/>
    <w:rsid w:val="00FB4A5C"/>
    <w:rsid w:val="00FB4D7F"/>
    <w:rsid w:val="00FB4F98"/>
    <w:rsid w:val="00FB766D"/>
    <w:rsid w:val="00FC10B1"/>
    <w:rsid w:val="00FC2183"/>
    <w:rsid w:val="00FC2D3E"/>
    <w:rsid w:val="00FC691A"/>
    <w:rsid w:val="00FC75D8"/>
    <w:rsid w:val="00FC7AF7"/>
    <w:rsid w:val="00FC7EBB"/>
    <w:rsid w:val="00FD0197"/>
    <w:rsid w:val="00FD0458"/>
    <w:rsid w:val="00FD0A06"/>
    <w:rsid w:val="00FD119D"/>
    <w:rsid w:val="00FD12BE"/>
    <w:rsid w:val="00FD1396"/>
    <w:rsid w:val="00FD38F4"/>
    <w:rsid w:val="00FD454C"/>
    <w:rsid w:val="00FD470F"/>
    <w:rsid w:val="00FD4AF8"/>
    <w:rsid w:val="00FD6292"/>
    <w:rsid w:val="00FD6438"/>
    <w:rsid w:val="00FD6632"/>
    <w:rsid w:val="00FE051A"/>
    <w:rsid w:val="00FE0EA6"/>
    <w:rsid w:val="00FE23C3"/>
    <w:rsid w:val="00FE262A"/>
    <w:rsid w:val="00FE36CF"/>
    <w:rsid w:val="00FE3A0D"/>
    <w:rsid w:val="00FE46D4"/>
    <w:rsid w:val="00FE69A1"/>
    <w:rsid w:val="00FE754C"/>
    <w:rsid w:val="00FE7E68"/>
    <w:rsid w:val="00FF011D"/>
    <w:rsid w:val="00FF0D30"/>
    <w:rsid w:val="00FF0D97"/>
    <w:rsid w:val="00FF2606"/>
    <w:rsid w:val="00FF3384"/>
    <w:rsid w:val="00FF3627"/>
    <w:rsid w:val="00FF3AA5"/>
    <w:rsid w:val="00FF3CA7"/>
    <w:rsid w:val="00FF4830"/>
    <w:rsid w:val="00FF6E69"/>
    <w:rsid w:val="00FF7E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link w:val="BodyTextIndentChar"/>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uiPriority w:val="35"/>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link w:val="FootnoteTextChar"/>
    <w:uiPriority w:val="99"/>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13141D"/>
    <w:pPr>
      <w:keepNext/>
      <w:tabs>
        <w:tab w:val="right" w:pos="8278"/>
      </w:tabs>
      <w:spacing w:before="120"/>
      <w:ind w:left="1843" w:hanging="1843"/>
    </w:pPr>
    <w:rPr>
      <w:b/>
      <w:noProof/>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0D7783"/>
    <w:pPr>
      <w:keepNext/>
      <w:tabs>
        <w:tab w:val="right" w:pos="8278"/>
      </w:tabs>
      <w:spacing w:before="180" w:after="60"/>
      <w:ind w:left="1843" w:right="714" w:hanging="1843"/>
    </w:pPr>
    <w:rPr>
      <w:noProof/>
      <w:sz w:val="20"/>
      <w:lang w:eastAsia="en-US"/>
    </w:rPr>
  </w:style>
  <w:style w:type="paragraph" w:styleId="TOC4">
    <w:name w:val="toc 4"/>
    <w:basedOn w:val="Normal"/>
    <w:next w:val="Normal"/>
    <w:autoRedefine/>
    <w:uiPriority w:val="39"/>
    <w:rsid w:val="0013141D"/>
    <w:pPr>
      <w:keepNext/>
      <w:tabs>
        <w:tab w:val="right" w:pos="8278"/>
      </w:tabs>
      <w:spacing w:before="80"/>
      <w:ind w:left="1843" w:hanging="1843"/>
    </w:pPr>
    <w:rPr>
      <w:b/>
      <w:noProof/>
      <w:sz w:val="22"/>
      <w:szCs w:val="22"/>
      <w:lang w:eastAsia="en-US"/>
    </w:rPr>
  </w:style>
  <w:style w:type="paragraph" w:styleId="TOC5">
    <w:name w:val="toc 5"/>
    <w:basedOn w:val="Normal"/>
    <w:next w:val="Normal"/>
    <w:autoRedefine/>
    <w:uiPriority w:val="39"/>
    <w:rsid w:val="009A4450"/>
    <w:pPr>
      <w:tabs>
        <w:tab w:val="left" w:pos="567"/>
        <w:tab w:val="left" w:pos="1843"/>
        <w:tab w:val="right" w:pos="8278"/>
      </w:tabs>
      <w:spacing w:before="40"/>
      <w:ind w:right="91"/>
    </w:pPr>
    <w:rPr>
      <w:b/>
      <w:noProof/>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FC10B1"/>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FC10B1"/>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FC10B1"/>
    <w:rPr>
      <w:rFonts w:eastAsia="Calibri"/>
      <w:sz w:val="24"/>
      <w:szCs w:val="22"/>
      <w:lang w:eastAsia="en-US"/>
    </w:rPr>
  </w:style>
  <w:style w:type="paragraph" w:customStyle="1" w:styleId="OutlineNumbered2">
    <w:name w:val="Outline Numbered 2"/>
    <w:basedOn w:val="Normal"/>
    <w:rsid w:val="00FC10B1"/>
    <w:pPr>
      <w:numPr>
        <w:ilvl w:val="1"/>
        <w:numId w:val="4"/>
      </w:numPr>
      <w:spacing w:line="276" w:lineRule="auto"/>
    </w:pPr>
    <w:rPr>
      <w:rFonts w:eastAsia="Calibri"/>
      <w:szCs w:val="22"/>
      <w:lang w:eastAsia="en-US"/>
    </w:rPr>
  </w:style>
  <w:style w:type="paragraph" w:customStyle="1" w:styleId="OutlineNumbered3">
    <w:name w:val="Outline Numbered 3"/>
    <w:basedOn w:val="Normal"/>
    <w:rsid w:val="00FC10B1"/>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B824B9"/>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B824B9"/>
    <w:rPr>
      <w:sz w:val="24"/>
      <w:szCs w:val="22"/>
      <w:lang w:eastAsia="en-US"/>
    </w:rPr>
  </w:style>
  <w:style w:type="paragraph" w:customStyle="1" w:styleId="Dash">
    <w:name w:val="Dash"/>
    <w:basedOn w:val="Normal"/>
    <w:link w:val="DashChar"/>
    <w:qFormat/>
    <w:rsid w:val="00B824B9"/>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B824B9"/>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B514FF"/>
    <w:rPr>
      <w:sz w:val="24"/>
      <w:szCs w:val="22"/>
      <w:lang w:eastAsia="en-US"/>
    </w:rPr>
  </w:style>
  <w:style w:type="character" w:customStyle="1" w:styleId="DoubleDotChar">
    <w:name w:val="Double Dot Char"/>
    <w:basedOn w:val="DefaultParagraphFont"/>
    <w:link w:val="DoubleDot"/>
    <w:locked/>
    <w:rsid w:val="00B514FF"/>
    <w:rPr>
      <w:sz w:val="24"/>
      <w:szCs w:val="22"/>
      <w:lang w:eastAsia="en-US"/>
    </w:rPr>
  </w:style>
  <w:style w:type="character" w:customStyle="1" w:styleId="FootnoteTextChar">
    <w:name w:val="Footnote Text Char"/>
    <w:basedOn w:val="DefaultParagraphFont"/>
    <w:link w:val="FootnoteText"/>
    <w:uiPriority w:val="99"/>
    <w:rsid w:val="00B514FF"/>
  </w:style>
  <w:style w:type="character" w:customStyle="1" w:styleId="TitleChar">
    <w:name w:val="Title Char"/>
    <w:basedOn w:val="DefaultParagraphFont"/>
    <w:link w:val="Title"/>
    <w:uiPriority w:val="10"/>
    <w:rsid w:val="00B514FF"/>
    <w:rPr>
      <w:rFonts w:ascii="Arial" w:hAnsi="Arial" w:cs="Arial"/>
      <w:b/>
      <w:bCs/>
      <w:sz w:val="40"/>
      <w:szCs w:val="40"/>
    </w:rPr>
  </w:style>
  <w:style w:type="table" w:customStyle="1" w:styleId="LightGrid-Accent11">
    <w:name w:val="Light Grid - Accent 11"/>
    <w:basedOn w:val="TableNormal"/>
    <w:uiPriority w:val="62"/>
    <w:rsid w:val="003B0974"/>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next w:val="TableGrid"/>
    <w:rsid w:val="0030585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quationNote">
    <w:name w:val="EquationNote"/>
    <w:basedOn w:val="Normal"/>
    <w:link w:val="EquationNoteChar"/>
    <w:uiPriority w:val="99"/>
    <w:rsid w:val="00667044"/>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667044"/>
    <w:rPr>
      <w:rFonts w:ascii="Arial" w:hAnsi="Arial" w:cs="Arial"/>
      <w:iCs/>
      <w:sz w:val="18"/>
      <w:lang w:eastAsia="en-US"/>
    </w:rPr>
  </w:style>
  <w:style w:type="table" w:customStyle="1" w:styleId="LightShading-Accent11">
    <w:name w:val="Light Shading - Accent 11"/>
    <w:basedOn w:val="TableNormal"/>
    <w:rsid w:val="00AF0E47"/>
    <w:rPr>
      <w:rFonts w:ascii="Calibri" w:eastAsia="Calibri" w:hAnsi="Calibr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next w:val="TableGrid"/>
    <w:rsid w:val="007D1D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rsid w:val="00F75F8F"/>
    <w:rPr>
      <w:rFonts w:ascii="Calibri" w:eastAsia="Calibri" w:hAnsi="Calibr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287482"/>
    <w:rPr>
      <w:sz w:val="24"/>
      <w:szCs w:val="24"/>
    </w:rPr>
  </w:style>
  <w:style w:type="paragraph" w:styleId="NoSpacing">
    <w:name w:val="No Spacing"/>
    <w:qFormat/>
    <w:rsid w:val="00765208"/>
    <w:rPr>
      <w:rFonts w:eastAsia="Calibri"/>
      <w:sz w:val="24"/>
      <w:szCs w:val="22"/>
      <w:lang w:eastAsia="en-US"/>
    </w:rPr>
  </w:style>
  <w:style w:type="character" w:customStyle="1" w:styleId="BodyTextIndentChar">
    <w:name w:val="Body Text Indent Char"/>
    <w:basedOn w:val="DefaultParagraphFont"/>
    <w:link w:val="BodyTextIndent"/>
    <w:rsid w:val="00391FEB"/>
    <w:rPr>
      <w:sz w:val="24"/>
      <w:szCs w:val="24"/>
    </w:rPr>
  </w:style>
  <w:style w:type="character" w:styleId="PlaceholderText">
    <w:name w:val="Placeholder Text"/>
    <w:basedOn w:val="DefaultParagraphFont"/>
    <w:uiPriority w:val="99"/>
    <w:semiHidden/>
    <w:rsid w:val="00C8628D"/>
    <w:rPr>
      <w:color w:val="808080"/>
    </w:rPr>
  </w:style>
  <w:style w:type="paragraph" w:customStyle="1" w:styleId="Default">
    <w:name w:val="Default"/>
    <w:rsid w:val="00A11960"/>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0208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Dep101</b:Tag>
    <b:SourceType>DocumentFromInternetSite</b:SourceType>
    <b:Guid>{F513600E-DD93-43ED-AE2F-7ADFB766E0D5}</b:Guid>
    <b:LCID>0</b:LCID>
    <b:Author>
      <b:Author>
        <b:Corporate>Department of Climate Change and Energy Efficiency</b:Corporate>
      </b:Author>
    </b:Author>
    <b:Title>National Greenhouse and Energy Reporting (Measurement) Determination 2008</b:Title>
    <b:InternetSiteTitle>ComLaw</b:InternetSiteTitle>
    <b:Year>2010a</b:Year>
    <b:Month>July</b:Month>
    <b:YearAccessed>2011</b:YearAccessed>
    <b:MonthAccessed>March</b:MonthAccessed>
    <b:URL>http://www.comlaw.gov.au/Details/F2010C00563/Download</b:URL>
    <b:RefOrder>7</b:RefOrder>
  </b:Source>
</b:Sources>
</file>

<file path=customXml/itemProps1.xml><?xml version="1.0" encoding="utf-8"?>
<ds:datastoreItem xmlns:ds="http://schemas.openxmlformats.org/officeDocument/2006/customXml" ds:itemID="{946AC515-66F7-489A-9AAC-D5BA2A77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11</TotalTime>
  <Pages>37</Pages>
  <Words>8416</Words>
  <Characters>47977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Destruction of Methane Generated from Manure in Piggeries Methodology Determination 2011</vt:lpstr>
    </vt:vector>
  </TitlesOfParts>
  <Company>Office of Legislative Drafting and Publishing</Company>
  <LinksUpToDate>false</LinksUpToDate>
  <CharactersWithSpaces>56281</CharactersWithSpaces>
  <SharedDoc>false</SharedDoc>
  <HLinks>
    <vt:vector size="96" baseType="variant">
      <vt:variant>
        <vt:i4>131162</vt:i4>
      </vt:variant>
      <vt:variant>
        <vt:i4>168</vt:i4>
      </vt:variant>
      <vt:variant>
        <vt:i4>0</vt:i4>
      </vt:variant>
      <vt:variant>
        <vt:i4>5</vt:i4>
      </vt:variant>
      <vt:variant>
        <vt:lpwstr>http://www.epa.gov/ttn/emc/promgate/m-18.pdf</vt:lpwstr>
      </vt:variant>
      <vt:variant>
        <vt:lpwstr/>
      </vt:variant>
      <vt:variant>
        <vt:i4>5570562</vt:i4>
      </vt:variant>
      <vt:variant>
        <vt:i4>165</vt:i4>
      </vt:variant>
      <vt:variant>
        <vt:i4>0</vt:i4>
      </vt:variant>
      <vt:variant>
        <vt:i4>5</vt:i4>
      </vt:variant>
      <vt:variant>
        <vt:lpwstr>http://www.epa.gov/ttn/emc/promgate/m-03c.pdf</vt:lpwstr>
      </vt:variant>
      <vt:variant>
        <vt:lpwstr/>
      </vt:variant>
      <vt:variant>
        <vt:i4>1900630</vt:i4>
      </vt:variant>
      <vt:variant>
        <vt:i4>162</vt:i4>
      </vt:variant>
      <vt:variant>
        <vt:i4>0</vt:i4>
      </vt:variant>
      <vt:variant>
        <vt:i4>5</vt:i4>
      </vt:variant>
      <vt:variant>
        <vt:lpwstr>http://www.greenhousegas.nsw.gov.au/documents/Rule-Gen-Sep10-Gazette.pdf</vt:lpwstr>
      </vt:variant>
      <vt:variant>
        <vt:lpwstr/>
      </vt:variant>
      <vt:variant>
        <vt:i4>4587594</vt:i4>
      </vt:variant>
      <vt:variant>
        <vt:i4>159</vt:i4>
      </vt:variant>
      <vt:variant>
        <vt:i4>0</vt:i4>
      </vt:variant>
      <vt:variant>
        <vt:i4>5</vt:i4>
      </vt:variant>
      <vt:variant>
        <vt:lpwstr>http://www.apl.au.com/pages/images/Methane in intensive livestock operations.pdf</vt:lpwstr>
      </vt:variant>
      <vt:variant>
        <vt:lpwstr/>
      </vt:variant>
      <vt:variant>
        <vt:i4>1835030</vt:i4>
      </vt:variant>
      <vt:variant>
        <vt:i4>156</vt:i4>
      </vt:variant>
      <vt:variant>
        <vt:i4>0</vt:i4>
      </vt:variant>
      <vt:variant>
        <vt:i4>5</vt:i4>
      </vt:variant>
      <vt:variant>
        <vt:lpwstr>http://www.ipcc.ch/pdf/assessment-report/ar4/syr/ar4_syr_appendix.pdf</vt:lpwstr>
      </vt:variant>
      <vt:variant>
        <vt:lpwstr/>
      </vt:variant>
      <vt:variant>
        <vt:i4>4456454</vt:i4>
      </vt:variant>
      <vt:variant>
        <vt:i4>153</vt:i4>
      </vt:variant>
      <vt:variant>
        <vt:i4>0</vt:i4>
      </vt:variant>
      <vt:variant>
        <vt:i4>5</vt:i4>
      </vt:variant>
      <vt:variant>
        <vt:lpwstr>http://www.climatechange.gov.au/government/initiatives/national-greenhouse-energy-reporting/tools-resources.aspx</vt:lpwstr>
      </vt:variant>
      <vt:variant>
        <vt:lpwstr>technical</vt:lpwstr>
      </vt:variant>
      <vt:variant>
        <vt:i4>4259861</vt:i4>
      </vt:variant>
      <vt:variant>
        <vt:i4>150</vt:i4>
      </vt:variant>
      <vt:variant>
        <vt:i4>0</vt:i4>
      </vt:variant>
      <vt:variant>
        <vt:i4>5</vt:i4>
      </vt:variant>
      <vt:variant>
        <vt:lpwstr>http://www.climatechange.gov.au/government/initiatives/national-greenhouse-energy-reporting/reporting-legislation/progress/determination.aspx</vt:lpwstr>
      </vt:variant>
      <vt:variant>
        <vt:lpwstr/>
      </vt:variant>
      <vt:variant>
        <vt:i4>720914</vt:i4>
      </vt:variant>
      <vt:variant>
        <vt:i4>147</vt:i4>
      </vt:variant>
      <vt:variant>
        <vt:i4>0</vt:i4>
      </vt:variant>
      <vt:variant>
        <vt:i4>5</vt:i4>
      </vt:variant>
      <vt:variant>
        <vt:lpwstr>http://www.climatechange.gov.au/~/media/publications/greenhouse-acctg/national-inventory-report-2009-vol1.pdf</vt:lpwstr>
      </vt:variant>
      <vt:variant>
        <vt:lpwstr/>
      </vt:variant>
      <vt:variant>
        <vt:i4>8060988</vt:i4>
      </vt:variant>
      <vt:variant>
        <vt:i4>144</vt:i4>
      </vt:variant>
      <vt:variant>
        <vt:i4>0</vt:i4>
      </vt:variant>
      <vt:variant>
        <vt:i4>5</vt:i4>
      </vt:variant>
      <vt:variant>
        <vt:lpwstr>http://www.climatechange.gov.au/publications/greenhouse-acctg/national-greenhouse-factors.aspx</vt:lpwstr>
      </vt:variant>
      <vt:variant>
        <vt:lpwstr/>
      </vt:variant>
      <vt:variant>
        <vt:i4>393310</vt:i4>
      </vt:variant>
      <vt:variant>
        <vt:i4>141</vt:i4>
      </vt:variant>
      <vt:variant>
        <vt:i4>0</vt:i4>
      </vt:variant>
      <vt:variant>
        <vt:i4>5</vt:i4>
      </vt:variant>
      <vt:variant>
        <vt:lpwstr>http://www.climateactionreserve.org/how/protocols/adopted/landfill/current-landfill-project-protocol/</vt:lpwstr>
      </vt:variant>
      <vt:variant>
        <vt:lpwstr/>
      </vt:variant>
      <vt:variant>
        <vt:i4>3211290</vt:i4>
      </vt:variant>
      <vt:variant>
        <vt:i4>138</vt:i4>
      </vt:variant>
      <vt:variant>
        <vt:i4>0</vt:i4>
      </vt:variant>
      <vt:variant>
        <vt:i4>5</vt:i4>
      </vt:variant>
      <vt:variant>
        <vt:lpwstr>https://cdm.unfccc.int/filestorage/C/D/M/CDMWF_AM_C3F7XHP7QE019P091PQEIZ862CDERC/EB42_repan08_ACM0010_ver05.pdf?t=akh8MTMwMTU0MzY0NC4xOQ==|RhXTW0QdSy0OPQPYDCHvz0tExd4</vt:lpwstr>
      </vt:variant>
      <vt:variant>
        <vt:lpwstr/>
      </vt:variant>
      <vt:variant>
        <vt:i4>983053</vt:i4>
      </vt:variant>
      <vt:variant>
        <vt:i4>135</vt:i4>
      </vt:variant>
      <vt:variant>
        <vt:i4>0</vt:i4>
      </vt:variant>
      <vt:variant>
        <vt:i4>5</vt:i4>
      </vt:variant>
      <vt:variant>
        <vt:lpwstr>http://cdm.unfccc.int/methodologies/PAmethodologies/tools/am-tool-01-v5.2.pdf</vt:lpwstr>
      </vt:variant>
      <vt:variant>
        <vt:lpwstr/>
      </vt:variant>
      <vt:variant>
        <vt:i4>7667818</vt:i4>
      </vt:variant>
      <vt:variant>
        <vt:i4>132</vt:i4>
      </vt:variant>
      <vt:variant>
        <vt:i4>0</vt:i4>
      </vt:variant>
      <vt:variant>
        <vt:i4>5</vt:i4>
      </vt:variant>
      <vt:variant>
        <vt:lpwstr>https://rirdc.infoservices.com.au/items/10-023</vt:lpwstr>
      </vt:variant>
      <vt:variant>
        <vt:lpwstr/>
      </vt:variant>
      <vt:variant>
        <vt:i4>393222</vt:i4>
      </vt:variant>
      <vt:variant>
        <vt:i4>129</vt:i4>
      </vt:variant>
      <vt:variant>
        <vt:i4>0</vt:i4>
      </vt:variant>
      <vt:variant>
        <vt:i4>5</vt:i4>
      </vt:variant>
      <vt:variant>
        <vt:lpwstr>http://www.australianpork.com.au/pages/images/NEGP 2010 FINAL low res.pdf</vt:lpwstr>
      </vt:variant>
      <vt:variant>
        <vt:lpwstr/>
      </vt:variant>
      <vt:variant>
        <vt:i4>6553644</vt:i4>
      </vt:variant>
      <vt:variant>
        <vt:i4>126</vt:i4>
      </vt:variant>
      <vt:variant>
        <vt:i4>0</vt:i4>
      </vt:variant>
      <vt:variant>
        <vt:i4>5</vt:i4>
      </vt:variant>
      <vt:variant>
        <vt:lpwstr>http://www.assembly.ab.ca/lao/library/egovdocs/2007/alen/164694.pdf</vt:lpwstr>
      </vt:variant>
      <vt:variant>
        <vt:lpwstr/>
      </vt:variant>
      <vt:variant>
        <vt:i4>262234</vt:i4>
      </vt:variant>
      <vt:variant>
        <vt:i4>123</vt:i4>
      </vt:variant>
      <vt:variant>
        <vt:i4>0</vt:i4>
      </vt:variant>
      <vt:variant>
        <vt:i4>5</vt:i4>
      </vt:variant>
      <vt:variant>
        <vt:lpwstr>http://www.comlaw.gov.au/Details/F2010C00563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Destruction of Methane Generated from Manure in Piggeries Methodology Determination 2011</dc:title>
  <dc:creator>bellyv</dc:creator>
  <cp:lastModifiedBy>Sutton</cp:lastModifiedBy>
  <cp:revision>3</cp:revision>
  <cp:lastPrinted>2012-07-01T05:10:00Z</cp:lastPrinted>
  <dcterms:created xsi:type="dcterms:W3CDTF">2012-07-01T04:58:00Z</dcterms:created>
  <dcterms:modified xsi:type="dcterms:W3CDTF">2012-07-01T05:18:00Z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Editor">
    <vt:bool>true</vt:bool>
  </property>
</Properties>
</file>