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C9" w:rsidRPr="00B31E9C" w:rsidRDefault="00237AC9" w:rsidP="00B31E9C">
      <w:pPr>
        <w:spacing w:before="0"/>
        <w:ind w:right="91"/>
        <w:jc w:val="center"/>
      </w:pPr>
      <w:r w:rsidRPr="00B31E9C">
        <w:rPr>
          <w:b/>
          <w:bCs/>
        </w:rPr>
        <w:t>EXPLANATORY STATEMENT</w:t>
      </w:r>
    </w:p>
    <w:p w:rsidR="00237AC9" w:rsidRDefault="00237AC9" w:rsidP="00B31E9C">
      <w:pPr>
        <w:spacing w:before="0"/>
        <w:ind w:right="91"/>
        <w:jc w:val="center"/>
      </w:pPr>
    </w:p>
    <w:p w:rsidR="000F5E16" w:rsidRPr="000F5E16" w:rsidRDefault="000F5E16" w:rsidP="00B31E9C">
      <w:pPr>
        <w:spacing w:before="0"/>
        <w:ind w:right="91"/>
        <w:jc w:val="center"/>
        <w:rPr>
          <w:b/>
          <w:u w:val="single"/>
        </w:rPr>
      </w:pPr>
      <w:r>
        <w:rPr>
          <w:b/>
          <w:u w:val="single"/>
        </w:rPr>
        <w:t>Select Legislative Instrument 2012 No. 159</w:t>
      </w:r>
    </w:p>
    <w:p w:rsidR="000F5E16" w:rsidRDefault="000F5E16" w:rsidP="00B31E9C">
      <w:pPr>
        <w:spacing w:before="0"/>
        <w:ind w:right="91"/>
        <w:jc w:val="center"/>
      </w:pPr>
    </w:p>
    <w:p w:rsidR="00237AC9" w:rsidRDefault="00237AC9" w:rsidP="00B31E9C">
      <w:pPr>
        <w:spacing w:before="0"/>
        <w:ind w:right="91"/>
        <w:jc w:val="center"/>
        <w:rPr>
          <w:b/>
        </w:rPr>
      </w:pPr>
      <w:r w:rsidRPr="00B31E9C">
        <w:rPr>
          <w:b/>
        </w:rPr>
        <w:t>Issued by the Authority of the Minister for the Public Service and Integrity</w:t>
      </w:r>
    </w:p>
    <w:p w:rsidR="00B31E9C" w:rsidRPr="00B31E9C" w:rsidRDefault="00B31E9C" w:rsidP="00B31E9C">
      <w:pPr>
        <w:spacing w:before="0"/>
        <w:ind w:right="91"/>
        <w:jc w:val="center"/>
        <w:rPr>
          <w:b/>
        </w:rPr>
      </w:pPr>
    </w:p>
    <w:p w:rsidR="00237AC9" w:rsidRDefault="00237AC9" w:rsidP="00B31E9C">
      <w:pPr>
        <w:spacing w:before="0"/>
        <w:ind w:right="91"/>
        <w:jc w:val="center"/>
        <w:rPr>
          <w:i/>
          <w:iCs/>
        </w:rPr>
      </w:pPr>
      <w:r>
        <w:rPr>
          <w:i/>
          <w:iCs/>
        </w:rPr>
        <w:t>Ombudsman Act 1976</w:t>
      </w:r>
    </w:p>
    <w:p w:rsidR="00B31E9C" w:rsidRDefault="00B31E9C" w:rsidP="00B31E9C">
      <w:pPr>
        <w:spacing w:before="0"/>
        <w:ind w:right="91"/>
        <w:jc w:val="center"/>
        <w:rPr>
          <w:i/>
          <w:iCs/>
        </w:rPr>
      </w:pPr>
    </w:p>
    <w:p w:rsidR="00237AC9" w:rsidRPr="00B31E9C" w:rsidRDefault="00237AC9" w:rsidP="00B31E9C">
      <w:pPr>
        <w:tabs>
          <w:tab w:val="left" w:pos="0"/>
          <w:tab w:val="right" w:pos="9072"/>
        </w:tabs>
        <w:spacing w:before="0"/>
        <w:ind w:left="142" w:right="91"/>
        <w:jc w:val="center"/>
        <w:rPr>
          <w:b/>
          <w:i/>
        </w:rPr>
      </w:pPr>
      <w:r w:rsidRPr="00B31E9C">
        <w:rPr>
          <w:b/>
          <w:i/>
        </w:rPr>
        <w:t>Ombudsman (Northern Territory Self-Government) (Transitional Arrangements) Repeal Regulation 2012</w:t>
      </w:r>
    </w:p>
    <w:p w:rsidR="00237AC9" w:rsidRDefault="00237AC9" w:rsidP="00237AC9">
      <w:pPr>
        <w:ind w:right="91"/>
        <w:jc w:val="center"/>
        <w:rPr>
          <w:i/>
          <w:iCs/>
        </w:rPr>
      </w:pPr>
    </w:p>
    <w:p w:rsidR="00237AC9" w:rsidRDefault="00237AC9" w:rsidP="00573DAB">
      <w:pPr>
        <w:tabs>
          <w:tab w:val="right" w:pos="9072"/>
        </w:tabs>
        <w:spacing w:before="0"/>
        <w:ind w:right="91"/>
        <w:rPr>
          <w:sz w:val="20"/>
        </w:rPr>
      </w:pPr>
    </w:p>
    <w:p w:rsidR="00573DAB" w:rsidRPr="006B7044" w:rsidRDefault="006B7044" w:rsidP="003F27BD">
      <w:pPr>
        <w:tabs>
          <w:tab w:val="right" w:pos="9072"/>
        </w:tabs>
        <w:spacing w:before="0"/>
        <w:ind w:right="91"/>
        <w:rPr>
          <w:szCs w:val="24"/>
        </w:rPr>
      </w:pPr>
      <w:r>
        <w:rPr>
          <w:szCs w:val="24"/>
        </w:rPr>
        <w:t>The purpose of the</w:t>
      </w:r>
      <w:r w:rsidR="00B31E9C">
        <w:rPr>
          <w:szCs w:val="24"/>
        </w:rPr>
        <w:t xml:space="preserve"> </w:t>
      </w:r>
      <w:r w:rsidR="00EF46EC" w:rsidRPr="001D2D75">
        <w:rPr>
          <w:i/>
        </w:rPr>
        <w:t>Ombudsman (Northern Territory Self-Government) (Transitional Arrangements) Repeal Regulation 2012</w:t>
      </w:r>
      <w:r>
        <w:t xml:space="preserve"> (the Regulation)</w:t>
      </w:r>
      <w:r w:rsidR="00EA488C">
        <w:t xml:space="preserve"> is to repeal the </w:t>
      </w:r>
      <w:r w:rsidR="00EA488C" w:rsidRPr="00567208">
        <w:t>Ombudsman (Northern Territory Self-Government) (Transitional Arrangements) Regulations</w:t>
      </w:r>
      <w:r w:rsidRPr="00567208">
        <w:t xml:space="preserve"> </w:t>
      </w:r>
      <w:r w:rsidR="0029234A" w:rsidRPr="00567208">
        <w:t>(the NT Regulations)</w:t>
      </w:r>
      <w:r w:rsidR="0029234A">
        <w:rPr>
          <w:i/>
        </w:rPr>
        <w:t xml:space="preserve"> </w:t>
      </w:r>
      <w:r w:rsidR="002776A3">
        <w:t xml:space="preserve">because those regulations are </w:t>
      </w:r>
      <w:r>
        <w:t>redundant.</w:t>
      </w:r>
    </w:p>
    <w:p w:rsidR="00B31E9C" w:rsidRPr="00B31E9C" w:rsidRDefault="00B31E9C" w:rsidP="003F27BD">
      <w:pPr>
        <w:tabs>
          <w:tab w:val="right" w:pos="9072"/>
        </w:tabs>
        <w:spacing w:before="0"/>
        <w:ind w:right="91"/>
        <w:rPr>
          <w:szCs w:val="24"/>
        </w:rPr>
      </w:pPr>
    </w:p>
    <w:p w:rsidR="00B31E9C" w:rsidRPr="008A78B5" w:rsidRDefault="00E828B6" w:rsidP="003F27BD">
      <w:pPr>
        <w:tabs>
          <w:tab w:val="right" w:pos="9072"/>
        </w:tabs>
        <w:spacing w:before="0"/>
        <w:ind w:right="91"/>
        <w:rPr>
          <w:u w:val="single"/>
        </w:rPr>
      </w:pPr>
      <w:r w:rsidRPr="008A78B5">
        <w:rPr>
          <w:u w:val="single"/>
        </w:rPr>
        <w:t xml:space="preserve">Legislative </w:t>
      </w:r>
      <w:r w:rsidR="00B31E9C" w:rsidRPr="008A78B5">
        <w:rPr>
          <w:u w:val="single"/>
        </w:rPr>
        <w:t>Authority</w:t>
      </w:r>
    </w:p>
    <w:p w:rsidR="001C189F" w:rsidRDefault="00EE2AB6" w:rsidP="001C189F">
      <w:pPr>
        <w:tabs>
          <w:tab w:val="left" w:pos="1701"/>
          <w:tab w:val="right" w:pos="9072"/>
        </w:tabs>
        <w:spacing w:before="0"/>
        <w:ind w:right="91"/>
      </w:pPr>
      <w:r>
        <w:rPr>
          <w:szCs w:val="24"/>
        </w:rPr>
        <w:t xml:space="preserve">Section 38 of the </w:t>
      </w:r>
      <w:r w:rsidRPr="00EE2AB6">
        <w:rPr>
          <w:i/>
          <w:szCs w:val="24"/>
        </w:rPr>
        <w:t>Ombudsman Act 1976</w:t>
      </w:r>
      <w:r>
        <w:rPr>
          <w:szCs w:val="24"/>
        </w:rPr>
        <w:t xml:space="preserve"> provides in part that the </w:t>
      </w:r>
      <w:r w:rsidR="00573DAB">
        <w:rPr>
          <w:szCs w:val="24"/>
        </w:rPr>
        <w:t xml:space="preserve">Governor-General may make </w:t>
      </w:r>
      <w:r w:rsidR="00573DAB">
        <w:rPr>
          <w:bCs/>
          <w:szCs w:val="24"/>
        </w:rPr>
        <w:t>regulations</w:t>
      </w:r>
      <w:r w:rsidR="00573DAB">
        <w:rPr>
          <w:szCs w:val="24"/>
        </w:rPr>
        <w:t xml:space="preserve"> </w:t>
      </w:r>
      <w:r>
        <w:rPr>
          <w:szCs w:val="24"/>
        </w:rPr>
        <w:t>prescribing all matters that are required or permitted by the Act to be prescribed or are necessary or convenient to be prescribed for carrying out or giving effect to the Act.</w:t>
      </w:r>
      <w:r w:rsidR="00E0347B">
        <w:rPr>
          <w:szCs w:val="24"/>
        </w:rPr>
        <w:t xml:space="preserve"> </w:t>
      </w:r>
    </w:p>
    <w:p w:rsidR="001C189F" w:rsidRDefault="001C189F" w:rsidP="001C189F">
      <w:pPr>
        <w:tabs>
          <w:tab w:val="left" w:pos="1701"/>
          <w:tab w:val="right" w:pos="9072"/>
        </w:tabs>
        <w:spacing w:before="0"/>
        <w:ind w:right="91"/>
      </w:pPr>
    </w:p>
    <w:p w:rsidR="00DD1307" w:rsidRDefault="00DD1307" w:rsidP="003F27BD">
      <w:pPr>
        <w:tabs>
          <w:tab w:val="right" w:pos="9072"/>
        </w:tabs>
        <w:spacing w:before="0"/>
        <w:ind w:right="91"/>
        <w:rPr>
          <w:szCs w:val="24"/>
        </w:rPr>
      </w:pPr>
      <w:r>
        <w:rPr>
          <w:szCs w:val="24"/>
        </w:rPr>
        <w:t xml:space="preserve">Subsection 33(3) of the </w:t>
      </w:r>
      <w:r>
        <w:rPr>
          <w:i/>
          <w:szCs w:val="24"/>
        </w:rPr>
        <w:t xml:space="preserve">Acts Interpretation Act 1901 </w:t>
      </w:r>
      <w:r>
        <w:rPr>
          <w:szCs w:val="24"/>
        </w:rPr>
        <w:t>provides</w:t>
      </w:r>
      <w:r w:rsidR="008A78B5">
        <w:rPr>
          <w:szCs w:val="24"/>
        </w:rPr>
        <w:t>,</w:t>
      </w:r>
      <w:r w:rsidR="00637F4F">
        <w:rPr>
          <w:szCs w:val="24"/>
        </w:rPr>
        <w:t xml:space="preserve"> in general terms</w:t>
      </w:r>
      <w:r w:rsidR="008A78B5">
        <w:rPr>
          <w:szCs w:val="24"/>
        </w:rPr>
        <w:t>,</w:t>
      </w:r>
      <w:r>
        <w:rPr>
          <w:szCs w:val="24"/>
        </w:rPr>
        <w:t xml:space="preserve"> that where an Act confers a power to make</w:t>
      </w:r>
      <w:r w:rsidR="00637F4F">
        <w:rPr>
          <w:szCs w:val="24"/>
        </w:rPr>
        <w:t xml:space="preserve"> </w:t>
      </w:r>
      <w:r>
        <w:rPr>
          <w:szCs w:val="24"/>
        </w:rPr>
        <w:t xml:space="preserve">an instrument </w:t>
      </w:r>
      <w:r w:rsidR="00637F4F">
        <w:rPr>
          <w:szCs w:val="24"/>
        </w:rPr>
        <w:t xml:space="preserve">of a legislative character, </w:t>
      </w:r>
      <w:r>
        <w:rPr>
          <w:szCs w:val="24"/>
        </w:rPr>
        <w:t>including</w:t>
      </w:r>
      <w:r w:rsidR="00637F4F">
        <w:rPr>
          <w:szCs w:val="24"/>
        </w:rPr>
        <w:t xml:space="preserve"> </w:t>
      </w:r>
      <w:r>
        <w:rPr>
          <w:szCs w:val="24"/>
        </w:rPr>
        <w:t>regulations</w:t>
      </w:r>
      <w:r w:rsidR="00637F4F">
        <w:rPr>
          <w:szCs w:val="24"/>
        </w:rPr>
        <w:t>,</w:t>
      </w:r>
      <w:r>
        <w:rPr>
          <w:szCs w:val="24"/>
        </w:rPr>
        <w:t xml:space="preserve"> the power shall, unless the contrary intention appears, be construed as including a power to repeal</w:t>
      </w:r>
      <w:r w:rsidR="00637F4F">
        <w:rPr>
          <w:szCs w:val="24"/>
        </w:rPr>
        <w:t xml:space="preserve"> the</w:t>
      </w:r>
      <w:r>
        <w:rPr>
          <w:szCs w:val="24"/>
        </w:rPr>
        <w:t xml:space="preserve"> instrument.</w:t>
      </w:r>
    </w:p>
    <w:p w:rsidR="00D541EF" w:rsidRDefault="00D541EF" w:rsidP="003F27BD">
      <w:pPr>
        <w:tabs>
          <w:tab w:val="right" w:pos="9072"/>
        </w:tabs>
        <w:spacing w:before="0"/>
        <w:ind w:right="91"/>
        <w:rPr>
          <w:szCs w:val="24"/>
        </w:rPr>
      </w:pPr>
    </w:p>
    <w:p w:rsidR="00B31E9C" w:rsidRPr="008A78B5" w:rsidRDefault="00B31E9C" w:rsidP="003F27BD">
      <w:pPr>
        <w:tabs>
          <w:tab w:val="left" w:pos="1701"/>
          <w:tab w:val="right" w:pos="9072"/>
        </w:tabs>
        <w:spacing w:before="0"/>
        <w:ind w:right="91"/>
        <w:rPr>
          <w:szCs w:val="24"/>
          <w:u w:val="single"/>
        </w:rPr>
      </w:pPr>
      <w:r w:rsidRPr="008A78B5">
        <w:rPr>
          <w:szCs w:val="24"/>
          <w:u w:val="single"/>
        </w:rPr>
        <w:t xml:space="preserve">Reason for </w:t>
      </w:r>
      <w:r w:rsidR="008A78B5">
        <w:rPr>
          <w:szCs w:val="24"/>
          <w:u w:val="single"/>
        </w:rPr>
        <w:t>repeal</w:t>
      </w:r>
    </w:p>
    <w:p w:rsidR="00573DAB" w:rsidRDefault="00573DAB" w:rsidP="003F27BD">
      <w:pPr>
        <w:tabs>
          <w:tab w:val="left" w:pos="1701"/>
          <w:tab w:val="right" w:pos="9072"/>
        </w:tabs>
        <w:spacing w:before="0"/>
        <w:ind w:right="91"/>
        <w:rPr>
          <w:szCs w:val="24"/>
        </w:rPr>
      </w:pPr>
      <w:r>
        <w:rPr>
          <w:szCs w:val="24"/>
        </w:rPr>
        <w:t xml:space="preserve">In February 2009, the Government announced in the </w:t>
      </w:r>
      <w:r w:rsidRPr="00AF6103">
        <w:rPr>
          <w:i/>
          <w:szCs w:val="24"/>
        </w:rPr>
        <w:t>Updated Economic and Fiscal Outlook</w:t>
      </w:r>
      <w:r>
        <w:rPr>
          <w:szCs w:val="24"/>
        </w:rPr>
        <w:t xml:space="preserve"> that it would undertake a review of pre-2008 Commonwealth subordinate legislation and other regulation (the Review) in order to document those regulations which impose net costs on business, and identify the scope to improve regulatory efficiency. </w:t>
      </w:r>
    </w:p>
    <w:p w:rsidR="00DD1307" w:rsidRDefault="00DD1307" w:rsidP="003F27BD">
      <w:pPr>
        <w:tabs>
          <w:tab w:val="left" w:pos="1701"/>
          <w:tab w:val="right" w:pos="9072"/>
        </w:tabs>
        <w:spacing w:before="0"/>
        <w:ind w:right="91"/>
        <w:rPr>
          <w:szCs w:val="24"/>
        </w:rPr>
      </w:pPr>
    </w:p>
    <w:p w:rsidR="00573DAB" w:rsidRDefault="00DD1307" w:rsidP="003F27BD">
      <w:pPr>
        <w:tabs>
          <w:tab w:val="left" w:pos="1701"/>
          <w:tab w:val="right" w:pos="9072"/>
        </w:tabs>
        <w:spacing w:before="0"/>
        <w:ind w:right="91"/>
        <w:rPr>
          <w:szCs w:val="24"/>
        </w:rPr>
      </w:pPr>
      <w:r>
        <w:rPr>
          <w:szCs w:val="24"/>
        </w:rPr>
        <w:t>The Review</w:t>
      </w:r>
      <w:r w:rsidR="00747931">
        <w:rPr>
          <w:szCs w:val="24"/>
        </w:rPr>
        <w:t>, coordinated by the Department of Finance and Deregulation,</w:t>
      </w:r>
      <w:r>
        <w:rPr>
          <w:szCs w:val="24"/>
        </w:rPr>
        <w:t xml:space="preserve"> </w:t>
      </w:r>
      <w:r w:rsidR="002A0F45">
        <w:rPr>
          <w:szCs w:val="24"/>
        </w:rPr>
        <w:t xml:space="preserve">recommended </w:t>
      </w:r>
      <w:r w:rsidR="004C1DC3">
        <w:rPr>
          <w:szCs w:val="24"/>
        </w:rPr>
        <w:t>that the</w:t>
      </w:r>
      <w:r w:rsidR="002762EA">
        <w:rPr>
          <w:szCs w:val="24"/>
        </w:rPr>
        <w:t xml:space="preserve"> </w:t>
      </w:r>
      <w:r w:rsidR="0029234A">
        <w:rPr>
          <w:szCs w:val="24"/>
        </w:rPr>
        <w:t xml:space="preserve">NT Regulations </w:t>
      </w:r>
      <w:r w:rsidR="002762EA">
        <w:t>be revoked because they had fulfilled their intended</w:t>
      </w:r>
      <w:r w:rsidR="003F27BD">
        <w:t xml:space="preserve">.  </w:t>
      </w:r>
      <w:r w:rsidR="001D2D75">
        <w:rPr>
          <w:szCs w:val="24"/>
        </w:rPr>
        <w:t>The NT R</w:t>
      </w:r>
      <w:r w:rsidR="00573DAB">
        <w:rPr>
          <w:szCs w:val="24"/>
        </w:rPr>
        <w:t>egulations set out temporary arrangements for the handling of applications to the Ombudsman, during the expansion of self-government for the Northern Te</w:t>
      </w:r>
      <w:r w:rsidR="00AE75E9">
        <w:rPr>
          <w:szCs w:val="24"/>
        </w:rPr>
        <w:t>rritory in 1978 and 1979.</w:t>
      </w:r>
      <w:r w:rsidR="00573DAB">
        <w:t xml:space="preserve"> </w:t>
      </w:r>
    </w:p>
    <w:p w:rsidR="00573DAB" w:rsidRDefault="00573DAB" w:rsidP="003F27BD">
      <w:pPr>
        <w:tabs>
          <w:tab w:val="left" w:pos="1701"/>
          <w:tab w:val="right" w:pos="9072"/>
        </w:tabs>
        <w:spacing w:before="0"/>
        <w:ind w:right="91"/>
      </w:pPr>
    </w:p>
    <w:p w:rsidR="00573DAB" w:rsidRDefault="00573DAB" w:rsidP="003F27BD">
      <w:pPr>
        <w:tabs>
          <w:tab w:val="left" w:pos="1701"/>
          <w:tab w:val="right" w:pos="9072"/>
        </w:tabs>
        <w:spacing w:before="0"/>
        <w:ind w:right="91"/>
      </w:pPr>
      <w:r>
        <w:t>The Ombudsman no longer has any jurisdiction nor an</w:t>
      </w:r>
      <w:r w:rsidR="005E1204">
        <w:t>y outstanding complaints relating</w:t>
      </w:r>
      <w:r>
        <w:t xml:space="preserve"> to the (former) Department of the Norther</w:t>
      </w:r>
      <w:r w:rsidR="001D2D75">
        <w:t xml:space="preserve">n Territory. </w:t>
      </w:r>
    </w:p>
    <w:p w:rsidR="00573DAB" w:rsidRDefault="00573DAB" w:rsidP="003F27BD">
      <w:pPr>
        <w:tabs>
          <w:tab w:val="left" w:pos="1701"/>
          <w:tab w:val="right" w:pos="9072"/>
        </w:tabs>
        <w:spacing w:before="0"/>
        <w:ind w:right="91"/>
      </w:pPr>
    </w:p>
    <w:p w:rsidR="00B31E9C" w:rsidRDefault="00B31E9C" w:rsidP="003F27BD">
      <w:pPr>
        <w:tabs>
          <w:tab w:val="left" w:pos="1701"/>
          <w:tab w:val="right" w:pos="9072"/>
        </w:tabs>
        <w:spacing w:before="0"/>
        <w:ind w:right="91"/>
        <w:rPr>
          <w:u w:val="single"/>
        </w:rPr>
      </w:pPr>
      <w:r w:rsidRPr="0029234A">
        <w:rPr>
          <w:u w:val="single"/>
        </w:rPr>
        <w:t>Consultation</w:t>
      </w:r>
    </w:p>
    <w:p w:rsidR="00B31E9C" w:rsidRPr="000F5E16" w:rsidRDefault="001D2D75" w:rsidP="003F27BD">
      <w:pPr>
        <w:tabs>
          <w:tab w:val="left" w:pos="1701"/>
          <w:tab w:val="right" w:pos="9072"/>
        </w:tabs>
        <w:spacing w:before="0"/>
        <w:ind w:right="91"/>
      </w:pPr>
      <w:r>
        <w:rPr>
          <w:szCs w:val="24"/>
        </w:rPr>
        <w:t>The Office of the Commonwealth Ombudsman was consulted on the findings of the Review</w:t>
      </w:r>
      <w:r w:rsidR="00C6721B">
        <w:rPr>
          <w:szCs w:val="24"/>
        </w:rPr>
        <w:t xml:space="preserve"> </w:t>
      </w:r>
      <w:r w:rsidR="00B634DB">
        <w:rPr>
          <w:szCs w:val="24"/>
        </w:rPr>
        <w:t xml:space="preserve">to confirm </w:t>
      </w:r>
      <w:r w:rsidR="00C6721B">
        <w:rPr>
          <w:szCs w:val="24"/>
        </w:rPr>
        <w:t>that the</w:t>
      </w:r>
      <w:r>
        <w:rPr>
          <w:szCs w:val="24"/>
        </w:rPr>
        <w:t xml:space="preserve"> NT Regulations</w:t>
      </w:r>
      <w:r w:rsidR="00F263BD">
        <w:rPr>
          <w:szCs w:val="24"/>
        </w:rPr>
        <w:t xml:space="preserve"> </w:t>
      </w:r>
      <w:r w:rsidR="0029234A">
        <w:rPr>
          <w:szCs w:val="24"/>
        </w:rPr>
        <w:t>had fulfilled their intended purpose</w:t>
      </w:r>
      <w:r>
        <w:rPr>
          <w:i/>
          <w:szCs w:val="24"/>
        </w:rPr>
        <w:t>.</w:t>
      </w:r>
      <w:r w:rsidR="00841FB8">
        <w:t xml:space="preserve"> The Office </w:t>
      </w:r>
      <w:r w:rsidR="003654A5">
        <w:t>support</w:t>
      </w:r>
      <w:r w:rsidR="00DB36D5">
        <w:t>ed</w:t>
      </w:r>
      <w:r w:rsidR="0029234A">
        <w:t xml:space="preserve"> </w:t>
      </w:r>
      <w:r w:rsidR="003654A5">
        <w:t xml:space="preserve">the repeal of the </w:t>
      </w:r>
      <w:r w:rsidR="00CB0CD3">
        <w:t xml:space="preserve">NT </w:t>
      </w:r>
      <w:r w:rsidR="003654A5">
        <w:t>Regulation</w:t>
      </w:r>
      <w:r w:rsidR="00CB0CD3">
        <w:t>s</w:t>
      </w:r>
      <w:r w:rsidR="003654A5">
        <w:t>.</w:t>
      </w:r>
      <w:r w:rsidR="0029234A">
        <w:rPr>
          <w:b/>
        </w:rPr>
        <w:br w:type="page"/>
      </w:r>
      <w:r w:rsidR="00B31E9C" w:rsidRPr="0029234A">
        <w:rPr>
          <w:u w:val="single"/>
        </w:rPr>
        <w:lastRenderedPageBreak/>
        <w:t>Human Rights</w:t>
      </w:r>
    </w:p>
    <w:p w:rsidR="00573DAB" w:rsidRDefault="00AE75E9" w:rsidP="003F27BD">
      <w:pPr>
        <w:tabs>
          <w:tab w:val="left" w:pos="1701"/>
          <w:tab w:val="right" w:pos="9072"/>
        </w:tabs>
        <w:spacing w:before="0"/>
        <w:ind w:right="91"/>
      </w:pPr>
      <w:r>
        <w:t>The R</w:t>
      </w:r>
      <w:r w:rsidR="00573DAB">
        <w:t>egulation will not adversely affect or promote any human rights principles. It is compatible with the rights and freedoms recognised in the seven core international human rights treaties which Australia has ratified.</w:t>
      </w:r>
    </w:p>
    <w:p w:rsidR="00D116CB" w:rsidRDefault="00D116CB" w:rsidP="003F27BD">
      <w:pPr>
        <w:tabs>
          <w:tab w:val="left" w:pos="1701"/>
          <w:tab w:val="right" w:pos="9072"/>
        </w:tabs>
        <w:spacing w:before="0"/>
        <w:ind w:right="91"/>
      </w:pPr>
    </w:p>
    <w:p w:rsidR="00D116CB" w:rsidRDefault="00D116CB" w:rsidP="003F27BD">
      <w:pPr>
        <w:tabs>
          <w:tab w:val="left" w:pos="1701"/>
          <w:tab w:val="right" w:pos="9072"/>
        </w:tabs>
        <w:spacing w:before="0"/>
        <w:ind w:right="91"/>
        <w:rPr>
          <w:u w:val="single"/>
        </w:rPr>
      </w:pPr>
      <w:r>
        <w:rPr>
          <w:u w:val="single"/>
        </w:rPr>
        <w:t>Regulatory Impact</w:t>
      </w:r>
    </w:p>
    <w:p w:rsidR="00077EED" w:rsidRDefault="00D116CB" w:rsidP="003F27BD">
      <w:pPr>
        <w:tabs>
          <w:tab w:val="left" w:pos="1701"/>
          <w:tab w:val="right" w:pos="9072"/>
        </w:tabs>
        <w:spacing w:before="0"/>
        <w:ind w:right="91"/>
      </w:pPr>
      <w:r>
        <w:t xml:space="preserve">The Regulation </w:t>
      </w:r>
      <w:r w:rsidR="0077283B">
        <w:t>has no</w:t>
      </w:r>
      <w:r>
        <w:t xml:space="preserve"> direct or significant impact on business and does not restrict competition. </w:t>
      </w:r>
    </w:p>
    <w:p w:rsidR="0077283B" w:rsidRDefault="0077283B" w:rsidP="003F27BD">
      <w:pPr>
        <w:tabs>
          <w:tab w:val="left" w:pos="1701"/>
          <w:tab w:val="right" w:pos="9072"/>
        </w:tabs>
        <w:spacing w:before="0"/>
        <w:ind w:right="91"/>
      </w:pPr>
    </w:p>
    <w:p w:rsidR="00F2750F" w:rsidRPr="001C189F" w:rsidRDefault="00F2750F" w:rsidP="003F27BD">
      <w:pPr>
        <w:tabs>
          <w:tab w:val="left" w:pos="1701"/>
          <w:tab w:val="right" w:pos="9072"/>
        </w:tabs>
        <w:spacing w:before="0"/>
        <w:ind w:right="91"/>
        <w:rPr>
          <w:u w:val="single"/>
        </w:rPr>
      </w:pPr>
      <w:r w:rsidRPr="001C189F">
        <w:rPr>
          <w:u w:val="single"/>
        </w:rPr>
        <w:t>Commencement</w:t>
      </w:r>
    </w:p>
    <w:p w:rsidR="00573DAB" w:rsidRDefault="00AE75E9" w:rsidP="003F27BD">
      <w:pPr>
        <w:tabs>
          <w:tab w:val="left" w:pos="1701"/>
          <w:tab w:val="right" w:pos="9072"/>
        </w:tabs>
        <w:spacing w:before="0"/>
        <w:ind w:right="91"/>
      </w:pPr>
      <w:r>
        <w:t xml:space="preserve">The </w:t>
      </w:r>
      <w:r w:rsidR="00357DBD">
        <w:t>R</w:t>
      </w:r>
      <w:r w:rsidR="00573DAB">
        <w:t>egulation commences the day after registration.</w:t>
      </w:r>
    </w:p>
    <w:p w:rsidR="00A4318F" w:rsidRDefault="00A4318F" w:rsidP="003F27BD">
      <w:pPr>
        <w:tabs>
          <w:tab w:val="left" w:pos="1701"/>
          <w:tab w:val="right" w:pos="9072"/>
        </w:tabs>
        <w:spacing w:before="0"/>
        <w:ind w:right="91"/>
      </w:pPr>
    </w:p>
    <w:p w:rsidR="00A4318F" w:rsidRDefault="00A4318F" w:rsidP="003F27BD">
      <w:pPr>
        <w:tabs>
          <w:tab w:val="left" w:pos="1701"/>
          <w:tab w:val="right" w:pos="9072"/>
        </w:tabs>
        <w:spacing w:before="0"/>
        <w:ind w:right="91"/>
      </w:pPr>
      <w:r>
        <w:t>The Act specifies no conditions that need to be satisfi</w:t>
      </w:r>
      <w:r w:rsidR="000F5E16">
        <w:t xml:space="preserve">ed before the power to make the </w:t>
      </w:r>
      <w:r>
        <w:t>Regulation may be exercised</w:t>
      </w:r>
    </w:p>
    <w:p w:rsidR="001C189F" w:rsidRDefault="001C189F" w:rsidP="003F27BD">
      <w:pPr>
        <w:tabs>
          <w:tab w:val="left" w:pos="1701"/>
          <w:tab w:val="right" w:pos="9072"/>
        </w:tabs>
        <w:spacing w:before="0"/>
        <w:ind w:right="91"/>
      </w:pPr>
    </w:p>
    <w:p w:rsidR="001C189F" w:rsidRDefault="001C189F" w:rsidP="001C189F">
      <w:pPr>
        <w:tabs>
          <w:tab w:val="left" w:pos="1701"/>
          <w:tab w:val="right" w:pos="9072"/>
        </w:tabs>
        <w:spacing w:before="0"/>
        <w:ind w:right="91"/>
      </w:pPr>
      <w:r>
        <w:t xml:space="preserve">The Regulation is a legislative instrument for the purposes of the </w:t>
      </w:r>
      <w:r>
        <w:rPr>
          <w:i/>
        </w:rPr>
        <w:t>Legislative Instruments Act 2003</w:t>
      </w:r>
      <w:r>
        <w:t>.</w:t>
      </w:r>
    </w:p>
    <w:p w:rsidR="001C189F" w:rsidRDefault="001C189F" w:rsidP="003F27BD">
      <w:pPr>
        <w:tabs>
          <w:tab w:val="left" w:pos="1701"/>
          <w:tab w:val="right" w:pos="9072"/>
        </w:tabs>
        <w:spacing w:before="0"/>
        <w:ind w:right="91"/>
      </w:pPr>
    </w:p>
    <w:p w:rsidR="00573DAB" w:rsidRDefault="00573DAB" w:rsidP="00922248">
      <w:pPr>
        <w:tabs>
          <w:tab w:val="right" w:pos="9072"/>
        </w:tabs>
        <w:spacing w:before="0"/>
        <w:ind w:right="91"/>
        <w:rPr>
          <w:sz w:val="20"/>
        </w:rPr>
      </w:pPr>
    </w:p>
    <w:p w:rsidR="0041522E" w:rsidRPr="00370E92" w:rsidRDefault="0041522E" w:rsidP="00922248">
      <w:pPr>
        <w:tabs>
          <w:tab w:val="right" w:pos="9072"/>
        </w:tabs>
        <w:spacing w:before="0"/>
        <w:ind w:right="91"/>
        <w:rPr>
          <w:sz w:val="20"/>
        </w:rPr>
      </w:pPr>
    </w:p>
    <w:p w:rsidR="00A44942" w:rsidRDefault="00A44942"/>
    <w:sectPr w:rsidR="00A44942" w:rsidSect="00C031D0">
      <w:pgSz w:w="11906" w:h="16838"/>
      <w:pgMar w:top="1440" w:right="1440" w:bottom="1440" w:left="1440" w:header="708"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8BB" w:rsidRDefault="004848BB" w:rsidP="001D2D75">
      <w:pPr>
        <w:spacing w:before="0"/>
      </w:pPr>
      <w:r>
        <w:separator/>
      </w:r>
    </w:p>
  </w:endnote>
  <w:endnote w:type="continuationSeparator" w:id="0">
    <w:p w:rsidR="004848BB" w:rsidRDefault="004848BB" w:rsidP="001D2D7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8BB" w:rsidRDefault="004848BB" w:rsidP="001D2D75">
      <w:pPr>
        <w:spacing w:before="0"/>
      </w:pPr>
      <w:r>
        <w:separator/>
      </w:r>
    </w:p>
  </w:footnote>
  <w:footnote w:type="continuationSeparator" w:id="0">
    <w:p w:rsidR="004848BB" w:rsidRDefault="004848BB" w:rsidP="001D2D75">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3DAB"/>
    <w:rsid w:val="00077EED"/>
    <w:rsid w:val="000D7573"/>
    <w:rsid w:val="000F5E16"/>
    <w:rsid w:val="00114740"/>
    <w:rsid w:val="00142985"/>
    <w:rsid w:val="00161022"/>
    <w:rsid w:val="001C189F"/>
    <w:rsid w:val="001D2D75"/>
    <w:rsid w:val="001F1745"/>
    <w:rsid w:val="00214F9B"/>
    <w:rsid w:val="00222BFF"/>
    <w:rsid w:val="00237AC9"/>
    <w:rsid w:val="0024297C"/>
    <w:rsid w:val="00262F6E"/>
    <w:rsid w:val="002762EA"/>
    <w:rsid w:val="002776A3"/>
    <w:rsid w:val="0029234A"/>
    <w:rsid w:val="002A0F45"/>
    <w:rsid w:val="00330929"/>
    <w:rsid w:val="00357DBD"/>
    <w:rsid w:val="003654A5"/>
    <w:rsid w:val="003F27BD"/>
    <w:rsid w:val="0041522E"/>
    <w:rsid w:val="004848BB"/>
    <w:rsid w:val="0049184D"/>
    <w:rsid w:val="004C1DC3"/>
    <w:rsid w:val="00557E35"/>
    <w:rsid w:val="00567208"/>
    <w:rsid w:val="00573DAB"/>
    <w:rsid w:val="005D3D88"/>
    <w:rsid w:val="005E1204"/>
    <w:rsid w:val="00637F4F"/>
    <w:rsid w:val="00681B89"/>
    <w:rsid w:val="006A6BF6"/>
    <w:rsid w:val="006B7044"/>
    <w:rsid w:val="00747931"/>
    <w:rsid w:val="007710DB"/>
    <w:rsid w:val="0077283B"/>
    <w:rsid w:val="00786952"/>
    <w:rsid w:val="007F287A"/>
    <w:rsid w:val="00825A1C"/>
    <w:rsid w:val="00841FB8"/>
    <w:rsid w:val="00860FA6"/>
    <w:rsid w:val="00896D84"/>
    <w:rsid w:val="008A3CD8"/>
    <w:rsid w:val="008A76FF"/>
    <w:rsid w:val="008A78B5"/>
    <w:rsid w:val="008B007E"/>
    <w:rsid w:val="008F360B"/>
    <w:rsid w:val="00922248"/>
    <w:rsid w:val="00985929"/>
    <w:rsid w:val="009A51C9"/>
    <w:rsid w:val="009B4DD5"/>
    <w:rsid w:val="00A02A97"/>
    <w:rsid w:val="00A35AD7"/>
    <w:rsid w:val="00A4138E"/>
    <w:rsid w:val="00A4318F"/>
    <w:rsid w:val="00A44942"/>
    <w:rsid w:val="00AD01F4"/>
    <w:rsid w:val="00AE75E9"/>
    <w:rsid w:val="00AF6103"/>
    <w:rsid w:val="00AF786A"/>
    <w:rsid w:val="00B31E9C"/>
    <w:rsid w:val="00B634DB"/>
    <w:rsid w:val="00BE27F1"/>
    <w:rsid w:val="00C031D0"/>
    <w:rsid w:val="00C31438"/>
    <w:rsid w:val="00C6721B"/>
    <w:rsid w:val="00C900C3"/>
    <w:rsid w:val="00CB0CD3"/>
    <w:rsid w:val="00CB5BEA"/>
    <w:rsid w:val="00CD2249"/>
    <w:rsid w:val="00D116CB"/>
    <w:rsid w:val="00D541EF"/>
    <w:rsid w:val="00D77C99"/>
    <w:rsid w:val="00DB36D5"/>
    <w:rsid w:val="00DC5E21"/>
    <w:rsid w:val="00DD1307"/>
    <w:rsid w:val="00E0347B"/>
    <w:rsid w:val="00E33166"/>
    <w:rsid w:val="00E33421"/>
    <w:rsid w:val="00E828B6"/>
    <w:rsid w:val="00E94818"/>
    <w:rsid w:val="00EA488C"/>
    <w:rsid w:val="00EE2AB6"/>
    <w:rsid w:val="00EF46EC"/>
    <w:rsid w:val="00F263BD"/>
    <w:rsid w:val="00F2750F"/>
    <w:rsid w:val="00F77DC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AB"/>
    <w:pPr>
      <w:spacing w:before="240"/>
    </w:pPr>
    <w:rPr>
      <w:rFonts w:ascii="Times New Roman" w:eastAsia="Times New Roman" w:hAnsi="Times New Roman"/>
      <w:sz w:val="24"/>
    </w:rPr>
  </w:style>
  <w:style w:type="paragraph" w:styleId="Heading6">
    <w:name w:val="heading 6"/>
    <w:basedOn w:val="Normal"/>
    <w:next w:val="Normal"/>
    <w:link w:val="Heading6Char"/>
    <w:semiHidden/>
    <w:unhideWhenUsed/>
    <w:qFormat/>
    <w:rsid w:val="00573DAB"/>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semiHidden/>
    <w:rsid w:val="00573DAB"/>
    <w:rPr>
      <w:rFonts w:ascii="Times New Roman" w:eastAsia="Times New Roman" w:hAnsi="Times New Roman" w:cs="Times New Roman"/>
      <w:sz w:val="24"/>
      <w:szCs w:val="20"/>
      <w:u w:val="single"/>
      <w:lang w:eastAsia="en-AU"/>
    </w:rPr>
  </w:style>
  <w:style w:type="paragraph" w:styleId="Header">
    <w:name w:val="header"/>
    <w:basedOn w:val="Normal"/>
    <w:link w:val="HeaderChar"/>
    <w:uiPriority w:val="99"/>
    <w:semiHidden/>
    <w:unhideWhenUsed/>
    <w:rsid w:val="001D2D75"/>
    <w:pPr>
      <w:tabs>
        <w:tab w:val="center" w:pos="4513"/>
        <w:tab w:val="right" w:pos="9026"/>
      </w:tabs>
    </w:pPr>
  </w:style>
  <w:style w:type="character" w:customStyle="1" w:styleId="HeaderChar">
    <w:name w:val="Header Char"/>
    <w:link w:val="Header"/>
    <w:uiPriority w:val="99"/>
    <w:semiHidden/>
    <w:rsid w:val="001D2D75"/>
    <w:rPr>
      <w:rFonts w:ascii="Times New Roman" w:eastAsia="Times New Roman" w:hAnsi="Times New Roman"/>
      <w:sz w:val="24"/>
    </w:rPr>
  </w:style>
  <w:style w:type="paragraph" w:styleId="Footer">
    <w:name w:val="footer"/>
    <w:basedOn w:val="Normal"/>
    <w:link w:val="FooterChar"/>
    <w:uiPriority w:val="99"/>
    <w:semiHidden/>
    <w:unhideWhenUsed/>
    <w:rsid w:val="001D2D75"/>
    <w:pPr>
      <w:tabs>
        <w:tab w:val="center" w:pos="4513"/>
        <w:tab w:val="right" w:pos="9026"/>
      </w:tabs>
    </w:pPr>
  </w:style>
  <w:style w:type="character" w:customStyle="1" w:styleId="FooterChar">
    <w:name w:val="Footer Char"/>
    <w:link w:val="Footer"/>
    <w:uiPriority w:val="99"/>
    <w:semiHidden/>
    <w:rsid w:val="001D2D75"/>
    <w:rPr>
      <w:rFonts w:ascii="Times New Roman" w:eastAsia="Times New Roman" w:hAnsi="Times New Roman"/>
      <w:sz w:val="24"/>
    </w:rPr>
  </w:style>
  <w:style w:type="paragraph" w:styleId="BalloonText">
    <w:name w:val="Balloon Text"/>
    <w:basedOn w:val="Normal"/>
    <w:link w:val="BalloonTextChar"/>
    <w:uiPriority w:val="99"/>
    <w:semiHidden/>
    <w:unhideWhenUsed/>
    <w:rsid w:val="00EA488C"/>
    <w:pPr>
      <w:spacing w:before="0"/>
    </w:pPr>
    <w:rPr>
      <w:rFonts w:ascii="Tahoma" w:hAnsi="Tahoma" w:cs="Tahoma"/>
      <w:sz w:val="16"/>
      <w:szCs w:val="16"/>
    </w:rPr>
  </w:style>
  <w:style w:type="character" w:customStyle="1" w:styleId="BalloonTextChar">
    <w:name w:val="Balloon Text Char"/>
    <w:link w:val="BalloonText"/>
    <w:uiPriority w:val="99"/>
    <w:semiHidden/>
    <w:rsid w:val="00EA488C"/>
    <w:rPr>
      <w:rFonts w:ascii="Tahoma" w:eastAsia="Times New Roman" w:hAnsi="Tahoma" w:cs="Tahoma"/>
      <w:sz w:val="16"/>
      <w:szCs w:val="16"/>
    </w:rPr>
  </w:style>
  <w:style w:type="character" w:styleId="CommentReference">
    <w:name w:val="annotation reference"/>
    <w:uiPriority w:val="99"/>
    <w:semiHidden/>
    <w:unhideWhenUsed/>
    <w:rsid w:val="00222BFF"/>
    <w:rPr>
      <w:sz w:val="16"/>
      <w:szCs w:val="16"/>
    </w:rPr>
  </w:style>
  <w:style w:type="paragraph" w:styleId="CommentText">
    <w:name w:val="annotation text"/>
    <w:basedOn w:val="Normal"/>
    <w:link w:val="CommentTextChar"/>
    <w:uiPriority w:val="99"/>
    <w:semiHidden/>
    <w:unhideWhenUsed/>
    <w:rsid w:val="00222BFF"/>
    <w:rPr>
      <w:sz w:val="20"/>
    </w:rPr>
  </w:style>
  <w:style w:type="character" w:customStyle="1" w:styleId="CommentTextChar">
    <w:name w:val="Comment Text Char"/>
    <w:link w:val="CommentText"/>
    <w:uiPriority w:val="99"/>
    <w:semiHidden/>
    <w:rsid w:val="00222BF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22BFF"/>
    <w:rPr>
      <w:b/>
      <w:bCs/>
    </w:rPr>
  </w:style>
  <w:style w:type="character" w:customStyle="1" w:styleId="CommentSubjectChar">
    <w:name w:val="Comment Subject Char"/>
    <w:link w:val="CommentSubject"/>
    <w:uiPriority w:val="99"/>
    <w:semiHidden/>
    <w:rsid w:val="00222BFF"/>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76293538">
      <w:bodyDiv w:val="1"/>
      <w:marLeft w:val="0"/>
      <w:marRight w:val="0"/>
      <w:marTop w:val="0"/>
      <w:marBottom w:val="0"/>
      <w:divBdr>
        <w:top w:val="none" w:sz="0" w:space="0" w:color="auto"/>
        <w:left w:val="none" w:sz="0" w:space="0" w:color="auto"/>
        <w:bottom w:val="none" w:sz="0" w:space="0" w:color="auto"/>
        <w:right w:val="none" w:sz="0" w:space="0" w:color="auto"/>
      </w:divBdr>
    </w:div>
    <w:div w:id="576523059">
      <w:bodyDiv w:val="1"/>
      <w:marLeft w:val="0"/>
      <w:marRight w:val="0"/>
      <w:marTop w:val="0"/>
      <w:marBottom w:val="0"/>
      <w:divBdr>
        <w:top w:val="none" w:sz="0" w:space="0" w:color="auto"/>
        <w:left w:val="none" w:sz="0" w:space="0" w:color="auto"/>
        <w:bottom w:val="none" w:sz="0" w:space="0" w:color="auto"/>
        <w:right w:val="none" w:sz="0" w:space="0" w:color="auto"/>
      </w:divBdr>
    </w:div>
    <w:div w:id="14389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88F3-D2BD-4F8E-921F-6DC40255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2444</Characters>
  <Application>Microsoft Office Word</Application>
  <DocSecurity>0</DocSecurity>
  <Lines>68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pmc2963</dc:creator>
  <cp:keywords/>
  <cp:lastModifiedBy>hilhma</cp:lastModifiedBy>
  <cp:revision>2</cp:revision>
  <cp:lastPrinted>2012-05-28T04:54:00Z</cp:lastPrinted>
  <dcterms:created xsi:type="dcterms:W3CDTF">2012-06-27T01:43:00Z</dcterms:created>
  <dcterms:modified xsi:type="dcterms:W3CDTF">2012-06-27T01:43:00Z</dcterms:modified>
</cp:coreProperties>
</file>