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23732E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23732E" w:rsidRDefault="0023732E" w:rsidP="0023732E">
      <w:pPr>
        <w:pStyle w:val="Title"/>
        <w:ind w:left="397" w:right="397"/>
      </w:pPr>
      <w:bookmarkStart w:id="0" w:name="Citation"/>
      <w:r>
        <w:t>Trade Practices (Industry Codes</w:t>
      </w:r>
      <w:r w:rsidR="0064724E">
        <w:t>—</w:t>
      </w:r>
      <w:proofErr w:type="spellStart"/>
      <w:r>
        <w:t>Oilcode</w:t>
      </w:r>
      <w:proofErr w:type="spellEnd"/>
      <w:r>
        <w:t xml:space="preserve">) Amendment Regulation </w:t>
      </w:r>
      <w:fldSimple w:instr=" REF Year \* charformat ">
        <w:r w:rsidR="00DE4070">
          <w:t>2012</w:t>
        </w:r>
      </w:fldSimple>
      <w:r>
        <w:t xml:space="preserve"> (No.</w:t>
      </w:r>
      <w:r w:rsidR="001A6F8F">
        <w:t> </w:t>
      </w:r>
      <w:r w:rsidR="00DE4070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23732E" w:rsidRDefault="0023732E" w:rsidP="0023732E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</w:t>
      </w:r>
      <w:r w:rsidR="00F56458">
        <w:t>2</w:t>
      </w:r>
      <w:bookmarkEnd w:id="1"/>
      <w:r>
        <w:t xml:space="preserve"> No. </w:t>
      </w:r>
      <w:bookmarkStart w:id="2" w:name="refno"/>
      <w:r w:rsidR="00DE4070">
        <w:t>154</w:t>
      </w:r>
      <w:bookmarkEnd w:id="2"/>
    </w:p>
    <w:p w:rsidR="0023732E" w:rsidRDefault="0023732E" w:rsidP="0023732E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Pr="000C767C">
        <w:t>QUENTIN BRYCE,</w:t>
      </w:r>
      <w:r>
        <w:t xml:space="preserve"> Governor-General of the Commonwealth of Australia, acting with the advice of the Federal Executi</w:t>
      </w:r>
      <w:r w:rsidR="00574A50">
        <w:t>ve Council, make the following r</w:t>
      </w:r>
      <w:r>
        <w:t xml:space="preserve">egulation under the </w:t>
      </w:r>
      <w:r w:rsidR="00EE31DF">
        <w:rPr>
          <w:i/>
        </w:rPr>
        <w:t>Competition and Consumer Act 2010</w:t>
      </w:r>
      <w:r>
        <w:t>.</w:t>
      </w:r>
    </w:p>
    <w:p w:rsidR="0023732E" w:rsidRDefault="0023732E" w:rsidP="0023732E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DE4070">
        <w:t xml:space="preserve"> 28 June </w:t>
      </w:r>
      <w:fldSimple w:instr=" REF Year \* charformat ">
        <w:r w:rsidR="00DE4070">
          <w:t>2012</w:t>
        </w:r>
      </w:fldSimple>
    </w:p>
    <w:p w:rsidR="0023732E" w:rsidRDefault="00DE4070" w:rsidP="0023732E">
      <w:pPr>
        <w:spacing w:before="1080" w:line="300" w:lineRule="atLeast"/>
        <w:ind w:left="397" w:right="397"/>
        <w:jc w:val="right"/>
      </w:pPr>
      <w:r>
        <w:t>QUENTIN BRYCE</w:t>
      </w:r>
    </w:p>
    <w:p w:rsidR="0023732E" w:rsidRDefault="0023732E" w:rsidP="0023732E">
      <w:pPr>
        <w:spacing w:line="300" w:lineRule="atLeast"/>
        <w:ind w:left="397" w:right="397"/>
        <w:jc w:val="right"/>
      </w:pPr>
      <w:r>
        <w:t>Governor-General</w:t>
      </w:r>
    </w:p>
    <w:p w:rsidR="0023732E" w:rsidRDefault="0023732E" w:rsidP="0023732E">
      <w:pPr>
        <w:spacing w:after="800" w:line="300" w:lineRule="atLeast"/>
        <w:ind w:left="397" w:right="397"/>
      </w:pPr>
      <w:r>
        <w:t>By Her Excellency’s Command</w:t>
      </w:r>
    </w:p>
    <w:p w:rsidR="0023732E" w:rsidRDefault="001D2E55" w:rsidP="0023732E">
      <w:pPr>
        <w:spacing w:before="480" w:line="300" w:lineRule="atLeast"/>
        <w:ind w:left="397" w:right="397"/>
        <w:rPr>
          <w:b/>
        </w:rPr>
      </w:pPr>
      <w:r w:rsidRPr="001D2E55">
        <w:t>MARTIN FERGUSON</w:t>
      </w:r>
    </w:p>
    <w:p w:rsidR="0023732E" w:rsidRDefault="0023732E" w:rsidP="0023732E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Resources and Energy</w:t>
      </w:r>
      <w:bookmarkEnd w:id="3"/>
      <w:r w:rsidR="007C4B0A">
        <w:t xml:space="preserve"> </w:t>
      </w:r>
      <w:r w:rsidR="00E43281">
        <w:t>for the Treasurer</w:t>
      </w:r>
    </w:p>
    <w:p w:rsidR="007C4B0A" w:rsidRDefault="007C4B0A" w:rsidP="00FC1400">
      <w:pPr>
        <w:pStyle w:val="SigningPageBreak"/>
        <w:sectPr w:rsidR="007C4B0A" w:rsidSect="00FC140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6D73D9" w:rsidRDefault="006D73D9" w:rsidP="006D73D9">
      <w:pPr>
        <w:pStyle w:val="A1"/>
        <w:pageBreakBefore/>
      </w:pPr>
      <w:r w:rsidRPr="000C0160">
        <w:rPr>
          <w:rStyle w:val="CharSectnoAm"/>
          <w:b/>
        </w:rPr>
        <w:lastRenderedPageBreak/>
        <w:t>1</w:t>
      </w:r>
      <w:r>
        <w:tab/>
        <w:t>Name of regulation</w:t>
      </w:r>
    </w:p>
    <w:p w:rsidR="0023732E" w:rsidRDefault="0023732E" w:rsidP="0023732E">
      <w:pPr>
        <w:pStyle w:val="A2"/>
      </w:pPr>
      <w:r>
        <w:tab/>
      </w:r>
      <w:r>
        <w:tab/>
        <w:t>Th</w:t>
      </w:r>
      <w:r w:rsidR="00F56458">
        <w:t>is r</w:t>
      </w:r>
      <w:r>
        <w:t>egulation</w:t>
      </w:r>
      <w:r w:rsidR="00F56458">
        <w:t xml:space="preserve"> is</w:t>
      </w:r>
      <w:r>
        <w:t xml:space="preserve">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DE4070" w:rsidRPr="00DE4070">
        <w:rPr>
          <w:i/>
        </w:rPr>
        <w:t>Trade Practices (Industry Codes—</w:t>
      </w:r>
      <w:proofErr w:type="spellStart"/>
      <w:r w:rsidR="00DE4070" w:rsidRPr="00DE4070">
        <w:rPr>
          <w:i/>
        </w:rPr>
        <w:t>Oilcode</w:t>
      </w:r>
      <w:proofErr w:type="spellEnd"/>
      <w:r w:rsidR="00DE4070" w:rsidRPr="00DE4070">
        <w:rPr>
          <w:i/>
        </w:rPr>
        <w:t>) Amendment Regulation 2012 (No. 1)</w:t>
      </w:r>
      <w:r>
        <w:rPr>
          <w:i/>
        </w:rPr>
        <w:fldChar w:fldCharType="end"/>
      </w:r>
      <w:r>
        <w:t>.</w:t>
      </w:r>
    </w:p>
    <w:p w:rsidR="0023732E" w:rsidRDefault="0023732E" w:rsidP="0023732E">
      <w:pPr>
        <w:pStyle w:val="A1"/>
      </w:pPr>
      <w:r w:rsidRPr="000C0160">
        <w:rPr>
          <w:rStyle w:val="CharSectnoAm"/>
          <w:b/>
        </w:rPr>
        <w:t>2</w:t>
      </w:r>
      <w:r>
        <w:tab/>
        <w:t>Commencement</w:t>
      </w:r>
    </w:p>
    <w:p w:rsidR="0023732E" w:rsidRDefault="0023732E" w:rsidP="0023732E">
      <w:pPr>
        <w:pStyle w:val="A2"/>
      </w:pPr>
      <w:r>
        <w:tab/>
      </w:r>
      <w:r>
        <w:tab/>
        <w:t>Th</w:t>
      </w:r>
      <w:r w:rsidR="00F56458">
        <w:t xml:space="preserve">is regulation </w:t>
      </w:r>
      <w:r>
        <w:t>commence</w:t>
      </w:r>
      <w:r w:rsidR="00F56458">
        <w:t>s</w:t>
      </w:r>
      <w:r w:rsidR="00E43281">
        <w:t xml:space="preserve"> on the day after it is registered.</w:t>
      </w:r>
    </w:p>
    <w:p w:rsidR="0023732E" w:rsidRDefault="0023732E" w:rsidP="006D73D9">
      <w:pPr>
        <w:pStyle w:val="A1"/>
      </w:pPr>
      <w:r w:rsidRPr="000C0160">
        <w:rPr>
          <w:rStyle w:val="CharSectnoAm"/>
          <w:b/>
        </w:rPr>
        <w:t>3</w:t>
      </w:r>
      <w:r>
        <w:tab/>
        <w:t xml:space="preserve">Amendment of </w:t>
      </w:r>
      <w:r w:rsidRPr="0064724E">
        <w:rPr>
          <w:i/>
        </w:rPr>
        <w:t>Trade Practices (Industry Codes</w:t>
      </w:r>
      <w:r w:rsidR="001A6F8F">
        <w:rPr>
          <w:i/>
        </w:rPr>
        <w:t> </w:t>
      </w:r>
      <w:r w:rsidR="002A3DC0">
        <w:rPr>
          <w:i/>
        </w:rPr>
        <w:t>—</w:t>
      </w:r>
      <w:r w:rsidRPr="0064724E">
        <w:rPr>
          <w:i/>
        </w:rPr>
        <w:t>Oilcode) Regulations</w:t>
      </w:r>
      <w:r w:rsidR="0064724E" w:rsidRPr="0064724E">
        <w:rPr>
          <w:i/>
        </w:rPr>
        <w:t xml:space="preserve"> 2006</w:t>
      </w:r>
    </w:p>
    <w:p w:rsidR="0023732E" w:rsidRDefault="0023732E" w:rsidP="006D73D9">
      <w:pPr>
        <w:pStyle w:val="A2"/>
        <w:jc w:val="left"/>
      </w:pPr>
      <w:r>
        <w:tab/>
      </w:r>
      <w:r>
        <w:tab/>
        <w:t xml:space="preserve">Schedule 1 amends the </w:t>
      </w:r>
      <w:r w:rsidRPr="0064724E">
        <w:rPr>
          <w:i/>
        </w:rPr>
        <w:t xml:space="preserve">Trade Practices (Industry Codes </w:t>
      </w:r>
      <w:r w:rsidR="0064724E">
        <w:rPr>
          <w:i/>
        </w:rPr>
        <w:t>—</w:t>
      </w:r>
      <w:r w:rsidRPr="0064724E">
        <w:rPr>
          <w:i/>
        </w:rPr>
        <w:t xml:space="preserve"> Oilcode) Regulations</w:t>
      </w:r>
      <w:r w:rsidR="0064724E" w:rsidRPr="0064724E">
        <w:rPr>
          <w:i/>
        </w:rPr>
        <w:t xml:space="preserve"> 2006</w:t>
      </w:r>
      <w:r>
        <w:t>.</w:t>
      </w:r>
    </w:p>
    <w:p w:rsidR="007C4B0A" w:rsidRDefault="007C4B0A" w:rsidP="00FC1400">
      <w:pPr>
        <w:pStyle w:val="MainBodySectionBreak"/>
        <w:sectPr w:rsidR="007C4B0A" w:rsidSect="00FC14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D73D9" w:rsidRDefault="006D73D9" w:rsidP="006D73D9">
      <w:pPr>
        <w:pStyle w:val="AS"/>
      </w:pPr>
      <w:r w:rsidRPr="000C0160">
        <w:rPr>
          <w:rStyle w:val="CharAmSchNo"/>
        </w:rPr>
        <w:lastRenderedPageBreak/>
        <w:t>Schedule 1</w:t>
      </w:r>
      <w:r>
        <w:tab/>
      </w:r>
      <w:r w:rsidRPr="000C0160">
        <w:rPr>
          <w:rStyle w:val="CharAmSchText"/>
        </w:rPr>
        <w:t>Amendments</w:t>
      </w:r>
    </w:p>
    <w:p w:rsidR="006D73D9" w:rsidRDefault="006D73D9" w:rsidP="006D73D9">
      <w:pPr>
        <w:pStyle w:val="ASref"/>
      </w:pPr>
      <w:r>
        <w:t>(section</w:t>
      </w:r>
      <w:r w:rsidR="001A6F8F">
        <w:t> </w:t>
      </w:r>
      <w:r>
        <w:t>3)</w:t>
      </w:r>
    </w:p>
    <w:p w:rsidR="001D2E55" w:rsidRPr="001D2E55" w:rsidRDefault="001D2E55" w:rsidP="001D2E55">
      <w:pPr>
        <w:pStyle w:val="Header"/>
        <w:rPr>
          <w:vanish/>
        </w:rPr>
      </w:pPr>
      <w:r w:rsidRPr="001D2E55">
        <w:rPr>
          <w:vanish/>
        </w:rPr>
        <w:t xml:space="preserve">  </w:t>
      </w:r>
    </w:p>
    <w:p w:rsidR="00822AD4" w:rsidRDefault="0023732E" w:rsidP="0023732E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</w:t>
        </w:r>
      </w:fldSimple>
      <w:r>
        <w:t>]</w:t>
      </w:r>
      <w:r>
        <w:tab/>
      </w:r>
      <w:r w:rsidR="00822AD4">
        <w:t>Regulation 1</w:t>
      </w:r>
    </w:p>
    <w:p w:rsidR="00822AD4" w:rsidRDefault="00822AD4" w:rsidP="00822AD4">
      <w:pPr>
        <w:pStyle w:val="A2S"/>
      </w:pPr>
      <w:r>
        <w:t>substitute</w:t>
      </w:r>
    </w:p>
    <w:p w:rsidR="00822AD4" w:rsidRDefault="00822AD4" w:rsidP="00822AD4">
      <w:pPr>
        <w:pStyle w:val="HR"/>
      </w:pPr>
      <w:r w:rsidRPr="000C0160">
        <w:rPr>
          <w:rStyle w:val="CharSectno"/>
        </w:rPr>
        <w:t>1</w:t>
      </w:r>
      <w:r>
        <w:tab/>
        <w:t xml:space="preserve">Name of </w:t>
      </w:r>
      <w:r w:rsidR="00574A50">
        <w:t>r</w:t>
      </w:r>
      <w:r>
        <w:t>egulation</w:t>
      </w:r>
    </w:p>
    <w:p w:rsidR="00822AD4" w:rsidRDefault="00822AD4" w:rsidP="00822AD4">
      <w:pPr>
        <w:pStyle w:val="R1"/>
      </w:pPr>
      <w:r>
        <w:tab/>
      </w:r>
      <w:r>
        <w:tab/>
      </w:r>
      <w:r w:rsidR="00574A50">
        <w:t xml:space="preserve">This regulation is the </w:t>
      </w:r>
      <w:r w:rsidRPr="00822AD4">
        <w:rPr>
          <w:i/>
        </w:rPr>
        <w:t>Competition and Consumer (Industry Codes—Oilcode) Regulation 2006</w:t>
      </w:r>
      <w:r>
        <w:t>.</w:t>
      </w:r>
    </w:p>
    <w:p w:rsidR="00574A50" w:rsidRDefault="00574A50" w:rsidP="00574A50">
      <w:pPr>
        <w:pStyle w:val="A1S"/>
      </w:pPr>
      <w:r>
        <w:t>[</w:t>
      </w:r>
      <w:fldSimple w:instr=" SEQ Sch1Item " w:fldLock="1">
        <w:r w:rsidR="00DE4070">
          <w:rPr>
            <w:noProof/>
          </w:rPr>
          <w:t>2</w:t>
        </w:r>
      </w:fldSimple>
      <w:r>
        <w:t>]</w:t>
      </w:r>
      <w:r>
        <w:tab/>
        <w:t>Regulation 2</w:t>
      </w:r>
    </w:p>
    <w:p w:rsidR="00574A50" w:rsidRDefault="00574A50" w:rsidP="0058636F">
      <w:pPr>
        <w:pStyle w:val="A2S"/>
      </w:pPr>
      <w:r w:rsidRPr="006C0394">
        <w:t>omit</w:t>
      </w:r>
    </w:p>
    <w:p w:rsidR="00574A50" w:rsidRDefault="00574A50" w:rsidP="00574A50">
      <w:pPr>
        <w:pStyle w:val="A3S"/>
      </w:pPr>
      <w:r>
        <w:t>These Regulations commence</w:t>
      </w:r>
    </w:p>
    <w:p w:rsidR="00574A50" w:rsidRDefault="00574A50" w:rsidP="0058636F">
      <w:pPr>
        <w:pStyle w:val="A2S"/>
      </w:pPr>
      <w:r>
        <w:t>insert</w:t>
      </w:r>
    </w:p>
    <w:p w:rsidR="00574A50" w:rsidRPr="00574A50" w:rsidRDefault="00574A50" w:rsidP="00574A50">
      <w:pPr>
        <w:pStyle w:val="A3S"/>
      </w:pPr>
      <w:r>
        <w:t>This regulation commences</w:t>
      </w:r>
    </w:p>
    <w:p w:rsidR="00822AD4" w:rsidRDefault="00822AD4" w:rsidP="00822AD4">
      <w:pPr>
        <w:pStyle w:val="A1S"/>
      </w:pPr>
      <w:r>
        <w:lastRenderedPageBreak/>
        <w:t>[</w:t>
      </w:r>
      <w:fldSimple w:instr=" SEQ Sch1Item " w:fldLock="1">
        <w:r w:rsidR="00DE4070">
          <w:rPr>
            <w:noProof/>
          </w:rPr>
          <w:t>3</w:t>
        </w:r>
      </w:fldSimple>
      <w:r>
        <w:t>]</w:t>
      </w:r>
      <w:r>
        <w:tab/>
        <w:t>Regulation 3</w:t>
      </w:r>
    </w:p>
    <w:p w:rsidR="00822AD4" w:rsidRDefault="00822AD4" w:rsidP="00822AD4">
      <w:pPr>
        <w:pStyle w:val="A2S"/>
      </w:pPr>
      <w:r w:rsidRPr="006C0394">
        <w:t>omit</w:t>
      </w:r>
    </w:p>
    <w:p w:rsidR="00822AD4" w:rsidRDefault="00822AD4" w:rsidP="00822AD4">
      <w:pPr>
        <w:pStyle w:val="A3S"/>
      </w:pPr>
      <w:r>
        <w:rPr>
          <w:i/>
        </w:rPr>
        <w:t>Trade Practices Act 1974</w:t>
      </w:r>
      <w:r>
        <w:t>,</w:t>
      </w:r>
    </w:p>
    <w:p w:rsidR="00822AD4" w:rsidRDefault="00822AD4" w:rsidP="00822AD4">
      <w:pPr>
        <w:pStyle w:val="A2S"/>
      </w:pPr>
      <w:r>
        <w:t>insert</w:t>
      </w:r>
    </w:p>
    <w:p w:rsidR="00822AD4" w:rsidRDefault="00822AD4" w:rsidP="00822AD4">
      <w:pPr>
        <w:pStyle w:val="A3S"/>
      </w:pPr>
      <w:r>
        <w:rPr>
          <w:i/>
        </w:rPr>
        <w:t>Competition and Consumer Act 2010</w:t>
      </w:r>
      <w:r>
        <w:t>,</w:t>
      </w:r>
    </w:p>
    <w:p w:rsidR="00F04B62" w:rsidRDefault="00822AD4" w:rsidP="00822AD4">
      <w:pPr>
        <w:pStyle w:val="A1S"/>
      </w:pPr>
      <w:r>
        <w:t>[</w:t>
      </w:r>
      <w:fldSimple w:instr=" SEQ Sch1Item " w:fldLock="1">
        <w:r w:rsidR="00DE4070">
          <w:rPr>
            <w:noProof/>
          </w:rPr>
          <w:t>4</w:t>
        </w:r>
      </w:fldSimple>
      <w:r>
        <w:t>]</w:t>
      </w:r>
      <w:r>
        <w:tab/>
      </w:r>
      <w:r w:rsidR="00F04B62">
        <w:t>Schedule 1, heading</w:t>
      </w:r>
    </w:p>
    <w:p w:rsidR="00F04B62" w:rsidRDefault="00F04B62" w:rsidP="00017FD0">
      <w:pPr>
        <w:pStyle w:val="A2S"/>
      </w:pPr>
      <w:r>
        <w:t>substitute</w:t>
      </w:r>
    </w:p>
    <w:p w:rsidR="00F04B62" w:rsidRDefault="00F04B62" w:rsidP="00F04B62">
      <w:pPr>
        <w:pStyle w:val="Scheduletitle"/>
      </w:pPr>
      <w:r w:rsidRPr="000C0160">
        <w:rPr>
          <w:rStyle w:val="CharSchNo"/>
        </w:rPr>
        <w:t>Schedule 1</w:t>
      </w:r>
      <w:r>
        <w:tab/>
      </w:r>
      <w:r w:rsidRPr="000C0160">
        <w:rPr>
          <w:rStyle w:val="CharSchText"/>
        </w:rPr>
        <w:t>Oilcode</w:t>
      </w:r>
    </w:p>
    <w:p w:rsidR="00F04B62" w:rsidRPr="00F04B62" w:rsidRDefault="00F04B62" w:rsidP="00F04B62">
      <w:pPr>
        <w:pStyle w:val="Schedulereference"/>
      </w:pPr>
      <w:r>
        <w:t>(section 3)</w:t>
      </w:r>
    </w:p>
    <w:p w:rsidR="001D2E55" w:rsidRPr="001D2E55" w:rsidRDefault="001D2E55" w:rsidP="001D2E55">
      <w:pPr>
        <w:pStyle w:val="Header"/>
        <w:rPr>
          <w:vanish/>
        </w:rPr>
      </w:pPr>
      <w:r w:rsidRPr="001D2E55">
        <w:rPr>
          <w:rStyle w:val="CharSchPTNo"/>
          <w:vanish/>
        </w:rPr>
        <w:t xml:space="preserve"> </w:t>
      </w:r>
      <w:r w:rsidRPr="001D2E55">
        <w:rPr>
          <w:rStyle w:val="CharSchPTText"/>
          <w:vanish/>
        </w:rPr>
        <w:t xml:space="preserve"> </w:t>
      </w:r>
    </w:p>
    <w:p w:rsidR="0058636F" w:rsidRDefault="00F04B62" w:rsidP="00F04B62">
      <w:pPr>
        <w:pStyle w:val="A1S"/>
      </w:pPr>
      <w:r>
        <w:t>[</w:t>
      </w:r>
      <w:fldSimple w:instr=" SEQ Sch1Item " w:fldLock="1">
        <w:r w:rsidR="00DE4070">
          <w:rPr>
            <w:noProof/>
          </w:rPr>
          <w:t>5</w:t>
        </w:r>
      </w:fldSimple>
      <w:r>
        <w:t>]</w:t>
      </w:r>
      <w:r>
        <w:tab/>
      </w:r>
      <w:r w:rsidR="0058636F">
        <w:t>Schedule 1, section 1, note</w:t>
      </w:r>
    </w:p>
    <w:p w:rsidR="0058636F" w:rsidRDefault="0058636F" w:rsidP="00C3042C">
      <w:pPr>
        <w:pStyle w:val="A2S"/>
        <w:keepNext w:val="0"/>
      </w:pPr>
      <w:r w:rsidRPr="006C0394">
        <w:t>omit</w:t>
      </w:r>
    </w:p>
    <w:p w:rsidR="00822AD4" w:rsidRDefault="0058636F" w:rsidP="0058636F">
      <w:pPr>
        <w:pStyle w:val="A1S"/>
      </w:pPr>
      <w:r>
        <w:t>[</w:t>
      </w:r>
      <w:fldSimple w:instr=" SEQ Sch1Item " w:fldLock="1">
        <w:r w:rsidR="00DE4070">
          <w:rPr>
            <w:noProof/>
          </w:rPr>
          <w:t>6</w:t>
        </w:r>
      </w:fldSimple>
      <w:r>
        <w:t>]</w:t>
      </w:r>
      <w:r>
        <w:tab/>
      </w:r>
      <w:r w:rsidR="00822AD4">
        <w:t>Schedule 1, section 2, note</w:t>
      </w:r>
    </w:p>
    <w:p w:rsidR="009F22D8" w:rsidRDefault="009F22D8" w:rsidP="001D2E55">
      <w:pPr>
        <w:pStyle w:val="A2S"/>
        <w:keepNext w:val="0"/>
      </w:pPr>
      <w:r>
        <w:t>om</w:t>
      </w:r>
      <w:r w:rsidRPr="006C0394">
        <w:t>it</w:t>
      </w:r>
    </w:p>
    <w:p w:rsidR="00B94620" w:rsidRDefault="00B94620" w:rsidP="009F22D8">
      <w:pPr>
        <w:pStyle w:val="A1S"/>
      </w:pPr>
      <w:r>
        <w:t>[</w:t>
      </w:r>
      <w:fldSimple w:instr=" SEQ Sch1Item " w:fldLock="1">
        <w:r w:rsidR="00DE4070">
          <w:rPr>
            <w:noProof/>
          </w:rPr>
          <w:t>7</w:t>
        </w:r>
      </w:fldSimple>
      <w:r>
        <w:t>]</w:t>
      </w:r>
      <w:r>
        <w:tab/>
        <w:t xml:space="preserve">Schedule 1, </w:t>
      </w:r>
      <w:r w:rsidR="003476A1">
        <w:t>sub</w:t>
      </w:r>
      <w:r>
        <w:t>section 3</w:t>
      </w:r>
      <w:r w:rsidR="001A6F8F">
        <w:t> </w:t>
      </w:r>
      <w:r w:rsidR="008553D9">
        <w:t>(2)</w:t>
      </w:r>
    </w:p>
    <w:p w:rsidR="00B94620" w:rsidRDefault="00B94620" w:rsidP="00B94620">
      <w:pPr>
        <w:pStyle w:val="A2S"/>
      </w:pPr>
      <w:r>
        <w:t>substitute</w:t>
      </w:r>
    </w:p>
    <w:p w:rsidR="00B94620" w:rsidRDefault="008553D9" w:rsidP="008553D9">
      <w:pPr>
        <w:pStyle w:val="R2"/>
      </w:pPr>
      <w:r>
        <w:tab/>
      </w:r>
      <w:r w:rsidR="00F56458">
        <w:t>(2)</w:t>
      </w:r>
      <w:r w:rsidR="00F56458">
        <w:tab/>
        <w:t xml:space="preserve">The Department </w:t>
      </w:r>
      <w:r w:rsidR="003476A1">
        <w:t xml:space="preserve">of Resources, Energy and Tourism </w:t>
      </w:r>
      <w:r w:rsidR="00C663B7">
        <w:t>will</w:t>
      </w:r>
      <w:r>
        <w:t xml:space="preserve"> commence a review of this code </w:t>
      </w:r>
      <w:r w:rsidR="00C3042C">
        <w:t>on or before 31 December 2013.</w:t>
      </w:r>
    </w:p>
    <w:p w:rsidR="00B94620" w:rsidRDefault="00B94620" w:rsidP="00B94620">
      <w:pPr>
        <w:pStyle w:val="A1S"/>
        <w:rPr>
          <w:i/>
        </w:rPr>
      </w:pPr>
      <w:r>
        <w:t>[</w:t>
      </w:r>
      <w:fldSimple w:instr=" SEQ Sch1Item " w:fldLock="1">
        <w:r w:rsidR="00DE4070">
          <w:rPr>
            <w:noProof/>
          </w:rPr>
          <w:t>8</w:t>
        </w:r>
      </w:fldSimple>
      <w:r>
        <w:t>]</w:t>
      </w:r>
      <w:r>
        <w:tab/>
        <w:t>Schedule 1, subsection 4</w:t>
      </w:r>
      <w:r w:rsidR="001A6F8F">
        <w:t> </w:t>
      </w:r>
      <w:r>
        <w:t xml:space="preserve">(1), definition of </w:t>
      </w:r>
      <w:r>
        <w:rPr>
          <w:i/>
        </w:rPr>
        <w:t>Act</w:t>
      </w:r>
    </w:p>
    <w:p w:rsidR="00B94620" w:rsidRDefault="00B94620" w:rsidP="00B94620">
      <w:pPr>
        <w:pStyle w:val="A2S"/>
      </w:pPr>
      <w:r>
        <w:t>substitute</w:t>
      </w:r>
    </w:p>
    <w:p w:rsidR="00C663B7" w:rsidRDefault="00B94620" w:rsidP="00B94620">
      <w:pPr>
        <w:pStyle w:val="definition"/>
      </w:pPr>
      <w:r>
        <w:rPr>
          <w:b/>
          <w:i/>
        </w:rPr>
        <w:t>Act</w:t>
      </w:r>
      <w:r>
        <w:t xml:space="preserve"> means the </w:t>
      </w:r>
      <w:r w:rsidRPr="00B94620">
        <w:rPr>
          <w:i/>
        </w:rPr>
        <w:t>Competition and Consumer Act 2010</w:t>
      </w:r>
      <w:r>
        <w:t>.</w:t>
      </w:r>
    </w:p>
    <w:p w:rsidR="0023732E" w:rsidRDefault="00822AD4" w:rsidP="00822AD4">
      <w:pPr>
        <w:pStyle w:val="A1S"/>
      </w:pPr>
      <w:r>
        <w:lastRenderedPageBreak/>
        <w:t>[</w:t>
      </w:r>
      <w:fldSimple w:instr=" SEQ Sch1Item " w:fldLock="1">
        <w:r w:rsidR="00DE4070">
          <w:rPr>
            <w:noProof/>
          </w:rPr>
          <w:t>9</w:t>
        </w:r>
      </w:fldSimple>
      <w:r>
        <w:t>]</w:t>
      </w:r>
      <w:r>
        <w:tab/>
        <w:t>Schedule 1, s</w:t>
      </w:r>
      <w:r w:rsidR="0064724E">
        <w:t>ection 17</w:t>
      </w:r>
    </w:p>
    <w:p w:rsidR="0064724E" w:rsidRDefault="0064724E" w:rsidP="0064724E">
      <w:pPr>
        <w:pStyle w:val="A2S"/>
      </w:pPr>
      <w:r>
        <w:t>substitute</w:t>
      </w:r>
    </w:p>
    <w:p w:rsidR="0064724E" w:rsidRDefault="0064724E" w:rsidP="0064724E">
      <w:pPr>
        <w:pStyle w:val="HR"/>
      </w:pPr>
      <w:r w:rsidRPr="000C0160">
        <w:rPr>
          <w:rStyle w:val="CharSectno"/>
        </w:rPr>
        <w:t>17</w:t>
      </w:r>
      <w:r>
        <w:tab/>
        <w:t xml:space="preserve">Giving </w:t>
      </w:r>
      <w:r w:rsidR="006C0953">
        <w:t>additional disclosure document</w:t>
      </w:r>
    </w:p>
    <w:p w:rsidR="0064724E" w:rsidRDefault="0064724E" w:rsidP="001A6F8F">
      <w:pPr>
        <w:pStyle w:val="ZR1"/>
      </w:pPr>
      <w:r>
        <w:tab/>
        <w:t>(1)</w:t>
      </w:r>
      <w:r>
        <w:tab/>
        <w:t>This section applies if:</w:t>
      </w:r>
    </w:p>
    <w:p w:rsidR="0064724E" w:rsidRDefault="0064724E" w:rsidP="0064724E">
      <w:pPr>
        <w:pStyle w:val="P1"/>
      </w:pPr>
      <w:r>
        <w:tab/>
        <w:t>(a)</w:t>
      </w:r>
      <w:r>
        <w:tab/>
        <w:t xml:space="preserve">a supplier gives a disclosure document </w:t>
      </w:r>
      <w:r w:rsidR="002E6AB2">
        <w:t>that</w:t>
      </w:r>
      <w:r>
        <w:t xml:space="preserve"> is in accordance with Annexure 2 to a person or retailer; and</w:t>
      </w:r>
    </w:p>
    <w:p w:rsidR="0058589F" w:rsidRDefault="0064724E" w:rsidP="0064724E">
      <w:pPr>
        <w:pStyle w:val="P1"/>
      </w:pPr>
      <w:r>
        <w:tab/>
        <w:t>(b)</w:t>
      </w:r>
      <w:r>
        <w:tab/>
        <w:t>the person or retailer asks the supplier to give a disclosure document</w:t>
      </w:r>
      <w:r w:rsidR="0058589F">
        <w:t xml:space="preserve"> </w:t>
      </w:r>
      <w:r w:rsidR="002E6AB2">
        <w:t>that</w:t>
      </w:r>
      <w:r w:rsidR="0058589F">
        <w:t xml:space="preserve"> is in accordance with </w:t>
      </w:r>
      <w:r w:rsidR="007B5188">
        <w:t>Annexure </w:t>
      </w:r>
      <w:r>
        <w:t>1</w:t>
      </w:r>
      <w:r w:rsidR="0058589F">
        <w:t>.</w:t>
      </w:r>
    </w:p>
    <w:p w:rsidR="0058589F" w:rsidRDefault="0058589F" w:rsidP="0058589F">
      <w:pPr>
        <w:pStyle w:val="R2"/>
      </w:pPr>
      <w:r>
        <w:tab/>
        <w:t>(2)</w:t>
      </w:r>
      <w:r>
        <w:tab/>
      </w:r>
      <w:r w:rsidR="00126A66">
        <w:t>T</w:t>
      </w:r>
      <w:r>
        <w:t xml:space="preserve">he supplier must give </w:t>
      </w:r>
      <w:r w:rsidR="00CA54EF">
        <w:t xml:space="preserve">to </w:t>
      </w:r>
      <w:r>
        <w:t>the person or retailer the disclosure document mentioned in paragraph</w:t>
      </w:r>
      <w:r w:rsidR="007B5188">
        <w:t> </w:t>
      </w:r>
      <w:r>
        <w:t>(1)</w:t>
      </w:r>
      <w:r w:rsidR="001A6F8F">
        <w:t> </w:t>
      </w:r>
      <w:r>
        <w:t>(b) as soon as practicable.</w:t>
      </w:r>
    </w:p>
    <w:p w:rsidR="002A3DC0" w:rsidRDefault="0058589F" w:rsidP="002A3DC0">
      <w:pPr>
        <w:pStyle w:val="R2"/>
        <w:keepNext/>
      </w:pPr>
      <w:r>
        <w:tab/>
        <w:t>(3)</w:t>
      </w:r>
      <w:r>
        <w:tab/>
      </w:r>
      <w:r w:rsidR="00126A66">
        <w:t>However, t</w:t>
      </w:r>
      <w:r>
        <w:t xml:space="preserve">he supplier is not required to </w:t>
      </w:r>
      <w:r w:rsidR="002A3DC0">
        <w:t>give the disclosure document mentioned in paragraph</w:t>
      </w:r>
      <w:r w:rsidR="007B5188">
        <w:t> </w:t>
      </w:r>
      <w:r w:rsidR="002A3DC0">
        <w:t>(1)</w:t>
      </w:r>
      <w:r w:rsidR="001A6F8F">
        <w:t> </w:t>
      </w:r>
      <w:r w:rsidR="002A3DC0">
        <w:t>(b)</w:t>
      </w:r>
      <w:r>
        <w:t xml:space="preserve"> if</w:t>
      </w:r>
      <w:r w:rsidR="002A3DC0">
        <w:t>:</w:t>
      </w:r>
    </w:p>
    <w:p w:rsidR="002A3DC0" w:rsidRDefault="002A3DC0" w:rsidP="002A3DC0">
      <w:pPr>
        <w:pStyle w:val="P1"/>
      </w:pPr>
      <w:r>
        <w:tab/>
        <w:t>(a)</w:t>
      </w:r>
      <w:r>
        <w:tab/>
        <w:t>the supplier has already given the disclosure document to the person or retailer; or</w:t>
      </w:r>
    </w:p>
    <w:p w:rsidR="002A3DC0" w:rsidRDefault="002A3DC0" w:rsidP="002A3DC0">
      <w:pPr>
        <w:pStyle w:val="P1"/>
      </w:pPr>
      <w:r>
        <w:tab/>
        <w:t>(b)</w:t>
      </w:r>
      <w:r>
        <w:tab/>
        <w:t>the supplier has already given all of the information that is required to be contained in the disclosure document to the person or retailer; or</w:t>
      </w:r>
    </w:p>
    <w:p w:rsidR="005B6023" w:rsidRDefault="002A3DC0" w:rsidP="002A3DC0">
      <w:pPr>
        <w:pStyle w:val="P1"/>
      </w:pPr>
      <w:r>
        <w:tab/>
        <w:t>(c)</w:t>
      </w:r>
      <w:r>
        <w:tab/>
        <w:t>it is otherwise not reasonable for the supplier to give the disclosure document.</w:t>
      </w:r>
    </w:p>
    <w:p w:rsidR="0064724E" w:rsidRDefault="0058589F" w:rsidP="0058589F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10</w:t>
        </w:r>
      </w:fldSimple>
      <w:r>
        <w:t>]</w:t>
      </w:r>
      <w:r>
        <w:tab/>
      </w:r>
      <w:r w:rsidR="00742659">
        <w:t>Schedule 1, a</w:t>
      </w:r>
      <w:r w:rsidR="00D95139">
        <w:t>fter subsection 20 (</w:t>
      </w:r>
      <w:r w:rsidR="00556B48">
        <w:t>1</w:t>
      </w:r>
      <w:r w:rsidR="00D95139">
        <w:t>)</w:t>
      </w:r>
    </w:p>
    <w:p w:rsidR="00D95139" w:rsidRDefault="00D95139" w:rsidP="00D95139">
      <w:pPr>
        <w:pStyle w:val="A2S"/>
      </w:pPr>
      <w:r>
        <w:t>insert</w:t>
      </w:r>
    </w:p>
    <w:p w:rsidR="00F57EAB" w:rsidRDefault="00D95139" w:rsidP="00C3042C">
      <w:pPr>
        <w:pStyle w:val="R2"/>
      </w:pPr>
      <w:r>
        <w:tab/>
        <w:t>(1A)</w:t>
      </w:r>
      <w:r>
        <w:tab/>
        <w:t>A supplier must not enter into</w:t>
      </w:r>
      <w:r w:rsidR="008F62AC">
        <w:t>, renew or extend</w:t>
      </w:r>
      <w:r>
        <w:t xml:space="preserve"> a fuel re-selling agreement if</w:t>
      </w:r>
      <w:r w:rsidR="00F57EAB">
        <w:t xml:space="preserve"> the contract includes a condition that requires the other party to not disclose their name, business address or ACN or ARBN.</w:t>
      </w:r>
    </w:p>
    <w:p w:rsidR="00C663B7" w:rsidRDefault="00C663B7" w:rsidP="00C663B7">
      <w:pPr>
        <w:pStyle w:val="A1S"/>
      </w:pPr>
      <w:r>
        <w:lastRenderedPageBreak/>
        <w:t>[</w:t>
      </w:r>
      <w:fldSimple w:instr=" SEQ Sch1Item " w:fldLock="1">
        <w:r w:rsidR="00DE4070">
          <w:rPr>
            <w:noProof/>
          </w:rPr>
          <w:t>11</w:t>
        </w:r>
      </w:fldSimple>
      <w:r>
        <w:t>]</w:t>
      </w:r>
      <w:r>
        <w:tab/>
        <w:t>Schedule 1, subparagraph 29</w:t>
      </w:r>
      <w:r w:rsidR="001A6F8F">
        <w:t> </w:t>
      </w:r>
      <w:r>
        <w:t>(2)</w:t>
      </w:r>
      <w:r w:rsidR="001A6F8F">
        <w:t> </w:t>
      </w:r>
      <w:r>
        <w:t>(b)</w:t>
      </w:r>
      <w:r w:rsidR="001A6F8F">
        <w:t> </w:t>
      </w:r>
      <w:r>
        <w:t>(ii)</w:t>
      </w:r>
    </w:p>
    <w:p w:rsidR="00C663B7" w:rsidRDefault="00C663B7" w:rsidP="00C663B7">
      <w:pPr>
        <w:pStyle w:val="A2S"/>
      </w:pPr>
      <w:r w:rsidRPr="006C0394">
        <w:t>omit</w:t>
      </w:r>
    </w:p>
    <w:p w:rsidR="00C663B7" w:rsidRDefault="00C663B7" w:rsidP="001A6F8F">
      <w:pPr>
        <w:pStyle w:val="A3S"/>
        <w:keepNext/>
      </w:pPr>
      <w:r>
        <w:t>trade practices law;</w:t>
      </w:r>
    </w:p>
    <w:p w:rsidR="00C663B7" w:rsidRDefault="00C663B7" w:rsidP="00C663B7">
      <w:pPr>
        <w:pStyle w:val="A2S"/>
      </w:pPr>
      <w:r>
        <w:t>insert</w:t>
      </w:r>
    </w:p>
    <w:p w:rsidR="00C663B7" w:rsidRPr="00C663B7" w:rsidRDefault="000B4A66" w:rsidP="00C663B7">
      <w:pPr>
        <w:pStyle w:val="A3S"/>
      </w:pPr>
      <w:r>
        <w:t>the Act;</w:t>
      </w:r>
    </w:p>
    <w:p w:rsidR="00556B48" w:rsidRDefault="00556B48" w:rsidP="00556B48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12</w:t>
        </w:r>
      </w:fldSimple>
      <w:r>
        <w:t>]</w:t>
      </w:r>
      <w:r>
        <w:tab/>
      </w:r>
      <w:r w:rsidR="00742659">
        <w:t>Schedule 1, a</w:t>
      </w:r>
      <w:r w:rsidR="0096627B">
        <w:t>fter subsection 43</w:t>
      </w:r>
      <w:r w:rsidR="001A6F8F">
        <w:t> </w:t>
      </w:r>
      <w:r w:rsidR="0096627B">
        <w:t>(1)</w:t>
      </w:r>
    </w:p>
    <w:p w:rsidR="0096627B" w:rsidRDefault="0096627B" w:rsidP="0096627B">
      <w:pPr>
        <w:pStyle w:val="A2S"/>
      </w:pPr>
      <w:r>
        <w:t>insert</w:t>
      </w:r>
    </w:p>
    <w:p w:rsidR="0096627B" w:rsidRDefault="0096627B" w:rsidP="001A6F8F">
      <w:pPr>
        <w:pStyle w:val="ZR2"/>
      </w:pPr>
      <w:r>
        <w:tab/>
        <w:t>(1A)</w:t>
      </w:r>
      <w:r>
        <w:tab/>
        <w:t>The complainant must tell the respondent in writing:</w:t>
      </w:r>
    </w:p>
    <w:p w:rsidR="0096627B" w:rsidRDefault="0096627B" w:rsidP="0096627B">
      <w:pPr>
        <w:pStyle w:val="P1"/>
      </w:pPr>
      <w:r>
        <w:tab/>
        <w:t>(a)</w:t>
      </w:r>
      <w:r>
        <w:tab/>
        <w:t>the nature of the dispute; and</w:t>
      </w:r>
    </w:p>
    <w:p w:rsidR="009D122B" w:rsidRDefault="0096627B" w:rsidP="0096627B">
      <w:pPr>
        <w:pStyle w:val="P1"/>
      </w:pPr>
      <w:r>
        <w:tab/>
        <w:t>(b)</w:t>
      </w:r>
      <w:r>
        <w:tab/>
        <w:t>what outcome the compl</w:t>
      </w:r>
      <w:r w:rsidR="009D122B">
        <w:t>a</w:t>
      </w:r>
      <w:r>
        <w:t>i</w:t>
      </w:r>
      <w:r w:rsidR="009D122B">
        <w:t>n</w:t>
      </w:r>
      <w:r>
        <w:t>ant wants; and</w:t>
      </w:r>
    </w:p>
    <w:p w:rsidR="0096627B" w:rsidRDefault="0096627B" w:rsidP="0096627B">
      <w:pPr>
        <w:pStyle w:val="P1"/>
      </w:pPr>
      <w:r>
        <w:tab/>
        <w:t>(c)</w:t>
      </w:r>
      <w:r>
        <w:tab/>
        <w:t xml:space="preserve">what action the complainant </w:t>
      </w:r>
      <w:r w:rsidR="001E0312">
        <w:t xml:space="preserve">considers </w:t>
      </w:r>
      <w:r>
        <w:t>will settle the dispute.</w:t>
      </w:r>
    </w:p>
    <w:p w:rsidR="009C4D72" w:rsidRDefault="0096627B" w:rsidP="0096627B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13</w:t>
        </w:r>
      </w:fldSimple>
      <w:r>
        <w:t>]</w:t>
      </w:r>
      <w:r>
        <w:tab/>
      </w:r>
      <w:r w:rsidR="00742659">
        <w:t>Schedule 1, a</w:t>
      </w:r>
      <w:r w:rsidR="009C4D72">
        <w:t>fter subsection 4</w:t>
      </w:r>
      <w:r w:rsidR="009E0437">
        <w:t>4</w:t>
      </w:r>
      <w:r w:rsidR="001A6F8F">
        <w:t> </w:t>
      </w:r>
      <w:r w:rsidR="009C4D72">
        <w:t>(4)</w:t>
      </w:r>
    </w:p>
    <w:p w:rsidR="002A3DC0" w:rsidRDefault="002A3DC0" w:rsidP="00FC7119">
      <w:pPr>
        <w:pStyle w:val="A2S"/>
      </w:pPr>
      <w:r>
        <w:t>insert</w:t>
      </w:r>
    </w:p>
    <w:p w:rsidR="009E0437" w:rsidRDefault="009C4D72" w:rsidP="00C3042C">
      <w:pPr>
        <w:pStyle w:val="R2"/>
      </w:pPr>
      <w:r>
        <w:tab/>
        <w:t>(4A)</w:t>
      </w:r>
      <w:r>
        <w:tab/>
      </w:r>
      <w:r w:rsidR="002E6AB2">
        <w:t>When trying to resolve the dispute with the assistance of the person appointed under subparagraph</w:t>
      </w:r>
      <w:r w:rsidR="007B5188">
        <w:t> </w:t>
      </w:r>
      <w:r w:rsidR="002E6AB2">
        <w:t>(2)</w:t>
      </w:r>
      <w:r w:rsidR="001A6F8F">
        <w:t> </w:t>
      </w:r>
      <w:r w:rsidR="002E6AB2">
        <w:t>(b)</w:t>
      </w:r>
      <w:r w:rsidR="001A6F8F">
        <w:t> </w:t>
      </w:r>
      <w:r w:rsidR="002E6AB2">
        <w:t xml:space="preserve">(ii), a </w:t>
      </w:r>
      <w:r w:rsidR="009E0437">
        <w:t>party must be represented by a person who has authority to enter an agreement to settle the dispute on behalf of the party</w:t>
      </w:r>
      <w:r w:rsidR="002E6AB2">
        <w:t>.</w:t>
      </w:r>
    </w:p>
    <w:p w:rsidR="009E0437" w:rsidRDefault="009E0437" w:rsidP="009E0437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14</w:t>
        </w:r>
      </w:fldSimple>
      <w:r>
        <w:t>]</w:t>
      </w:r>
      <w:r>
        <w:tab/>
      </w:r>
      <w:r w:rsidR="00742659">
        <w:t>Schedule 1, a</w:t>
      </w:r>
      <w:r w:rsidR="007D18F0">
        <w:t>fter s</w:t>
      </w:r>
      <w:r>
        <w:t>ubsection 45</w:t>
      </w:r>
      <w:r w:rsidR="001A6F8F">
        <w:t> </w:t>
      </w:r>
      <w:r>
        <w:t>(6)</w:t>
      </w:r>
    </w:p>
    <w:p w:rsidR="007D18F0" w:rsidRDefault="007D18F0" w:rsidP="007D18F0">
      <w:pPr>
        <w:pStyle w:val="A2S"/>
      </w:pPr>
      <w:r>
        <w:t>insert</w:t>
      </w:r>
    </w:p>
    <w:p w:rsidR="008C669D" w:rsidRDefault="00171C02" w:rsidP="001A6F8F">
      <w:pPr>
        <w:pStyle w:val="ZR2"/>
      </w:pPr>
      <w:r>
        <w:tab/>
      </w:r>
      <w:r w:rsidR="00231E47">
        <w:t>(7)</w:t>
      </w:r>
      <w:r w:rsidR="00231E47">
        <w:tab/>
      </w:r>
      <w:r w:rsidR="007B0D19">
        <w:t>Before making a non-binding determination under subsection</w:t>
      </w:r>
      <w:r w:rsidR="001A6F8F">
        <w:t> </w:t>
      </w:r>
      <w:r w:rsidR="007B0D19">
        <w:t>(6)</w:t>
      </w:r>
      <w:r w:rsidR="00231E47">
        <w:t>, the dispute resolution adviser may</w:t>
      </w:r>
      <w:r w:rsidR="00327131">
        <w:t xml:space="preserve"> </w:t>
      </w:r>
      <w:r w:rsidR="00B84634">
        <w:t xml:space="preserve">allow each party to </w:t>
      </w:r>
      <w:r w:rsidR="00AF2E7B">
        <w:t>give</w:t>
      </w:r>
      <w:r w:rsidR="00B84634">
        <w:t xml:space="preserve">, within the period specified by the dispute resolution adviser, </w:t>
      </w:r>
      <w:r w:rsidR="008C669D">
        <w:t>information about the following matters:</w:t>
      </w:r>
    </w:p>
    <w:p w:rsidR="000E4E3D" w:rsidRDefault="000E4E3D" w:rsidP="000E4E3D">
      <w:pPr>
        <w:pStyle w:val="P1"/>
      </w:pPr>
      <w:r>
        <w:tab/>
        <w:t>(a)</w:t>
      </w:r>
      <w:r>
        <w:tab/>
        <w:t>the contractual arrangements between the parties;</w:t>
      </w:r>
    </w:p>
    <w:p w:rsidR="008C669D" w:rsidRDefault="000E4E3D" w:rsidP="000E4E3D">
      <w:pPr>
        <w:pStyle w:val="P1"/>
      </w:pPr>
      <w:r>
        <w:tab/>
        <w:t>(b)</w:t>
      </w:r>
      <w:r>
        <w:tab/>
      </w:r>
      <w:r w:rsidR="00B25F12">
        <w:t>how</w:t>
      </w:r>
      <w:r w:rsidR="002D4CD6">
        <w:t xml:space="preserve"> the party has complied </w:t>
      </w:r>
      <w:r w:rsidR="00DF37A8">
        <w:t>with the code</w:t>
      </w:r>
      <w:r w:rsidR="008C669D">
        <w:t>;</w:t>
      </w:r>
    </w:p>
    <w:p w:rsidR="000E4E3D" w:rsidRDefault="008C669D" w:rsidP="000E4E3D">
      <w:pPr>
        <w:pStyle w:val="P1"/>
      </w:pPr>
      <w:r>
        <w:tab/>
        <w:t>(c)</w:t>
      </w:r>
      <w:r>
        <w:tab/>
      </w:r>
      <w:r w:rsidR="00182E3F">
        <w:t>what action the party has taken towards</w:t>
      </w:r>
      <w:r>
        <w:t xml:space="preserve"> resolving the dispute;</w:t>
      </w:r>
    </w:p>
    <w:p w:rsidR="00B25F12" w:rsidRDefault="008C669D" w:rsidP="000E4E3D">
      <w:pPr>
        <w:pStyle w:val="P1"/>
      </w:pPr>
      <w:r>
        <w:tab/>
        <w:t>(d</w:t>
      </w:r>
      <w:r w:rsidR="00B25F12">
        <w:t>)</w:t>
      </w:r>
      <w:r w:rsidR="00B25F12">
        <w:tab/>
      </w:r>
      <w:r w:rsidR="001D5F7B">
        <w:t xml:space="preserve">how the dispute </w:t>
      </w:r>
      <w:r w:rsidR="007521DD">
        <w:t>could be resolved</w:t>
      </w:r>
      <w:r w:rsidR="001D5F7B">
        <w:t>;</w:t>
      </w:r>
    </w:p>
    <w:p w:rsidR="00B25F12" w:rsidRDefault="00B25F12" w:rsidP="000E4E3D">
      <w:pPr>
        <w:pStyle w:val="P1"/>
      </w:pPr>
      <w:r>
        <w:lastRenderedPageBreak/>
        <w:tab/>
      </w:r>
      <w:r w:rsidR="008C669D">
        <w:t>(e</w:t>
      </w:r>
      <w:r>
        <w:t>)</w:t>
      </w:r>
      <w:r>
        <w:tab/>
      </w:r>
      <w:r w:rsidR="002D4CD6">
        <w:t xml:space="preserve">if a non-binding determination was made, how much time the party </w:t>
      </w:r>
      <w:r w:rsidR="00AF2E7B">
        <w:t xml:space="preserve">would </w:t>
      </w:r>
      <w:r w:rsidR="002D4CD6">
        <w:t>require to give effect to the determination;</w:t>
      </w:r>
    </w:p>
    <w:p w:rsidR="00A773A0" w:rsidRDefault="008C669D" w:rsidP="000E4E3D">
      <w:pPr>
        <w:pStyle w:val="P1"/>
      </w:pPr>
      <w:r>
        <w:tab/>
        <w:t>(f</w:t>
      </w:r>
      <w:r w:rsidR="00A773A0">
        <w:t>)</w:t>
      </w:r>
      <w:r w:rsidR="00A773A0">
        <w:tab/>
        <w:t xml:space="preserve">any other matters </w:t>
      </w:r>
      <w:r w:rsidR="005704D0">
        <w:t>the party considers relevant</w:t>
      </w:r>
      <w:r w:rsidR="00A773A0">
        <w:t>.</w:t>
      </w:r>
    </w:p>
    <w:p w:rsidR="00724FFF" w:rsidRDefault="00724FFF" w:rsidP="00724FFF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15</w:t>
        </w:r>
      </w:fldSimple>
      <w:r>
        <w:t>]</w:t>
      </w:r>
      <w:r>
        <w:tab/>
      </w:r>
      <w:r w:rsidR="00245534">
        <w:t>Annexure 1, paragraph</w:t>
      </w:r>
      <w:r w:rsidR="00245534" w:rsidRPr="004B1D92">
        <w:rPr>
          <w:color w:val="FF0000"/>
        </w:rPr>
        <w:t xml:space="preserve"> </w:t>
      </w:r>
      <w:r w:rsidR="00245534">
        <w:t>1.1 (d)</w:t>
      </w:r>
    </w:p>
    <w:p w:rsidR="00245534" w:rsidRDefault="00245534" w:rsidP="00245534">
      <w:pPr>
        <w:pStyle w:val="A2S"/>
      </w:pPr>
      <w:r>
        <w:t>substitute</w:t>
      </w:r>
    </w:p>
    <w:p w:rsidR="00245534" w:rsidRPr="00A637E4" w:rsidRDefault="00245534" w:rsidP="00245534">
      <w:pPr>
        <w:pStyle w:val="P1"/>
      </w:pPr>
      <w:r>
        <w:tab/>
      </w:r>
      <w:r w:rsidRPr="00A637E4">
        <w:t>(d)</w:t>
      </w:r>
      <w:r w:rsidRPr="00A637E4">
        <w:tab/>
        <w:t>the following statement:</w:t>
      </w:r>
    </w:p>
    <w:p w:rsidR="004A178C" w:rsidRPr="00A637E4" w:rsidRDefault="00245534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</w:r>
      <w:r w:rsidR="004A178C" w:rsidRPr="00A637E4">
        <w:rPr>
          <w:rFonts w:ascii="Tahoma" w:hAnsi="Tahoma" w:cs="Tahoma"/>
          <w:sz w:val="20"/>
          <w:szCs w:val="20"/>
        </w:rPr>
        <w:t>This disclosure document contains some of the information you need in order to make an informed decision about whether to enter into a fuel re</w:t>
      </w:r>
      <w:r w:rsidR="004A178C">
        <w:rPr>
          <w:rFonts w:ascii="Tahoma" w:hAnsi="Tahoma" w:cs="Tahoma"/>
          <w:sz w:val="20"/>
          <w:szCs w:val="20"/>
        </w:rPr>
        <w:noBreakHyphen/>
      </w:r>
      <w:r w:rsidR="004A178C" w:rsidRPr="00A637E4">
        <w:rPr>
          <w:rFonts w:ascii="Tahoma" w:hAnsi="Tahoma" w:cs="Tahoma"/>
          <w:sz w:val="20"/>
          <w:szCs w:val="20"/>
        </w:rPr>
        <w:t>selling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Entering into a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 is a serious undertaking.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</w:r>
      <w:r w:rsidR="00574A50">
        <w:rPr>
          <w:rFonts w:ascii="Tahoma" w:hAnsi="Tahoma" w:cs="Tahoma"/>
          <w:sz w:val="20"/>
          <w:szCs w:val="20"/>
        </w:rPr>
        <w:t>If you sign a</w:t>
      </w:r>
      <w:r w:rsidRPr="00A637E4">
        <w:rPr>
          <w:rFonts w:ascii="Tahoma" w:hAnsi="Tahoma" w:cs="Tahoma"/>
          <w:sz w:val="20"/>
          <w:szCs w:val="20"/>
        </w:rPr>
        <w:t xml:space="preserve">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</w:t>
      </w:r>
      <w:r w:rsidR="00574A50">
        <w:rPr>
          <w:rFonts w:ascii="Tahoma" w:hAnsi="Tahoma" w:cs="Tahoma"/>
          <w:sz w:val="20"/>
          <w:szCs w:val="20"/>
        </w:rPr>
        <w:t>, it</w:t>
      </w:r>
      <w:r w:rsidRPr="00A637E4">
        <w:rPr>
          <w:rFonts w:ascii="Tahoma" w:hAnsi="Tahoma" w:cs="Tahoma"/>
          <w:sz w:val="20"/>
          <w:szCs w:val="20"/>
        </w:rPr>
        <w:t xml:space="preserve"> is legally binding on you.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are entitled to a waiting period of 14 days before you enter into the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If the agreement is a new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 (not a renewal, extension or transfer), you will be entitled to a 7</w:t>
      </w:r>
      <w:r w:rsidR="007B5188">
        <w:rPr>
          <w:rFonts w:ascii="Tahoma" w:hAnsi="Tahoma" w:cs="Tahoma"/>
          <w:sz w:val="20"/>
          <w:szCs w:val="20"/>
        </w:rPr>
        <w:t> </w:t>
      </w:r>
      <w:r w:rsidRPr="00A637E4">
        <w:rPr>
          <w:rFonts w:ascii="Tahoma" w:hAnsi="Tahoma" w:cs="Tahoma"/>
          <w:sz w:val="20"/>
          <w:szCs w:val="20"/>
        </w:rPr>
        <w:t xml:space="preserve">day </w:t>
      </w:r>
      <w:r>
        <w:rPr>
          <w:rFonts w:ascii="Tahoma" w:hAnsi="Tahoma" w:cs="Tahoma"/>
          <w:sz w:val="20"/>
          <w:szCs w:val="20"/>
        </w:rPr>
        <w:t>‘</w:t>
      </w:r>
      <w:r w:rsidRPr="00A637E4">
        <w:rPr>
          <w:rFonts w:ascii="Tahoma" w:hAnsi="Tahoma" w:cs="Tahoma"/>
          <w:sz w:val="20"/>
          <w:szCs w:val="20"/>
        </w:rPr>
        <w:t>cooling off</w:t>
      </w:r>
      <w:r>
        <w:rPr>
          <w:rFonts w:ascii="Tahoma" w:hAnsi="Tahoma" w:cs="Tahoma"/>
          <w:sz w:val="20"/>
          <w:szCs w:val="20"/>
        </w:rPr>
        <w:t>’</w:t>
      </w:r>
      <w:r w:rsidRPr="00A637E4">
        <w:rPr>
          <w:rFonts w:ascii="Tahoma" w:hAnsi="Tahoma" w:cs="Tahoma"/>
          <w:sz w:val="20"/>
          <w:szCs w:val="20"/>
        </w:rPr>
        <w:t xml:space="preserve"> period after signing the agreement, during which you may terminate the agreement without cost.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 xml:space="preserve">Take your time, read all the documents carefully, talk to other </w:t>
      </w:r>
      <w:r w:rsidR="00024F67">
        <w:rPr>
          <w:rFonts w:ascii="Tahoma" w:hAnsi="Tahoma" w:cs="Tahoma"/>
          <w:sz w:val="20"/>
          <w:szCs w:val="20"/>
        </w:rPr>
        <w:t xml:space="preserve">fuel re-selling businesses </w:t>
      </w:r>
      <w:r w:rsidRPr="00A637E4">
        <w:rPr>
          <w:rFonts w:ascii="Tahoma" w:hAnsi="Tahoma" w:cs="Tahoma"/>
          <w:sz w:val="20"/>
          <w:szCs w:val="20"/>
        </w:rPr>
        <w:t>and assess your own financial resources and capabilities to deal with the requirements of the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business.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make your own enquiries about the agreement and the business of the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get independent legal, accounting and business advice before signing the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agreement. You should also seek advice on the Federal, State or Territory and local laws that apply to it.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It is often prudent to prepare a business plan and projections for profit and cash flow.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also consider educational courses, particularly if you have not operated a business before.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contact the appropriate industry association.</w:t>
      </w:r>
    </w:p>
    <w:p w:rsidR="00245534" w:rsidRPr="00A637E4" w:rsidRDefault="00245534" w:rsidP="00245534">
      <w:pPr>
        <w:pStyle w:val="P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  <w:t xml:space="preserve">The </w:t>
      </w:r>
      <w:r w:rsidR="00C1375A">
        <w:rPr>
          <w:rFonts w:ascii="Tahoma" w:hAnsi="Tahoma" w:cs="Tahoma"/>
          <w:sz w:val="20"/>
          <w:szCs w:val="20"/>
        </w:rPr>
        <w:t xml:space="preserve">Australian Competition </w:t>
      </w:r>
      <w:r w:rsidR="004A178C">
        <w:rPr>
          <w:rFonts w:ascii="Tahoma" w:hAnsi="Tahoma" w:cs="Tahoma"/>
          <w:sz w:val="20"/>
          <w:szCs w:val="20"/>
        </w:rPr>
        <w:t xml:space="preserve">and Consumer Commission (the </w:t>
      </w:r>
      <w:r w:rsidR="004A178C" w:rsidRPr="004A178C">
        <w:rPr>
          <w:rFonts w:ascii="Tahoma" w:hAnsi="Tahoma" w:cs="Tahoma"/>
          <w:b/>
          <w:i/>
          <w:sz w:val="20"/>
          <w:szCs w:val="20"/>
        </w:rPr>
        <w:t>ACCC</w:t>
      </w:r>
      <w:r w:rsidR="004A178C">
        <w:rPr>
          <w:rFonts w:ascii="Tahoma" w:hAnsi="Tahoma" w:cs="Tahoma"/>
          <w:sz w:val="20"/>
          <w:szCs w:val="20"/>
        </w:rPr>
        <w:t xml:space="preserve">) has published a wide range of information about the </w:t>
      </w:r>
      <w:r w:rsidR="0054194F">
        <w:rPr>
          <w:rFonts w:ascii="Tahoma" w:hAnsi="Tahoma" w:cs="Tahoma"/>
          <w:sz w:val="20"/>
          <w:szCs w:val="20"/>
        </w:rPr>
        <w:t>Oil</w:t>
      </w:r>
      <w:r w:rsidR="004A178C">
        <w:rPr>
          <w:rFonts w:ascii="Tahoma" w:hAnsi="Tahoma" w:cs="Tahoma"/>
          <w:sz w:val="20"/>
          <w:szCs w:val="20"/>
        </w:rPr>
        <w:t xml:space="preserve">code to facilitate understandings and compliance with the </w:t>
      </w:r>
      <w:r w:rsidR="0054194F">
        <w:rPr>
          <w:rFonts w:ascii="Tahoma" w:hAnsi="Tahoma" w:cs="Tahoma"/>
          <w:sz w:val="20"/>
          <w:szCs w:val="20"/>
        </w:rPr>
        <w:t>Oil</w:t>
      </w:r>
      <w:r w:rsidR="004A178C">
        <w:rPr>
          <w:rFonts w:ascii="Tahoma" w:hAnsi="Tahoma" w:cs="Tahoma"/>
          <w:sz w:val="20"/>
          <w:szCs w:val="20"/>
        </w:rPr>
        <w:t>code.</w:t>
      </w:r>
      <w:r w:rsidR="001A6F8F">
        <w:rPr>
          <w:rFonts w:ascii="Tahoma" w:hAnsi="Tahoma" w:cs="Tahoma"/>
          <w:sz w:val="20"/>
          <w:szCs w:val="20"/>
        </w:rPr>
        <w:t xml:space="preserve"> </w:t>
      </w:r>
      <w:r w:rsidR="004A178C">
        <w:rPr>
          <w:rFonts w:ascii="Tahoma" w:hAnsi="Tahoma" w:cs="Tahoma"/>
          <w:sz w:val="20"/>
          <w:szCs w:val="20"/>
        </w:rPr>
        <w:t xml:space="preserve">This information can be obtained from the ACCC’s website at </w:t>
      </w:r>
      <w:r w:rsidR="004A178C" w:rsidRPr="00D41D0C">
        <w:rPr>
          <w:rFonts w:ascii="Tahoma" w:hAnsi="Tahoma" w:cs="Tahoma"/>
          <w:sz w:val="20"/>
          <w:szCs w:val="20"/>
          <w:u w:val="single"/>
        </w:rPr>
        <w:t>www.accc.gov.au</w:t>
      </w:r>
      <w:r w:rsidR="004A178C">
        <w:rPr>
          <w:rFonts w:ascii="Tahoma" w:hAnsi="Tahoma" w:cs="Tahoma"/>
          <w:sz w:val="20"/>
          <w:szCs w:val="20"/>
        </w:rPr>
        <w:t xml:space="preserve"> or by contacting the ACCC Infocentre on 1300</w:t>
      </w:r>
      <w:r w:rsidR="001A6F8F">
        <w:rPr>
          <w:rFonts w:ascii="Tahoma" w:hAnsi="Tahoma" w:cs="Tahoma"/>
          <w:sz w:val="20"/>
          <w:szCs w:val="20"/>
        </w:rPr>
        <w:t> </w:t>
      </w:r>
      <w:r w:rsidR="004A178C">
        <w:rPr>
          <w:rFonts w:ascii="Tahoma" w:hAnsi="Tahoma" w:cs="Tahoma"/>
          <w:sz w:val="20"/>
          <w:szCs w:val="20"/>
        </w:rPr>
        <w:t>302</w:t>
      </w:r>
      <w:r w:rsidR="001A6F8F">
        <w:rPr>
          <w:rFonts w:ascii="Tahoma" w:hAnsi="Tahoma" w:cs="Tahoma"/>
          <w:sz w:val="20"/>
          <w:szCs w:val="20"/>
        </w:rPr>
        <w:t> </w:t>
      </w:r>
      <w:r w:rsidR="004A178C">
        <w:rPr>
          <w:rFonts w:ascii="Tahoma" w:hAnsi="Tahoma" w:cs="Tahoma"/>
          <w:sz w:val="20"/>
          <w:szCs w:val="20"/>
        </w:rPr>
        <w:t>502.</w:t>
      </w:r>
    </w:p>
    <w:p w:rsidR="00245534" w:rsidRDefault="00024F67" w:rsidP="00024F67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16</w:t>
        </w:r>
      </w:fldSimple>
      <w:r>
        <w:t>]</w:t>
      </w:r>
      <w:r>
        <w:tab/>
        <w:t>Annexure 1, subparagraph 4.1</w:t>
      </w:r>
      <w:r w:rsidR="001A6F8F">
        <w:t> </w:t>
      </w:r>
      <w:r>
        <w:t>(a)</w:t>
      </w:r>
      <w:r w:rsidR="001A6F8F">
        <w:t> </w:t>
      </w:r>
      <w:r>
        <w:t>(ii)</w:t>
      </w:r>
    </w:p>
    <w:p w:rsidR="00024F67" w:rsidRDefault="00024F67" w:rsidP="00024F67">
      <w:pPr>
        <w:pStyle w:val="A2S"/>
      </w:pPr>
      <w:r w:rsidRPr="006C0394">
        <w:t>omit</w:t>
      </w:r>
    </w:p>
    <w:p w:rsidR="00024F67" w:rsidRDefault="00024F67" w:rsidP="00024F67">
      <w:pPr>
        <w:pStyle w:val="A3S"/>
      </w:pPr>
      <w:r>
        <w:t>trade practices law;</w:t>
      </w:r>
    </w:p>
    <w:p w:rsidR="00024F67" w:rsidRDefault="00024F67" w:rsidP="00024F67">
      <w:pPr>
        <w:pStyle w:val="A2S"/>
      </w:pPr>
      <w:r>
        <w:t>insert</w:t>
      </w:r>
    </w:p>
    <w:p w:rsidR="00024F67" w:rsidRPr="00024F67" w:rsidRDefault="000B4A66" w:rsidP="00024F67">
      <w:pPr>
        <w:pStyle w:val="A3S"/>
      </w:pPr>
      <w:r>
        <w:t>the Act;</w:t>
      </w:r>
    </w:p>
    <w:p w:rsidR="004A178C" w:rsidRDefault="004A178C" w:rsidP="004A178C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17</w:t>
        </w:r>
      </w:fldSimple>
      <w:r>
        <w:t>]</w:t>
      </w:r>
      <w:r>
        <w:tab/>
      </w:r>
      <w:r w:rsidR="0054194F">
        <w:t xml:space="preserve">Annexure 1, </w:t>
      </w:r>
      <w:r w:rsidR="00225323">
        <w:t>item 6</w:t>
      </w:r>
    </w:p>
    <w:p w:rsidR="00225323" w:rsidRDefault="00225323" w:rsidP="00225323">
      <w:pPr>
        <w:pStyle w:val="A2S"/>
      </w:pPr>
      <w:r>
        <w:t>substitute</w:t>
      </w:r>
    </w:p>
    <w:p w:rsidR="00ED57DE" w:rsidRDefault="00225323" w:rsidP="00225323">
      <w:pPr>
        <w:pStyle w:val="HR"/>
      </w:pPr>
      <w:r w:rsidRPr="000C0160">
        <w:rPr>
          <w:rStyle w:val="CharSectno"/>
        </w:rPr>
        <w:t>6</w:t>
      </w:r>
      <w:r>
        <w:tab/>
        <w:t>Existing fuel re-selling agreements</w:t>
      </w:r>
    </w:p>
    <w:p w:rsidR="00225323" w:rsidRDefault="00225323" w:rsidP="00225323">
      <w:pPr>
        <w:pStyle w:val="R1"/>
      </w:pPr>
      <w:r>
        <w:tab/>
        <w:t>6.1</w:t>
      </w:r>
      <w:r>
        <w:tab/>
        <w:t>For each existing fuel re-selling agreement:</w:t>
      </w:r>
    </w:p>
    <w:p w:rsidR="00225323" w:rsidRDefault="00225323" w:rsidP="00225323">
      <w:pPr>
        <w:pStyle w:val="P1"/>
      </w:pPr>
      <w:r>
        <w:tab/>
        <w:t>(a)</w:t>
      </w:r>
      <w:r>
        <w:tab/>
        <w:t xml:space="preserve">if the supplier has fuel re-selling agreements with </w:t>
      </w:r>
      <w:r w:rsidR="002A3DC0">
        <w:t xml:space="preserve">fewer </w:t>
      </w:r>
      <w:r w:rsidR="00D41D0C">
        <w:t>than 50 retailers—</w:t>
      </w:r>
      <w:r>
        <w:t>the name, address and contact details of each retailer; or</w:t>
      </w:r>
    </w:p>
    <w:p w:rsidR="00225323" w:rsidRDefault="00225323" w:rsidP="00225323">
      <w:pPr>
        <w:pStyle w:val="P1"/>
      </w:pPr>
      <w:r>
        <w:tab/>
        <w:t>(b)</w:t>
      </w:r>
      <w:r>
        <w:tab/>
        <w:t>if the supplier has fuel re-selling agreements with 50 or more ret</w:t>
      </w:r>
      <w:r w:rsidR="00D41D0C">
        <w:t>ailers—</w:t>
      </w:r>
      <w:r>
        <w:t>the name, address and contact details of each retailer in the State, region or metropolitan area in which the fuel re-selling agreement is to operate</w:t>
      </w:r>
      <w:r w:rsidR="005E5C50">
        <w:t>.</w:t>
      </w:r>
    </w:p>
    <w:p w:rsidR="005E5C50" w:rsidRDefault="005E5C50" w:rsidP="00C3042C">
      <w:pPr>
        <w:pStyle w:val="R2"/>
      </w:pPr>
      <w:r>
        <w:tab/>
        <w:t>6.2</w:t>
      </w:r>
      <w:r>
        <w:tab/>
        <w:t>A supplier does not need to provide the information mentioned in item</w:t>
      </w:r>
      <w:r w:rsidR="00717272">
        <w:t> </w:t>
      </w:r>
      <w:r>
        <w:t>6.1 if a retailer has requested</w:t>
      </w:r>
      <w:r w:rsidR="0077157F">
        <w:t>,</w:t>
      </w:r>
      <w:r>
        <w:t xml:space="preserve"> in writing</w:t>
      </w:r>
      <w:r w:rsidR="0077157F">
        <w:t>,</w:t>
      </w:r>
      <w:r>
        <w:t xml:space="preserve"> that the information not be disclosed.</w:t>
      </w:r>
    </w:p>
    <w:p w:rsidR="005E5C50" w:rsidRPr="00A637E4" w:rsidRDefault="005E5C50" w:rsidP="00C3042C">
      <w:pPr>
        <w:pStyle w:val="R2"/>
      </w:pPr>
      <w:r>
        <w:tab/>
        <w:t>6.3</w:t>
      </w:r>
      <w:r>
        <w:tab/>
      </w:r>
      <w:r w:rsidRPr="00A637E4">
        <w:t>For each of the last 3 years and for each of the following events</w:t>
      </w:r>
      <w:r w:rsidR="00D41D0C">
        <w:t>—</w:t>
      </w:r>
      <w:r w:rsidRPr="00A637E4">
        <w:t>the number of fuel re</w:t>
      </w:r>
      <w:r>
        <w:noBreakHyphen/>
      </w:r>
      <w:r w:rsidRPr="00A637E4">
        <w:t>selling businesses of the supplier for which the event happened:</w:t>
      </w:r>
    </w:p>
    <w:p w:rsidR="005E5C50" w:rsidRPr="00A637E4" w:rsidRDefault="005E5C50" w:rsidP="005E5C50">
      <w:pPr>
        <w:pStyle w:val="P1"/>
      </w:pPr>
      <w:r w:rsidRPr="00A637E4">
        <w:rPr>
          <w:color w:val="000000"/>
        </w:rPr>
        <w:tab/>
        <w:t>(a)</w:t>
      </w:r>
      <w:r w:rsidRPr="00A637E4">
        <w:rPr>
          <w:color w:val="000000"/>
        </w:rPr>
        <w:tab/>
        <w:t>the fuel re</w:t>
      </w:r>
      <w:r>
        <w:rPr>
          <w:color w:val="000000"/>
        </w:rPr>
        <w:noBreakHyphen/>
      </w:r>
      <w:r w:rsidRPr="00A637E4">
        <w:rPr>
          <w:color w:val="000000"/>
        </w:rPr>
        <w:t>selling agreement was transferred;</w:t>
      </w:r>
    </w:p>
    <w:p w:rsidR="005E5C50" w:rsidRPr="00A637E4" w:rsidRDefault="005E5C50" w:rsidP="005E5C50">
      <w:pPr>
        <w:pStyle w:val="P1"/>
      </w:pPr>
      <w:r w:rsidRPr="00A637E4">
        <w:tab/>
        <w:t>(b)</w:t>
      </w:r>
      <w:r w:rsidRPr="00A637E4">
        <w:tab/>
        <w:t>the fuel re</w:t>
      </w:r>
      <w:r>
        <w:noBreakHyphen/>
      </w:r>
      <w:r w:rsidRPr="00A637E4">
        <w:t>selling business ceased to operate;</w:t>
      </w:r>
    </w:p>
    <w:p w:rsidR="005E5C50" w:rsidRPr="00A637E4" w:rsidRDefault="005E5C50" w:rsidP="005E5C50">
      <w:pPr>
        <w:pStyle w:val="P1"/>
      </w:pPr>
      <w:r w:rsidRPr="00A637E4">
        <w:lastRenderedPageBreak/>
        <w:tab/>
        <w:t>(c)</w:t>
      </w:r>
      <w:r w:rsidRPr="00A637E4">
        <w:tab/>
        <w:t>the fuel re</w:t>
      </w:r>
      <w:r>
        <w:noBreakHyphen/>
      </w:r>
      <w:r w:rsidRPr="00A637E4">
        <w:t>selling agreement was terminated by the supplier;</w:t>
      </w:r>
    </w:p>
    <w:p w:rsidR="005E5C50" w:rsidRPr="00A637E4" w:rsidRDefault="005E5C50" w:rsidP="005E5C50">
      <w:pPr>
        <w:pStyle w:val="P1"/>
      </w:pPr>
      <w:r w:rsidRPr="00A637E4">
        <w:tab/>
        <w:t>(d)</w:t>
      </w:r>
      <w:r w:rsidRPr="00A637E4">
        <w:tab/>
        <w:t>the fuel re</w:t>
      </w:r>
      <w:r>
        <w:noBreakHyphen/>
      </w:r>
      <w:r w:rsidRPr="00A637E4">
        <w:t>selling agreement was terminated by the retailer;</w:t>
      </w:r>
    </w:p>
    <w:p w:rsidR="005E5C50" w:rsidRPr="00A637E4" w:rsidRDefault="005E5C50" w:rsidP="005E5C50">
      <w:pPr>
        <w:pStyle w:val="P1"/>
      </w:pPr>
      <w:r w:rsidRPr="00A637E4">
        <w:tab/>
        <w:t>(e)</w:t>
      </w:r>
      <w:r w:rsidRPr="00A637E4">
        <w:tab/>
        <w:t>the fuel re</w:t>
      </w:r>
      <w:r>
        <w:noBreakHyphen/>
      </w:r>
      <w:r w:rsidRPr="00A637E4">
        <w:t>selling agreement was not renewed when it expired;</w:t>
      </w:r>
    </w:p>
    <w:p w:rsidR="005E5C50" w:rsidRPr="00A637E4" w:rsidRDefault="005E5C50" w:rsidP="005E5C50">
      <w:pPr>
        <w:pStyle w:val="P1"/>
      </w:pPr>
      <w:r w:rsidRPr="00A637E4">
        <w:tab/>
        <w:t>(f)</w:t>
      </w:r>
      <w:r w:rsidRPr="00A637E4">
        <w:tab/>
        <w:t>the fuel re</w:t>
      </w:r>
      <w:r>
        <w:noBreakHyphen/>
      </w:r>
      <w:r w:rsidRPr="00A637E4">
        <w:t>selling business was bought back by the supplier;</w:t>
      </w:r>
    </w:p>
    <w:p w:rsidR="005E5C50" w:rsidRPr="00A637E4" w:rsidRDefault="005E5C50" w:rsidP="005E5C50">
      <w:pPr>
        <w:pStyle w:val="P1"/>
      </w:pPr>
      <w:r w:rsidRPr="00A637E4">
        <w:tab/>
        <w:t>(g)</w:t>
      </w:r>
      <w:r w:rsidRPr="00A637E4">
        <w:tab/>
        <w:t>the fuel re</w:t>
      </w:r>
      <w:r>
        <w:noBreakHyphen/>
      </w:r>
      <w:r w:rsidRPr="00A637E4">
        <w:t>selling agreement was terminated and the fuel re</w:t>
      </w:r>
      <w:r>
        <w:noBreakHyphen/>
      </w:r>
      <w:r w:rsidRPr="00A637E4">
        <w:t>selling business was acquired by the supplier.</w:t>
      </w:r>
    </w:p>
    <w:p w:rsidR="005E5C50" w:rsidRPr="00A637E4" w:rsidRDefault="005E5C50" w:rsidP="005E5C50">
      <w:pPr>
        <w:pStyle w:val="Note"/>
        <w:rPr>
          <w:color w:val="000000"/>
        </w:rPr>
      </w:pPr>
      <w:r w:rsidRPr="00A637E4">
        <w:rPr>
          <w:i/>
          <w:color w:val="000000"/>
        </w:rPr>
        <w:t>Note</w:t>
      </w:r>
      <w:r w:rsidR="001A6F8F">
        <w:rPr>
          <w:color w:val="000000"/>
        </w:rPr>
        <w:t>   </w:t>
      </w:r>
      <w:r w:rsidRPr="00A637E4">
        <w:rPr>
          <w:color w:val="000000"/>
        </w:rPr>
        <w:t xml:space="preserve">An event may be counted more than once if more than </w:t>
      </w:r>
      <w:r w:rsidR="00DB2DED">
        <w:rPr>
          <w:color w:val="000000"/>
        </w:rPr>
        <w:t>one</w:t>
      </w:r>
      <w:r w:rsidRPr="00A637E4">
        <w:rPr>
          <w:color w:val="000000"/>
        </w:rPr>
        <w:t xml:space="preserve"> paragraph applies to it.</w:t>
      </w:r>
    </w:p>
    <w:p w:rsidR="00AF24AB" w:rsidRDefault="00AE5E5A" w:rsidP="00C3042C">
      <w:pPr>
        <w:pStyle w:val="R2"/>
      </w:pPr>
      <w:r>
        <w:tab/>
        <w:t>6.</w:t>
      </w:r>
      <w:r w:rsidR="005275BA">
        <w:t>4</w:t>
      </w:r>
      <w:r>
        <w:tab/>
      </w:r>
      <w:r w:rsidR="00AF24AB">
        <w:t>The supplier must supply for each event mentioned in item 6.</w:t>
      </w:r>
      <w:r w:rsidR="005E5C50">
        <w:t>3</w:t>
      </w:r>
      <w:r w:rsidR="00AF24AB">
        <w:t>:</w:t>
      </w:r>
    </w:p>
    <w:p w:rsidR="00AF24AB" w:rsidRDefault="00AF24AB" w:rsidP="00AF24AB">
      <w:pPr>
        <w:pStyle w:val="P1"/>
      </w:pPr>
      <w:r>
        <w:tab/>
        <w:t>(a)</w:t>
      </w:r>
      <w:r>
        <w:tab/>
        <w:t xml:space="preserve">if there are </w:t>
      </w:r>
      <w:r w:rsidR="002A3DC0">
        <w:t xml:space="preserve">fewer </w:t>
      </w:r>
      <w:r>
        <w:t>than 50</w:t>
      </w:r>
      <w:r w:rsidR="00717272">
        <w:t> </w:t>
      </w:r>
      <w:r>
        <w:t xml:space="preserve">retailers involved in </w:t>
      </w:r>
      <w:r w:rsidR="00ED57DE">
        <w:t>an</w:t>
      </w:r>
      <w:r w:rsidR="00D41D0C">
        <w:t xml:space="preserve"> event—</w:t>
      </w:r>
      <w:r w:rsidR="00C0340B">
        <w:t xml:space="preserve">the name, address and contact details of </w:t>
      </w:r>
      <w:r w:rsidR="000002A7">
        <w:t xml:space="preserve">each </w:t>
      </w:r>
      <w:r w:rsidR="00C0340B">
        <w:t>retailer</w:t>
      </w:r>
      <w:r>
        <w:t>; or</w:t>
      </w:r>
    </w:p>
    <w:p w:rsidR="00C0340B" w:rsidRDefault="00AF24AB" w:rsidP="00AF24AB">
      <w:pPr>
        <w:pStyle w:val="P1"/>
      </w:pPr>
      <w:r>
        <w:tab/>
        <w:t>(b)</w:t>
      </w:r>
      <w:r>
        <w:tab/>
        <w:t xml:space="preserve">if there are </w:t>
      </w:r>
      <w:r w:rsidR="00ED57DE">
        <w:t xml:space="preserve">50 or </w:t>
      </w:r>
      <w:r>
        <w:t xml:space="preserve">more retails involved in </w:t>
      </w:r>
      <w:r w:rsidR="00ED57DE">
        <w:t>an</w:t>
      </w:r>
      <w:r w:rsidR="00D41D0C">
        <w:t xml:space="preserve"> event—</w:t>
      </w:r>
      <w:r>
        <w:t>the name, address and contact details of each retailer in the State, region or metropolitan area in which the fuel re</w:t>
      </w:r>
      <w:r>
        <w:noBreakHyphen/>
        <w:t>selling agreement is to operate.</w:t>
      </w:r>
    </w:p>
    <w:p w:rsidR="000002A7" w:rsidRDefault="000002A7" w:rsidP="000002A7">
      <w:pPr>
        <w:pStyle w:val="R2"/>
      </w:pPr>
      <w:r>
        <w:tab/>
        <w:t>6.</w:t>
      </w:r>
      <w:r w:rsidR="005275BA">
        <w:t>5</w:t>
      </w:r>
      <w:r>
        <w:tab/>
      </w:r>
      <w:r w:rsidR="005E5C50">
        <w:t>A</w:t>
      </w:r>
      <w:r>
        <w:t xml:space="preserve"> supplier does not need to provide information mentioned in item 6.</w:t>
      </w:r>
      <w:r w:rsidR="005275BA">
        <w:t>4</w:t>
      </w:r>
      <w:r>
        <w:t xml:space="preserve"> if </w:t>
      </w:r>
      <w:r w:rsidR="00AF24AB">
        <w:t xml:space="preserve">a retailer </w:t>
      </w:r>
      <w:r>
        <w:t>has requested</w:t>
      </w:r>
      <w:r w:rsidR="00DB2DED">
        <w:t>,</w:t>
      </w:r>
      <w:r>
        <w:t xml:space="preserve"> in writing</w:t>
      </w:r>
      <w:r w:rsidR="00DB2DED">
        <w:t>,</w:t>
      </w:r>
      <w:r>
        <w:t xml:space="preserve"> that </w:t>
      </w:r>
      <w:r w:rsidR="00ED57DE">
        <w:t>the information not be disclosed.</w:t>
      </w:r>
    </w:p>
    <w:p w:rsidR="004A178C" w:rsidRDefault="004A178C" w:rsidP="004A178C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18</w:t>
        </w:r>
      </w:fldSimple>
      <w:r>
        <w:t>]</w:t>
      </w:r>
      <w:r>
        <w:tab/>
        <w:t>Annexure 2, paragraph 1.1</w:t>
      </w:r>
      <w:r w:rsidR="001A6F8F">
        <w:t> </w:t>
      </w:r>
      <w:r>
        <w:t>(d)</w:t>
      </w:r>
    </w:p>
    <w:p w:rsidR="004A178C" w:rsidRDefault="004A178C" w:rsidP="004A178C">
      <w:pPr>
        <w:pStyle w:val="A2S"/>
      </w:pPr>
      <w:r>
        <w:t>substitute</w:t>
      </w:r>
    </w:p>
    <w:p w:rsidR="004A178C" w:rsidRPr="00A637E4" w:rsidRDefault="004A178C" w:rsidP="004A178C">
      <w:pPr>
        <w:pStyle w:val="P1"/>
      </w:pPr>
      <w:r>
        <w:tab/>
        <w:t>(d)</w:t>
      </w:r>
      <w:r>
        <w:tab/>
        <w:t>the following statement: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This disclosure document contains some of the information you need in order to make an informed decision about whether to enter into a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Entering into a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 is a serious undertaking.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</w:r>
      <w:r w:rsidR="00574A50">
        <w:rPr>
          <w:rFonts w:ascii="Tahoma" w:hAnsi="Tahoma" w:cs="Tahoma"/>
          <w:sz w:val="20"/>
          <w:szCs w:val="20"/>
        </w:rPr>
        <w:t xml:space="preserve">If you sign a </w:t>
      </w:r>
      <w:r w:rsidRPr="00A637E4">
        <w:rPr>
          <w:rFonts w:ascii="Tahoma" w:hAnsi="Tahoma" w:cs="Tahoma"/>
          <w:sz w:val="20"/>
          <w:szCs w:val="20"/>
        </w:rPr>
        <w:t>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</w:t>
      </w:r>
      <w:r w:rsidR="00574A50">
        <w:rPr>
          <w:rFonts w:ascii="Tahoma" w:hAnsi="Tahoma" w:cs="Tahoma"/>
          <w:sz w:val="20"/>
          <w:szCs w:val="20"/>
        </w:rPr>
        <w:t>, it</w:t>
      </w:r>
      <w:r w:rsidRPr="00A637E4">
        <w:rPr>
          <w:rFonts w:ascii="Tahoma" w:hAnsi="Tahoma" w:cs="Tahoma"/>
          <w:sz w:val="20"/>
          <w:szCs w:val="20"/>
        </w:rPr>
        <w:t xml:space="preserve"> is legally binding on you.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are entitled to a waiting period of 14 days before you enter into the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lastRenderedPageBreak/>
        <w:tab/>
      </w:r>
      <w:r w:rsidRPr="00A637E4">
        <w:rPr>
          <w:rFonts w:ascii="Tahoma" w:hAnsi="Tahoma" w:cs="Tahoma"/>
          <w:sz w:val="20"/>
          <w:szCs w:val="20"/>
        </w:rPr>
        <w:tab/>
        <w:t>If the agreement is a new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 xml:space="preserve">selling agreement (not a renewal, extension or transfer), you will be entitled to a 7 day </w:t>
      </w:r>
      <w:r>
        <w:rPr>
          <w:rFonts w:ascii="Tahoma" w:hAnsi="Tahoma" w:cs="Tahoma"/>
          <w:sz w:val="20"/>
          <w:szCs w:val="20"/>
        </w:rPr>
        <w:t>‘</w:t>
      </w:r>
      <w:r w:rsidRPr="00A637E4">
        <w:rPr>
          <w:rFonts w:ascii="Tahoma" w:hAnsi="Tahoma" w:cs="Tahoma"/>
          <w:sz w:val="20"/>
          <w:szCs w:val="20"/>
        </w:rPr>
        <w:t>cooling off</w:t>
      </w:r>
      <w:r>
        <w:rPr>
          <w:rFonts w:ascii="Tahoma" w:hAnsi="Tahoma" w:cs="Tahoma"/>
          <w:sz w:val="20"/>
          <w:szCs w:val="20"/>
        </w:rPr>
        <w:t>’</w:t>
      </w:r>
      <w:r w:rsidRPr="00A637E4">
        <w:rPr>
          <w:rFonts w:ascii="Tahoma" w:hAnsi="Tahoma" w:cs="Tahoma"/>
          <w:sz w:val="20"/>
          <w:szCs w:val="20"/>
        </w:rPr>
        <w:t xml:space="preserve"> period after signing the agreement, during which you may terminate the agreement without cost.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 xml:space="preserve">Take your time, read all the documents carefully, talk to other </w:t>
      </w:r>
      <w:r w:rsidR="005275BA">
        <w:rPr>
          <w:rFonts w:ascii="Tahoma" w:hAnsi="Tahoma" w:cs="Tahoma"/>
          <w:sz w:val="20"/>
          <w:szCs w:val="20"/>
        </w:rPr>
        <w:t>fuel re-selling businesses</w:t>
      </w:r>
      <w:r w:rsidRPr="00A637E4">
        <w:rPr>
          <w:rFonts w:ascii="Tahoma" w:hAnsi="Tahoma" w:cs="Tahoma"/>
          <w:sz w:val="20"/>
          <w:szCs w:val="20"/>
        </w:rPr>
        <w:t xml:space="preserve"> and assess your own financial resources and capabilities to deal with the requirements of the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business.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make your own enquiries about the agreement and the business of the agreement.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get independent legal, accounting and business advice before signing the fuel re</w:t>
      </w:r>
      <w:r>
        <w:rPr>
          <w:rFonts w:ascii="Tahoma" w:hAnsi="Tahoma" w:cs="Tahoma"/>
          <w:sz w:val="20"/>
          <w:szCs w:val="20"/>
        </w:rPr>
        <w:noBreakHyphen/>
      </w:r>
      <w:r w:rsidRPr="00A637E4">
        <w:rPr>
          <w:rFonts w:ascii="Tahoma" w:hAnsi="Tahoma" w:cs="Tahoma"/>
          <w:sz w:val="20"/>
          <w:szCs w:val="20"/>
        </w:rPr>
        <w:t>selling agreement. You should also seek advice on the Federal, State or Territory and local laws that apply to it.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It is often prudent to prepare a business plan and projections for profit and cash flow.</w:t>
      </w:r>
    </w:p>
    <w:p w:rsidR="004A178C" w:rsidRPr="00A637E4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also consider educational courses, particularly if you have not operated a business before.</w:t>
      </w:r>
    </w:p>
    <w:p w:rsidR="004A178C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 w:rsidRPr="00A637E4">
        <w:rPr>
          <w:rFonts w:ascii="Tahoma" w:hAnsi="Tahoma" w:cs="Tahoma"/>
          <w:sz w:val="20"/>
          <w:szCs w:val="20"/>
        </w:rPr>
        <w:tab/>
      </w:r>
      <w:r w:rsidRPr="00A637E4">
        <w:rPr>
          <w:rFonts w:ascii="Tahoma" w:hAnsi="Tahoma" w:cs="Tahoma"/>
          <w:sz w:val="20"/>
          <w:szCs w:val="20"/>
        </w:rPr>
        <w:tab/>
        <w:t>You should contact the appropriate industry association.</w:t>
      </w:r>
    </w:p>
    <w:p w:rsidR="004A178C" w:rsidRDefault="004A178C" w:rsidP="004A178C">
      <w:pPr>
        <w:pStyle w:val="P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The Australian Competition and Consumer Commission (the </w:t>
      </w:r>
      <w:r w:rsidRPr="004A178C">
        <w:rPr>
          <w:rFonts w:ascii="Tahoma" w:hAnsi="Tahoma" w:cs="Tahoma"/>
          <w:b/>
          <w:i/>
          <w:sz w:val="20"/>
          <w:szCs w:val="20"/>
        </w:rPr>
        <w:t>ACCC</w:t>
      </w:r>
      <w:r>
        <w:rPr>
          <w:rFonts w:ascii="Tahoma" w:hAnsi="Tahoma" w:cs="Tahoma"/>
          <w:sz w:val="20"/>
          <w:szCs w:val="20"/>
        </w:rPr>
        <w:t xml:space="preserve">) has published a wide range of information about the </w:t>
      </w:r>
      <w:r w:rsidR="0054194F">
        <w:rPr>
          <w:rFonts w:ascii="Tahoma" w:hAnsi="Tahoma" w:cs="Tahoma"/>
          <w:sz w:val="20"/>
          <w:szCs w:val="20"/>
        </w:rPr>
        <w:t>Oil</w:t>
      </w:r>
      <w:r>
        <w:rPr>
          <w:rFonts w:ascii="Tahoma" w:hAnsi="Tahoma" w:cs="Tahoma"/>
          <w:sz w:val="20"/>
          <w:szCs w:val="20"/>
        </w:rPr>
        <w:t xml:space="preserve">code to facilitate understandings and compliance with the </w:t>
      </w:r>
      <w:r w:rsidR="0054194F">
        <w:rPr>
          <w:rFonts w:ascii="Tahoma" w:hAnsi="Tahoma" w:cs="Tahoma"/>
          <w:sz w:val="20"/>
          <w:szCs w:val="20"/>
        </w:rPr>
        <w:t>Oil</w:t>
      </w:r>
      <w:r>
        <w:rPr>
          <w:rFonts w:ascii="Tahoma" w:hAnsi="Tahoma" w:cs="Tahoma"/>
          <w:sz w:val="20"/>
          <w:szCs w:val="20"/>
        </w:rPr>
        <w:t>code.</w:t>
      </w:r>
      <w:r w:rsidR="001A6F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This information can be obtained from the ACCC’s website at </w:t>
      </w:r>
      <w:r w:rsidRPr="00D41D0C">
        <w:rPr>
          <w:rFonts w:ascii="Tahoma" w:hAnsi="Tahoma" w:cs="Tahoma"/>
          <w:sz w:val="20"/>
          <w:szCs w:val="20"/>
          <w:u w:val="single"/>
        </w:rPr>
        <w:t>www.accc.gov.au</w:t>
      </w:r>
      <w:r>
        <w:rPr>
          <w:rFonts w:ascii="Tahoma" w:hAnsi="Tahoma" w:cs="Tahoma"/>
          <w:sz w:val="20"/>
          <w:szCs w:val="20"/>
        </w:rPr>
        <w:t xml:space="preserve"> or by contacting the ACCC Infocentre on 1300</w:t>
      </w:r>
      <w:r w:rsidR="001A6F8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302</w:t>
      </w:r>
      <w:r w:rsidR="001A6F8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502.</w:t>
      </w:r>
    </w:p>
    <w:p w:rsidR="005275BA" w:rsidRDefault="005275BA" w:rsidP="005275BA">
      <w:pPr>
        <w:pStyle w:val="A1S"/>
      </w:pPr>
      <w:r>
        <w:t>[</w:t>
      </w:r>
      <w:fldSimple w:instr=" SEQ Sch1Item " w:fldLock="1">
        <w:r w:rsidR="00DE4070">
          <w:rPr>
            <w:noProof/>
          </w:rPr>
          <w:t>19</w:t>
        </w:r>
      </w:fldSimple>
      <w:r>
        <w:t>]</w:t>
      </w:r>
      <w:r>
        <w:tab/>
        <w:t>Annexure 2, subparagraph 3.1</w:t>
      </w:r>
      <w:r w:rsidR="001A6F8F">
        <w:t> </w:t>
      </w:r>
      <w:r>
        <w:t>(a) (ii)</w:t>
      </w:r>
    </w:p>
    <w:p w:rsidR="005275BA" w:rsidRDefault="005275BA" w:rsidP="005275BA">
      <w:pPr>
        <w:pStyle w:val="A2S"/>
      </w:pPr>
      <w:r w:rsidRPr="006C0394">
        <w:t>omit</w:t>
      </w:r>
    </w:p>
    <w:p w:rsidR="005275BA" w:rsidRDefault="005275BA" w:rsidP="005275BA">
      <w:pPr>
        <w:pStyle w:val="A3S"/>
      </w:pPr>
      <w:r>
        <w:t>trade practices law;</w:t>
      </w:r>
    </w:p>
    <w:p w:rsidR="005275BA" w:rsidRDefault="005275BA" w:rsidP="005275BA">
      <w:pPr>
        <w:pStyle w:val="A2S"/>
      </w:pPr>
      <w:r>
        <w:t>insert</w:t>
      </w:r>
    </w:p>
    <w:p w:rsidR="005275BA" w:rsidRPr="005275BA" w:rsidRDefault="000B4A66" w:rsidP="005275BA">
      <w:pPr>
        <w:pStyle w:val="A3S"/>
      </w:pPr>
      <w:r>
        <w:t>the Act;</w:t>
      </w:r>
    </w:p>
    <w:p w:rsidR="007C4B0A" w:rsidRDefault="007C4B0A" w:rsidP="00FC1400">
      <w:pPr>
        <w:pStyle w:val="SchedSectionBreak"/>
        <w:sectPr w:rsidR="007C4B0A" w:rsidSect="00FC14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3732E" w:rsidRDefault="0023732E" w:rsidP="001A6F8F">
      <w:pPr>
        <w:pStyle w:val="NoteEnd"/>
        <w:keepNext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23732E" w:rsidRDefault="0023732E" w:rsidP="0064724E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1A54DF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7C4B0A" w:rsidRDefault="007C4B0A" w:rsidP="00FC1400">
      <w:pPr>
        <w:pStyle w:val="NotesSectionBreak"/>
        <w:sectPr w:rsidR="007C4B0A" w:rsidSect="00FC140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D73D9" w:rsidRDefault="006D73D9" w:rsidP="0064724E">
      <w:pPr>
        <w:pStyle w:val="NoteEnd"/>
        <w:rPr>
          <w:color w:val="000000"/>
        </w:rPr>
      </w:pPr>
    </w:p>
    <w:sectPr w:rsidR="006D73D9" w:rsidSect="0023732E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D8" w:rsidRDefault="00C826D8">
      <w:r>
        <w:separator/>
      </w:r>
    </w:p>
  </w:endnote>
  <w:endnote w:type="continuationSeparator" w:id="0">
    <w:p w:rsidR="00C826D8" w:rsidRDefault="00C8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 w:rsidP="00FC140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C4B0A">
      <w:tc>
        <w:tcPr>
          <w:tcW w:w="1134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jc w:val="right"/>
          </w:pPr>
          <w:fldSimple w:instr=" REF Year \*Charformat ">
            <w:r w:rsidR="00DE4070">
              <w:t>2012</w:t>
            </w:r>
          </w:fldSimple>
          <w:r w:rsidRPr="007F6065">
            <w:t xml:space="preserve">, </w:t>
          </w:r>
          <w:fldSimple w:instr=" REF refno \*Charformat ">
            <w:r w:rsidR="00DE4070">
              <w:t>154</w:t>
            </w:r>
          </w:fldSimple>
        </w:p>
      </w:tc>
    </w:tr>
  </w:tbl>
  <w:p w:rsidR="007C4B0A" w:rsidRDefault="007C4B0A" w:rsidP="00FC14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409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  <w:r>
      <w:rPr>
        <w:noProof/>
      </w:rPr>
      <w:pict>
        <v:shape id="_x0000_s2408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408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  <w:r>
      <w:rPr>
        <w:noProof/>
      </w:rPr>
      <w:pict>
        <v:shape id="_x0000_s2407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407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 w:rsidP="00FC140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C4B0A">
      <w:tc>
        <w:tcPr>
          <w:tcW w:w="1134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jc w:val="right"/>
          </w:pPr>
          <w:fldSimple w:instr=" REF Year \*Charformat ">
            <w:r w:rsidR="00DE4070">
              <w:t>2012</w:t>
            </w:r>
          </w:fldSimple>
          <w:r w:rsidRPr="007F6065">
            <w:t xml:space="preserve">, </w:t>
          </w:r>
          <w:fldSimple w:instr=" REF refno \*Charformat ">
            <w:r w:rsidR="00DE4070">
              <w:t>154</w:t>
            </w:r>
          </w:fldSimple>
        </w:p>
      </w:tc>
    </w:tr>
  </w:tbl>
  <w:p w:rsidR="007C4B0A" w:rsidRDefault="007C4B0A" w:rsidP="00FC14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22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22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  <w:r>
      <w:rPr>
        <w:noProof/>
      </w:rPr>
      <w:pict>
        <v:shape id="_x0000_s2421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21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  <w:r>
      <w:rPr>
        <w:noProof/>
      </w:rPr>
      <w:pict>
        <v:shape id="_x0000_s2420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20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A41806" w:rsidRDefault="007C4B0A" w:rsidP="00FC140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C4B0A" w:rsidRPr="00A41806">
      <w:tc>
        <w:tcPr>
          <w:tcW w:w="1191" w:type="dxa"/>
          <w:shd w:val="clear" w:color="auto" w:fill="auto"/>
        </w:tcPr>
        <w:p w:rsidR="007C4B0A" w:rsidRPr="00A41806" w:rsidRDefault="007C4B0A" w:rsidP="00FC1400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DE407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DE4070">
            <w:fldChar w:fldCharType="separate"/>
          </w:r>
          <w:r w:rsidR="00DE4070">
            <w:t>154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C4B0A" w:rsidRPr="005968DD" w:rsidRDefault="007C4B0A" w:rsidP="00FC1400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7C4B0A" w:rsidRPr="00A41806" w:rsidRDefault="007C4B0A" w:rsidP="00FC140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9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19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556EB9" w:rsidRDefault="00E351F0" w:rsidP="00FC1400">
    <w:pPr>
      <w:pStyle w:val="FooterCitation"/>
    </w:pPr>
    <w:r>
      <w:rPr>
        <w:noProof/>
      </w:rPr>
      <w:t>G:\Drafting-Unit 2\#final 11xxxxx\1119453A Trade Practices (Industry Codes-Oilcode) Amdt Reg 2012\Client version\1119453A-120508ZZ.doc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88" w:rsidRPr="00A41806" w:rsidRDefault="007B5188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B5188" w:rsidRPr="00A41806">
      <w:tc>
        <w:tcPr>
          <w:tcW w:w="1134" w:type="dxa"/>
        </w:tcPr>
        <w:p w:rsidR="007B5188" w:rsidRPr="00A41806" w:rsidRDefault="007B5188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7B5188" w:rsidRPr="00EF2F9D" w:rsidRDefault="007B5188" w:rsidP="008C15A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 w:rsidRPr="00EF2F9D">
            <w:fldChar w:fldCharType="end"/>
          </w:r>
        </w:p>
      </w:tc>
      <w:tc>
        <w:tcPr>
          <w:tcW w:w="1191" w:type="dxa"/>
        </w:tcPr>
        <w:p w:rsidR="007B5188" w:rsidRPr="00A41806" w:rsidRDefault="007B5188" w:rsidP="008C15A7">
          <w:pPr>
            <w:pStyle w:val="Footer"/>
            <w:spacing w:before="20"/>
            <w:jc w:val="right"/>
          </w:pPr>
          <w:fldSimple w:instr=" REF Year \*Charformat ">
            <w:r w:rsidR="00DE4070">
              <w:t>2012</w:t>
            </w:r>
          </w:fldSimple>
          <w:r w:rsidRPr="00A41806">
            <w:t xml:space="preserve">, </w:t>
          </w:r>
          <w:fldSimple w:instr=" REF refno \*Charformat ">
            <w:r w:rsidR="00DE4070">
              <w:t>154</w:t>
            </w:r>
          </w:fldSimple>
        </w:p>
      </w:tc>
    </w:tr>
  </w:tbl>
  <w:p w:rsidR="007B5188" w:rsidRPr="00A41806" w:rsidRDefault="007B5188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7B5188" w:rsidRPr="00DE4070" w:rsidRDefault="007B5188" w:rsidP="00DE4070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7B5188" w:rsidRPr="004675CE" w:rsidRDefault="007B518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B5188" w:rsidRPr="004675CE" w:rsidRDefault="00E351F0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7B5188" w:rsidRPr="004675CE" w:rsidRDefault="007B518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7B5188" w:rsidRPr="004675CE" w:rsidRDefault="00E351F0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88" w:rsidRDefault="007B5188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B5188" w:rsidRPr="008D3896">
      <w:tc>
        <w:tcPr>
          <w:tcW w:w="1191" w:type="dxa"/>
        </w:tcPr>
        <w:p w:rsidR="007B5188" w:rsidRPr="008D3896" w:rsidRDefault="007B5188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7B5188" w:rsidRPr="00EF2F9D" w:rsidRDefault="007B5188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7B5188" w:rsidRPr="008D3896" w:rsidRDefault="007B5188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7B5188" w:rsidRDefault="007B5188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7B5188" w:rsidRPr="00DE4070" w:rsidRDefault="007B5188" w:rsidP="00DE4070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88" w:rsidRDefault="007B518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7B5188" w:rsidRPr="004675CE" w:rsidRDefault="007B5188">
                <w:pPr>
                  <w:pStyle w:val="FooterDraft"/>
                </w:pPr>
                <w:r w:rsidRPr="004675CE">
                  <w:t>DRAFT ONLY</w:t>
                </w:r>
              </w:p>
              <w:p w:rsidR="007B5188" w:rsidRPr="004675CE" w:rsidRDefault="00E351F0">
                <w:pPr>
                  <w:pStyle w:val="FooterInfo"/>
                </w:pPr>
                <w:r>
                  <w:rPr>
                    <w:noProof/>
                  </w:rPr>
                  <w:t>1119453A-120508ZZ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A41806" w:rsidRDefault="007C4B0A" w:rsidP="00FC140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C4B0A" w:rsidRPr="00A41806">
      <w:tc>
        <w:tcPr>
          <w:tcW w:w="1191" w:type="dxa"/>
          <w:shd w:val="clear" w:color="auto" w:fill="auto"/>
        </w:tcPr>
        <w:p w:rsidR="007C4B0A" w:rsidRPr="00A41806" w:rsidRDefault="007C4B0A" w:rsidP="00FC1400">
          <w:pPr>
            <w:pStyle w:val="Footer"/>
            <w:spacing w:before="20"/>
          </w:pPr>
          <w:fldSimple w:instr=" REF Year \*Charformat ">
            <w:r w:rsidR="00DE4070">
              <w:t>2012</w:t>
            </w:r>
          </w:fldSimple>
          <w:r w:rsidRPr="00A41806">
            <w:t xml:space="preserve">, </w:t>
          </w:r>
          <w:fldSimple w:instr=" REF refno \*Charformat ">
            <w:r w:rsidR="00DE4070">
              <w:t>154</w:t>
            </w:r>
          </w:fldSimple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C4B0A" w:rsidRPr="0014079B" w:rsidRDefault="007C4B0A" w:rsidP="00FC1400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7C4B0A" w:rsidRPr="00094457" w:rsidRDefault="007C4B0A" w:rsidP="00FC140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6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406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 w:rsidP="00FC14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0" type="#_x0000_t202" style="position:absolute;margin-left:0;margin-top:784.75pt;width:349.5pt;height:41.4pt;z-index:251656192;mso-position-vertical-relative:page" filled="f" stroked="f">
          <v:textbox style="mso-next-textbox:#_x0000_s2410" inset="0,0,0,0">
            <w:txbxContent>
              <w:p w:rsidR="007C4B0A" w:rsidRPr="004675CE" w:rsidRDefault="007C4B0A" w:rsidP="00FC1400">
                <w:pPr>
                  <w:pStyle w:val="FooterDraft"/>
                </w:pPr>
              </w:p>
              <w:p w:rsidR="007C4B0A" w:rsidRPr="004675CE" w:rsidRDefault="00E351F0" w:rsidP="00FC1400">
                <w:pPr>
                  <w:pStyle w:val="FooterInfo"/>
                </w:pPr>
                <w:r>
                  <w:rPr>
                    <w:noProof/>
                  </w:rPr>
                  <w:t>1119453A-120508ZZ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 w:rsidP="00FC140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C4B0A">
      <w:tc>
        <w:tcPr>
          <w:tcW w:w="1134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jc w:val="right"/>
          </w:pPr>
          <w:fldSimple w:instr=" REF Year \*Charformat ">
            <w:r w:rsidR="00DE4070">
              <w:t>2012</w:t>
            </w:r>
          </w:fldSimple>
          <w:r w:rsidRPr="007F6065">
            <w:t xml:space="preserve">, </w:t>
          </w:r>
          <w:fldSimple w:instr=" REF refno \*Charformat ">
            <w:r w:rsidR="00DE4070">
              <w:t>154</w:t>
            </w:r>
          </w:fldSimple>
        </w:p>
      </w:tc>
    </w:tr>
  </w:tbl>
  <w:p w:rsidR="007C4B0A" w:rsidRDefault="007C4B0A" w:rsidP="00FC14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414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  <w:r>
      <w:rPr>
        <w:noProof/>
      </w:rPr>
      <w:pict>
        <v:shape id="_x0000_s2413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413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  <w:r>
      <w:rPr>
        <w:noProof/>
      </w:rPr>
      <w:pict>
        <v:shape id="_x0000_s2412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412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A41806" w:rsidRDefault="007C4B0A" w:rsidP="00FC140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C4B0A" w:rsidRPr="00A41806">
      <w:tc>
        <w:tcPr>
          <w:tcW w:w="1191" w:type="dxa"/>
          <w:shd w:val="clear" w:color="auto" w:fill="auto"/>
        </w:tcPr>
        <w:p w:rsidR="007C4B0A" w:rsidRPr="00A41806" w:rsidRDefault="007C4B0A" w:rsidP="00FC1400">
          <w:pPr>
            <w:pStyle w:val="Footer"/>
            <w:spacing w:before="20"/>
          </w:pPr>
          <w:fldSimple w:instr=" REF Year \*Charformat ">
            <w:r w:rsidR="00DE4070">
              <w:t>2012</w:t>
            </w:r>
          </w:fldSimple>
          <w:r w:rsidRPr="00A41806">
            <w:t xml:space="preserve">, </w:t>
          </w:r>
          <w:fldSimple w:instr=" REF refno \*Charformat ">
            <w:r w:rsidR="00DE4070">
              <w:t>154</w:t>
            </w:r>
          </w:fldSimple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C4B0A" w:rsidRPr="00845B98" w:rsidRDefault="007C4B0A" w:rsidP="00FC1400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C4B0A" w:rsidRPr="00A41806" w:rsidRDefault="007C4B0A" w:rsidP="00FC140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1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411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556EB9" w:rsidRDefault="00E351F0" w:rsidP="00FC1400">
    <w:pPr>
      <w:pStyle w:val="FooterCitation"/>
    </w:pPr>
    <w:r>
      <w:rPr>
        <w:noProof/>
      </w:rPr>
      <w:t>G:\Drafting-Unit 2\#final 11xxxxx\1119453A Trade Practices (Industry Codes-Oilcode) Amdt Reg 2012\Client version\1119453A-120508ZZ.doc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 w:rsidP="00FC1400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C4B0A">
      <w:tc>
        <w:tcPr>
          <w:tcW w:w="1134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7C4B0A" w:rsidRPr="007F6065" w:rsidRDefault="007C4B0A" w:rsidP="00FC1400">
          <w:pPr>
            <w:pStyle w:val="Footer"/>
            <w:spacing w:before="20"/>
            <w:jc w:val="right"/>
          </w:pPr>
          <w:fldSimple w:instr=" REF Year \*Charformat ">
            <w:r w:rsidR="00DE4070">
              <w:t>2012</w:t>
            </w:r>
          </w:fldSimple>
          <w:r w:rsidRPr="007F6065">
            <w:t xml:space="preserve">, </w:t>
          </w:r>
          <w:fldSimple w:instr=" REF refno \*Charformat ">
            <w:r w:rsidR="00DE4070">
              <w:t>154</w:t>
            </w:r>
          </w:fldSimple>
        </w:p>
      </w:tc>
    </w:tr>
  </w:tbl>
  <w:p w:rsidR="007C4B0A" w:rsidRDefault="007C4B0A" w:rsidP="00FC14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8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18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  <w:r>
      <w:rPr>
        <w:noProof/>
      </w:rPr>
      <w:pict>
        <v:shape id="_x0000_s2417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17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  <w:r>
      <w:rPr>
        <w:noProof/>
      </w:rPr>
      <w:pict>
        <v:shape id="_x0000_s2416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416">
            <w:txbxContent>
              <w:p w:rsidR="007C4B0A" w:rsidRPr="004675CE" w:rsidRDefault="007C4B0A" w:rsidP="00E056F9">
                <w:pPr>
                  <w:pStyle w:val="FooterDraft"/>
                </w:pPr>
              </w:p>
              <w:p w:rsidR="007C4B0A" w:rsidRPr="004675CE" w:rsidRDefault="00E351F0" w:rsidP="00FC14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351F0">
                  <w:rPr>
                    <w:rFonts w:ascii="Arial" w:hAnsi="Arial" w:cs="Arial"/>
                    <w:noProof/>
                    <w:sz w:val="12"/>
                    <w:szCs w:val="12"/>
                  </w:rPr>
                  <w:t>1119453A-120508ZZ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A41806" w:rsidRDefault="007C4B0A" w:rsidP="00FC1400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C4B0A" w:rsidRPr="00845B98">
      <w:tc>
        <w:tcPr>
          <w:tcW w:w="1191" w:type="dxa"/>
          <w:shd w:val="clear" w:color="auto" w:fill="auto"/>
        </w:tcPr>
        <w:p w:rsidR="007C4B0A" w:rsidRPr="00A41806" w:rsidRDefault="007C4B0A" w:rsidP="00FC1400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DE407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DE4070">
            <w:fldChar w:fldCharType="separate"/>
          </w:r>
          <w:r w:rsidR="00DE4070">
            <w:t>154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C4B0A" w:rsidRPr="00EF2F9D" w:rsidRDefault="007C4B0A" w:rsidP="00FC1400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DE4070">
            <w:t>Trade Practices (Industry Codes—</w:t>
          </w:r>
          <w:proofErr w:type="spellStart"/>
          <w:r w:rsidR="00DE4070">
            <w:t>Oilcode</w:t>
          </w:r>
          <w:proofErr w:type="spellEnd"/>
          <w:r w:rsidR="00DE4070">
            <w:t>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C4B0A" w:rsidRPr="00845B98" w:rsidRDefault="007C4B0A" w:rsidP="00FC1400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DE4070">
            <w:rPr>
              <w:rStyle w:val="PageNumber"/>
              <w:noProof/>
            </w:rPr>
            <w:t>9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C4B0A" w:rsidRPr="00A41806" w:rsidRDefault="007C4B0A" w:rsidP="00FC1400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5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415" inset="0,0,0,0">
            <w:txbxContent>
              <w:p w:rsidR="007C4B0A" w:rsidRPr="00DE4070" w:rsidRDefault="007C4B0A" w:rsidP="00DE4070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Pr="00556EB9" w:rsidRDefault="00E351F0" w:rsidP="00FC1400">
    <w:pPr>
      <w:pStyle w:val="FooterCitation"/>
    </w:pPr>
    <w:r>
      <w:rPr>
        <w:noProof/>
      </w:rPr>
      <w:t>G:\Drafting-Unit 2\#final 11xxxxx\1119453A Trade Practices (Industry Codes-Oilcode) Amdt Reg 2012\Client version\1119453A-120508ZZ.doc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D8" w:rsidRDefault="00C826D8">
      <w:r>
        <w:separator/>
      </w:r>
    </w:p>
  </w:footnote>
  <w:footnote w:type="continuationSeparator" w:id="0">
    <w:p w:rsidR="00C826D8" w:rsidRDefault="00C8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C4B0A">
      <w:tc>
        <w:tcPr>
          <w:tcW w:w="1531" w:type="dxa"/>
        </w:tcPr>
        <w:p w:rsidR="007C4B0A" w:rsidRDefault="007C4B0A">
          <w:pPr>
            <w:pStyle w:val="HeaderLiteEven"/>
          </w:pPr>
        </w:p>
      </w:tc>
      <w:tc>
        <w:tcPr>
          <w:tcW w:w="5636" w:type="dxa"/>
          <w:vAlign w:val="bottom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1531" w:type="dxa"/>
        </w:tcPr>
        <w:p w:rsidR="007C4B0A" w:rsidRDefault="007C4B0A">
          <w:pPr>
            <w:pStyle w:val="HeaderLiteEven"/>
          </w:pPr>
        </w:p>
      </w:tc>
      <w:tc>
        <w:tcPr>
          <w:tcW w:w="5636" w:type="dxa"/>
          <w:vAlign w:val="bottom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Default="007C4B0A">
          <w:pPr>
            <w:pStyle w:val="HeaderBoldEven"/>
          </w:pPr>
        </w:p>
      </w:tc>
    </w:tr>
  </w:tbl>
  <w:p w:rsidR="007C4B0A" w:rsidRDefault="007C4B0A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C4B0A">
      <w:tc>
        <w:tcPr>
          <w:tcW w:w="7167" w:type="dxa"/>
        </w:tcPr>
        <w:p w:rsidR="007C4B0A" w:rsidRDefault="007C4B0A">
          <w:pPr>
            <w:pStyle w:val="HeaderLiteOdd"/>
          </w:pPr>
          <w:r>
            <w:t>Note</w:t>
          </w:r>
        </w:p>
      </w:tc>
    </w:tr>
    <w:tr w:rsidR="007C4B0A">
      <w:tc>
        <w:tcPr>
          <w:tcW w:w="7167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C4B0A" w:rsidRDefault="007C4B0A">
          <w:pPr>
            <w:pStyle w:val="HeaderBoldOdd"/>
          </w:pPr>
        </w:p>
      </w:tc>
    </w:tr>
  </w:tbl>
  <w:p w:rsidR="007C4B0A" w:rsidRDefault="007C4B0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7B5188">
      <w:tc>
        <w:tcPr>
          <w:tcW w:w="1531" w:type="dxa"/>
        </w:tcPr>
        <w:p w:rsidR="007B5188" w:rsidRDefault="007B5188" w:rsidP="004B0996">
          <w:pPr>
            <w:pStyle w:val="HeaderLiteEven"/>
          </w:pPr>
        </w:p>
      </w:tc>
      <w:tc>
        <w:tcPr>
          <w:tcW w:w="5636" w:type="dxa"/>
        </w:tcPr>
        <w:p w:rsidR="007B5188" w:rsidRDefault="007B5188" w:rsidP="004B0996">
          <w:pPr>
            <w:pStyle w:val="HeaderLiteEven"/>
          </w:pPr>
        </w:p>
      </w:tc>
    </w:tr>
    <w:tr w:rsidR="007B5188">
      <w:tc>
        <w:tcPr>
          <w:tcW w:w="1531" w:type="dxa"/>
        </w:tcPr>
        <w:p w:rsidR="007B5188" w:rsidRDefault="007B5188" w:rsidP="004B0996">
          <w:pPr>
            <w:pStyle w:val="HeaderLiteEven"/>
          </w:pPr>
        </w:p>
      </w:tc>
      <w:tc>
        <w:tcPr>
          <w:tcW w:w="5636" w:type="dxa"/>
        </w:tcPr>
        <w:p w:rsidR="007B5188" w:rsidRDefault="007B5188" w:rsidP="004B0996">
          <w:pPr>
            <w:pStyle w:val="HeaderLiteEven"/>
          </w:pPr>
        </w:p>
      </w:tc>
    </w:tr>
    <w:tr w:rsidR="007B5188">
      <w:tc>
        <w:tcPr>
          <w:tcW w:w="1531" w:type="dxa"/>
        </w:tcPr>
        <w:p w:rsidR="007B5188" w:rsidRDefault="007B5188" w:rsidP="004B0996">
          <w:pPr>
            <w:pStyle w:val="HeaderBoldEven"/>
          </w:pPr>
        </w:p>
      </w:tc>
      <w:tc>
        <w:tcPr>
          <w:tcW w:w="5636" w:type="dxa"/>
        </w:tcPr>
        <w:p w:rsidR="007B5188" w:rsidRDefault="007B5188" w:rsidP="004B0996">
          <w:pPr>
            <w:pStyle w:val="HeaderBoldEven"/>
          </w:pPr>
        </w:p>
      </w:tc>
    </w:tr>
  </w:tbl>
  <w:p w:rsidR="007B5188" w:rsidRDefault="007B518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7B5188">
      <w:tc>
        <w:tcPr>
          <w:tcW w:w="1531" w:type="dxa"/>
        </w:tcPr>
        <w:p w:rsidR="007B5188" w:rsidRDefault="007B5188">
          <w:pPr>
            <w:pStyle w:val="HeaderLiteOdd"/>
          </w:pPr>
        </w:p>
      </w:tc>
      <w:tc>
        <w:tcPr>
          <w:tcW w:w="1531" w:type="dxa"/>
        </w:tcPr>
        <w:p w:rsidR="007B5188" w:rsidRDefault="007B5188">
          <w:pPr>
            <w:pStyle w:val="HeaderLiteOdd"/>
          </w:pPr>
        </w:p>
      </w:tc>
    </w:tr>
    <w:tr w:rsidR="007B5188">
      <w:tc>
        <w:tcPr>
          <w:tcW w:w="1531" w:type="dxa"/>
        </w:tcPr>
        <w:p w:rsidR="007B5188" w:rsidRDefault="007B5188">
          <w:pPr>
            <w:pStyle w:val="HeaderLiteOdd"/>
          </w:pPr>
        </w:p>
      </w:tc>
      <w:tc>
        <w:tcPr>
          <w:tcW w:w="1531" w:type="dxa"/>
        </w:tcPr>
        <w:p w:rsidR="007B5188" w:rsidRDefault="007B5188">
          <w:pPr>
            <w:pStyle w:val="HeaderLiteOdd"/>
          </w:pPr>
        </w:p>
      </w:tc>
    </w:tr>
    <w:tr w:rsidR="007B5188">
      <w:tc>
        <w:tcPr>
          <w:tcW w:w="5636" w:type="dxa"/>
          <w:tcBorders>
            <w:bottom w:val="single" w:sz="4" w:space="0" w:color="auto"/>
          </w:tcBorders>
        </w:tcPr>
        <w:p w:rsidR="007B5188" w:rsidRDefault="007B5188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7B5188" w:rsidRDefault="007B5188">
          <w:pPr>
            <w:pStyle w:val="HeaderBoldOdd"/>
          </w:pPr>
        </w:p>
      </w:tc>
    </w:tr>
  </w:tbl>
  <w:p w:rsidR="007B5188" w:rsidRDefault="007B51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C4B0A">
      <w:tc>
        <w:tcPr>
          <w:tcW w:w="5636" w:type="dxa"/>
          <w:vAlign w:val="bottom"/>
        </w:tcPr>
        <w:p w:rsidR="007C4B0A" w:rsidRDefault="007C4B0A">
          <w:pPr>
            <w:pStyle w:val="HeaderLiteOdd"/>
          </w:pPr>
        </w:p>
      </w:tc>
      <w:tc>
        <w:tcPr>
          <w:tcW w:w="1531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5636" w:type="dxa"/>
          <w:vAlign w:val="bottom"/>
        </w:tcPr>
        <w:p w:rsidR="007C4B0A" w:rsidRDefault="007C4B0A">
          <w:pPr>
            <w:pStyle w:val="HeaderLiteOdd"/>
          </w:pPr>
        </w:p>
      </w:tc>
      <w:tc>
        <w:tcPr>
          <w:tcW w:w="1531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Default="007C4B0A">
          <w:pPr>
            <w:pStyle w:val="HeaderBoldOdd"/>
          </w:pPr>
        </w:p>
      </w:tc>
    </w:tr>
  </w:tbl>
  <w:p w:rsidR="007C4B0A" w:rsidRDefault="007C4B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C4B0A">
      <w:tc>
        <w:tcPr>
          <w:tcW w:w="1531" w:type="dxa"/>
        </w:tcPr>
        <w:p w:rsidR="007C4B0A" w:rsidRDefault="007C4B0A">
          <w:pPr>
            <w:pStyle w:val="HeaderLiteEven"/>
          </w:pPr>
        </w:p>
      </w:tc>
      <w:tc>
        <w:tcPr>
          <w:tcW w:w="5636" w:type="dxa"/>
          <w:vAlign w:val="bottom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1531" w:type="dxa"/>
        </w:tcPr>
        <w:p w:rsidR="007C4B0A" w:rsidRDefault="007C4B0A">
          <w:pPr>
            <w:pStyle w:val="HeaderLiteEven"/>
          </w:pPr>
        </w:p>
      </w:tc>
      <w:tc>
        <w:tcPr>
          <w:tcW w:w="5636" w:type="dxa"/>
          <w:vAlign w:val="bottom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Pr="000C0160" w:rsidRDefault="000C0160" w:rsidP="00FC1400">
          <w:pPr>
            <w:pStyle w:val="HeaderBoldEven"/>
          </w:pPr>
          <w:r>
            <w:t xml:space="preserve">Section </w:t>
          </w:r>
          <w:r w:rsidRPr="000C0160">
            <w:fldChar w:fldCharType="begin"/>
          </w:r>
          <w:r w:rsidRPr="000C0160">
            <w:instrText xml:space="preserve"> If </w:instrText>
          </w:r>
          <w:fldSimple w:instr=" STYLEREF CharSectnoAm \*Charformat ">
            <w:r w:rsidR="00DE4070">
              <w:rPr>
                <w:noProof/>
              </w:rPr>
              <w:instrText>1</w:instrText>
            </w:r>
          </w:fldSimple>
          <w:r w:rsidRPr="000C0160">
            <w:instrText xml:space="preserve"> &lt;&gt; "Error*" </w:instrText>
          </w:r>
          <w:fldSimple w:instr=" STYLEREF CharSectnoAm \*Charformat ">
            <w:r w:rsidR="00DE4070">
              <w:rPr>
                <w:noProof/>
              </w:rPr>
              <w:instrText>1</w:instrText>
            </w:r>
          </w:fldSimple>
          <w:r w:rsidRPr="000C0160">
            <w:instrText xml:space="preserve"> </w:instrText>
          </w:r>
          <w:r w:rsidRPr="000C0160">
            <w:fldChar w:fldCharType="separate"/>
          </w:r>
          <w:r w:rsidR="00DE4070">
            <w:rPr>
              <w:noProof/>
            </w:rPr>
            <w:t>1</w:t>
          </w:r>
          <w:r w:rsidRPr="000C0160">
            <w:fldChar w:fldCharType="end"/>
          </w:r>
        </w:p>
      </w:tc>
    </w:tr>
  </w:tbl>
  <w:p w:rsidR="007C4B0A" w:rsidRDefault="007C4B0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C4B0A">
      <w:tc>
        <w:tcPr>
          <w:tcW w:w="5636" w:type="dxa"/>
          <w:vAlign w:val="bottom"/>
        </w:tcPr>
        <w:p w:rsidR="007C4B0A" w:rsidRDefault="007C4B0A">
          <w:pPr>
            <w:pStyle w:val="HeaderLiteOdd"/>
          </w:pPr>
        </w:p>
      </w:tc>
      <w:tc>
        <w:tcPr>
          <w:tcW w:w="1531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5636" w:type="dxa"/>
          <w:vAlign w:val="bottom"/>
        </w:tcPr>
        <w:p w:rsidR="007C4B0A" w:rsidRDefault="007C4B0A">
          <w:pPr>
            <w:pStyle w:val="HeaderLiteOdd"/>
          </w:pPr>
        </w:p>
      </w:tc>
      <w:tc>
        <w:tcPr>
          <w:tcW w:w="1531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Pr="000C0160" w:rsidRDefault="000C0160">
          <w:pPr>
            <w:pStyle w:val="HeaderBoldOdd"/>
          </w:pPr>
          <w:r>
            <w:t xml:space="preserve">Section </w:t>
          </w:r>
          <w:r w:rsidRPr="000C0160">
            <w:fldChar w:fldCharType="begin"/>
          </w:r>
          <w:r w:rsidRPr="000C0160">
            <w:instrText xml:space="preserve"> If </w:instrText>
          </w:r>
          <w:fldSimple w:instr=" STYLEREF CharSectnoAm \*Charformat \l ">
            <w:r w:rsidR="00DE4070">
              <w:rPr>
                <w:noProof/>
              </w:rPr>
              <w:instrText>1</w:instrText>
            </w:r>
          </w:fldSimple>
          <w:r w:rsidRPr="000C0160">
            <w:instrText xml:space="preserve"> &lt;&gt; "Error*" </w:instrText>
          </w:r>
          <w:fldSimple w:instr=" STYLEREF CharSectnoAm \*Charformat \l ">
            <w:r w:rsidR="00DE4070">
              <w:rPr>
                <w:noProof/>
              </w:rPr>
              <w:instrText>1</w:instrText>
            </w:r>
          </w:fldSimple>
          <w:r w:rsidRPr="000C0160">
            <w:instrText xml:space="preserve"> </w:instrText>
          </w:r>
          <w:r w:rsidRPr="000C0160">
            <w:fldChar w:fldCharType="separate"/>
          </w:r>
          <w:r w:rsidR="00DE4070">
            <w:rPr>
              <w:noProof/>
            </w:rPr>
            <w:t>1</w:t>
          </w:r>
          <w:r w:rsidRPr="000C0160">
            <w:fldChar w:fldCharType="end"/>
          </w:r>
        </w:p>
      </w:tc>
    </w:tr>
  </w:tbl>
  <w:p w:rsidR="007C4B0A" w:rsidRDefault="007C4B0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C4B0A">
      <w:tc>
        <w:tcPr>
          <w:tcW w:w="1531" w:type="dxa"/>
        </w:tcPr>
        <w:p w:rsidR="007C4B0A" w:rsidRDefault="000C0160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DE4070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DE4070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DE4070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7C4B0A" w:rsidRDefault="000C0160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DE4070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DE4070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DE4070">
            <w:rPr>
              <w:noProof/>
            </w:rPr>
            <w:t>Amendments</w:t>
          </w:r>
          <w:r>
            <w:fldChar w:fldCharType="end"/>
          </w:r>
        </w:p>
      </w:tc>
    </w:tr>
    <w:tr w:rsidR="007C4B0A">
      <w:tc>
        <w:tcPr>
          <w:tcW w:w="1531" w:type="dxa"/>
        </w:tcPr>
        <w:p w:rsidR="007C4B0A" w:rsidRDefault="007C4B0A">
          <w:pPr>
            <w:pStyle w:val="HeaderLiteEven"/>
          </w:pPr>
        </w:p>
      </w:tc>
      <w:tc>
        <w:tcPr>
          <w:tcW w:w="5636" w:type="dxa"/>
          <w:vAlign w:val="bottom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Default="007C4B0A" w:rsidP="00FC1400">
          <w:pPr>
            <w:pStyle w:val="HeaderBoldEven"/>
          </w:pPr>
        </w:p>
      </w:tc>
    </w:tr>
  </w:tbl>
  <w:p w:rsidR="007C4B0A" w:rsidRDefault="007C4B0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C4B0A">
      <w:tc>
        <w:tcPr>
          <w:tcW w:w="5636" w:type="dxa"/>
          <w:vAlign w:val="bottom"/>
        </w:tcPr>
        <w:p w:rsidR="007C4B0A" w:rsidRDefault="000C016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DE4070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DE4070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DE4070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7C4B0A" w:rsidRDefault="000C0160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DE4070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DE4070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DE4070">
            <w:rPr>
              <w:noProof/>
            </w:rPr>
            <w:t>Schedule 1</w:t>
          </w:r>
          <w:r>
            <w:fldChar w:fldCharType="end"/>
          </w:r>
        </w:p>
      </w:tc>
    </w:tr>
    <w:tr w:rsidR="007C4B0A">
      <w:tc>
        <w:tcPr>
          <w:tcW w:w="5636" w:type="dxa"/>
          <w:vAlign w:val="bottom"/>
        </w:tcPr>
        <w:p w:rsidR="007C4B0A" w:rsidRDefault="007C4B0A">
          <w:pPr>
            <w:pStyle w:val="HeaderLiteOdd"/>
          </w:pPr>
        </w:p>
      </w:tc>
      <w:tc>
        <w:tcPr>
          <w:tcW w:w="1531" w:type="dxa"/>
        </w:tcPr>
        <w:p w:rsidR="007C4B0A" w:rsidRDefault="007C4B0A">
          <w:pPr>
            <w:pStyle w:val="HeaderLiteOdd"/>
          </w:pPr>
        </w:p>
      </w:tc>
    </w:tr>
    <w:tr w:rsidR="007C4B0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C4B0A" w:rsidRDefault="007C4B0A" w:rsidP="00FC1400">
          <w:pPr>
            <w:pStyle w:val="HeaderBoldOdd"/>
          </w:pPr>
        </w:p>
      </w:tc>
    </w:tr>
  </w:tbl>
  <w:p w:rsidR="007C4B0A" w:rsidRDefault="007C4B0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0A" w:rsidRDefault="007C4B0A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C4B0A">
      <w:tc>
        <w:tcPr>
          <w:tcW w:w="7167" w:type="dxa"/>
        </w:tcPr>
        <w:p w:rsidR="007C4B0A" w:rsidRDefault="007C4B0A">
          <w:pPr>
            <w:pStyle w:val="HeaderLiteEven"/>
          </w:pPr>
          <w:r>
            <w:t>Note</w:t>
          </w:r>
        </w:p>
      </w:tc>
    </w:tr>
    <w:tr w:rsidR="007C4B0A">
      <w:tc>
        <w:tcPr>
          <w:tcW w:w="7167" w:type="dxa"/>
        </w:tcPr>
        <w:p w:rsidR="007C4B0A" w:rsidRDefault="007C4B0A">
          <w:pPr>
            <w:pStyle w:val="HeaderLiteEven"/>
          </w:pPr>
        </w:p>
      </w:tc>
    </w:tr>
    <w:tr w:rsidR="007C4B0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C4B0A" w:rsidRDefault="007C4B0A">
          <w:pPr>
            <w:pStyle w:val="HeaderBoldEven"/>
          </w:pPr>
        </w:p>
      </w:tc>
    </w:tr>
  </w:tbl>
  <w:p w:rsidR="007C4B0A" w:rsidRDefault="007C4B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24E"/>
    <w:rsid w:val="000002A7"/>
    <w:rsid w:val="00002328"/>
    <w:rsid w:val="000047FD"/>
    <w:rsid w:val="000056EE"/>
    <w:rsid w:val="00010203"/>
    <w:rsid w:val="00012A4E"/>
    <w:rsid w:val="00013A38"/>
    <w:rsid w:val="0001739E"/>
    <w:rsid w:val="00017FD0"/>
    <w:rsid w:val="00020180"/>
    <w:rsid w:val="00023FD2"/>
    <w:rsid w:val="00024F67"/>
    <w:rsid w:val="0003434D"/>
    <w:rsid w:val="0003498B"/>
    <w:rsid w:val="0004081D"/>
    <w:rsid w:val="0004293E"/>
    <w:rsid w:val="000472C2"/>
    <w:rsid w:val="000510B9"/>
    <w:rsid w:val="00051C9B"/>
    <w:rsid w:val="000551A3"/>
    <w:rsid w:val="00055E25"/>
    <w:rsid w:val="00061DE0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3EBA"/>
    <w:rsid w:val="00095CC4"/>
    <w:rsid w:val="000A3C52"/>
    <w:rsid w:val="000B0A20"/>
    <w:rsid w:val="000B26C3"/>
    <w:rsid w:val="000B4A66"/>
    <w:rsid w:val="000B52F3"/>
    <w:rsid w:val="000B68A5"/>
    <w:rsid w:val="000C0160"/>
    <w:rsid w:val="000C2AB1"/>
    <w:rsid w:val="000C39D2"/>
    <w:rsid w:val="000C56FE"/>
    <w:rsid w:val="000C78B5"/>
    <w:rsid w:val="000D112D"/>
    <w:rsid w:val="000D363E"/>
    <w:rsid w:val="000D7167"/>
    <w:rsid w:val="000D736B"/>
    <w:rsid w:val="000E081D"/>
    <w:rsid w:val="000E470D"/>
    <w:rsid w:val="000E4E3D"/>
    <w:rsid w:val="000F140F"/>
    <w:rsid w:val="000F3758"/>
    <w:rsid w:val="00101A4B"/>
    <w:rsid w:val="00102347"/>
    <w:rsid w:val="00107EC0"/>
    <w:rsid w:val="00110F98"/>
    <w:rsid w:val="0011161E"/>
    <w:rsid w:val="0011172E"/>
    <w:rsid w:val="00111E48"/>
    <w:rsid w:val="0011314E"/>
    <w:rsid w:val="00114286"/>
    <w:rsid w:val="00117290"/>
    <w:rsid w:val="00120D3B"/>
    <w:rsid w:val="00121B18"/>
    <w:rsid w:val="00122CA1"/>
    <w:rsid w:val="0012560F"/>
    <w:rsid w:val="00126A66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6E7"/>
    <w:rsid w:val="00156A5A"/>
    <w:rsid w:val="00157E82"/>
    <w:rsid w:val="0016257E"/>
    <w:rsid w:val="0016552E"/>
    <w:rsid w:val="001661B3"/>
    <w:rsid w:val="00171A0A"/>
    <w:rsid w:val="00171C02"/>
    <w:rsid w:val="0017420C"/>
    <w:rsid w:val="00176457"/>
    <w:rsid w:val="0017669E"/>
    <w:rsid w:val="00176BCE"/>
    <w:rsid w:val="00180CD3"/>
    <w:rsid w:val="00182E3F"/>
    <w:rsid w:val="001840EA"/>
    <w:rsid w:val="0018778B"/>
    <w:rsid w:val="00190D22"/>
    <w:rsid w:val="00191B57"/>
    <w:rsid w:val="00195282"/>
    <w:rsid w:val="001A062E"/>
    <w:rsid w:val="001A25BD"/>
    <w:rsid w:val="001A2921"/>
    <w:rsid w:val="001A2B82"/>
    <w:rsid w:val="001A3574"/>
    <w:rsid w:val="001A4A1D"/>
    <w:rsid w:val="001A54DF"/>
    <w:rsid w:val="001A6F8F"/>
    <w:rsid w:val="001A745A"/>
    <w:rsid w:val="001B4168"/>
    <w:rsid w:val="001B680B"/>
    <w:rsid w:val="001B750D"/>
    <w:rsid w:val="001C2D2D"/>
    <w:rsid w:val="001C3490"/>
    <w:rsid w:val="001C48B6"/>
    <w:rsid w:val="001C52FA"/>
    <w:rsid w:val="001C6C78"/>
    <w:rsid w:val="001C6E23"/>
    <w:rsid w:val="001D1730"/>
    <w:rsid w:val="001D2E55"/>
    <w:rsid w:val="001D49E7"/>
    <w:rsid w:val="001D5F7B"/>
    <w:rsid w:val="001D655F"/>
    <w:rsid w:val="001D7DD2"/>
    <w:rsid w:val="001E031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5323"/>
    <w:rsid w:val="002271DC"/>
    <w:rsid w:val="00230352"/>
    <w:rsid w:val="00231E47"/>
    <w:rsid w:val="00236609"/>
    <w:rsid w:val="0023732E"/>
    <w:rsid w:val="00240CD1"/>
    <w:rsid w:val="00242237"/>
    <w:rsid w:val="00245534"/>
    <w:rsid w:val="0025225D"/>
    <w:rsid w:val="00253EE7"/>
    <w:rsid w:val="00254B2F"/>
    <w:rsid w:val="00254C12"/>
    <w:rsid w:val="00257B24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87CC7"/>
    <w:rsid w:val="002937F9"/>
    <w:rsid w:val="00293C63"/>
    <w:rsid w:val="002957A9"/>
    <w:rsid w:val="00296435"/>
    <w:rsid w:val="0029646C"/>
    <w:rsid w:val="00296E69"/>
    <w:rsid w:val="002A3DC0"/>
    <w:rsid w:val="002A57A4"/>
    <w:rsid w:val="002B2A9A"/>
    <w:rsid w:val="002C0290"/>
    <w:rsid w:val="002C0E89"/>
    <w:rsid w:val="002C1554"/>
    <w:rsid w:val="002C338D"/>
    <w:rsid w:val="002C3E33"/>
    <w:rsid w:val="002C42F1"/>
    <w:rsid w:val="002C77BC"/>
    <w:rsid w:val="002C79E4"/>
    <w:rsid w:val="002C7F8D"/>
    <w:rsid w:val="002D35D3"/>
    <w:rsid w:val="002D4CD6"/>
    <w:rsid w:val="002D658C"/>
    <w:rsid w:val="002E4402"/>
    <w:rsid w:val="002E6AB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45E4"/>
    <w:rsid w:val="0032466E"/>
    <w:rsid w:val="003257B6"/>
    <w:rsid w:val="00325C10"/>
    <w:rsid w:val="003269CD"/>
    <w:rsid w:val="00327131"/>
    <w:rsid w:val="00327AAB"/>
    <w:rsid w:val="0033106A"/>
    <w:rsid w:val="00332345"/>
    <w:rsid w:val="003328BD"/>
    <w:rsid w:val="003332AF"/>
    <w:rsid w:val="00336768"/>
    <w:rsid w:val="00336E26"/>
    <w:rsid w:val="00340BF5"/>
    <w:rsid w:val="003412DC"/>
    <w:rsid w:val="00343A1B"/>
    <w:rsid w:val="00343EA6"/>
    <w:rsid w:val="00347380"/>
    <w:rsid w:val="003476A1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A5662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0155"/>
    <w:rsid w:val="003F18D4"/>
    <w:rsid w:val="003F1A97"/>
    <w:rsid w:val="003F1AF9"/>
    <w:rsid w:val="0040039E"/>
    <w:rsid w:val="00402E52"/>
    <w:rsid w:val="00403373"/>
    <w:rsid w:val="004036F6"/>
    <w:rsid w:val="00403AE4"/>
    <w:rsid w:val="0040581C"/>
    <w:rsid w:val="00406A94"/>
    <w:rsid w:val="004070A9"/>
    <w:rsid w:val="00411455"/>
    <w:rsid w:val="004120B2"/>
    <w:rsid w:val="0041595C"/>
    <w:rsid w:val="00416A06"/>
    <w:rsid w:val="004207D7"/>
    <w:rsid w:val="00420E93"/>
    <w:rsid w:val="00424431"/>
    <w:rsid w:val="0042496B"/>
    <w:rsid w:val="00427249"/>
    <w:rsid w:val="00433268"/>
    <w:rsid w:val="00440DE0"/>
    <w:rsid w:val="00441257"/>
    <w:rsid w:val="00442444"/>
    <w:rsid w:val="004449BE"/>
    <w:rsid w:val="004454CF"/>
    <w:rsid w:val="0044728E"/>
    <w:rsid w:val="00447FF1"/>
    <w:rsid w:val="0045063A"/>
    <w:rsid w:val="0045338D"/>
    <w:rsid w:val="00454D0B"/>
    <w:rsid w:val="00456454"/>
    <w:rsid w:val="00456740"/>
    <w:rsid w:val="00471344"/>
    <w:rsid w:val="0047221D"/>
    <w:rsid w:val="004742DF"/>
    <w:rsid w:val="00477B83"/>
    <w:rsid w:val="00480BB9"/>
    <w:rsid w:val="004825F7"/>
    <w:rsid w:val="00482B0A"/>
    <w:rsid w:val="00487A4B"/>
    <w:rsid w:val="004928AA"/>
    <w:rsid w:val="00492AF6"/>
    <w:rsid w:val="00495EBA"/>
    <w:rsid w:val="00495FD3"/>
    <w:rsid w:val="00497DA1"/>
    <w:rsid w:val="004A178C"/>
    <w:rsid w:val="004A446F"/>
    <w:rsid w:val="004A4A30"/>
    <w:rsid w:val="004B088C"/>
    <w:rsid w:val="004B0996"/>
    <w:rsid w:val="004B1D92"/>
    <w:rsid w:val="004B1E60"/>
    <w:rsid w:val="004B3683"/>
    <w:rsid w:val="004B717C"/>
    <w:rsid w:val="004C0190"/>
    <w:rsid w:val="004C3A75"/>
    <w:rsid w:val="004C6D83"/>
    <w:rsid w:val="004C7EE7"/>
    <w:rsid w:val="004D25B2"/>
    <w:rsid w:val="004D2CCB"/>
    <w:rsid w:val="004D460F"/>
    <w:rsid w:val="004E01BE"/>
    <w:rsid w:val="004E1500"/>
    <w:rsid w:val="004E3375"/>
    <w:rsid w:val="004E3516"/>
    <w:rsid w:val="004E388F"/>
    <w:rsid w:val="004E5BFE"/>
    <w:rsid w:val="004E6672"/>
    <w:rsid w:val="004E6A2A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53B2"/>
    <w:rsid w:val="0052732A"/>
    <w:rsid w:val="005275BA"/>
    <w:rsid w:val="00535BFA"/>
    <w:rsid w:val="0054194F"/>
    <w:rsid w:val="005430FE"/>
    <w:rsid w:val="00547CC6"/>
    <w:rsid w:val="00553BBD"/>
    <w:rsid w:val="00553CCE"/>
    <w:rsid w:val="005547EB"/>
    <w:rsid w:val="005548F9"/>
    <w:rsid w:val="00555098"/>
    <w:rsid w:val="0055575A"/>
    <w:rsid w:val="00556B48"/>
    <w:rsid w:val="00560120"/>
    <w:rsid w:val="00560D28"/>
    <w:rsid w:val="00561460"/>
    <w:rsid w:val="00564001"/>
    <w:rsid w:val="0056559C"/>
    <w:rsid w:val="005665B2"/>
    <w:rsid w:val="005704D0"/>
    <w:rsid w:val="00571FCD"/>
    <w:rsid w:val="005732A7"/>
    <w:rsid w:val="00574A09"/>
    <w:rsid w:val="00574A50"/>
    <w:rsid w:val="00574CAE"/>
    <w:rsid w:val="00577475"/>
    <w:rsid w:val="00580E49"/>
    <w:rsid w:val="005818B9"/>
    <w:rsid w:val="00584A71"/>
    <w:rsid w:val="0058589F"/>
    <w:rsid w:val="0058636F"/>
    <w:rsid w:val="005867F2"/>
    <w:rsid w:val="00590B66"/>
    <w:rsid w:val="005914FF"/>
    <w:rsid w:val="00594F6A"/>
    <w:rsid w:val="00596B78"/>
    <w:rsid w:val="005A04A5"/>
    <w:rsid w:val="005A0F53"/>
    <w:rsid w:val="005A2A56"/>
    <w:rsid w:val="005A2CD9"/>
    <w:rsid w:val="005A388A"/>
    <w:rsid w:val="005A5E49"/>
    <w:rsid w:val="005B19A9"/>
    <w:rsid w:val="005B2816"/>
    <w:rsid w:val="005B6023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5C50"/>
    <w:rsid w:val="005E6D7C"/>
    <w:rsid w:val="005F17D7"/>
    <w:rsid w:val="005F5365"/>
    <w:rsid w:val="005F667E"/>
    <w:rsid w:val="0060499E"/>
    <w:rsid w:val="00610CB1"/>
    <w:rsid w:val="0061122E"/>
    <w:rsid w:val="00612688"/>
    <w:rsid w:val="006133D2"/>
    <w:rsid w:val="0062109B"/>
    <w:rsid w:val="006228F8"/>
    <w:rsid w:val="00625EBE"/>
    <w:rsid w:val="00626972"/>
    <w:rsid w:val="00630C62"/>
    <w:rsid w:val="006334F8"/>
    <w:rsid w:val="00634C1D"/>
    <w:rsid w:val="00641CB9"/>
    <w:rsid w:val="00642014"/>
    <w:rsid w:val="0064304E"/>
    <w:rsid w:val="00645165"/>
    <w:rsid w:val="00645A49"/>
    <w:rsid w:val="0064724E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72003"/>
    <w:rsid w:val="00672979"/>
    <w:rsid w:val="00675602"/>
    <w:rsid w:val="00675DB2"/>
    <w:rsid w:val="00680DF0"/>
    <w:rsid w:val="006840DE"/>
    <w:rsid w:val="00686152"/>
    <w:rsid w:val="00686485"/>
    <w:rsid w:val="00691AD5"/>
    <w:rsid w:val="00697803"/>
    <w:rsid w:val="006A1BED"/>
    <w:rsid w:val="006A4638"/>
    <w:rsid w:val="006A4BA5"/>
    <w:rsid w:val="006B141F"/>
    <w:rsid w:val="006B28EE"/>
    <w:rsid w:val="006B3F9E"/>
    <w:rsid w:val="006B6FE0"/>
    <w:rsid w:val="006C0953"/>
    <w:rsid w:val="006C31CA"/>
    <w:rsid w:val="006C4208"/>
    <w:rsid w:val="006C4BED"/>
    <w:rsid w:val="006C53D2"/>
    <w:rsid w:val="006C795D"/>
    <w:rsid w:val="006D0603"/>
    <w:rsid w:val="006D18DE"/>
    <w:rsid w:val="006D73D9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272"/>
    <w:rsid w:val="00717563"/>
    <w:rsid w:val="0072438C"/>
    <w:rsid w:val="00724FFF"/>
    <w:rsid w:val="00725A68"/>
    <w:rsid w:val="00730AB3"/>
    <w:rsid w:val="00732425"/>
    <w:rsid w:val="00733D1E"/>
    <w:rsid w:val="00733ED9"/>
    <w:rsid w:val="007347CC"/>
    <w:rsid w:val="0073521A"/>
    <w:rsid w:val="007352EF"/>
    <w:rsid w:val="00735B24"/>
    <w:rsid w:val="0073761F"/>
    <w:rsid w:val="00741706"/>
    <w:rsid w:val="00742659"/>
    <w:rsid w:val="00742BE4"/>
    <w:rsid w:val="0074530F"/>
    <w:rsid w:val="007507CB"/>
    <w:rsid w:val="00750F54"/>
    <w:rsid w:val="007521DD"/>
    <w:rsid w:val="007576E3"/>
    <w:rsid w:val="00757D9D"/>
    <w:rsid w:val="007600AC"/>
    <w:rsid w:val="00761E10"/>
    <w:rsid w:val="007640FB"/>
    <w:rsid w:val="00767850"/>
    <w:rsid w:val="0077157F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347D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D19"/>
    <w:rsid w:val="007B0E83"/>
    <w:rsid w:val="007B5188"/>
    <w:rsid w:val="007B5948"/>
    <w:rsid w:val="007C012A"/>
    <w:rsid w:val="007C0378"/>
    <w:rsid w:val="007C0844"/>
    <w:rsid w:val="007C1513"/>
    <w:rsid w:val="007C18C3"/>
    <w:rsid w:val="007C23A0"/>
    <w:rsid w:val="007C27A1"/>
    <w:rsid w:val="007C378E"/>
    <w:rsid w:val="007C49D9"/>
    <w:rsid w:val="007C4B0A"/>
    <w:rsid w:val="007C7ED2"/>
    <w:rsid w:val="007D1730"/>
    <w:rsid w:val="007D18F0"/>
    <w:rsid w:val="007D2042"/>
    <w:rsid w:val="007D4230"/>
    <w:rsid w:val="007D4D7B"/>
    <w:rsid w:val="007E21C3"/>
    <w:rsid w:val="007F6065"/>
    <w:rsid w:val="007F6323"/>
    <w:rsid w:val="007F6B43"/>
    <w:rsid w:val="00800EE9"/>
    <w:rsid w:val="00802693"/>
    <w:rsid w:val="00805B1D"/>
    <w:rsid w:val="00812E73"/>
    <w:rsid w:val="00816BAA"/>
    <w:rsid w:val="008200F1"/>
    <w:rsid w:val="00820E6A"/>
    <w:rsid w:val="00822AD4"/>
    <w:rsid w:val="00826D3D"/>
    <w:rsid w:val="0083232E"/>
    <w:rsid w:val="008323A8"/>
    <w:rsid w:val="00833881"/>
    <w:rsid w:val="00834026"/>
    <w:rsid w:val="00836F81"/>
    <w:rsid w:val="00837950"/>
    <w:rsid w:val="008405E8"/>
    <w:rsid w:val="008421EA"/>
    <w:rsid w:val="008477E0"/>
    <w:rsid w:val="008529D0"/>
    <w:rsid w:val="008553D9"/>
    <w:rsid w:val="008557DC"/>
    <w:rsid w:val="00855B7C"/>
    <w:rsid w:val="008621D6"/>
    <w:rsid w:val="00866C51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69D"/>
    <w:rsid w:val="008C6FFC"/>
    <w:rsid w:val="008C70E8"/>
    <w:rsid w:val="008D027A"/>
    <w:rsid w:val="008D153C"/>
    <w:rsid w:val="008D2C3B"/>
    <w:rsid w:val="008D2F4A"/>
    <w:rsid w:val="008D3896"/>
    <w:rsid w:val="008D3FB6"/>
    <w:rsid w:val="008D64ED"/>
    <w:rsid w:val="008D7ACE"/>
    <w:rsid w:val="008E02E5"/>
    <w:rsid w:val="008E1131"/>
    <w:rsid w:val="008E45F9"/>
    <w:rsid w:val="008E74ED"/>
    <w:rsid w:val="008E7D39"/>
    <w:rsid w:val="008F2E16"/>
    <w:rsid w:val="008F5EC2"/>
    <w:rsid w:val="008F62AC"/>
    <w:rsid w:val="00901DA5"/>
    <w:rsid w:val="00902FB5"/>
    <w:rsid w:val="0090335E"/>
    <w:rsid w:val="009042F5"/>
    <w:rsid w:val="00905A06"/>
    <w:rsid w:val="00906D49"/>
    <w:rsid w:val="009070F5"/>
    <w:rsid w:val="00907DD8"/>
    <w:rsid w:val="009123E3"/>
    <w:rsid w:val="009125B8"/>
    <w:rsid w:val="00913ECD"/>
    <w:rsid w:val="009147AF"/>
    <w:rsid w:val="009149F1"/>
    <w:rsid w:val="00914CC9"/>
    <w:rsid w:val="00915994"/>
    <w:rsid w:val="0092104A"/>
    <w:rsid w:val="00922335"/>
    <w:rsid w:val="00923493"/>
    <w:rsid w:val="00924C24"/>
    <w:rsid w:val="0093033C"/>
    <w:rsid w:val="00930C1D"/>
    <w:rsid w:val="009356C5"/>
    <w:rsid w:val="009360BD"/>
    <w:rsid w:val="009420B7"/>
    <w:rsid w:val="00942C0F"/>
    <w:rsid w:val="00942D3B"/>
    <w:rsid w:val="009437DF"/>
    <w:rsid w:val="00944599"/>
    <w:rsid w:val="00946AE0"/>
    <w:rsid w:val="00950B11"/>
    <w:rsid w:val="0095322A"/>
    <w:rsid w:val="009553F5"/>
    <w:rsid w:val="00960E91"/>
    <w:rsid w:val="00965BFA"/>
    <w:rsid w:val="0096627B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4D72"/>
    <w:rsid w:val="009D0292"/>
    <w:rsid w:val="009D122B"/>
    <w:rsid w:val="009E0437"/>
    <w:rsid w:val="009E2539"/>
    <w:rsid w:val="009E3171"/>
    <w:rsid w:val="009E39CE"/>
    <w:rsid w:val="009E5220"/>
    <w:rsid w:val="009E6F97"/>
    <w:rsid w:val="009F22D8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2C4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461"/>
    <w:rsid w:val="00A41806"/>
    <w:rsid w:val="00A428C2"/>
    <w:rsid w:val="00A43AF6"/>
    <w:rsid w:val="00A45C77"/>
    <w:rsid w:val="00A4716C"/>
    <w:rsid w:val="00A54836"/>
    <w:rsid w:val="00A5794C"/>
    <w:rsid w:val="00A60B79"/>
    <w:rsid w:val="00A611D5"/>
    <w:rsid w:val="00A633EB"/>
    <w:rsid w:val="00A63D67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73D"/>
    <w:rsid w:val="00A73325"/>
    <w:rsid w:val="00A773A0"/>
    <w:rsid w:val="00A83F47"/>
    <w:rsid w:val="00A91F48"/>
    <w:rsid w:val="00A939BC"/>
    <w:rsid w:val="00A9492D"/>
    <w:rsid w:val="00A955D9"/>
    <w:rsid w:val="00A97A26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0A26"/>
    <w:rsid w:val="00AD2FDA"/>
    <w:rsid w:val="00AD3862"/>
    <w:rsid w:val="00AD4C82"/>
    <w:rsid w:val="00AD4F00"/>
    <w:rsid w:val="00AD56FF"/>
    <w:rsid w:val="00AD6369"/>
    <w:rsid w:val="00AD7490"/>
    <w:rsid w:val="00AE3BDB"/>
    <w:rsid w:val="00AE5649"/>
    <w:rsid w:val="00AE5E5A"/>
    <w:rsid w:val="00AF24AB"/>
    <w:rsid w:val="00AF2E7B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F12"/>
    <w:rsid w:val="00B267A3"/>
    <w:rsid w:val="00B2730F"/>
    <w:rsid w:val="00B30277"/>
    <w:rsid w:val="00B312AC"/>
    <w:rsid w:val="00B32109"/>
    <w:rsid w:val="00B341F1"/>
    <w:rsid w:val="00B35329"/>
    <w:rsid w:val="00B4067E"/>
    <w:rsid w:val="00B410AF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4634"/>
    <w:rsid w:val="00B91BFB"/>
    <w:rsid w:val="00B922ED"/>
    <w:rsid w:val="00B94620"/>
    <w:rsid w:val="00B947B5"/>
    <w:rsid w:val="00B94967"/>
    <w:rsid w:val="00BA1BD6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5C68"/>
    <w:rsid w:val="00BF65E6"/>
    <w:rsid w:val="00BF6D49"/>
    <w:rsid w:val="00C00159"/>
    <w:rsid w:val="00C00E04"/>
    <w:rsid w:val="00C01793"/>
    <w:rsid w:val="00C01E41"/>
    <w:rsid w:val="00C02DBF"/>
    <w:rsid w:val="00C03332"/>
    <w:rsid w:val="00C0340B"/>
    <w:rsid w:val="00C0430D"/>
    <w:rsid w:val="00C06014"/>
    <w:rsid w:val="00C071C9"/>
    <w:rsid w:val="00C1375A"/>
    <w:rsid w:val="00C13C8E"/>
    <w:rsid w:val="00C143E8"/>
    <w:rsid w:val="00C17668"/>
    <w:rsid w:val="00C24D82"/>
    <w:rsid w:val="00C25B45"/>
    <w:rsid w:val="00C26338"/>
    <w:rsid w:val="00C2651E"/>
    <w:rsid w:val="00C3042C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663B7"/>
    <w:rsid w:val="00C70AEF"/>
    <w:rsid w:val="00C70FAF"/>
    <w:rsid w:val="00C73929"/>
    <w:rsid w:val="00C757B2"/>
    <w:rsid w:val="00C826D8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54EF"/>
    <w:rsid w:val="00CA6494"/>
    <w:rsid w:val="00CB2099"/>
    <w:rsid w:val="00CB418B"/>
    <w:rsid w:val="00CC0028"/>
    <w:rsid w:val="00CC1069"/>
    <w:rsid w:val="00CC1E6A"/>
    <w:rsid w:val="00CC38E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79D"/>
    <w:rsid w:val="00CD5C01"/>
    <w:rsid w:val="00CE021B"/>
    <w:rsid w:val="00CE233A"/>
    <w:rsid w:val="00CF4F28"/>
    <w:rsid w:val="00CF60F8"/>
    <w:rsid w:val="00D035FA"/>
    <w:rsid w:val="00D10555"/>
    <w:rsid w:val="00D1206A"/>
    <w:rsid w:val="00D222D8"/>
    <w:rsid w:val="00D25416"/>
    <w:rsid w:val="00D26F29"/>
    <w:rsid w:val="00D27EAA"/>
    <w:rsid w:val="00D30298"/>
    <w:rsid w:val="00D304D1"/>
    <w:rsid w:val="00D33DA9"/>
    <w:rsid w:val="00D34D9F"/>
    <w:rsid w:val="00D36966"/>
    <w:rsid w:val="00D40E4E"/>
    <w:rsid w:val="00D41D0C"/>
    <w:rsid w:val="00D4327E"/>
    <w:rsid w:val="00D43C47"/>
    <w:rsid w:val="00D4502B"/>
    <w:rsid w:val="00D502CE"/>
    <w:rsid w:val="00D50A88"/>
    <w:rsid w:val="00D50AA7"/>
    <w:rsid w:val="00D50D04"/>
    <w:rsid w:val="00D51A6A"/>
    <w:rsid w:val="00D52833"/>
    <w:rsid w:val="00D56C78"/>
    <w:rsid w:val="00D602CD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139"/>
    <w:rsid w:val="00D9574F"/>
    <w:rsid w:val="00D96034"/>
    <w:rsid w:val="00D96FAA"/>
    <w:rsid w:val="00D97390"/>
    <w:rsid w:val="00D97C6A"/>
    <w:rsid w:val="00D97F3C"/>
    <w:rsid w:val="00DA06BC"/>
    <w:rsid w:val="00DA39B1"/>
    <w:rsid w:val="00DB2833"/>
    <w:rsid w:val="00DB2DED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4070"/>
    <w:rsid w:val="00DF37A8"/>
    <w:rsid w:val="00DF7A67"/>
    <w:rsid w:val="00E0170F"/>
    <w:rsid w:val="00E01972"/>
    <w:rsid w:val="00E046CD"/>
    <w:rsid w:val="00E056F9"/>
    <w:rsid w:val="00E06384"/>
    <w:rsid w:val="00E11087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16EA"/>
    <w:rsid w:val="00E326F4"/>
    <w:rsid w:val="00E337AC"/>
    <w:rsid w:val="00E34B83"/>
    <w:rsid w:val="00E351F0"/>
    <w:rsid w:val="00E36DF4"/>
    <w:rsid w:val="00E371BB"/>
    <w:rsid w:val="00E42DB0"/>
    <w:rsid w:val="00E43281"/>
    <w:rsid w:val="00E476B6"/>
    <w:rsid w:val="00E51B0C"/>
    <w:rsid w:val="00E51FF8"/>
    <w:rsid w:val="00E529BC"/>
    <w:rsid w:val="00E537B4"/>
    <w:rsid w:val="00E61DD6"/>
    <w:rsid w:val="00E62BED"/>
    <w:rsid w:val="00E7174C"/>
    <w:rsid w:val="00E73A1B"/>
    <w:rsid w:val="00E757BF"/>
    <w:rsid w:val="00E76310"/>
    <w:rsid w:val="00E7672E"/>
    <w:rsid w:val="00E83CB5"/>
    <w:rsid w:val="00E876A1"/>
    <w:rsid w:val="00E91A76"/>
    <w:rsid w:val="00E924EE"/>
    <w:rsid w:val="00E94FEE"/>
    <w:rsid w:val="00E95A6B"/>
    <w:rsid w:val="00E973A5"/>
    <w:rsid w:val="00EA0056"/>
    <w:rsid w:val="00EA14B9"/>
    <w:rsid w:val="00EA787D"/>
    <w:rsid w:val="00EB00FD"/>
    <w:rsid w:val="00EB0254"/>
    <w:rsid w:val="00EB31CA"/>
    <w:rsid w:val="00EB7BDE"/>
    <w:rsid w:val="00EC0C5E"/>
    <w:rsid w:val="00EC1271"/>
    <w:rsid w:val="00EC1470"/>
    <w:rsid w:val="00EC18DC"/>
    <w:rsid w:val="00EC5AFC"/>
    <w:rsid w:val="00EC6632"/>
    <w:rsid w:val="00EC6938"/>
    <w:rsid w:val="00ED148F"/>
    <w:rsid w:val="00ED153A"/>
    <w:rsid w:val="00ED310D"/>
    <w:rsid w:val="00ED3249"/>
    <w:rsid w:val="00ED3B47"/>
    <w:rsid w:val="00ED57DE"/>
    <w:rsid w:val="00EE31DF"/>
    <w:rsid w:val="00EE54A3"/>
    <w:rsid w:val="00EE7017"/>
    <w:rsid w:val="00EE7651"/>
    <w:rsid w:val="00EF2A15"/>
    <w:rsid w:val="00EF2F9D"/>
    <w:rsid w:val="00EF340C"/>
    <w:rsid w:val="00EF4880"/>
    <w:rsid w:val="00EF4F03"/>
    <w:rsid w:val="00EF504E"/>
    <w:rsid w:val="00EF54E6"/>
    <w:rsid w:val="00F00C4C"/>
    <w:rsid w:val="00F02FB6"/>
    <w:rsid w:val="00F03BA0"/>
    <w:rsid w:val="00F04553"/>
    <w:rsid w:val="00F04B62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6458"/>
    <w:rsid w:val="00F57858"/>
    <w:rsid w:val="00F57EAB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3728"/>
    <w:rsid w:val="00FB515C"/>
    <w:rsid w:val="00FC1400"/>
    <w:rsid w:val="00FC1CF1"/>
    <w:rsid w:val="00FC7119"/>
    <w:rsid w:val="00FD0E8A"/>
    <w:rsid w:val="00FD189C"/>
    <w:rsid w:val="00FD212A"/>
    <w:rsid w:val="00FD41B2"/>
    <w:rsid w:val="00FD4915"/>
    <w:rsid w:val="00FD4B3A"/>
    <w:rsid w:val="00FD4C92"/>
    <w:rsid w:val="00FE5CB1"/>
    <w:rsid w:val="00FE6284"/>
    <w:rsid w:val="00FF20D1"/>
    <w:rsid w:val="00FF377B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hit">
    <w:name w:val="hit"/>
    <w:basedOn w:val="DefaultParagraphFont"/>
    <w:rsid w:val="00742659"/>
    <w:rPr>
      <w:b/>
      <w:bCs/>
      <w:color w:val="FF0000"/>
    </w:rPr>
  </w:style>
  <w:style w:type="paragraph" w:customStyle="1" w:styleId="subsection">
    <w:name w:val="subsection"/>
    <w:basedOn w:val="Normal"/>
    <w:rsid w:val="000E4E3D"/>
    <w:pPr>
      <w:spacing w:before="100" w:beforeAutospacing="1" w:after="100" w:afterAutospacing="1"/>
    </w:pPr>
  </w:style>
  <w:style w:type="character" w:customStyle="1" w:styleId="CharSectnoAm">
    <w:name w:val="CharSectnoAm"/>
    <w:basedOn w:val="DefaultParagraphFont"/>
    <w:rsid w:val="006D73D9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568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8261</Characters>
  <Application>Microsoft Office Word</Application>
  <DocSecurity>0</DocSecurity>
  <Lines>248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Practices (Industry Codes - Oilcode) Amendment Regulations 2011 (No.   )</vt:lpstr>
    </vt:vector>
  </TitlesOfParts>
  <Manager/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Practices (Industry Codes - Oilcode) Amendment Regulations 2011 (No.   )</dc:title>
  <dc:subject/>
  <dc:creator/>
  <cp:keywords/>
  <cp:lastModifiedBy/>
  <cp:revision>1</cp:revision>
  <cp:lastPrinted>2012-06-22T03:47:00Z</cp:lastPrinted>
  <dcterms:created xsi:type="dcterms:W3CDTF">2012-06-27T05:37:00Z</dcterms:created>
  <dcterms:modified xsi:type="dcterms:W3CDTF">2012-06-27T05:37:00Z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663</vt:lpwstr>
  </property>
  <property fmtid="{D5CDD505-2E9C-101B-9397-08002B2CF9AE}" pid="3" name="IndexMatter">
    <vt:lpwstr>1119453A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