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8C" w:rsidRDefault="00376A8C" w:rsidP="00376A8C">
      <w:pPr>
        <w:spacing w:before="0"/>
        <w:ind w:right="91"/>
        <w:jc w:val="center"/>
      </w:pPr>
      <w:r>
        <w:rPr>
          <w:b/>
          <w:u w:val="single"/>
        </w:rPr>
        <w:t xml:space="preserve">EXPLANATORY </w:t>
      </w:r>
      <w:r w:rsidR="007C44E0">
        <w:rPr>
          <w:b/>
          <w:u w:val="single"/>
        </w:rPr>
        <w:t>STATEMENT</w:t>
      </w:r>
    </w:p>
    <w:p w:rsidR="00376A8C" w:rsidRDefault="00376A8C" w:rsidP="00376A8C">
      <w:pPr>
        <w:spacing w:before="0"/>
        <w:ind w:right="91"/>
        <w:jc w:val="center"/>
      </w:pPr>
    </w:p>
    <w:p w:rsidR="007C44E0" w:rsidRDefault="007C44E0" w:rsidP="007C44E0">
      <w:pPr>
        <w:spacing w:before="0"/>
        <w:ind w:right="91"/>
        <w:jc w:val="center"/>
      </w:pPr>
      <w:r>
        <w:rPr>
          <w:b/>
          <w:u w:val="single"/>
        </w:rPr>
        <w:t xml:space="preserve">Select Legislative Instrument </w:t>
      </w:r>
      <w:r w:rsidR="007C719E">
        <w:rPr>
          <w:b/>
          <w:u w:val="single"/>
        </w:rPr>
        <w:t xml:space="preserve">2012 </w:t>
      </w:r>
      <w:r>
        <w:rPr>
          <w:b/>
          <w:u w:val="single"/>
        </w:rPr>
        <w:t xml:space="preserve">No. </w:t>
      </w:r>
      <w:r w:rsidR="00AD6976">
        <w:rPr>
          <w:b/>
          <w:u w:val="single"/>
        </w:rPr>
        <w:t>154</w:t>
      </w:r>
    </w:p>
    <w:p w:rsidR="007C44E0" w:rsidRDefault="007C44E0" w:rsidP="007C44E0">
      <w:pPr>
        <w:spacing w:before="0"/>
        <w:ind w:right="91"/>
        <w:jc w:val="center"/>
      </w:pPr>
    </w:p>
    <w:p w:rsidR="007C44E0" w:rsidRDefault="007C44E0" w:rsidP="007C44E0">
      <w:pPr>
        <w:spacing w:before="0"/>
        <w:ind w:right="91"/>
        <w:jc w:val="center"/>
      </w:pPr>
    </w:p>
    <w:p w:rsidR="007C44E0" w:rsidRDefault="007C44E0" w:rsidP="007C44E0">
      <w:pPr>
        <w:spacing w:before="0"/>
        <w:ind w:right="91"/>
        <w:jc w:val="center"/>
      </w:pPr>
      <w:r w:rsidRPr="00E959B0">
        <w:t xml:space="preserve">Issued by the authority of the Minister for </w:t>
      </w:r>
      <w:r>
        <w:t>Resources and Energy</w:t>
      </w:r>
    </w:p>
    <w:p w:rsidR="007C44E0" w:rsidRDefault="007C44E0" w:rsidP="007C44E0">
      <w:pPr>
        <w:spacing w:before="0"/>
        <w:ind w:right="91"/>
        <w:jc w:val="center"/>
      </w:pPr>
      <w:r>
        <w:t>on behalf of the Treasurer</w:t>
      </w:r>
    </w:p>
    <w:p w:rsidR="007C44E0" w:rsidRPr="00E959B0" w:rsidRDefault="007C44E0" w:rsidP="007C44E0">
      <w:pPr>
        <w:spacing w:before="0"/>
        <w:ind w:right="91"/>
        <w:jc w:val="center"/>
        <w:rPr>
          <w:i/>
        </w:rPr>
      </w:pPr>
    </w:p>
    <w:p w:rsidR="00376A8C" w:rsidRDefault="007C05A5" w:rsidP="007C44E0">
      <w:pPr>
        <w:spacing w:before="0"/>
        <w:ind w:right="91"/>
        <w:jc w:val="center"/>
        <w:rPr>
          <w:i/>
        </w:rPr>
      </w:pPr>
      <w:r>
        <w:rPr>
          <w:i/>
        </w:rPr>
        <w:t>Competition and Consumer Act 2010</w:t>
      </w:r>
    </w:p>
    <w:p w:rsidR="00376A8C" w:rsidRDefault="00376A8C" w:rsidP="00376A8C">
      <w:pPr>
        <w:spacing w:before="0"/>
        <w:ind w:right="91"/>
      </w:pPr>
    </w:p>
    <w:p w:rsidR="00376A8C" w:rsidRPr="00547901" w:rsidRDefault="007C05A5" w:rsidP="000058DB">
      <w:pPr>
        <w:spacing w:before="0"/>
        <w:ind w:right="91"/>
        <w:jc w:val="center"/>
        <w:rPr>
          <w:i/>
        </w:rPr>
      </w:pPr>
      <w:r>
        <w:rPr>
          <w:i/>
        </w:rPr>
        <w:t xml:space="preserve">Trade Practices (Industry Codes – </w:t>
      </w:r>
      <w:proofErr w:type="spellStart"/>
      <w:r>
        <w:rPr>
          <w:i/>
        </w:rPr>
        <w:t>Oilcode</w:t>
      </w:r>
      <w:proofErr w:type="spellEnd"/>
      <w:r>
        <w:rPr>
          <w:i/>
        </w:rPr>
        <w:t>) Amendment Regulation 2012</w:t>
      </w:r>
      <w:r w:rsidR="00AD6976">
        <w:rPr>
          <w:i/>
        </w:rPr>
        <w:t xml:space="preserve"> (No. 1</w:t>
      </w:r>
      <w:r w:rsidR="00376A8C" w:rsidRPr="00547901">
        <w:rPr>
          <w:i/>
        </w:rPr>
        <w:t>)</w:t>
      </w:r>
    </w:p>
    <w:p w:rsidR="00376A8C" w:rsidRDefault="00376A8C" w:rsidP="00376A8C">
      <w:pPr>
        <w:spacing w:before="0"/>
        <w:ind w:right="91"/>
      </w:pPr>
    </w:p>
    <w:p w:rsidR="00036CAB" w:rsidRDefault="00036CAB" w:rsidP="00036CAB">
      <w:pPr>
        <w:spacing w:before="0"/>
        <w:ind w:right="91"/>
      </w:pPr>
      <w:r>
        <w:t xml:space="preserve">Section 172 of the </w:t>
      </w:r>
      <w:r>
        <w:rPr>
          <w:i/>
        </w:rPr>
        <w:t>Competition and Consumer Act 2010</w:t>
      </w:r>
      <w:r>
        <w:t xml:space="preserve"> (the Act) provides, in part, that the Governor-General may make regulations prescribing all matters that are required or permitted by the Act to be prescribed or are necessary or convenient to be prescribed for carrying out or giving effect to the Act.  </w:t>
      </w:r>
    </w:p>
    <w:p w:rsidR="00036CAB" w:rsidRDefault="00036CAB" w:rsidP="00A14224">
      <w:pPr>
        <w:spacing w:before="0"/>
        <w:ind w:right="91"/>
      </w:pPr>
    </w:p>
    <w:p w:rsidR="00A14224" w:rsidRDefault="00485BBF" w:rsidP="00A14224">
      <w:pPr>
        <w:spacing w:before="0"/>
        <w:ind w:right="91"/>
      </w:pPr>
      <w:r>
        <w:t>S</w:t>
      </w:r>
      <w:r w:rsidR="007C05A5">
        <w:t>ection 51AE of the Act provides that regulations may prescribe a mandatory industry code for the purposes of the Act.</w:t>
      </w:r>
      <w:r w:rsidR="00A14224">
        <w:t xml:space="preserve">  </w:t>
      </w:r>
      <w:r w:rsidR="00376A8C">
        <w:t xml:space="preserve">The </w:t>
      </w:r>
      <w:r w:rsidR="00D420C2">
        <w:rPr>
          <w:i/>
        </w:rPr>
        <w:t xml:space="preserve">Trade Practices (Industry Codes – </w:t>
      </w:r>
      <w:proofErr w:type="spellStart"/>
      <w:r w:rsidR="00D420C2">
        <w:rPr>
          <w:i/>
        </w:rPr>
        <w:t>Oilcode</w:t>
      </w:r>
      <w:proofErr w:type="spellEnd"/>
      <w:r w:rsidR="00D420C2">
        <w:rPr>
          <w:i/>
        </w:rPr>
        <w:t>) Regulations 2006</w:t>
      </w:r>
      <w:r w:rsidR="00376A8C">
        <w:t xml:space="preserve"> (the </w:t>
      </w:r>
      <w:r w:rsidR="00D420C2">
        <w:t>Princip</w:t>
      </w:r>
      <w:r w:rsidR="00D74D06">
        <w:t>a</w:t>
      </w:r>
      <w:r w:rsidR="00D420C2">
        <w:t>l Regulations)</w:t>
      </w:r>
      <w:r w:rsidR="00A14224">
        <w:t xml:space="preserve"> </w:t>
      </w:r>
      <w:r w:rsidR="00A14224" w:rsidRPr="00A14224">
        <w:t xml:space="preserve">prescribe a </w:t>
      </w:r>
      <w:bookmarkStart w:id="0" w:name="OLE_LINK1"/>
      <w:bookmarkStart w:id="1" w:name="OLE_LINK2"/>
      <w:r w:rsidR="00A14224" w:rsidRPr="00A14224">
        <w:t>mandatory industry code</w:t>
      </w:r>
      <w:bookmarkEnd w:id="0"/>
      <w:bookmarkEnd w:id="1"/>
      <w:r w:rsidR="00A14224" w:rsidRPr="00A14224">
        <w:t xml:space="preserve"> for the retail petroleum industry</w:t>
      </w:r>
      <w:r w:rsidR="00A14224">
        <w:t xml:space="preserve"> to regulate the conduct of suppliers, distributors and retailers in the petroleum marketing industry.</w:t>
      </w:r>
    </w:p>
    <w:p w:rsidR="00376A8C" w:rsidRDefault="00376A8C" w:rsidP="00376A8C">
      <w:pPr>
        <w:spacing w:before="0"/>
        <w:ind w:right="91"/>
      </w:pPr>
    </w:p>
    <w:p w:rsidR="00751F43" w:rsidRDefault="00751F43" w:rsidP="00751F43">
      <w:pPr>
        <w:tabs>
          <w:tab w:val="left" w:pos="6521"/>
        </w:tabs>
        <w:spacing w:before="0"/>
        <w:ind w:right="91"/>
      </w:pPr>
      <w:bookmarkStart w:id="2" w:name="OLE_LINK5"/>
      <w:bookmarkStart w:id="3" w:name="OLE_LINK6"/>
      <w:r>
        <w:t xml:space="preserve">The Minister for Resources and Energy released the outcomes of the statutory review of the Principal Regulations </w:t>
      </w:r>
      <w:r w:rsidR="00E948A0">
        <w:t>(</w:t>
      </w:r>
      <w:r w:rsidR="00DC428C">
        <w:t xml:space="preserve">the </w:t>
      </w:r>
      <w:proofErr w:type="spellStart"/>
      <w:r w:rsidR="00E948A0">
        <w:t>Oilcode</w:t>
      </w:r>
      <w:proofErr w:type="spellEnd"/>
      <w:r w:rsidR="00E948A0">
        <w:t xml:space="preserve"> Review) </w:t>
      </w:r>
      <w:r>
        <w:t xml:space="preserve">on 24 August 2009.  Consultation on the </w:t>
      </w:r>
      <w:proofErr w:type="spellStart"/>
      <w:r>
        <w:t>Oilcode</w:t>
      </w:r>
      <w:proofErr w:type="spellEnd"/>
      <w:r>
        <w:t xml:space="preserve"> Review recommendations occurred with industry, industry associations, Government agencies and other stakeholders to inform the Australian Government’s response.  The Australian Government’s response was released in June 2011.</w:t>
      </w:r>
    </w:p>
    <w:bookmarkEnd w:id="2"/>
    <w:bookmarkEnd w:id="3"/>
    <w:p w:rsidR="00751F43" w:rsidRDefault="00751F43" w:rsidP="00751F43">
      <w:pPr>
        <w:tabs>
          <w:tab w:val="left" w:pos="6521"/>
        </w:tabs>
        <w:spacing w:before="0"/>
        <w:ind w:right="91"/>
      </w:pPr>
    </w:p>
    <w:p w:rsidR="00376A8C" w:rsidRDefault="00376A8C" w:rsidP="00FB1D1B">
      <w:pPr>
        <w:spacing w:before="0" w:after="120"/>
        <w:ind w:right="91"/>
      </w:pPr>
      <w:r>
        <w:t>The pur</w:t>
      </w:r>
      <w:r w:rsidR="00A14224">
        <w:t xml:space="preserve">pose of </w:t>
      </w:r>
      <w:r w:rsidR="00FE5D51">
        <w:t xml:space="preserve">this </w:t>
      </w:r>
      <w:r w:rsidR="00A14224">
        <w:t>Regulation</w:t>
      </w:r>
      <w:r>
        <w:t xml:space="preserve"> is to amend the Principal Regulations to </w:t>
      </w:r>
      <w:r w:rsidR="00036CAB">
        <w:t>implement the recommendations in the review</w:t>
      </w:r>
      <w:r w:rsidR="00FE5D51">
        <w:t>,</w:t>
      </w:r>
      <w:r w:rsidR="00036CAB">
        <w:t xml:space="preserve"> thereby </w:t>
      </w:r>
      <w:r w:rsidR="00A14224">
        <w:t>reflect</w:t>
      </w:r>
      <w:r w:rsidR="00036CAB">
        <w:t>ing</w:t>
      </w:r>
      <w:r w:rsidR="00A14224">
        <w:t xml:space="preserve"> the </w:t>
      </w:r>
      <w:r w:rsidR="00D420C2">
        <w:t xml:space="preserve">Australian Government’s response to the </w:t>
      </w:r>
      <w:proofErr w:type="spellStart"/>
      <w:r w:rsidR="00E948A0">
        <w:t>Oilcode</w:t>
      </w:r>
      <w:proofErr w:type="spellEnd"/>
      <w:r w:rsidR="00E948A0">
        <w:t xml:space="preserve"> Review</w:t>
      </w:r>
      <w:r w:rsidR="00D74D06">
        <w:t>.  The Regulation</w:t>
      </w:r>
      <w:r w:rsidR="00A14224">
        <w:t>:</w:t>
      </w:r>
    </w:p>
    <w:p w:rsidR="00FB1D1B" w:rsidRDefault="0061651B" w:rsidP="00FB1D1B">
      <w:pPr>
        <w:numPr>
          <w:ilvl w:val="0"/>
          <w:numId w:val="15"/>
        </w:numPr>
        <w:spacing w:before="0" w:after="120"/>
        <w:ind w:right="91"/>
      </w:pPr>
      <w:r>
        <w:t>require</w:t>
      </w:r>
      <w:r w:rsidR="007C44E0">
        <w:t>s</w:t>
      </w:r>
      <w:r>
        <w:t xml:space="preserve"> </w:t>
      </w:r>
      <w:r w:rsidR="00FB1D1B">
        <w:t>suppliers to disclose more information</w:t>
      </w:r>
      <w:r>
        <w:t xml:space="preserve"> to re</w:t>
      </w:r>
      <w:r w:rsidR="000058DB">
        <w:t>-</w:t>
      </w:r>
      <w:r w:rsidR="00FB1D1B">
        <w:t>sellers</w:t>
      </w:r>
      <w:r w:rsidR="00265314">
        <w:t xml:space="preserve"> to facilitate referee checks and informed decision-making</w:t>
      </w:r>
      <w:r w:rsidR="000058DB">
        <w:t>;</w:t>
      </w:r>
    </w:p>
    <w:p w:rsidR="00FB1D1B" w:rsidRDefault="0061651B" w:rsidP="0061651B">
      <w:pPr>
        <w:numPr>
          <w:ilvl w:val="0"/>
          <w:numId w:val="15"/>
        </w:numPr>
        <w:spacing w:before="0" w:after="120"/>
        <w:ind w:right="91"/>
      </w:pPr>
      <w:r>
        <w:t>prohibit</w:t>
      </w:r>
      <w:r w:rsidR="007C44E0">
        <w:t>s</w:t>
      </w:r>
      <w:r>
        <w:t xml:space="preserve"> suppliers from attempting to induce re</w:t>
      </w:r>
      <w:r w:rsidR="000058DB">
        <w:t>-</w:t>
      </w:r>
      <w:r>
        <w:t xml:space="preserve">sellers to </w:t>
      </w:r>
      <w:r w:rsidR="00036CAB" w:rsidRPr="00807B34">
        <w:t>make it a condition of the</w:t>
      </w:r>
      <w:r w:rsidR="00036CAB">
        <w:t xml:space="preserve"> supplier/re-seller</w:t>
      </w:r>
      <w:r w:rsidR="00036CAB" w:rsidRPr="00807B34">
        <w:t xml:space="preserve"> contract that the</w:t>
      </w:r>
      <w:r w:rsidR="00036CAB">
        <w:t xml:space="preserve"> re-seller’s </w:t>
      </w:r>
      <w:r w:rsidR="00036CAB" w:rsidRPr="00807B34">
        <w:t>contact details are not disclosed</w:t>
      </w:r>
      <w:r w:rsidR="00036CAB">
        <w:t>;</w:t>
      </w:r>
    </w:p>
    <w:p w:rsidR="00930F85" w:rsidRDefault="005A5BCD" w:rsidP="00930F85">
      <w:pPr>
        <w:numPr>
          <w:ilvl w:val="0"/>
          <w:numId w:val="15"/>
        </w:numPr>
        <w:spacing w:before="0" w:after="120"/>
        <w:ind w:right="91"/>
      </w:pPr>
      <w:r>
        <w:t>enhance</w:t>
      </w:r>
      <w:r w:rsidR="007C44E0">
        <w:t>s</w:t>
      </w:r>
      <w:r>
        <w:t xml:space="preserve"> and clarif</w:t>
      </w:r>
      <w:r w:rsidR="007C44E0">
        <w:t>ies</w:t>
      </w:r>
      <w:r>
        <w:t xml:space="preserve"> the </w:t>
      </w:r>
      <w:proofErr w:type="spellStart"/>
      <w:r w:rsidR="00F56F8E">
        <w:t>Oilcode</w:t>
      </w:r>
      <w:proofErr w:type="spellEnd"/>
      <w:r>
        <w:t xml:space="preserve"> dispute resolution scheme</w:t>
      </w:r>
      <w:r w:rsidR="00F56F8E">
        <w:t xml:space="preserve"> processes</w:t>
      </w:r>
      <w:r w:rsidR="000058DB">
        <w:t>; and</w:t>
      </w:r>
    </w:p>
    <w:p w:rsidR="00376A8C" w:rsidRDefault="00AB09FB" w:rsidP="005A5BCD">
      <w:pPr>
        <w:numPr>
          <w:ilvl w:val="0"/>
          <w:numId w:val="15"/>
        </w:numPr>
        <w:spacing w:before="0"/>
        <w:ind w:right="91"/>
      </w:pPr>
      <w:r>
        <w:t>replace</w:t>
      </w:r>
      <w:r w:rsidR="007C44E0">
        <w:t>s</w:t>
      </w:r>
      <w:r w:rsidR="00930F85">
        <w:t xml:space="preserve"> all references </w:t>
      </w:r>
      <w:r>
        <w:t xml:space="preserve">to the Act’s former </w:t>
      </w:r>
      <w:r w:rsidR="000058DB">
        <w:t>title</w:t>
      </w:r>
      <w:r>
        <w:t xml:space="preserve"> </w:t>
      </w:r>
      <w:r w:rsidR="00457BF6">
        <w:t xml:space="preserve">and applicable sections </w:t>
      </w:r>
      <w:r>
        <w:t xml:space="preserve">of the </w:t>
      </w:r>
      <w:r w:rsidRPr="00AB09FB">
        <w:rPr>
          <w:i/>
        </w:rPr>
        <w:t xml:space="preserve">Trade Practices Act 1974 </w:t>
      </w:r>
      <w:r>
        <w:t>with</w:t>
      </w:r>
      <w:r w:rsidR="00930F85">
        <w:t xml:space="preserve"> the Act</w:t>
      </w:r>
      <w:r>
        <w:t xml:space="preserve">’s current </w:t>
      </w:r>
      <w:r w:rsidR="000058DB">
        <w:t>title</w:t>
      </w:r>
      <w:r w:rsidR="00457BF6">
        <w:t xml:space="preserve"> and applicable sections</w:t>
      </w:r>
      <w:r>
        <w:t>.</w:t>
      </w:r>
    </w:p>
    <w:p w:rsidR="00376A8C" w:rsidRDefault="00376A8C" w:rsidP="00376A8C">
      <w:pPr>
        <w:spacing w:before="0"/>
        <w:ind w:right="91"/>
      </w:pPr>
    </w:p>
    <w:p w:rsidR="00AB09FB" w:rsidRDefault="00FD27CF" w:rsidP="00AB09FB">
      <w:pPr>
        <w:tabs>
          <w:tab w:val="left" w:pos="6521"/>
        </w:tabs>
        <w:spacing w:before="0"/>
        <w:ind w:right="91"/>
      </w:pPr>
      <w:r>
        <w:t>Details of the Regulation</w:t>
      </w:r>
      <w:r w:rsidR="00AB09FB">
        <w:t xml:space="preserve"> </w:t>
      </w:r>
      <w:r>
        <w:t>are</w:t>
      </w:r>
      <w:r w:rsidR="00AB09FB">
        <w:t xml:space="preserve"> set out in the </w:t>
      </w:r>
      <w:r w:rsidR="00AB09FB" w:rsidRPr="00DD0511">
        <w:rPr>
          <w:u w:val="single"/>
        </w:rPr>
        <w:t>Attachment</w:t>
      </w:r>
      <w:r w:rsidR="00AB09FB">
        <w:t>.</w:t>
      </w:r>
    </w:p>
    <w:p w:rsidR="00AB09FB" w:rsidRPr="005445FA" w:rsidRDefault="00AB09FB" w:rsidP="00AB09FB">
      <w:pPr>
        <w:rPr>
          <w:i/>
        </w:rPr>
      </w:pPr>
      <w:r>
        <w:t xml:space="preserve">The Regulation </w:t>
      </w:r>
      <w:r w:rsidR="00FD27CF">
        <w:t>is</w:t>
      </w:r>
      <w:r>
        <w:t xml:space="preserve"> a legislative instrument for the purposes of the </w:t>
      </w:r>
      <w:r w:rsidRPr="005445FA">
        <w:rPr>
          <w:i/>
        </w:rPr>
        <w:t>Legislative Instruments Act 2003.</w:t>
      </w:r>
    </w:p>
    <w:p w:rsidR="007C44E0" w:rsidRDefault="007C44E0" w:rsidP="007C44E0">
      <w:pPr>
        <w:spacing w:before="0"/>
        <w:ind w:right="91"/>
      </w:pPr>
    </w:p>
    <w:p w:rsidR="00376A8C" w:rsidRDefault="00AB09FB" w:rsidP="00036CAB">
      <w:pPr>
        <w:spacing w:before="0"/>
        <w:ind w:right="91"/>
      </w:pPr>
      <w:r>
        <w:t>The Regulation commence</w:t>
      </w:r>
      <w:r w:rsidR="00FD27CF">
        <w:t>s</w:t>
      </w:r>
      <w:r>
        <w:t xml:space="preserve"> </w:t>
      </w:r>
      <w:r w:rsidR="007C44E0">
        <w:t xml:space="preserve">on </w:t>
      </w:r>
      <w:r w:rsidR="007C44E0" w:rsidRPr="008B759C">
        <w:t>the da</w:t>
      </w:r>
      <w:r w:rsidR="00036CAB">
        <w:t>y after</w:t>
      </w:r>
      <w:r w:rsidR="007C44E0" w:rsidRPr="008B759C">
        <w:t xml:space="preserve"> </w:t>
      </w:r>
      <w:r w:rsidR="00FD27CF">
        <w:t xml:space="preserve">its </w:t>
      </w:r>
      <w:r w:rsidR="007C44E0" w:rsidRPr="008B759C">
        <w:t>registration on the Federal Register of Legislative Instruments</w:t>
      </w:r>
      <w:r w:rsidR="007C44E0">
        <w:t>.</w:t>
      </w:r>
    </w:p>
    <w:p w:rsidR="000058DB" w:rsidRDefault="00376A8C" w:rsidP="00506A8A">
      <w:pPr>
        <w:tabs>
          <w:tab w:val="left" w:pos="3969"/>
          <w:tab w:val="left" w:pos="5245"/>
        </w:tabs>
        <w:spacing w:before="0"/>
        <w:ind w:right="91"/>
        <w:jc w:val="right"/>
      </w:pPr>
      <w:r>
        <w:tab/>
      </w:r>
    </w:p>
    <w:p w:rsidR="00036CAB" w:rsidRDefault="000058DB" w:rsidP="00036CAB">
      <w:pPr>
        <w:tabs>
          <w:tab w:val="left" w:pos="8160"/>
        </w:tabs>
        <w:spacing w:before="0"/>
        <w:ind w:right="91" w:firstLine="720"/>
        <w:jc w:val="right"/>
      </w:pPr>
      <w:r>
        <w:br w:type="page"/>
      </w:r>
    </w:p>
    <w:p w:rsidR="00376A8C" w:rsidRPr="009C7A63" w:rsidRDefault="00376A8C" w:rsidP="00036CAB">
      <w:pPr>
        <w:tabs>
          <w:tab w:val="left" w:pos="8160"/>
        </w:tabs>
        <w:spacing w:before="0"/>
        <w:ind w:right="91" w:firstLine="720"/>
        <w:jc w:val="right"/>
        <w:rPr>
          <w:u w:val="single"/>
        </w:rPr>
      </w:pPr>
      <w:r w:rsidRPr="009C7A63">
        <w:rPr>
          <w:b/>
          <w:u w:val="single"/>
        </w:rPr>
        <w:t>ATTACHMENT</w:t>
      </w:r>
    </w:p>
    <w:p w:rsidR="00376A8C" w:rsidRDefault="00376A8C" w:rsidP="00376A8C">
      <w:pPr>
        <w:spacing w:before="0"/>
        <w:ind w:right="91"/>
        <w:jc w:val="right"/>
      </w:pPr>
    </w:p>
    <w:p w:rsidR="00376A8C" w:rsidRPr="009442E9" w:rsidRDefault="00376A8C" w:rsidP="009442E9">
      <w:pPr>
        <w:spacing w:before="0"/>
        <w:ind w:right="91"/>
        <w:jc w:val="center"/>
        <w:rPr>
          <w:sz w:val="26"/>
          <w:szCs w:val="26"/>
          <w:u w:val="single"/>
        </w:rPr>
      </w:pPr>
      <w:r w:rsidRPr="009442E9">
        <w:rPr>
          <w:b/>
          <w:sz w:val="26"/>
          <w:szCs w:val="26"/>
          <w:u w:val="single"/>
        </w:rPr>
        <w:t xml:space="preserve">Details of the </w:t>
      </w:r>
      <w:r w:rsidR="00930F85" w:rsidRPr="009442E9">
        <w:rPr>
          <w:b/>
          <w:i/>
          <w:sz w:val="26"/>
          <w:szCs w:val="26"/>
          <w:u w:val="single"/>
        </w:rPr>
        <w:t xml:space="preserve">Trade Practices (Industry Codes – </w:t>
      </w:r>
      <w:proofErr w:type="spellStart"/>
      <w:r w:rsidR="00930F85" w:rsidRPr="009442E9">
        <w:rPr>
          <w:b/>
          <w:i/>
          <w:sz w:val="26"/>
          <w:szCs w:val="26"/>
          <w:u w:val="single"/>
        </w:rPr>
        <w:t>Oilcode</w:t>
      </w:r>
      <w:proofErr w:type="spellEnd"/>
      <w:r w:rsidR="00930F85" w:rsidRPr="009442E9">
        <w:rPr>
          <w:b/>
          <w:i/>
          <w:sz w:val="26"/>
          <w:szCs w:val="26"/>
          <w:u w:val="single"/>
        </w:rPr>
        <w:t>) Amendment Regulation 2012</w:t>
      </w:r>
      <w:r w:rsidR="00AD6976">
        <w:rPr>
          <w:b/>
          <w:i/>
          <w:sz w:val="26"/>
          <w:szCs w:val="26"/>
          <w:u w:val="single"/>
        </w:rPr>
        <w:t xml:space="preserve"> (No. 1</w:t>
      </w:r>
      <w:r w:rsidRPr="009442E9">
        <w:rPr>
          <w:b/>
          <w:i/>
          <w:sz w:val="26"/>
          <w:szCs w:val="26"/>
          <w:u w:val="single"/>
        </w:rPr>
        <w:t>)</w:t>
      </w:r>
    </w:p>
    <w:p w:rsidR="00376A8C" w:rsidRDefault="00376A8C" w:rsidP="00376A8C">
      <w:pPr>
        <w:spacing w:before="0"/>
        <w:ind w:right="91"/>
      </w:pPr>
    </w:p>
    <w:p w:rsidR="00036CAB" w:rsidRDefault="00036CAB" w:rsidP="00036CAB">
      <w:pPr>
        <w:spacing w:before="0"/>
        <w:ind w:right="91"/>
      </w:pPr>
      <w:r>
        <w:rPr>
          <w:u w:val="single"/>
        </w:rPr>
        <w:t>Section 1 – Name of Regulation</w:t>
      </w:r>
    </w:p>
    <w:p w:rsidR="00036CAB" w:rsidRDefault="00036CAB" w:rsidP="00036CAB">
      <w:pPr>
        <w:spacing w:before="0"/>
        <w:ind w:right="91"/>
      </w:pPr>
    </w:p>
    <w:p w:rsidR="00036CAB" w:rsidRDefault="00036CAB" w:rsidP="00036CAB">
      <w:pPr>
        <w:spacing w:before="0"/>
        <w:ind w:right="91"/>
      </w:pPr>
      <w:r>
        <w:t xml:space="preserve">This section provides that the title of the Regulation is the </w:t>
      </w:r>
      <w:r w:rsidRPr="008754D4">
        <w:rPr>
          <w:i/>
        </w:rPr>
        <w:t xml:space="preserve">Trade Practices (Industry Codes – </w:t>
      </w:r>
      <w:proofErr w:type="spellStart"/>
      <w:r w:rsidRPr="008754D4">
        <w:rPr>
          <w:i/>
        </w:rPr>
        <w:t>Oilcode</w:t>
      </w:r>
      <w:proofErr w:type="spellEnd"/>
      <w:r w:rsidRPr="008754D4">
        <w:rPr>
          <w:i/>
        </w:rPr>
        <w:t xml:space="preserve">) Amendment Regulation 2012 </w:t>
      </w:r>
      <w:r w:rsidR="00AD6976">
        <w:rPr>
          <w:i/>
        </w:rPr>
        <w:t>(No. 1</w:t>
      </w:r>
      <w:r>
        <w:rPr>
          <w:i/>
        </w:rPr>
        <w:t>)</w:t>
      </w:r>
      <w:r w:rsidRPr="00351EF0">
        <w:t>.</w:t>
      </w:r>
    </w:p>
    <w:p w:rsidR="00036CAB" w:rsidRDefault="00036CAB" w:rsidP="00036CAB">
      <w:pPr>
        <w:spacing w:before="0"/>
        <w:ind w:right="91"/>
      </w:pPr>
    </w:p>
    <w:p w:rsidR="00036CAB" w:rsidRPr="00AE63D2" w:rsidRDefault="00036CAB" w:rsidP="00036CAB">
      <w:pPr>
        <w:spacing w:before="0"/>
        <w:ind w:right="91"/>
        <w:rPr>
          <w:u w:val="single"/>
        </w:rPr>
      </w:pPr>
      <w:r>
        <w:rPr>
          <w:u w:val="single"/>
        </w:rPr>
        <w:t>Sec</w:t>
      </w:r>
      <w:r w:rsidRPr="00AE63D2">
        <w:rPr>
          <w:u w:val="single"/>
        </w:rPr>
        <w:t>tion 2 – Commencement</w:t>
      </w:r>
    </w:p>
    <w:p w:rsidR="00036CAB" w:rsidRDefault="00036CAB" w:rsidP="00036CAB">
      <w:pPr>
        <w:spacing w:before="0"/>
        <w:ind w:right="91"/>
      </w:pPr>
    </w:p>
    <w:p w:rsidR="00036CAB" w:rsidRDefault="00036CAB" w:rsidP="00036CAB">
      <w:pPr>
        <w:spacing w:before="0"/>
        <w:ind w:right="91"/>
      </w:pPr>
      <w:r>
        <w:t xml:space="preserve">This section provides for the Regulation to commence on </w:t>
      </w:r>
      <w:r w:rsidRPr="008B759C">
        <w:t xml:space="preserve">the </w:t>
      </w:r>
      <w:r>
        <w:t>day after</w:t>
      </w:r>
      <w:r w:rsidRPr="008B759C">
        <w:t xml:space="preserve"> </w:t>
      </w:r>
      <w:r>
        <w:t xml:space="preserve">its </w:t>
      </w:r>
      <w:r w:rsidRPr="008B759C">
        <w:t>registration on the Federal Register of Legislative Instruments</w:t>
      </w:r>
      <w:r>
        <w:t>.</w:t>
      </w:r>
    </w:p>
    <w:p w:rsidR="00036CAB" w:rsidRDefault="00036CAB" w:rsidP="00036CAB">
      <w:pPr>
        <w:spacing w:before="0"/>
        <w:ind w:right="91"/>
      </w:pPr>
    </w:p>
    <w:p w:rsidR="00036CAB" w:rsidRDefault="00036CAB" w:rsidP="00036CAB">
      <w:pPr>
        <w:spacing w:before="0"/>
        <w:ind w:right="91"/>
      </w:pPr>
      <w:r>
        <w:rPr>
          <w:u w:val="single"/>
        </w:rPr>
        <w:t xml:space="preserve">Section 3 – </w:t>
      </w:r>
      <w:r w:rsidRPr="009C7A63">
        <w:rPr>
          <w:u w:val="single"/>
        </w:rPr>
        <w:t>Amendment of</w:t>
      </w:r>
      <w:r w:rsidRPr="009C7A63">
        <w:rPr>
          <w:i/>
          <w:u w:val="single"/>
        </w:rPr>
        <w:t xml:space="preserve"> </w:t>
      </w:r>
      <w:r>
        <w:rPr>
          <w:i/>
          <w:u w:val="single"/>
        </w:rPr>
        <w:t xml:space="preserve">Trade Practices (Industry Codes – </w:t>
      </w:r>
      <w:proofErr w:type="spellStart"/>
      <w:r>
        <w:rPr>
          <w:i/>
          <w:u w:val="single"/>
        </w:rPr>
        <w:t>Oilcode</w:t>
      </w:r>
      <w:proofErr w:type="spellEnd"/>
      <w:r>
        <w:rPr>
          <w:i/>
          <w:u w:val="single"/>
        </w:rPr>
        <w:t>) Regulations 2006</w:t>
      </w:r>
    </w:p>
    <w:p w:rsidR="00036CAB" w:rsidRDefault="00036CAB" w:rsidP="00036CAB">
      <w:pPr>
        <w:spacing w:before="0"/>
        <w:ind w:right="91"/>
      </w:pPr>
    </w:p>
    <w:p w:rsidR="00036CAB" w:rsidRDefault="00036CAB" w:rsidP="00036CAB">
      <w:pPr>
        <w:spacing w:before="0"/>
        <w:ind w:right="91"/>
      </w:pPr>
      <w:r>
        <w:t xml:space="preserve">This section provides that the </w:t>
      </w:r>
      <w:r w:rsidRPr="008754D4">
        <w:rPr>
          <w:i/>
        </w:rPr>
        <w:t xml:space="preserve">Trade Practices (Industry Codes – </w:t>
      </w:r>
      <w:proofErr w:type="spellStart"/>
      <w:r w:rsidRPr="008754D4">
        <w:rPr>
          <w:i/>
        </w:rPr>
        <w:t>Oilcode</w:t>
      </w:r>
      <w:proofErr w:type="spellEnd"/>
      <w:r w:rsidRPr="008754D4">
        <w:rPr>
          <w:i/>
        </w:rPr>
        <w:t xml:space="preserve">) </w:t>
      </w:r>
      <w:r>
        <w:rPr>
          <w:i/>
        </w:rPr>
        <w:t xml:space="preserve">Regulations 2006 </w:t>
      </w:r>
      <w:r>
        <w:t>(the Principal Regulations) are amended as set out in the Schedule.</w:t>
      </w:r>
    </w:p>
    <w:p w:rsidR="00036CAB" w:rsidRDefault="00036CAB" w:rsidP="00376A8C">
      <w:pPr>
        <w:spacing w:before="0"/>
        <w:ind w:right="91"/>
        <w:rPr>
          <w:u w:val="single"/>
        </w:rPr>
      </w:pPr>
    </w:p>
    <w:p w:rsidR="00036CAB" w:rsidRDefault="00036CAB" w:rsidP="00036CAB">
      <w:pPr>
        <w:spacing w:before="0"/>
        <w:ind w:right="91"/>
      </w:pPr>
      <w:r>
        <w:rPr>
          <w:u w:val="single"/>
        </w:rPr>
        <w:t>Schedule – Amendments</w:t>
      </w:r>
    </w:p>
    <w:p w:rsidR="00036CAB" w:rsidRDefault="00036CAB" w:rsidP="00036CAB">
      <w:pPr>
        <w:spacing w:before="0"/>
        <w:ind w:right="91"/>
      </w:pPr>
    </w:p>
    <w:p w:rsidR="00036CAB" w:rsidRDefault="00036CAB" w:rsidP="00036CAB">
      <w:pPr>
        <w:spacing w:before="0"/>
        <w:ind w:right="91"/>
      </w:pPr>
      <w:r>
        <w:rPr>
          <w:b/>
        </w:rPr>
        <w:t>Item [1] – Regulation 1</w:t>
      </w:r>
    </w:p>
    <w:p w:rsidR="00036CAB" w:rsidRDefault="00036CAB" w:rsidP="00036CAB">
      <w:pPr>
        <w:spacing w:before="0"/>
        <w:ind w:right="91"/>
      </w:pPr>
    </w:p>
    <w:p w:rsidR="00036CAB" w:rsidRPr="00AD68DF" w:rsidRDefault="00036CAB" w:rsidP="00036CAB">
      <w:pPr>
        <w:spacing w:before="0"/>
        <w:ind w:right="91"/>
      </w:pPr>
      <w:r>
        <w:t xml:space="preserve">This Item changes the title of the Principal Regulations to </w:t>
      </w:r>
      <w:r>
        <w:rPr>
          <w:i/>
        </w:rPr>
        <w:t xml:space="preserve">Competition and Consumer (Industry Codes – </w:t>
      </w:r>
      <w:proofErr w:type="spellStart"/>
      <w:r>
        <w:rPr>
          <w:i/>
        </w:rPr>
        <w:t>Oilcode</w:t>
      </w:r>
      <w:proofErr w:type="spellEnd"/>
      <w:r>
        <w:rPr>
          <w:i/>
        </w:rPr>
        <w:t>) Regulation 2006</w:t>
      </w:r>
      <w:r>
        <w:t xml:space="preserve"> to reflect the change in the title of the Act that provides the authority for this Regulation and to adopt the singular reference to the Principal Regulations.</w:t>
      </w:r>
    </w:p>
    <w:p w:rsidR="00036CAB" w:rsidRDefault="00036CAB" w:rsidP="00036CAB">
      <w:pPr>
        <w:spacing w:before="0"/>
        <w:ind w:right="91"/>
      </w:pPr>
    </w:p>
    <w:p w:rsidR="00036CAB" w:rsidRDefault="00036CAB" w:rsidP="00036CAB">
      <w:pPr>
        <w:spacing w:before="0"/>
        <w:ind w:right="91"/>
      </w:pPr>
      <w:r>
        <w:rPr>
          <w:b/>
        </w:rPr>
        <w:t>Item [2] – Regulation 2</w:t>
      </w:r>
    </w:p>
    <w:p w:rsidR="00036CAB" w:rsidRDefault="00036CAB" w:rsidP="00036CAB">
      <w:pPr>
        <w:spacing w:before="0"/>
        <w:ind w:right="91"/>
      </w:pPr>
    </w:p>
    <w:p w:rsidR="00036CAB" w:rsidRDefault="00036CAB" w:rsidP="00036CAB">
      <w:pPr>
        <w:spacing w:before="0"/>
        <w:ind w:right="91"/>
      </w:pPr>
      <w:r>
        <w:t>This Item adopts the singular reference to the Principal Regulations.</w:t>
      </w:r>
    </w:p>
    <w:p w:rsidR="00036CAB" w:rsidRDefault="00036CAB" w:rsidP="00036CAB">
      <w:pPr>
        <w:spacing w:before="0"/>
        <w:ind w:right="91"/>
      </w:pPr>
    </w:p>
    <w:p w:rsidR="00036CAB" w:rsidRDefault="00036CAB" w:rsidP="00036CAB">
      <w:pPr>
        <w:spacing w:before="0"/>
        <w:ind w:right="91"/>
      </w:pPr>
      <w:r>
        <w:rPr>
          <w:b/>
        </w:rPr>
        <w:t>Item [3] – Regulation 3</w:t>
      </w:r>
    </w:p>
    <w:p w:rsidR="00036CAB" w:rsidRDefault="00036CAB" w:rsidP="00036CAB">
      <w:pPr>
        <w:spacing w:before="0"/>
        <w:ind w:right="91"/>
      </w:pPr>
    </w:p>
    <w:p w:rsidR="00036CAB" w:rsidRDefault="00036CAB" w:rsidP="00036CAB">
      <w:pPr>
        <w:spacing w:before="0"/>
        <w:ind w:right="91"/>
      </w:pPr>
      <w:r>
        <w:t xml:space="preserve">This Item changes the reference to the </w:t>
      </w:r>
      <w:r w:rsidRPr="00BF2A12">
        <w:rPr>
          <w:i/>
        </w:rPr>
        <w:t xml:space="preserve">Trade Practices Act 1974 </w:t>
      </w:r>
      <w:r>
        <w:t xml:space="preserve">to the </w:t>
      </w:r>
      <w:r w:rsidRPr="00BF2A12">
        <w:rPr>
          <w:i/>
        </w:rPr>
        <w:t>Competition and Consumer Act 2010</w:t>
      </w:r>
      <w:r>
        <w:t>, to reflect the change in the title of the Act that provides the authority for this Regulation.</w:t>
      </w:r>
    </w:p>
    <w:p w:rsidR="00036CAB" w:rsidRDefault="00036CAB" w:rsidP="00036CAB">
      <w:pPr>
        <w:spacing w:before="0"/>
        <w:ind w:right="91"/>
      </w:pPr>
    </w:p>
    <w:p w:rsidR="00036CAB" w:rsidRDefault="00036CAB" w:rsidP="00036CAB">
      <w:pPr>
        <w:spacing w:before="0"/>
        <w:ind w:right="91"/>
      </w:pPr>
      <w:r>
        <w:rPr>
          <w:b/>
        </w:rPr>
        <w:t>Item [4] – Schedule 1, heading</w:t>
      </w:r>
    </w:p>
    <w:p w:rsidR="00036CAB" w:rsidRDefault="00036CAB" w:rsidP="00036CAB">
      <w:pPr>
        <w:spacing w:before="0"/>
        <w:ind w:right="91"/>
      </w:pPr>
    </w:p>
    <w:p w:rsidR="00036CAB" w:rsidRDefault="00036CAB" w:rsidP="00036CAB">
      <w:pPr>
        <w:spacing w:before="0"/>
        <w:ind w:right="91"/>
      </w:pPr>
      <w:r>
        <w:t xml:space="preserve">This Item changes the Schedule 1 heading from “Schedule 1 </w:t>
      </w:r>
      <w:proofErr w:type="spellStart"/>
      <w:r>
        <w:t>Oilcode</w:t>
      </w:r>
      <w:proofErr w:type="spellEnd"/>
      <w:r>
        <w:t xml:space="preserve"> (Regulation 3)” to “Schedule 1 </w:t>
      </w:r>
      <w:proofErr w:type="spellStart"/>
      <w:r>
        <w:t>Oilcode</w:t>
      </w:r>
      <w:proofErr w:type="spellEnd"/>
      <w:r>
        <w:t xml:space="preserve"> (section 3)”.</w:t>
      </w:r>
    </w:p>
    <w:p w:rsidR="00036CAB" w:rsidRDefault="00036CAB" w:rsidP="00036CAB">
      <w:pPr>
        <w:spacing w:before="0"/>
        <w:ind w:right="91"/>
      </w:pPr>
    </w:p>
    <w:p w:rsidR="00036CAB" w:rsidRDefault="00036CAB" w:rsidP="00036CAB">
      <w:pPr>
        <w:spacing w:before="0"/>
        <w:ind w:right="91"/>
      </w:pPr>
      <w:r>
        <w:rPr>
          <w:b/>
        </w:rPr>
        <w:t>Item [5] – Schedule 1, section 1, note</w:t>
      </w:r>
    </w:p>
    <w:p w:rsidR="00036CAB" w:rsidRDefault="00036CAB" w:rsidP="00036CAB">
      <w:pPr>
        <w:spacing w:before="0"/>
        <w:ind w:right="91"/>
      </w:pPr>
    </w:p>
    <w:p w:rsidR="00036CAB" w:rsidRDefault="00036CAB" w:rsidP="00036CAB">
      <w:pPr>
        <w:spacing w:before="0"/>
        <w:ind w:right="91"/>
      </w:pPr>
      <w:r>
        <w:t>This Item omits the note in section 1 of the Principal Regulations.</w:t>
      </w:r>
    </w:p>
    <w:p w:rsidR="00036CAB" w:rsidRDefault="00036CAB" w:rsidP="00036CAB">
      <w:pPr>
        <w:spacing w:before="0"/>
        <w:ind w:right="91"/>
      </w:pPr>
    </w:p>
    <w:p w:rsidR="00036CAB" w:rsidRDefault="00036CAB" w:rsidP="00036CAB">
      <w:pPr>
        <w:spacing w:before="0"/>
        <w:ind w:right="91"/>
        <w:rPr>
          <w:b/>
        </w:rPr>
      </w:pPr>
    </w:p>
    <w:p w:rsidR="002411C3" w:rsidRDefault="002411C3" w:rsidP="00036CAB">
      <w:pPr>
        <w:spacing w:before="0"/>
        <w:ind w:right="91"/>
        <w:rPr>
          <w:b/>
        </w:rPr>
      </w:pPr>
    </w:p>
    <w:p w:rsidR="002411C3" w:rsidRDefault="002411C3" w:rsidP="00036CAB">
      <w:pPr>
        <w:spacing w:before="0"/>
        <w:ind w:right="91"/>
        <w:rPr>
          <w:b/>
        </w:rPr>
      </w:pPr>
    </w:p>
    <w:p w:rsidR="00036CAB" w:rsidRDefault="00036CAB" w:rsidP="00036CAB">
      <w:pPr>
        <w:spacing w:before="0"/>
        <w:ind w:right="91"/>
      </w:pPr>
      <w:r>
        <w:rPr>
          <w:b/>
        </w:rPr>
        <w:t>Item [6] – Schedule 1, section 2, note</w:t>
      </w:r>
    </w:p>
    <w:p w:rsidR="00036CAB" w:rsidRDefault="00036CAB" w:rsidP="00036CAB">
      <w:pPr>
        <w:spacing w:before="0"/>
        <w:ind w:right="91"/>
      </w:pPr>
    </w:p>
    <w:p w:rsidR="00036CAB" w:rsidRDefault="00036CAB" w:rsidP="00036CAB">
      <w:pPr>
        <w:spacing w:before="0"/>
        <w:ind w:right="91"/>
      </w:pPr>
      <w:r>
        <w:t>This Item omits the note in section 2 of the Principal Regulations.</w:t>
      </w:r>
    </w:p>
    <w:p w:rsidR="00036CAB" w:rsidRDefault="00036CAB" w:rsidP="00036CAB">
      <w:pPr>
        <w:spacing w:before="0"/>
        <w:ind w:right="91"/>
      </w:pPr>
    </w:p>
    <w:p w:rsidR="00036CAB" w:rsidRDefault="00036CAB" w:rsidP="00036CAB">
      <w:pPr>
        <w:spacing w:before="0"/>
        <w:ind w:right="91"/>
      </w:pPr>
      <w:r>
        <w:rPr>
          <w:b/>
        </w:rPr>
        <w:t>Item [7] – Schedule 1, subsection 3(2)</w:t>
      </w:r>
    </w:p>
    <w:p w:rsidR="00036CAB" w:rsidRDefault="00036CAB" w:rsidP="00036CAB">
      <w:pPr>
        <w:spacing w:before="0"/>
        <w:ind w:right="91"/>
      </w:pPr>
    </w:p>
    <w:p w:rsidR="00036CAB" w:rsidRDefault="00036CAB" w:rsidP="00036CAB">
      <w:pPr>
        <w:spacing w:before="0"/>
        <w:ind w:right="91"/>
      </w:pPr>
      <w:r>
        <w:t xml:space="preserve">As the first statutory review has occurred, this Item changes the subsection to specify the latest date that the Department of Resources, Energy and Tourism will commence the next review of the </w:t>
      </w:r>
      <w:proofErr w:type="spellStart"/>
      <w:r>
        <w:t>Oilcode</w:t>
      </w:r>
      <w:proofErr w:type="spellEnd"/>
      <w:r>
        <w:t>.</w:t>
      </w:r>
    </w:p>
    <w:p w:rsidR="00036CAB" w:rsidRDefault="00036CAB" w:rsidP="00036CAB">
      <w:pPr>
        <w:spacing w:before="0"/>
        <w:ind w:right="91"/>
      </w:pPr>
    </w:p>
    <w:p w:rsidR="00036CAB" w:rsidRDefault="00036CAB" w:rsidP="00036CAB">
      <w:pPr>
        <w:spacing w:before="0"/>
        <w:ind w:right="91"/>
      </w:pPr>
      <w:r>
        <w:rPr>
          <w:b/>
        </w:rPr>
        <w:t xml:space="preserve">Item [8] – Schedule 1, subsection 4(1), definition of </w:t>
      </w:r>
      <w:r w:rsidRPr="00467774">
        <w:rPr>
          <w:b/>
          <w:i/>
        </w:rPr>
        <w:t>Act</w:t>
      </w:r>
    </w:p>
    <w:p w:rsidR="00036CAB" w:rsidRDefault="00036CAB" w:rsidP="00036CAB">
      <w:pPr>
        <w:spacing w:before="0"/>
        <w:ind w:right="91"/>
      </w:pPr>
    </w:p>
    <w:p w:rsidR="00036CAB" w:rsidRDefault="00036CAB" w:rsidP="00036CAB">
      <w:pPr>
        <w:spacing w:before="0"/>
        <w:ind w:right="91"/>
      </w:pPr>
      <w:r>
        <w:t xml:space="preserve">This Item changes the reference to the </w:t>
      </w:r>
      <w:r w:rsidRPr="00BF2A12">
        <w:rPr>
          <w:i/>
        </w:rPr>
        <w:t xml:space="preserve">Trade Practices Act 1974 </w:t>
      </w:r>
      <w:r>
        <w:t xml:space="preserve">to the </w:t>
      </w:r>
      <w:r w:rsidRPr="00BF2A12">
        <w:rPr>
          <w:i/>
        </w:rPr>
        <w:t>Competition and Consumer Act 2010</w:t>
      </w:r>
      <w:r>
        <w:t>, to reflect the change in the title of the Act that provides the authority for this Regulation.</w:t>
      </w:r>
    </w:p>
    <w:p w:rsidR="00036CAB" w:rsidRDefault="00036CAB" w:rsidP="00036CAB">
      <w:pPr>
        <w:spacing w:before="0"/>
        <w:ind w:right="91"/>
      </w:pPr>
    </w:p>
    <w:p w:rsidR="00036CAB" w:rsidRDefault="00036CAB" w:rsidP="00036CAB">
      <w:pPr>
        <w:spacing w:before="0"/>
        <w:ind w:right="91"/>
      </w:pPr>
      <w:r>
        <w:rPr>
          <w:b/>
        </w:rPr>
        <w:t>Item [9] – Schedule 1, section 17</w:t>
      </w:r>
    </w:p>
    <w:p w:rsidR="00036CAB" w:rsidRDefault="00036CAB" w:rsidP="00036CAB">
      <w:pPr>
        <w:spacing w:before="0"/>
        <w:ind w:right="91"/>
      </w:pPr>
    </w:p>
    <w:p w:rsidR="00036CAB" w:rsidRDefault="00036CAB" w:rsidP="00036CAB">
      <w:pPr>
        <w:spacing w:before="0"/>
        <w:ind w:right="91"/>
      </w:pPr>
      <w:r>
        <w:t xml:space="preserve">This Item gives effect to </w:t>
      </w:r>
      <w:proofErr w:type="spellStart"/>
      <w:r>
        <w:t>Oilcode</w:t>
      </w:r>
      <w:proofErr w:type="spellEnd"/>
      <w:r>
        <w:t xml:space="preserve"> Review Recommendation 4 which is to “allow </w:t>
      </w:r>
      <w:r>
        <w:br/>
        <w:t>re-sellers that receive the Short Form Disclosure Document (see Annexure 2) the right to be provided with the Long Form Disclosure Document (see Annexure 1) on request”.</w:t>
      </w:r>
    </w:p>
    <w:p w:rsidR="00036CAB" w:rsidRDefault="00036CAB" w:rsidP="00036CAB">
      <w:pPr>
        <w:spacing w:before="0"/>
        <w:ind w:right="91"/>
      </w:pPr>
    </w:p>
    <w:p w:rsidR="00036CAB" w:rsidRDefault="00036CAB" w:rsidP="00036CAB">
      <w:pPr>
        <w:spacing w:before="0"/>
        <w:ind w:right="91"/>
      </w:pPr>
      <w:r>
        <w:rPr>
          <w:b/>
        </w:rPr>
        <w:t>Item [10] – Schedule 1, after subsection 20(1)</w:t>
      </w:r>
    </w:p>
    <w:p w:rsidR="00036CAB" w:rsidRDefault="00036CAB" w:rsidP="00036CAB">
      <w:pPr>
        <w:spacing w:before="0"/>
        <w:ind w:right="91"/>
      </w:pPr>
    </w:p>
    <w:p w:rsidR="00036CAB" w:rsidRDefault="00036CAB" w:rsidP="00036CAB">
      <w:pPr>
        <w:spacing w:before="0"/>
        <w:ind w:right="91"/>
      </w:pPr>
      <w:r>
        <w:t xml:space="preserve">This Item gives effect, through the insertion of subsection 20(1A), to </w:t>
      </w:r>
      <w:proofErr w:type="spellStart"/>
      <w:r>
        <w:t>Oilcode</w:t>
      </w:r>
      <w:proofErr w:type="spellEnd"/>
      <w:r>
        <w:t xml:space="preserve"> Review Recommendation 3 which is to “require that suppliers not attempt to induce a re-seller or past re-seller to make it a condition of their contract that their contract details are not disclosed”.</w:t>
      </w:r>
    </w:p>
    <w:p w:rsidR="00036CAB" w:rsidRDefault="00036CAB" w:rsidP="00036CAB">
      <w:pPr>
        <w:spacing w:before="0"/>
        <w:ind w:right="91"/>
      </w:pPr>
    </w:p>
    <w:p w:rsidR="00036CAB" w:rsidRDefault="00036CAB" w:rsidP="00036CAB">
      <w:pPr>
        <w:spacing w:before="0"/>
        <w:ind w:right="91"/>
      </w:pPr>
      <w:r>
        <w:rPr>
          <w:b/>
        </w:rPr>
        <w:t>Item [11] – Schedule 1, subparagraph 29(2)(b)(ii)</w:t>
      </w:r>
    </w:p>
    <w:p w:rsidR="00036CAB" w:rsidRDefault="00036CAB" w:rsidP="00036CAB">
      <w:pPr>
        <w:spacing w:before="0"/>
        <w:ind w:right="91"/>
      </w:pPr>
    </w:p>
    <w:p w:rsidR="00036CAB" w:rsidRPr="00F851E9" w:rsidRDefault="00036CAB" w:rsidP="00036CAB">
      <w:pPr>
        <w:spacing w:before="0"/>
        <w:ind w:right="91"/>
      </w:pPr>
      <w:r>
        <w:t xml:space="preserve">This Item changes the reference to </w:t>
      </w:r>
      <w:r w:rsidRPr="00B868AE">
        <w:rPr>
          <w:i/>
        </w:rPr>
        <w:t>“trade practices law”</w:t>
      </w:r>
      <w:r w:rsidRPr="00BF2A12">
        <w:rPr>
          <w:i/>
        </w:rPr>
        <w:t xml:space="preserve"> </w:t>
      </w:r>
      <w:r>
        <w:t xml:space="preserve">to </w:t>
      </w:r>
      <w:r w:rsidRPr="00C74A00">
        <w:rPr>
          <w:i/>
        </w:rPr>
        <w:t>“the Act”</w:t>
      </w:r>
      <w:r>
        <w:t>.</w:t>
      </w:r>
      <w:r w:rsidR="00F851E9">
        <w:t xml:space="preserve">  A number of items provide for this change.  It is necessary to update the Principal Regulations to take account of the change in title of the Act from the </w:t>
      </w:r>
      <w:r w:rsidR="00F851E9">
        <w:rPr>
          <w:i/>
        </w:rPr>
        <w:t xml:space="preserve">Trade Practices </w:t>
      </w:r>
      <w:r w:rsidR="00FD5A7B">
        <w:rPr>
          <w:i/>
        </w:rPr>
        <w:t>A</w:t>
      </w:r>
      <w:r w:rsidR="00F851E9">
        <w:rPr>
          <w:i/>
        </w:rPr>
        <w:t>ct 1974</w:t>
      </w:r>
      <w:r w:rsidR="00F851E9">
        <w:t xml:space="preserve"> to the </w:t>
      </w:r>
      <w:r w:rsidR="00F851E9">
        <w:rPr>
          <w:i/>
        </w:rPr>
        <w:t>Competition and Consumer Act 2010</w:t>
      </w:r>
      <w:r w:rsidR="00F851E9">
        <w:t>.</w:t>
      </w:r>
    </w:p>
    <w:p w:rsidR="00036CAB" w:rsidRDefault="00036CAB" w:rsidP="00036CAB">
      <w:pPr>
        <w:spacing w:before="0"/>
        <w:ind w:right="91"/>
      </w:pPr>
    </w:p>
    <w:p w:rsidR="00036CAB" w:rsidRDefault="00036CAB" w:rsidP="00036CAB">
      <w:pPr>
        <w:spacing w:before="0"/>
        <w:ind w:right="91"/>
      </w:pPr>
      <w:r>
        <w:rPr>
          <w:b/>
        </w:rPr>
        <w:t>Item [12] – Schedule 1, after subsection 43(1)</w:t>
      </w:r>
    </w:p>
    <w:p w:rsidR="00036CAB" w:rsidRDefault="00036CAB" w:rsidP="00036CAB">
      <w:pPr>
        <w:spacing w:before="0"/>
        <w:ind w:right="91"/>
      </w:pPr>
    </w:p>
    <w:p w:rsidR="00036CAB" w:rsidRDefault="00036CAB" w:rsidP="00036CAB">
      <w:pPr>
        <w:spacing w:before="0"/>
        <w:ind w:right="91"/>
      </w:pPr>
      <w:r>
        <w:t xml:space="preserve">This Item gives effect, through the insertion of subsection 43(1A), to </w:t>
      </w:r>
      <w:proofErr w:type="spellStart"/>
      <w:r>
        <w:t>Oilcode</w:t>
      </w:r>
      <w:proofErr w:type="spellEnd"/>
      <w:r>
        <w:t xml:space="preserve"> Review Recommendation 9 which is to “adopt a formal dispute definition and notification mechanism consistent with the Franchising Code of Conduct (section 29(1)), specifically that the complainant must tell the respondent in writing:</w:t>
      </w:r>
    </w:p>
    <w:p w:rsidR="00036CAB" w:rsidRDefault="00036CAB" w:rsidP="00036CAB">
      <w:pPr>
        <w:spacing w:before="0"/>
        <w:ind w:left="720" w:right="91"/>
      </w:pPr>
      <w:r>
        <w:t>(a) the nature of the dispute;</w:t>
      </w:r>
    </w:p>
    <w:p w:rsidR="00036CAB" w:rsidRDefault="00036CAB" w:rsidP="00036CAB">
      <w:pPr>
        <w:spacing w:before="0"/>
        <w:ind w:left="720" w:right="91"/>
      </w:pPr>
      <w:r>
        <w:t>(b) what outcomes the complainant wants; and</w:t>
      </w:r>
    </w:p>
    <w:p w:rsidR="00036CAB" w:rsidRDefault="00036CAB" w:rsidP="00036CAB">
      <w:pPr>
        <w:spacing w:before="0"/>
        <w:ind w:left="720" w:right="91"/>
      </w:pPr>
      <w:r>
        <w:t>(c) what action the complainant thinks will settle the dispute”.</w:t>
      </w:r>
    </w:p>
    <w:p w:rsidR="00036CAB" w:rsidRDefault="00036CAB" w:rsidP="00036CAB">
      <w:pPr>
        <w:spacing w:before="0"/>
        <w:ind w:right="91"/>
      </w:pPr>
    </w:p>
    <w:p w:rsidR="002411C3" w:rsidRDefault="002411C3" w:rsidP="00036CAB">
      <w:pPr>
        <w:spacing w:before="0"/>
        <w:ind w:right="91"/>
        <w:rPr>
          <w:b/>
        </w:rPr>
      </w:pPr>
    </w:p>
    <w:p w:rsidR="002411C3" w:rsidRDefault="002411C3" w:rsidP="00036CAB">
      <w:pPr>
        <w:spacing w:before="0"/>
        <w:ind w:right="91"/>
        <w:rPr>
          <w:b/>
        </w:rPr>
      </w:pPr>
    </w:p>
    <w:p w:rsidR="002411C3" w:rsidRDefault="002411C3" w:rsidP="00036CAB">
      <w:pPr>
        <w:spacing w:before="0"/>
        <w:ind w:right="91"/>
        <w:rPr>
          <w:b/>
        </w:rPr>
      </w:pPr>
    </w:p>
    <w:p w:rsidR="002411C3" w:rsidRDefault="002411C3" w:rsidP="00036CAB">
      <w:pPr>
        <w:spacing w:before="0"/>
        <w:ind w:right="91"/>
        <w:rPr>
          <w:b/>
        </w:rPr>
      </w:pPr>
    </w:p>
    <w:p w:rsidR="002411C3" w:rsidRDefault="002411C3" w:rsidP="00036CAB">
      <w:pPr>
        <w:spacing w:before="0"/>
        <w:ind w:right="91"/>
        <w:rPr>
          <w:b/>
        </w:rPr>
      </w:pPr>
    </w:p>
    <w:p w:rsidR="00036CAB" w:rsidRDefault="00036CAB" w:rsidP="00036CAB">
      <w:pPr>
        <w:spacing w:before="0"/>
        <w:ind w:right="91"/>
      </w:pPr>
      <w:r>
        <w:rPr>
          <w:b/>
        </w:rPr>
        <w:t>Item [13] – Schedule 1, after subsection 44(4)</w:t>
      </w:r>
    </w:p>
    <w:p w:rsidR="00036CAB" w:rsidRDefault="00036CAB" w:rsidP="00036CAB">
      <w:pPr>
        <w:spacing w:before="0"/>
        <w:ind w:right="91"/>
      </w:pPr>
    </w:p>
    <w:p w:rsidR="00036CAB" w:rsidRDefault="00036CAB" w:rsidP="00036CAB">
      <w:pPr>
        <w:spacing w:before="0"/>
        <w:ind w:right="91"/>
      </w:pPr>
      <w:r>
        <w:t xml:space="preserve">This Item gives effect, through the insertion of subsection 44(4A), to </w:t>
      </w:r>
      <w:proofErr w:type="spellStart"/>
      <w:r>
        <w:t>Oilcode</w:t>
      </w:r>
      <w:proofErr w:type="spellEnd"/>
      <w:r>
        <w:t xml:space="preserve"> Review Recommendation 7 which is to “provide greater clarity and certainty to the dispute resolution scheme”.  This change will ensure that each of the disputing parties is represented in the mediation (or other) process to resolve section 44 matters (disputes other than under section 43) by a person who has full authority to make an agreement that may result from the process.</w:t>
      </w:r>
    </w:p>
    <w:p w:rsidR="00036CAB" w:rsidRDefault="00036CAB" w:rsidP="00036CAB">
      <w:pPr>
        <w:spacing w:before="0"/>
        <w:ind w:right="91"/>
        <w:rPr>
          <w:b/>
        </w:rPr>
      </w:pPr>
    </w:p>
    <w:p w:rsidR="00036CAB" w:rsidRDefault="00036CAB" w:rsidP="00036CAB">
      <w:pPr>
        <w:spacing w:before="0"/>
        <w:ind w:right="91"/>
      </w:pPr>
      <w:r>
        <w:rPr>
          <w:b/>
        </w:rPr>
        <w:t>Item [14] – Schedule 1, after subsection 45(6)</w:t>
      </w:r>
    </w:p>
    <w:p w:rsidR="00036CAB" w:rsidRDefault="00036CAB" w:rsidP="00036CAB">
      <w:pPr>
        <w:spacing w:before="0"/>
        <w:ind w:right="91"/>
      </w:pPr>
    </w:p>
    <w:p w:rsidR="00036CAB" w:rsidRDefault="00036CAB" w:rsidP="00036CAB">
      <w:pPr>
        <w:spacing w:before="0"/>
        <w:ind w:right="91"/>
      </w:pPr>
      <w:r>
        <w:t xml:space="preserve">This Item gives effect, through the insertion of subsection 45(7), to </w:t>
      </w:r>
      <w:proofErr w:type="spellStart"/>
      <w:r>
        <w:t>Oilcode</w:t>
      </w:r>
      <w:proofErr w:type="spellEnd"/>
      <w:r>
        <w:t xml:space="preserve"> Review Recommendation 7 which is to “provide greater clarity and certainty to the dispute resolution scheme”.  This change allows for the disputing parties to voluntarily submit additional information to the Dispute Resolution Adviser for consideration as part of any non-binding determination process.</w:t>
      </w:r>
    </w:p>
    <w:p w:rsidR="00036CAB" w:rsidRDefault="00036CAB" w:rsidP="00036CAB">
      <w:pPr>
        <w:spacing w:before="0"/>
        <w:ind w:right="91"/>
      </w:pPr>
    </w:p>
    <w:p w:rsidR="00036CAB" w:rsidRDefault="00036CAB" w:rsidP="00036CAB">
      <w:pPr>
        <w:spacing w:before="0"/>
        <w:ind w:right="91"/>
      </w:pPr>
      <w:r>
        <w:rPr>
          <w:b/>
        </w:rPr>
        <w:t>Item [15] – Annexure 1, paragraph 1.1(d)</w:t>
      </w:r>
    </w:p>
    <w:p w:rsidR="00036CAB" w:rsidRDefault="00036CAB" w:rsidP="00036CAB">
      <w:pPr>
        <w:spacing w:before="0"/>
        <w:ind w:right="91"/>
      </w:pPr>
    </w:p>
    <w:p w:rsidR="00036CAB" w:rsidRDefault="00036CAB" w:rsidP="00036CAB">
      <w:pPr>
        <w:spacing w:before="0"/>
        <w:ind w:right="91"/>
      </w:pPr>
      <w:r>
        <w:t xml:space="preserve">This Item gives effect to </w:t>
      </w:r>
      <w:proofErr w:type="spellStart"/>
      <w:r>
        <w:t>Oilcode</w:t>
      </w:r>
      <w:proofErr w:type="spellEnd"/>
      <w:r>
        <w:t xml:space="preserve"> Review Recommendation 5 which is to “require that suppliers advise potential re-sellers in their disclosure documents of the existence of Australian Competition and Consumer Commission (ACCC) published information on the </w:t>
      </w:r>
      <w:proofErr w:type="spellStart"/>
      <w:r>
        <w:t>Oilcode</w:t>
      </w:r>
      <w:proofErr w:type="spellEnd"/>
      <w:r>
        <w:t xml:space="preserve"> and how it can be sourced”.</w:t>
      </w:r>
    </w:p>
    <w:p w:rsidR="00036CAB" w:rsidRDefault="00036CAB" w:rsidP="00036CAB">
      <w:pPr>
        <w:spacing w:before="0"/>
        <w:ind w:right="91"/>
      </w:pPr>
    </w:p>
    <w:p w:rsidR="00036CAB" w:rsidRDefault="00036CAB" w:rsidP="00036CAB">
      <w:pPr>
        <w:spacing w:before="0"/>
        <w:ind w:right="91"/>
        <w:rPr>
          <w:b/>
        </w:rPr>
      </w:pPr>
      <w:r>
        <w:rPr>
          <w:b/>
        </w:rPr>
        <w:t>Item [16] – Annexure 1, subparagraph 4.1(a)(ii)</w:t>
      </w:r>
    </w:p>
    <w:p w:rsidR="00036CAB" w:rsidRDefault="00036CAB" w:rsidP="00036CAB">
      <w:pPr>
        <w:spacing w:before="0"/>
        <w:ind w:right="91"/>
        <w:rPr>
          <w:b/>
        </w:rPr>
      </w:pPr>
    </w:p>
    <w:p w:rsidR="00036CAB" w:rsidRDefault="00036CAB" w:rsidP="00036CAB">
      <w:pPr>
        <w:spacing w:before="0"/>
        <w:ind w:right="91"/>
      </w:pPr>
      <w:r>
        <w:t xml:space="preserve">This Item changes the reference to </w:t>
      </w:r>
      <w:r w:rsidRPr="00B868AE">
        <w:rPr>
          <w:i/>
        </w:rPr>
        <w:t>“trade practices law”</w:t>
      </w:r>
      <w:r w:rsidRPr="00BF2A12">
        <w:rPr>
          <w:i/>
        </w:rPr>
        <w:t xml:space="preserve"> </w:t>
      </w:r>
      <w:r>
        <w:t xml:space="preserve">to </w:t>
      </w:r>
      <w:r w:rsidRPr="00C74A00">
        <w:rPr>
          <w:i/>
        </w:rPr>
        <w:t>“the Act”</w:t>
      </w:r>
      <w:r>
        <w:t>.</w:t>
      </w:r>
    </w:p>
    <w:p w:rsidR="00036CAB" w:rsidRPr="00884206" w:rsidRDefault="00036CAB" w:rsidP="00036CAB">
      <w:pPr>
        <w:spacing w:before="0"/>
        <w:ind w:right="91"/>
      </w:pPr>
    </w:p>
    <w:p w:rsidR="00036CAB" w:rsidRDefault="00036CAB" w:rsidP="00036CAB">
      <w:pPr>
        <w:spacing w:before="0"/>
        <w:ind w:right="91"/>
        <w:rPr>
          <w:b/>
        </w:rPr>
      </w:pPr>
      <w:r>
        <w:rPr>
          <w:b/>
        </w:rPr>
        <w:t>Item [17] – Annexure 1, item 6</w:t>
      </w:r>
    </w:p>
    <w:p w:rsidR="00036CAB" w:rsidRDefault="00036CAB" w:rsidP="00036CAB">
      <w:pPr>
        <w:spacing w:before="0"/>
        <w:ind w:right="91"/>
        <w:rPr>
          <w:b/>
        </w:rPr>
      </w:pPr>
    </w:p>
    <w:p w:rsidR="00036CAB" w:rsidRDefault="00036CAB" w:rsidP="00036CAB">
      <w:pPr>
        <w:spacing w:before="0"/>
        <w:ind w:right="91"/>
      </w:pPr>
      <w:r>
        <w:t xml:space="preserve">This Item gives effect to </w:t>
      </w:r>
      <w:proofErr w:type="spellStart"/>
      <w:r>
        <w:t>Oilcode</w:t>
      </w:r>
      <w:proofErr w:type="spellEnd"/>
      <w:r>
        <w:t xml:space="preserve"> Review Recommendations 1 and 2 which are to: </w:t>
      </w:r>
    </w:p>
    <w:p w:rsidR="00036CAB" w:rsidRDefault="00036CAB" w:rsidP="00036CAB">
      <w:pPr>
        <w:numPr>
          <w:ilvl w:val="0"/>
          <w:numId w:val="17"/>
        </w:numPr>
        <w:spacing w:before="0"/>
        <w:ind w:right="91"/>
      </w:pPr>
      <w:r>
        <w:t>“require suppliers to disclose the address and contact details of existing re-sellers to prospective re-sellers unless those re-sellers have requested in writing that their details are not to be disclosed”; and</w:t>
      </w:r>
    </w:p>
    <w:p w:rsidR="00036CAB" w:rsidRDefault="00036CAB" w:rsidP="00036CAB">
      <w:pPr>
        <w:numPr>
          <w:ilvl w:val="0"/>
          <w:numId w:val="17"/>
        </w:numPr>
        <w:spacing w:before="0"/>
        <w:ind w:right="91"/>
      </w:pPr>
      <w:r>
        <w:t>“r</w:t>
      </w:r>
      <w:r w:rsidRPr="008A31DA">
        <w:t>equire the supplier to disclose the name, address and contact details of re</w:t>
      </w:r>
      <w:r>
        <w:t>-</w:t>
      </w:r>
      <w:r w:rsidRPr="008A31DA">
        <w:t>sellers whose businesses were: transferred; ceased to operate; terminated by supplier; terminated by re</w:t>
      </w:r>
      <w:r>
        <w:t>-</w:t>
      </w:r>
      <w:r w:rsidRPr="008A31DA">
        <w:t>seller; not renewed and bought back by the supplier in the past three years unless those re</w:t>
      </w:r>
      <w:r>
        <w:t>-</w:t>
      </w:r>
      <w:r w:rsidRPr="008A31DA">
        <w:t>sellers request in writing that their details not be disclosed</w:t>
      </w:r>
      <w:r>
        <w:t>”.</w:t>
      </w:r>
    </w:p>
    <w:p w:rsidR="00036CAB" w:rsidRDefault="00036CAB" w:rsidP="00036CAB">
      <w:pPr>
        <w:spacing w:before="0"/>
        <w:ind w:right="91"/>
      </w:pPr>
    </w:p>
    <w:p w:rsidR="00036CAB" w:rsidRDefault="00036CAB" w:rsidP="00036CAB">
      <w:pPr>
        <w:spacing w:before="0"/>
        <w:ind w:right="91"/>
      </w:pPr>
      <w:proofErr w:type="spellStart"/>
      <w:r>
        <w:t>Oilcode</w:t>
      </w:r>
      <w:proofErr w:type="spellEnd"/>
      <w:r>
        <w:t xml:space="preserve"> Review Recommendations 1 and 2 also provide that “i</w:t>
      </w:r>
      <w:r w:rsidRPr="009C73D0">
        <w:t xml:space="preserve">f more than 50 </w:t>
      </w:r>
      <w:r>
        <w:br/>
      </w:r>
      <w:r w:rsidRPr="009C73D0">
        <w:t>re</w:t>
      </w:r>
      <w:r>
        <w:t>-</w:t>
      </w:r>
      <w:r w:rsidRPr="009C73D0">
        <w:t>sellers are involved, the supplier may instead give only the names, addresses and contact details for those re</w:t>
      </w:r>
      <w:r>
        <w:t>-</w:t>
      </w:r>
      <w:r w:rsidRPr="009C73D0">
        <w:t>sellers in the state, region or metropolitan area in which the re</w:t>
      </w:r>
      <w:r>
        <w:t>-</w:t>
      </w:r>
      <w:r w:rsidRPr="009C73D0">
        <w:t>seller's agreement is to be operated</w:t>
      </w:r>
      <w:r>
        <w:t>”</w:t>
      </w:r>
      <w:r w:rsidRPr="009C73D0">
        <w:t>.</w:t>
      </w:r>
    </w:p>
    <w:p w:rsidR="00036CAB" w:rsidRDefault="00036CAB" w:rsidP="00036CAB">
      <w:pPr>
        <w:spacing w:before="0"/>
        <w:ind w:right="91"/>
      </w:pPr>
    </w:p>
    <w:p w:rsidR="00036CAB" w:rsidRDefault="00036CAB" w:rsidP="00036CAB">
      <w:pPr>
        <w:spacing w:before="0"/>
        <w:ind w:right="91"/>
      </w:pPr>
      <w:r>
        <w:rPr>
          <w:b/>
        </w:rPr>
        <w:t>Item [18] – Annexure 2, paragraph 1.1(d)</w:t>
      </w:r>
    </w:p>
    <w:p w:rsidR="00036CAB" w:rsidRDefault="00036CAB" w:rsidP="00036CAB">
      <w:pPr>
        <w:spacing w:before="0"/>
        <w:ind w:right="91"/>
      </w:pPr>
    </w:p>
    <w:p w:rsidR="00036CAB" w:rsidRDefault="00036CAB" w:rsidP="00036CAB">
      <w:pPr>
        <w:spacing w:before="0"/>
        <w:ind w:right="91"/>
      </w:pPr>
      <w:r>
        <w:t xml:space="preserve">This Item gives effect to </w:t>
      </w:r>
      <w:proofErr w:type="spellStart"/>
      <w:r>
        <w:t>Oilcode</w:t>
      </w:r>
      <w:proofErr w:type="spellEnd"/>
      <w:r>
        <w:t xml:space="preserve"> Review Recommendation 5 which is to “require that suppliers advise potential re-sellers in their disclosure documents of the existence of ACCC published information on the </w:t>
      </w:r>
      <w:proofErr w:type="spellStart"/>
      <w:r>
        <w:t>Oilcode</w:t>
      </w:r>
      <w:proofErr w:type="spellEnd"/>
      <w:r>
        <w:t xml:space="preserve"> and how it can be sourced”.</w:t>
      </w:r>
    </w:p>
    <w:p w:rsidR="00036CAB" w:rsidRDefault="00036CAB" w:rsidP="00036CAB">
      <w:pPr>
        <w:spacing w:before="0"/>
        <w:ind w:right="91"/>
        <w:rPr>
          <w:b/>
        </w:rPr>
      </w:pPr>
    </w:p>
    <w:p w:rsidR="00036CAB" w:rsidRDefault="00036CAB" w:rsidP="00036CAB">
      <w:pPr>
        <w:spacing w:before="0"/>
        <w:ind w:right="91"/>
        <w:rPr>
          <w:b/>
        </w:rPr>
      </w:pPr>
      <w:r>
        <w:rPr>
          <w:b/>
        </w:rPr>
        <w:t>Item [19] – Annexure 2, subparagraph 3.1(a)(ii)</w:t>
      </w:r>
    </w:p>
    <w:p w:rsidR="00036CAB" w:rsidRDefault="00036CAB" w:rsidP="00036CAB">
      <w:pPr>
        <w:spacing w:before="0"/>
        <w:ind w:right="91"/>
        <w:rPr>
          <w:b/>
        </w:rPr>
      </w:pPr>
    </w:p>
    <w:p w:rsidR="00036CAB" w:rsidRDefault="00036CAB" w:rsidP="00036CAB">
      <w:pPr>
        <w:spacing w:before="0"/>
        <w:ind w:right="91"/>
      </w:pPr>
      <w:r>
        <w:t xml:space="preserve">This Item changes the reference to </w:t>
      </w:r>
      <w:r w:rsidRPr="00B868AE">
        <w:rPr>
          <w:i/>
        </w:rPr>
        <w:t>“trade practices law”</w:t>
      </w:r>
      <w:r w:rsidRPr="00BF2A12">
        <w:rPr>
          <w:i/>
        </w:rPr>
        <w:t xml:space="preserve"> </w:t>
      </w:r>
      <w:r>
        <w:t xml:space="preserve">to </w:t>
      </w:r>
      <w:r w:rsidRPr="00C74A00">
        <w:rPr>
          <w:i/>
        </w:rPr>
        <w:t>“the Act”</w:t>
      </w:r>
      <w:r>
        <w:t>.</w:t>
      </w:r>
    </w:p>
    <w:p w:rsidR="00036CAB" w:rsidRDefault="00036CAB" w:rsidP="00036CAB">
      <w:pPr>
        <w:spacing w:before="0"/>
        <w:ind w:right="91"/>
      </w:pPr>
    </w:p>
    <w:p w:rsidR="00036CAB" w:rsidRDefault="00036CAB" w:rsidP="00376A8C">
      <w:pPr>
        <w:spacing w:before="0"/>
        <w:ind w:right="91"/>
      </w:pPr>
    </w:p>
    <w:p w:rsidR="00036CAB" w:rsidRDefault="00036CAB" w:rsidP="00376A8C">
      <w:pPr>
        <w:spacing w:before="0"/>
        <w:ind w:right="91"/>
      </w:pPr>
    </w:p>
    <w:p w:rsidR="00036CAB" w:rsidRDefault="00036CAB" w:rsidP="00376A8C">
      <w:pPr>
        <w:spacing w:before="0"/>
        <w:ind w:right="91"/>
      </w:pPr>
    </w:p>
    <w:p w:rsidR="00036CAB" w:rsidRDefault="00036CAB" w:rsidP="00376A8C">
      <w:pPr>
        <w:spacing w:before="0"/>
        <w:ind w:right="91"/>
      </w:pPr>
    </w:p>
    <w:p w:rsidR="00036CAB" w:rsidRDefault="00036CAB" w:rsidP="00376A8C">
      <w:pPr>
        <w:spacing w:before="0"/>
        <w:ind w:right="91"/>
      </w:pPr>
    </w:p>
    <w:p w:rsidR="00036CAB" w:rsidRDefault="009442E9" w:rsidP="009442E9">
      <w:pPr>
        <w:spacing w:before="0"/>
        <w:ind w:right="91"/>
        <w:jc w:val="center"/>
      </w:pPr>
      <w:r>
        <w:br w:type="page"/>
      </w:r>
    </w:p>
    <w:p w:rsidR="009442E9" w:rsidRPr="009442E9" w:rsidRDefault="009442E9" w:rsidP="009442E9">
      <w:pPr>
        <w:spacing w:before="0"/>
        <w:ind w:right="91"/>
        <w:jc w:val="center"/>
        <w:rPr>
          <w:b/>
          <w:sz w:val="26"/>
          <w:szCs w:val="26"/>
          <w:u w:val="single"/>
        </w:rPr>
      </w:pPr>
      <w:r w:rsidRPr="009442E9">
        <w:rPr>
          <w:b/>
          <w:sz w:val="26"/>
          <w:szCs w:val="26"/>
          <w:u w:val="single"/>
        </w:rPr>
        <w:t>Statement of Compatibility with Human Rights</w:t>
      </w:r>
    </w:p>
    <w:p w:rsidR="009442E9" w:rsidRDefault="009442E9" w:rsidP="009442E9">
      <w:pPr>
        <w:spacing w:before="0"/>
        <w:ind w:right="91"/>
      </w:pPr>
    </w:p>
    <w:p w:rsidR="009442E9" w:rsidRDefault="009442E9" w:rsidP="00AE243D">
      <w:pPr>
        <w:spacing w:before="0"/>
        <w:ind w:right="91"/>
      </w:pPr>
      <w:r>
        <w:t>Prepared in accordance with Part 3 of the Human Rights (Parliamentary Scrutiny) Act 2011</w:t>
      </w:r>
    </w:p>
    <w:p w:rsidR="009442E9" w:rsidRDefault="009442E9" w:rsidP="009442E9">
      <w:pPr>
        <w:spacing w:before="0"/>
        <w:ind w:right="91"/>
      </w:pPr>
    </w:p>
    <w:p w:rsidR="009442E9" w:rsidRPr="009442E9" w:rsidRDefault="009442E9" w:rsidP="009442E9">
      <w:pPr>
        <w:spacing w:before="0"/>
        <w:ind w:right="91"/>
        <w:jc w:val="center"/>
        <w:rPr>
          <w:i/>
        </w:rPr>
      </w:pPr>
      <w:r w:rsidRPr="009442E9">
        <w:rPr>
          <w:i/>
        </w:rPr>
        <w:t xml:space="preserve">Trade Practices (Industry Codes – </w:t>
      </w:r>
      <w:proofErr w:type="spellStart"/>
      <w:r w:rsidRPr="009442E9">
        <w:rPr>
          <w:i/>
        </w:rPr>
        <w:t>Oilcode</w:t>
      </w:r>
      <w:proofErr w:type="spellEnd"/>
      <w:r w:rsidRPr="009442E9">
        <w:rPr>
          <w:i/>
        </w:rPr>
        <w:t>) Amendment Regulation 2012</w:t>
      </w:r>
      <w:r w:rsidR="00AD6976">
        <w:rPr>
          <w:i/>
        </w:rPr>
        <w:t xml:space="preserve"> (No. 1)</w:t>
      </w:r>
    </w:p>
    <w:p w:rsidR="009442E9" w:rsidRDefault="009442E9" w:rsidP="009442E9">
      <w:pPr>
        <w:spacing w:before="0"/>
        <w:ind w:right="91"/>
      </w:pPr>
    </w:p>
    <w:p w:rsidR="00AE243D" w:rsidRDefault="00AE243D" w:rsidP="009442E9">
      <w:pPr>
        <w:spacing w:before="0"/>
        <w:ind w:right="91"/>
      </w:pPr>
    </w:p>
    <w:p w:rsidR="009442E9" w:rsidRDefault="009442E9" w:rsidP="009442E9">
      <w:pPr>
        <w:spacing w:before="0"/>
        <w:ind w:right="91"/>
      </w:pPr>
      <w:r>
        <w:t xml:space="preserve">This Legislative Instrument is compatible with the human rights and freedoms recognised or declared in the international instruments listed in section 3 of the </w:t>
      </w:r>
      <w:r w:rsidRPr="009442E9">
        <w:rPr>
          <w:i/>
        </w:rPr>
        <w:t>Human Rights (Parliamentary Scrutiny) Act 2011</w:t>
      </w:r>
      <w:r>
        <w:t>.</w:t>
      </w:r>
    </w:p>
    <w:p w:rsidR="009442E9" w:rsidRDefault="009442E9" w:rsidP="009442E9">
      <w:pPr>
        <w:spacing w:before="0"/>
        <w:ind w:right="91"/>
        <w:jc w:val="center"/>
      </w:pPr>
    </w:p>
    <w:p w:rsidR="009442E9" w:rsidRDefault="009442E9" w:rsidP="009442E9">
      <w:pPr>
        <w:spacing w:before="0"/>
        <w:ind w:right="91"/>
        <w:jc w:val="center"/>
      </w:pPr>
    </w:p>
    <w:p w:rsidR="009442E9" w:rsidRPr="009442E9" w:rsidRDefault="009442E9" w:rsidP="009442E9">
      <w:pPr>
        <w:spacing w:before="0"/>
        <w:ind w:right="91"/>
        <w:rPr>
          <w:u w:val="single"/>
        </w:rPr>
      </w:pPr>
      <w:r>
        <w:rPr>
          <w:u w:val="single"/>
        </w:rPr>
        <w:t xml:space="preserve">Overview of the </w:t>
      </w:r>
      <w:r w:rsidRPr="009442E9">
        <w:rPr>
          <w:u w:val="single"/>
        </w:rPr>
        <w:t>Legislative Instrument</w:t>
      </w:r>
    </w:p>
    <w:p w:rsidR="009442E9" w:rsidRDefault="009442E9" w:rsidP="009442E9">
      <w:pPr>
        <w:spacing w:before="0"/>
        <w:ind w:right="91"/>
      </w:pPr>
    </w:p>
    <w:p w:rsidR="009442E9" w:rsidRDefault="009442E9" w:rsidP="009442E9">
      <w:pPr>
        <w:spacing w:before="0"/>
        <w:ind w:right="91"/>
      </w:pPr>
      <w:r>
        <w:t xml:space="preserve">The purpose of the </w:t>
      </w:r>
      <w:r w:rsidRPr="009442E9">
        <w:rPr>
          <w:i/>
        </w:rPr>
        <w:t xml:space="preserve">Trade Practices (Industry Codes – </w:t>
      </w:r>
      <w:proofErr w:type="spellStart"/>
      <w:r w:rsidRPr="009442E9">
        <w:rPr>
          <w:i/>
        </w:rPr>
        <w:t>Oilcode</w:t>
      </w:r>
      <w:proofErr w:type="spellEnd"/>
      <w:r w:rsidRPr="009442E9">
        <w:rPr>
          <w:i/>
        </w:rPr>
        <w:t>) Amendment Regulation 2012</w:t>
      </w:r>
      <w:r w:rsidR="00AD6976">
        <w:rPr>
          <w:i/>
        </w:rPr>
        <w:t xml:space="preserve"> (No. 1)</w:t>
      </w:r>
      <w:r>
        <w:t xml:space="preserve"> is to amend the </w:t>
      </w:r>
      <w:r w:rsidRPr="009442E9">
        <w:rPr>
          <w:i/>
        </w:rPr>
        <w:t xml:space="preserve">Trade Practices (Industry Codes – </w:t>
      </w:r>
      <w:proofErr w:type="spellStart"/>
      <w:r w:rsidRPr="009442E9">
        <w:rPr>
          <w:i/>
        </w:rPr>
        <w:t>Oilcode</w:t>
      </w:r>
      <w:proofErr w:type="spellEnd"/>
      <w:r w:rsidRPr="009442E9">
        <w:rPr>
          <w:i/>
        </w:rPr>
        <w:t>) Regulations 2006</w:t>
      </w:r>
      <w:r>
        <w:t xml:space="preserve"> (“the </w:t>
      </w:r>
      <w:proofErr w:type="spellStart"/>
      <w:r>
        <w:t>Oilcode</w:t>
      </w:r>
      <w:proofErr w:type="spellEnd"/>
      <w:r>
        <w:t xml:space="preserve">”) to </w:t>
      </w:r>
      <w:r w:rsidR="00036CAB">
        <w:t>implement the recommendations in the review</w:t>
      </w:r>
      <w:r w:rsidR="00FD5A7B">
        <w:t>,</w:t>
      </w:r>
      <w:r w:rsidR="00036CAB">
        <w:t xml:space="preserve"> thereby reflecting</w:t>
      </w:r>
      <w:r>
        <w:t xml:space="preserve"> the Australian Government’s response to the statutory review of the </w:t>
      </w:r>
      <w:proofErr w:type="spellStart"/>
      <w:r>
        <w:t>Oilcode</w:t>
      </w:r>
      <w:proofErr w:type="spellEnd"/>
      <w:r>
        <w:t xml:space="preserve">.  </w:t>
      </w:r>
    </w:p>
    <w:p w:rsidR="009442E9" w:rsidRDefault="009442E9" w:rsidP="009442E9">
      <w:pPr>
        <w:spacing w:before="0"/>
        <w:ind w:right="91"/>
      </w:pPr>
    </w:p>
    <w:p w:rsidR="009442E9" w:rsidRDefault="009442E9" w:rsidP="009442E9">
      <w:pPr>
        <w:spacing w:before="0"/>
        <w:ind w:right="91"/>
      </w:pPr>
      <w:r>
        <w:t xml:space="preserve">The purpose of the </w:t>
      </w:r>
      <w:proofErr w:type="spellStart"/>
      <w:r>
        <w:t>Oilcode</w:t>
      </w:r>
      <w:proofErr w:type="spellEnd"/>
      <w:r>
        <w:t xml:space="preserve"> is to regulate the conduct of suppliers, distributors and retailers in the petroleum marketing industry.</w:t>
      </w:r>
    </w:p>
    <w:p w:rsidR="009442E9" w:rsidRDefault="009442E9" w:rsidP="009442E9">
      <w:pPr>
        <w:spacing w:before="0"/>
        <w:ind w:right="91"/>
      </w:pPr>
    </w:p>
    <w:p w:rsidR="009442E9" w:rsidRDefault="009442E9" w:rsidP="00036CAB">
      <w:pPr>
        <w:spacing w:before="0" w:after="120"/>
        <w:ind w:right="91"/>
      </w:pPr>
      <w:r>
        <w:t xml:space="preserve">The </w:t>
      </w:r>
      <w:r w:rsidRPr="009442E9">
        <w:rPr>
          <w:i/>
        </w:rPr>
        <w:t xml:space="preserve">Trade Practices (Industry Codes – </w:t>
      </w:r>
      <w:proofErr w:type="spellStart"/>
      <w:r w:rsidRPr="009442E9">
        <w:rPr>
          <w:i/>
        </w:rPr>
        <w:t>Oilcode</w:t>
      </w:r>
      <w:proofErr w:type="spellEnd"/>
      <w:r w:rsidRPr="009442E9">
        <w:rPr>
          <w:i/>
        </w:rPr>
        <w:t>) Amendment Regulation 2012</w:t>
      </w:r>
      <w:r w:rsidR="00AD6976">
        <w:rPr>
          <w:i/>
        </w:rPr>
        <w:t xml:space="preserve"> </w:t>
      </w:r>
      <w:r w:rsidR="00AD6976">
        <w:rPr>
          <w:i/>
        </w:rPr>
        <w:br/>
        <w:t>(No. 1)</w:t>
      </w:r>
      <w:r>
        <w:t>:</w:t>
      </w:r>
    </w:p>
    <w:p w:rsidR="009442E9" w:rsidRDefault="009442E9" w:rsidP="00036CAB">
      <w:pPr>
        <w:numPr>
          <w:ilvl w:val="0"/>
          <w:numId w:val="16"/>
        </w:numPr>
        <w:spacing w:before="0" w:after="120"/>
        <w:ind w:right="91"/>
      </w:pPr>
      <w:r>
        <w:t>requires suppliers to disclose more information to re</w:t>
      </w:r>
      <w:r w:rsidR="000058DB">
        <w:t>-</w:t>
      </w:r>
      <w:r>
        <w:t>sellers</w:t>
      </w:r>
      <w:r w:rsidR="000058DB">
        <w:t>;</w:t>
      </w:r>
    </w:p>
    <w:p w:rsidR="009442E9" w:rsidRDefault="009442E9" w:rsidP="00036CAB">
      <w:pPr>
        <w:numPr>
          <w:ilvl w:val="0"/>
          <w:numId w:val="16"/>
        </w:numPr>
        <w:spacing w:before="0" w:after="120"/>
        <w:ind w:right="91"/>
      </w:pPr>
      <w:r>
        <w:t>prohibits suppliers from attempting to induce re</w:t>
      </w:r>
      <w:r w:rsidR="000058DB">
        <w:t>-</w:t>
      </w:r>
      <w:r>
        <w:t xml:space="preserve">sellers to </w:t>
      </w:r>
      <w:r w:rsidR="00036CAB" w:rsidRPr="00807B34">
        <w:t>make it a condition of the</w:t>
      </w:r>
      <w:r w:rsidR="00036CAB">
        <w:t xml:space="preserve"> supplier/re-seller</w:t>
      </w:r>
      <w:r w:rsidR="00036CAB" w:rsidRPr="00807B34">
        <w:t xml:space="preserve"> contract that the</w:t>
      </w:r>
      <w:r w:rsidR="00036CAB">
        <w:t xml:space="preserve"> re-seller’s </w:t>
      </w:r>
      <w:r w:rsidR="00036CAB" w:rsidRPr="00807B34">
        <w:t>contact details are not disclosed</w:t>
      </w:r>
      <w:r w:rsidR="000058DB">
        <w:t>;</w:t>
      </w:r>
    </w:p>
    <w:p w:rsidR="009442E9" w:rsidRDefault="009442E9" w:rsidP="00036CAB">
      <w:pPr>
        <w:numPr>
          <w:ilvl w:val="0"/>
          <w:numId w:val="16"/>
        </w:numPr>
        <w:spacing w:before="0" w:after="120"/>
        <w:ind w:right="91"/>
      </w:pPr>
      <w:r>
        <w:t xml:space="preserve">enhances and clarify the </w:t>
      </w:r>
      <w:proofErr w:type="spellStart"/>
      <w:r>
        <w:t>Oilcode</w:t>
      </w:r>
      <w:proofErr w:type="spellEnd"/>
      <w:r>
        <w:t xml:space="preserve"> dispute resolution scheme processes</w:t>
      </w:r>
      <w:r w:rsidR="000058DB">
        <w:t>; and</w:t>
      </w:r>
    </w:p>
    <w:p w:rsidR="009442E9" w:rsidRDefault="009442E9" w:rsidP="009442E9">
      <w:pPr>
        <w:numPr>
          <w:ilvl w:val="0"/>
          <w:numId w:val="16"/>
        </w:numPr>
        <w:spacing w:before="0"/>
        <w:ind w:right="91"/>
      </w:pPr>
      <w:r>
        <w:t xml:space="preserve">replaces all references to the Act’s former title and applicable sections of the </w:t>
      </w:r>
      <w:r w:rsidRPr="00C011B4">
        <w:rPr>
          <w:i/>
        </w:rPr>
        <w:t>Trade Practices Act 1974</w:t>
      </w:r>
      <w:r>
        <w:t xml:space="preserve"> with the Act’s current title and applicable sections.</w:t>
      </w:r>
    </w:p>
    <w:p w:rsidR="009442E9" w:rsidRDefault="009442E9" w:rsidP="009442E9">
      <w:pPr>
        <w:spacing w:before="0"/>
        <w:ind w:right="91"/>
      </w:pPr>
    </w:p>
    <w:p w:rsidR="009442E9" w:rsidRDefault="009442E9" w:rsidP="009442E9">
      <w:pPr>
        <w:spacing w:before="0"/>
        <w:ind w:right="91"/>
        <w:jc w:val="center"/>
      </w:pPr>
    </w:p>
    <w:p w:rsidR="009442E9" w:rsidRPr="009442E9" w:rsidRDefault="009442E9" w:rsidP="009442E9">
      <w:pPr>
        <w:spacing w:before="0"/>
        <w:ind w:right="91"/>
        <w:rPr>
          <w:u w:val="single"/>
        </w:rPr>
      </w:pPr>
      <w:r w:rsidRPr="009442E9">
        <w:rPr>
          <w:u w:val="single"/>
        </w:rPr>
        <w:t>Human rights implications</w:t>
      </w:r>
    </w:p>
    <w:p w:rsidR="009442E9" w:rsidRDefault="009442E9" w:rsidP="009442E9">
      <w:pPr>
        <w:spacing w:before="0"/>
        <w:ind w:right="91"/>
      </w:pPr>
      <w:r>
        <w:t>This Legislative Instrument does not engage any of the applicable rights or freedoms.</w:t>
      </w:r>
    </w:p>
    <w:p w:rsidR="009442E9" w:rsidRDefault="009442E9" w:rsidP="009442E9">
      <w:pPr>
        <w:spacing w:before="0"/>
        <w:ind w:right="91"/>
      </w:pPr>
    </w:p>
    <w:p w:rsidR="009442E9" w:rsidRPr="009442E9" w:rsidRDefault="009442E9" w:rsidP="009442E9">
      <w:pPr>
        <w:spacing w:before="0"/>
        <w:ind w:right="91"/>
        <w:rPr>
          <w:u w:val="single"/>
        </w:rPr>
      </w:pPr>
      <w:r w:rsidRPr="009442E9">
        <w:rPr>
          <w:u w:val="single"/>
        </w:rPr>
        <w:t>Conclusion</w:t>
      </w:r>
    </w:p>
    <w:p w:rsidR="009442E9" w:rsidRDefault="009442E9" w:rsidP="009442E9">
      <w:pPr>
        <w:spacing w:before="0"/>
        <w:ind w:right="91"/>
      </w:pPr>
      <w:r>
        <w:t>This Legislative Instrument is compatible with human rights as it does not raise any human rights issues.</w:t>
      </w:r>
    </w:p>
    <w:p w:rsidR="00C011B4" w:rsidRDefault="00C011B4" w:rsidP="009442E9">
      <w:pPr>
        <w:spacing w:before="0"/>
        <w:ind w:right="91"/>
      </w:pPr>
    </w:p>
    <w:p w:rsidR="00036CAB" w:rsidRDefault="00036CAB" w:rsidP="00C011B4">
      <w:pPr>
        <w:spacing w:before="0"/>
        <w:ind w:right="91"/>
        <w:jc w:val="center"/>
        <w:rPr>
          <w:b/>
          <w:sz w:val="26"/>
          <w:szCs w:val="26"/>
          <w:u w:val="single"/>
        </w:rPr>
      </w:pPr>
    </w:p>
    <w:p w:rsidR="00036CAB" w:rsidRDefault="00036CAB" w:rsidP="00C011B4">
      <w:pPr>
        <w:spacing w:before="0"/>
        <w:ind w:right="91"/>
        <w:jc w:val="center"/>
        <w:rPr>
          <w:b/>
          <w:sz w:val="26"/>
          <w:szCs w:val="26"/>
          <w:u w:val="single"/>
        </w:rPr>
      </w:pPr>
    </w:p>
    <w:p w:rsidR="00036CAB" w:rsidRDefault="00036CAB" w:rsidP="00C011B4">
      <w:pPr>
        <w:spacing w:before="0"/>
        <w:ind w:right="91"/>
        <w:jc w:val="center"/>
        <w:rPr>
          <w:b/>
          <w:sz w:val="26"/>
          <w:szCs w:val="26"/>
          <w:u w:val="single"/>
        </w:rPr>
      </w:pPr>
    </w:p>
    <w:p w:rsidR="00036CAB" w:rsidRDefault="00036CAB" w:rsidP="00C011B4">
      <w:pPr>
        <w:spacing w:before="0"/>
        <w:ind w:right="91"/>
        <w:jc w:val="center"/>
        <w:rPr>
          <w:b/>
          <w:sz w:val="26"/>
          <w:szCs w:val="26"/>
          <w:u w:val="single"/>
        </w:rPr>
      </w:pPr>
    </w:p>
    <w:p w:rsidR="00036CAB" w:rsidRDefault="00036CAB" w:rsidP="00C011B4">
      <w:pPr>
        <w:spacing w:before="0"/>
        <w:ind w:right="91"/>
        <w:jc w:val="center"/>
        <w:rPr>
          <w:b/>
          <w:sz w:val="26"/>
          <w:szCs w:val="26"/>
          <w:u w:val="single"/>
        </w:rPr>
      </w:pPr>
    </w:p>
    <w:p w:rsidR="00036CAB" w:rsidRDefault="00036CAB" w:rsidP="00C011B4">
      <w:pPr>
        <w:spacing w:before="0"/>
        <w:ind w:right="91"/>
        <w:jc w:val="center"/>
        <w:rPr>
          <w:b/>
          <w:sz w:val="26"/>
          <w:szCs w:val="26"/>
          <w:u w:val="single"/>
        </w:rPr>
      </w:pPr>
    </w:p>
    <w:p w:rsidR="00036CAB" w:rsidRDefault="00036CAB" w:rsidP="00C011B4">
      <w:pPr>
        <w:spacing w:before="0"/>
        <w:ind w:right="91"/>
        <w:jc w:val="center"/>
        <w:rPr>
          <w:b/>
          <w:sz w:val="26"/>
          <w:szCs w:val="26"/>
          <w:u w:val="single"/>
        </w:rPr>
      </w:pPr>
    </w:p>
    <w:p w:rsidR="00036CAB" w:rsidRDefault="00036CAB" w:rsidP="00C011B4">
      <w:pPr>
        <w:spacing w:before="0"/>
        <w:ind w:right="91"/>
        <w:jc w:val="center"/>
        <w:rPr>
          <w:b/>
          <w:sz w:val="26"/>
          <w:szCs w:val="26"/>
          <w:u w:val="single"/>
        </w:rPr>
      </w:pPr>
    </w:p>
    <w:p w:rsidR="00C011B4" w:rsidRPr="00E2329F" w:rsidRDefault="00C011B4" w:rsidP="00C011B4">
      <w:pPr>
        <w:spacing w:before="0"/>
        <w:ind w:right="91"/>
        <w:jc w:val="center"/>
        <w:rPr>
          <w:b/>
          <w:sz w:val="26"/>
          <w:szCs w:val="26"/>
          <w:u w:val="single"/>
        </w:rPr>
      </w:pPr>
      <w:r w:rsidRPr="00E2329F">
        <w:rPr>
          <w:b/>
          <w:sz w:val="26"/>
          <w:szCs w:val="26"/>
          <w:u w:val="single"/>
        </w:rPr>
        <w:t>Consultation</w:t>
      </w:r>
    </w:p>
    <w:p w:rsidR="009442E9" w:rsidRDefault="009442E9" w:rsidP="009442E9">
      <w:pPr>
        <w:spacing w:before="0"/>
        <w:ind w:right="91"/>
        <w:jc w:val="center"/>
      </w:pPr>
    </w:p>
    <w:p w:rsidR="00E2329F" w:rsidRDefault="00E2329F" w:rsidP="00E2329F">
      <w:pPr>
        <w:tabs>
          <w:tab w:val="left" w:pos="6521"/>
        </w:tabs>
        <w:spacing w:before="0"/>
        <w:ind w:right="91"/>
      </w:pPr>
      <w:r>
        <w:t xml:space="preserve">The Minister for Resources and Energy released the outcomes of the statutory review of the </w:t>
      </w:r>
      <w:r w:rsidR="00036CAB">
        <w:rPr>
          <w:i/>
        </w:rPr>
        <w:t xml:space="preserve">Trade Practices (Industry Codes – </w:t>
      </w:r>
      <w:proofErr w:type="spellStart"/>
      <w:r w:rsidR="00036CAB">
        <w:rPr>
          <w:i/>
        </w:rPr>
        <w:t>Oilcode</w:t>
      </w:r>
      <w:proofErr w:type="spellEnd"/>
      <w:r w:rsidR="00036CAB">
        <w:rPr>
          <w:i/>
        </w:rPr>
        <w:t>)</w:t>
      </w:r>
      <w:r w:rsidR="00036CAB" w:rsidRPr="00036CAB">
        <w:rPr>
          <w:i/>
        </w:rPr>
        <w:t xml:space="preserve"> </w:t>
      </w:r>
      <w:r w:rsidRPr="00036CAB">
        <w:rPr>
          <w:i/>
        </w:rPr>
        <w:t>Regulations</w:t>
      </w:r>
      <w:r w:rsidR="00036CAB" w:rsidRPr="00036CAB">
        <w:rPr>
          <w:i/>
        </w:rPr>
        <w:t xml:space="preserve"> 2006</w:t>
      </w:r>
      <w:r w:rsidRPr="00036CAB">
        <w:rPr>
          <w:i/>
        </w:rPr>
        <w:t xml:space="preserve"> </w:t>
      </w:r>
      <w:r>
        <w:t>(</w:t>
      </w:r>
      <w:r w:rsidR="00036CAB">
        <w:t>Principal Regulations</w:t>
      </w:r>
      <w:r>
        <w:t xml:space="preserve">) on 24 August 2009.  Consultation on the </w:t>
      </w:r>
      <w:proofErr w:type="spellStart"/>
      <w:r>
        <w:t>Oilcode</w:t>
      </w:r>
      <w:proofErr w:type="spellEnd"/>
      <w:r>
        <w:t xml:space="preserve"> Review recommendations occurred with industry, industry associations, Government agencies and other stakeholders to inform the Australian Government’s response.</w:t>
      </w:r>
      <w:r w:rsidRPr="00E2329F">
        <w:t xml:space="preserve"> </w:t>
      </w:r>
      <w:r>
        <w:t xml:space="preserve"> The Australian Government’s response was released in June 2011.</w:t>
      </w:r>
    </w:p>
    <w:p w:rsidR="00E2329F" w:rsidRDefault="00E2329F" w:rsidP="00E2329F">
      <w:pPr>
        <w:tabs>
          <w:tab w:val="left" w:pos="6521"/>
        </w:tabs>
        <w:spacing w:before="0"/>
        <w:ind w:right="91"/>
      </w:pPr>
    </w:p>
    <w:p w:rsidR="00E2329F" w:rsidRDefault="00E2329F" w:rsidP="00E2329F">
      <w:pPr>
        <w:tabs>
          <w:tab w:val="left" w:pos="6521"/>
        </w:tabs>
        <w:spacing w:before="0"/>
        <w:ind w:right="91"/>
      </w:pPr>
      <w:r>
        <w:t xml:space="preserve">Stakeholders were broadly supportive of the proposed amendments to </w:t>
      </w:r>
      <w:r w:rsidR="00120C40">
        <w:t xml:space="preserve">the </w:t>
      </w:r>
      <w:r>
        <w:t>Principal Regulations.  A</w:t>
      </w:r>
      <w:r w:rsidRPr="00E2329F">
        <w:t xml:space="preserve"> stakeholder </w:t>
      </w:r>
      <w:r>
        <w:t>suggested t</w:t>
      </w:r>
      <w:r w:rsidRPr="00E2329F">
        <w:t>he addition of a new section 44(4A)</w:t>
      </w:r>
      <w:r w:rsidR="005F1FDB">
        <w:t xml:space="preserve"> to</w:t>
      </w:r>
      <w:r w:rsidRPr="00E2329F">
        <w:t xml:space="preserve"> require the specification of the level of relief or contribution (financial or </w:t>
      </w:r>
      <w:r>
        <w:t>otherwise) sought as t</w:t>
      </w:r>
      <w:r w:rsidRPr="00E2329F">
        <w:t>he stakeholder consider</w:t>
      </w:r>
      <w:r>
        <w:t>ed</w:t>
      </w:r>
      <w:r w:rsidRPr="00E2329F">
        <w:t xml:space="preserve"> that the current provision requires a party’s representative to have unlimited authority to make an agreement. </w:t>
      </w:r>
      <w:r>
        <w:t xml:space="preserve"> In the Government response, t</w:t>
      </w:r>
      <w:r w:rsidRPr="00E2329F">
        <w:t xml:space="preserve">he Government </w:t>
      </w:r>
      <w:r>
        <w:t>note</w:t>
      </w:r>
      <w:r w:rsidR="00120C40">
        <w:t>d</w:t>
      </w:r>
      <w:r>
        <w:t xml:space="preserve"> </w:t>
      </w:r>
      <w:r w:rsidR="00120C40">
        <w:t>that</w:t>
      </w:r>
      <w:r w:rsidRPr="00E2329F">
        <w:t xml:space="preserve"> implementation of Recommendation 9 </w:t>
      </w:r>
      <w:r>
        <w:t xml:space="preserve">(adoption of a formal dispute definition and notification mechanism) </w:t>
      </w:r>
      <w:r w:rsidRPr="00E2329F">
        <w:t>will provide sufficient information for the respondent to determine the representative with appropriate delegation to attend the mediation (or other) process.</w:t>
      </w:r>
    </w:p>
    <w:p w:rsidR="00120C40" w:rsidRDefault="00120C40" w:rsidP="00E2329F">
      <w:pPr>
        <w:tabs>
          <w:tab w:val="left" w:pos="6521"/>
        </w:tabs>
        <w:spacing w:before="0"/>
        <w:ind w:right="91"/>
      </w:pPr>
    </w:p>
    <w:p w:rsidR="00120C40" w:rsidRPr="00120C40" w:rsidRDefault="00120C40" w:rsidP="00E2329F">
      <w:pPr>
        <w:tabs>
          <w:tab w:val="left" w:pos="6521"/>
        </w:tabs>
        <w:spacing w:before="0"/>
        <w:ind w:right="91"/>
      </w:pPr>
      <w:r>
        <w:t xml:space="preserve">Some stakeholders sought changes to the dispute resolution model used.  However, the Terms of Reference for the </w:t>
      </w:r>
      <w:proofErr w:type="spellStart"/>
      <w:r>
        <w:t>Oilcode</w:t>
      </w:r>
      <w:proofErr w:type="spellEnd"/>
      <w:r>
        <w:t xml:space="preserve"> Review did not seek an assessment of the dispute resolution model or consideration of alternative dispute resolution models.  In the Government response, the Government noted that</w:t>
      </w:r>
      <w:r w:rsidRPr="00120C40">
        <w:t xml:space="preserve"> a full review of the </w:t>
      </w:r>
      <w:proofErr w:type="spellStart"/>
      <w:r w:rsidRPr="00120C40">
        <w:t>Oilcode’s</w:t>
      </w:r>
      <w:proofErr w:type="spellEnd"/>
      <w:r w:rsidRPr="00120C40">
        <w:t xml:space="preserve"> dispute resolution model could be undertaken as part of the next Oilcode Review</w:t>
      </w:r>
      <w:r>
        <w:t>.</w:t>
      </w:r>
    </w:p>
    <w:p w:rsidR="00E2329F" w:rsidRPr="00C011B4" w:rsidRDefault="00E2329F" w:rsidP="00C011B4">
      <w:pPr>
        <w:spacing w:before="0"/>
        <w:ind w:right="91"/>
        <w:rPr>
          <w:b/>
        </w:rPr>
      </w:pPr>
    </w:p>
    <w:p w:rsidR="001A393B" w:rsidRDefault="009442E9" w:rsidP="009442E9">
      <w:pPr>
        <w:spacing w:before="0"/>
        <w:ind w:right="91"/>
        <w:jc w:val="center"/>
      </w:pPr>
      <w:r>
        <w:t>Minister for Resources and Energy</w:t>
      </w:r>
      <w:r w:rsidR="0011719D">
        <w:t xml:space="preserve"> for the Treasurer</w:t>
      </w:r>
    </w:p>
    <w:sectPr w:rsidR="001A393B" w:rsidSect="00036CAB">
      <w:headerReference w:type="even" r:id="rId7"/>
      <w:headerReference w:type="default" r:id="rId8"/>
      <w:footerReference w:type="even" r:id="rId9"/>
      <w:footerReference w:type="default" r:id="rId10"/>
      <w:pgSz w:w="11906" w:h="16838"/>
      <w:pgMar w:top="1079" w:right="1800"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A7B" w:rsidRDefault="00FD5A7B">
      <w:r>
        <w:separator/>
      </w:r>
    </w:p>
  </w:endnote>
  <w:endnote w:type="continuationSeparator" w:id="0">
    <w:p w:rsidR="00FD5A7B" w:rsidRDefault="00FD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7B" w:rsidRDefault="00FD5A7B" w:rsidP="002B6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5A7B" w:rsidRDefault="00FD5A7B" w:rsidP="002B6B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7B" w:rsidRDefault="00FD5A7B" w:rsidP="002B6B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A7B" w:rsidRDefault="00FD5A7B">
      <w:r>
        <w:separator/>
      </w:r>
    </w:p>
  </w:footnote>
  <w:footnote w:type="continuationSeparator" w:id="0">
    <w:p w:rsidR="00FD5A7B" w:rsidRDefault="00FD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7B" w:rsidRDefault="00FD5A7B" w:rsidP="001756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5A7B" w:rsidRDefault="00FD5A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7B" w:rsidRDefault="00FD5A7B" w:rsidP="001756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6976">
      <w:rPr>
        <w:rStyle w:val="PageNumber"/>
        <w:noProof/>
      </w:rPr>
      <w:t>2</w:t>
    </w:r>
    <w:r>
      <w:rPr>
        <w:rStyle w:val="PageNumber"/>
      </w:rPr>
      <w:fldChar w:fldCharType="end"/>
    </w:r>
  </w:p>
  <w:p w:rsidR="00FD5A7B" w:rsidRPr="00D40648" w:rsidRDefault="00FD5A7B" w:rsidP="00376A8C">
    <w:pPr>
      <w:tabs>
        <w:tab w:val="center" w:pos="4111"/>
        <w:tab w:val="left" w:pos="4536"/>
      </w:tabs>
      <w:spacing w:before="0"/>
      <w:ind w:right="91"/>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CE0D78"/>
    <w:lvl w:ilvl="0">
      <w:start w:val="1"/>
      <w:numFmt w:val="decimal"/>
      <w:lvlText w:val="%1."/>
      <w:lvlJc w:val="left"/>
      <w:pPr>
        <w:tabs>
          <w:tab w:val="num" w:pos="1492"/>
        </w:tabs>
        <w:ind w:left="1492" w:hanging="360"/>
      </w:pPr>
    </w:lvl>
  </w:abstractNum>
  <w:abstractNum w:abstractNumId="1">
    <w:nsid w:val="FFFFFF7D"/>
    <w:multiLevelType w:val="singleLevel"/>
    <w:tmpl w:val="3CF29010"/>
    <w:lvl w:ilvl="0">
      <w:start w:val="1"/>
      <w:numFmt w:val="decimal"/>
      <w:lvlText w:val="%1."/>
      <w:lvlJc w:val="left"/>
      <w:pPr>
        <w:tabs>
          <w:tab w:val="num" w:pos="1209"/>
        </w:tabs>
        <w:ind w:left="1209" w:hanging="360"/>
      </w:pPr>
    </w:lvl>
  </w:abstractNum>
  <w:abstractNum w:abstractNumId="2">
    <w:nsid w:val="FFFFFF7E"/>
    <w:multiLevelType w:val="singleLevel"/>
    <w:tmpl w:val="B1B84FF0"/>
    <w:lvl w:ilvl="0">
      <w:start w:val="1"/>
      <w:numFmt w:val="decimal"/>
      <w:lvlText w:val="%1."/>
      <w:lvlJc w:val="left"/>
      <w:pPr>
        <w:tabs>
          <w:tab w:val="num" w:pos="926"/>
        </w:tabs>
        <w:ind w:left="926" w:hanging="360"/>
      </w:pPr>
    </w:lvl>
  </w:abstractNum>
  <w:abstractNum w:abstractNumId="3">
    <w:nsid w:val="FFFFFF7F"/>
    <w:multiLevelType w:val="singleLevel"/>
    <w:tmpl w:val="3D86B176"/>
    <w:lvl w:ilvl="0">
      <w:start w:val="1"/>
      <w:numFmt w:val="decimal"/>
      <w:lvlText w:val="%1."/>
      <w:lvlJc w:val="left"/>
      <w:pPr>
        <w:tabs>
          <w:tab w:val="num" w:pos="643"/>
        </w:tabs>
        <w:ind w:left="643" w:hanging="360"/>
      </w:pPr>
    </w:lvl>
  </w:abstractNum>
  <w:abstractNum w:abstractNumId="4">
    <w:nsid w:val="FFFFFF80"/>
    <w:multiLevelType w:val="singleLevel"/>
    <w:tmpl w:val="C6986A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CC6A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EE72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54EF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AE5840"/>
    <w:lvl w:ilvl="0">
      <w:start w:val="1"/>
      <w:numFmt w:val="decimal"/>
      <w:lvlText w:val="%1."/>
      <w:lvlJc w:val="left"/>
      <w:pPr>
        <w:tabs>
          <w:tab w:val="num" w:pos="360"/>
        </w:tabs>
        <w:ind w:left="360" w:hanging="360"/>
      </w:pPr>
    </w:lvl>
  </w:abstractNum>
  <w:abstractNum w:abstractNumId="9">
    <w:nsid w:val="FFFFFF89"/>
    <w:multiLevelType w:val="singleLevel"/>
    <w:tmpl w:val="FD8449C4"/>
    <w:lvl w:ilvl="0">
      <w:start w:val="1"/>
      <w:numFmt w:val="bullet"/>
      <w:lvlText w:val=""/>
      <w:lvlJc w:val="left"/>
      <w:pPr>
        <w:tabs>
          <w:tab w:val="num" w:pos="360"/>
        </w:tabs>
        <w:ind w:left="360" w:hanging="360"/>
      </w:pPr>
      <w:rPr>
        <w:rFonts w:ascii="Symbol" w:hAnsi="Symbol" w:hint="default"/>
      </w:rPr>
    </w:lvl>
  </w:abstractNum>
  <w:abstractNum w:abstractNumId="10">
    <w:nsid w:val="0E383411"/>
    <w:multiLevelType w:val="hybridMultilevel"/>
    <w:tmpl w:val="79067192"/>
    <w:lvl w:ilvl="0" w:tplc="7BD4DB12">
      <w:numFmt w:val="bullet"/>
      <w:lvlText w:val=""/>
      <w:lvlJc w:val="left"/>
      <w:pPr>
        <w:tabs>
          <w:tab w:val="num" w:pos="720"/>
        </w:tabs>
        <w:ind w:left="720" w:hanging="720"/>
      </w:pPr>
      <w:rPr>
        <w:rFonts w:ascii="Symbol" w:eastAsia="Tms Rmn" w:hAnsi="Symbol" w:cs="Tms Rm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F6E6B3D"/>
    <w:multiLevelType w:val="hybridMultilevel"/>
    <w:tmpl w:val="A39046B6"/>
    <w:lvl w:ilvl="0" w:tplc="7BD4DB12">
      <w:numFmt w:val="bullet"/>
      <w:lvlText w:val=""/>
      <w:lvlJc w:val="left"/>
      <w:pPr>
        <w:tabs>
          <w:tab w:val="num" w:pos="720"/>
        </w:tabs>
        <w:ind w:left="720" w:hanging="720"/>
      </w:pPr>
      <w:rPr>
        <w:rFonts w:ascii="Symbol" w:eastAsia="Tms Rmn" w:hAnsi="Symbol" w:cs="Tms Rm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7E356F8"/>
    <w:multiLevelType w:val="hybridMultilevel"/>
    <w:tmpl w:val="6972BFD8"/>
    <w:lvl w:ilvl="0" w:tplc="B3347564">
      <w:start w:val="1"/>
      <w:numFmt w:val="bullet"/>
      <w:lvlText w:val=""/>
      <w:lvlJc w:val="left"/>
      <w:pPr>
        <w:tabs>
          <w:tab w:val="num" w:pos="1287"/>
        </w:tabs>
        <w:ind w:left="1287" w:hanging="567"/>
      </w:pPr>
      <w:rPr>
        <w:rFonts w:ascii="Symbol" w:hAnsi="Symbol" w:hint="default"/>
        <w:color w:val="auto"/>
        <w:effect w:val="none"/>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31070A0D"/>
    <w:multiLevelType w:val="hybridMultilevel"/>
    <w:tmpl w:val="84DC8264"/>
    <w:lvl w:ilvl="0" w:tplc="7BD4DB12">
      <w:numFmt w:val="bullet"/>
      <w:lvlText w:val=""/>
      <w:lvlJc w:val="left"/>
      <w:pPr>
        <w:tabs>
          <w:tab w:val="num" w:pos="1080"/>
        </w:tabs>
        <w:ind w:left="1080" w:hanging="720"/>
      </w:pPr>
      <w:rPr>
        <w:rFonts w:ascii="Symbol" w:eastAsia="Tms Rmn" w:hAnsi="Symbol" w:cs="Tms Rm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97B5458"/>
    <w:multiLevelType w:val="singleLevel"/>
    <w:tmpl w:val="3732C6CA"/>
    <w:lvl w:ilvl="0">
      <w:start w:val="1"/>
      <w:numFmt w:val="bullet"/>
      <w:pStyle w:val="dotpoint"/>
      <w:lvlText w:val=""/>
      <w:lvlJc w:val="left"/>
      <w:pPr>
        <w:tabs>
          <w:tab w:val="num" w:pos="720"/>
        </w:tabs>
        <w:ind w:left="720" w:hanging="720"/>
      </w:pPr>
      <w:rPr>
        <w:rFonts w:ascii="Symbol" w:hAnsi="Symbol" w:hint="default"/>
        <w:sz w:val="20"/>
      </w:rPr>
    </w:lvl>
  </w:abstractNum>
  <w:abstractNum w:abstractNumId="15">
    <w:nsid w:val="4CE54447"/>
    <w:multiLevelType w:val="hybridMultilevel"/>
    <w:tmpl w:val="34EE0852"/>
    <w:lvl w:ilvl="0" w:tplc="7BD4DB12">
      <w:numFmt w:val="bullet"/>
      <w:lvlText w:val=""/>
      <w:lvlJc w:val="left"/>
      <w:pPr>
        <w:tabs>
          <w:tab w:val="num" w:pos="1440"/>
        </w:tabs>
        <w:ind w:left="1440" w:hanging="720"/>
      </w:pPr>
      <w:rPr>
        <w:rFonts w:ascii="Symbol" w:eastAsia="Tms Rmn" w:hAnsi="Symbol" w:cs="Tms Rm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0"/>
  </w:num>
  <w:num w:numId="14">
    <w:abstractNumId w:val="13"/>
  </w:num>
  <w:num w:numId="15">
    <w:abstractNumId w:val="15"/>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8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3D53"/>
    <w:rsid w:val="000058DB"/>
    <w:rsid w:val="00007CB9"/>
    <w:rsid w:val="0001079F"/>
    <w:rsid w:val="0003621B"/>
    <w:rsid w:val="00036CAB"/>
    <w:rsid w:val="000402B5"/>
    <w:rsid w:val="000D613E"/>
    <w:rsid w:val="00103D53"/>
    <w:rsid w:val="0011719D"/>
    <w:rsid w:val="00120C40"/>
    <w:rsid w:val="0017560D"/>
    <w:rsid w:val="001A393B"/>
    <w:rsid w:val="001A3C39"/>
    <w:rsid w:val="001B38C3"/>
    <w:rsid w:val="001F0946"/>
    <w:rsid w:val="001F267A"/>
    <w:rsid w:val="00211A02"/>
    <w:rsid w:val="00221B7D"/>
    <w:rsid w:val="00232BFB"/>
    <w:rsid w:val="002411C3"/>
    <w:rsid w:val="00265314"/>
    <w:rsid w:val="00272CB0"/>
    <w:rsid w:val="00274E28"/>
    <w:rsid w:val="002A61B4"/>
    <w:rsid w:val="002B6B40"/>
    <w:rsid w:val="002D47CA"/>
    <w:rsid w:val="00305DEE"/>
    <w:rsid w:val="0032724F"/>
    <w:rsid w:val="00376A8C"/>
    <w:rsid w:val="003D797B"/>
    <w:rsid w:val="00413207"/>
    <w:rsid w:val="00434FE8"/>
    <w:rsid w:val="00455500"/>
    <w:rsid w:val="00457BF6"/>
    <w:rsid w:val="00464896"/>
    <w:rsid w:val="00467774"/>
    <w:rsid w:val="00473529"/>
    <w:rsid w:val="00485BBF"/>
    <w:rsid w:val="00492D80"/>
    <w:rsid w:val="00506A8A"/>
    <w:rsid w:val="005124DA"/>
    <w:rsid w:val="00522737"/>
    <w:rsid w:val="0055050E"/>
    <w:rsid w:val="005857A6"/>
    <w:rsid w:val="005A5BCD"/>
    <w:rsid w:val="005D68B3"/>
    <w:rsid w:val="005E7CBD"/>
    <w:rsid w:val="005F1FDB"/>
    <w:rsid w:val="0061651B"/>
    <w:rsid w:val="006D53EB"/>
    <w:rsid w:val="006F3E95"/>
    <w:rsid w:val="006F79D3"/>
    <w:rsid w:val="00751F43"/>
    <w:rsid w:val="00764B6C"/>
    <w:rsid w:val="00776776"/>
    <w:rsid w:val="0079769F"/>
    <w:rsid w:val="007B5972"/>
    <w:rsid w:val="007C05A5"/>
    <w:rsid w:val="007C44E0"/>
    <w:rsid w:val="007C719E"/>
    <w:rsid w:val="007E6ADB"/>
    <w:rsid w:val="00811CFC"/>
    <w:rsid w:val="0081397D"/>
    <w:rsid w:val="0086284E"/>
    <w:rsid w:val="008754D4"/>
    <w:rsid w:val="00884206"/>
    <w:rsid w:val="008B5D31"/>
    <w:rsid w:val="008B759C"/>
    <w:rsid w:val="008C0B46"/>
    <w:rsid w:val="00906BB6"/>
    <w:rsid w:val="009106D3"/>
    <w:rsid w:val="00930F85"/>
    <w:rsid w:val="009442E9"/>
    <w:rsid w:val="009A7ED0"/>
    <w:rsid w:val="009B3BE1"/>
    <w:rsid w:val="009C63B1"/>
    <w:rsid w:val="00A10743"/>
    <w:rsid w:val="00A14224"/>
    <w:rsid w:val="00A14DD6"/>
    <w:rsid w:val="00A45D0F"/>
    <w:rsid w:val="00A468C1"/>
    <w:rsid w:val="00A50390"/>
    <w:rsid w:val="00A549E4"/>
    <w:rsid w:val="00AB09FB"/>
    <w:rsid w:val="00AD68DF"/>
    <w:rsid w:val="00AD6976"/>
    <w:rsid w:val="00AE243D"/>
    <w:rsid w:val="00AF382B"/>
    <w:rsid w:val="00B33D94"/>
    <w:rsid w:val="00B868AE"/>
    <w:rsid w:val="00BA7F8D"/>
    <w:rsid w:val="00BB1254"/>
    <w:rsid w:val="00BD1C55"/>
    <w:rsid w:val="00BF2A12"/>
    <w:rsid w:val="00C011B4"/>
    <w:rsid w:val="00C11818"/>
    <w:rsid w:val="00C14DAE"/>
    <w:rsid w:val="00C60B02"/>
    <w:rsid w:val="00C74A00"/>
    <w:rsid w:val="00D260BC"/>
    <w:rsid w:val="00D26C57"/>
    <w:rsid w:val="00D26D03"/>
    <w:rsid w:val="00D30F39"/>
    <w:rsid w:val="00D420C2"/>
    <w:rsid w:val="00D503A8"/>
    <w:rsid w:val="00D618D9"/>
    <w:rsid w:val="00D666D8"/>
    <w:rsid w:val="00D73CEC"/>
    <w:rsid w:val="00D74D06"/>
    <w:rsid w:val="00DA74FC"/>
    <w:rsid w:val="00DC428C"/>
    <w:rsid w:val="00E2329F"/>
    <w:rsid w:val="00E471EA"/>
    <w:rsid w:val="00E5155C"/>
    <w:rsid w:val="00E93012"/>
    <w:rsid w:val="00E948A0"/>
    <w:rsid w:val="00E9717D"/>
    <w:rsid w:val="00EF4252"/>
    <w:rsid w:val="00EF72BC"/>
    <w:rsid w:val="00F536C7"/>
    <w:rsid w:val="00F54595"/>
    <w:rsid w:val="00F54E62"/>
    <w:rsid w:val="00F56F8E"/>
    <w:rsid w:val="00F614F9"/>
    <w:rsid w:val="00F62B4C"/>
    <w:rsid w:val="00F851E9"/>
    <w:rsid w:val="00F92C8D"/>
    <w:rsid w:val="00FB1D1B"/>
    <w:rsid w:val="00FC325B"/>
    <w:rsid w:val="00FD27CF"/>
    <w:rsid w:val="00FD5A7B"/>
    <w:rsid w:val="00FE5D51"/>
    <w:rsid w:val="00FF1E4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CAB"/>
    <w:pPr>
      <w:spacing w:before="240"/>
    </w:pPr>
    <w:rPr>
      <w:sz w:val="24"/>
    </w:rPr>
  </w:style>
  <w:style w:type="paragraph" w:styleId="Heading4">
    <w:name w:val="heading 4"/>
    <w:basedOn w:val="Normal"/>
    <w:next w:val="Normal"/>
    <w:qFormat/>
    <w:rsid w:val="00376A8C"/>
    <w:pPr>
      <w:keepNext/>
      <w:spacing w:after="60"/>
      <w:outlineLvl w:val="3"/>
    </w:pPr>
    <w:rPr>
      <w:b/>
      <w:bCs/>
      <w:sz w:val="28"/>
      <w:szCs w:val="28"/>
    </w:rPr>
  </w:style>
  <w:style w:type="paragraph" w:styleId="Heading5">
    <w:name w:val="heading 5"/>
    <w:basedOn w:val="Normal"/>
    <w:next w:val="Normal"/>
    <w:qFormat/>
    <w:rsid w:val="00103D53"/>
    <w:pPr>
      <w:keepNext/>
      <w:tabs>
        <w:tab w:val="left" w:pos="2018"/>
      </w:tabs>
      <w:spacing w:line="240" w:lineRule="exact"/>
      <w:ind w:left="742" w:right="91"/>
      <w:outlineLvl w:val="4"/>
    </w:pPr>
    <w:rPr>
      <w:b/>
    </w:rPr>
  </w:style>
  <w:style w:type="paragraph" w:styleId="Heading6">
    <w:name w:val="heading 6"/>
    <w:basedOn w:val="Normal"/>
    <w:next w:val="Normal"/>
    <w:qFormat/>
    <w:rsid w:val="00103D53"/>
    <w:pPr>
      <w:spacing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03D53"/>
    <w:pPr>
      <w:tabs>
        <w:tab w:val="center" w:pos="4153"/>
        <w:tab w:val="right" w:pos="8306"/>
      </w:tabs>
    </w:pPr>
  </w:style>
  <w:style w:type="paragraph" w:styleId="Footer">
    <w:name w:val="footer"/>
    <w:basedOn w:val="Normal"/>
    <w:rsid w:val="00103D53"/>
    <w:pPr>
      <w:tabs>
        <w:tab w:val="center" w:pos="4153"/>
        <w:tab w:val="right" w:pos="8306"/>
      </w:tabs>
    </w:pPr>
  </w:style>
  <w:style w:type="paragraph" w:styleId="BlockText">
    <w:name w:val="Block Text"/>
    <w:basedOn w:val="Normal"/>
    <w:rsid w:val="00103D53"/>
    <w:pPr>
      <w:ind w:left="1440" w:right="90" w:hanging="720"/>
    </w:pPr>
  </w:style>
  <w:style w:type="paragraph" w:customStyle="1" w:styleId="dotpoint">
    <w:name w:val="dotpoint"/>
    <w:basedOn w:val="Normal"/>
    <w:rsid w:val="00376A8C"/>
    <w:pPr>
      <w:numPr>
        <w:numId w:val="11"/>
      </w:numPr>
      <w:spacing w:before="180"/>
    </w:pPr>
  </w:style>
  <w:style w:type="character" w:styleId="PageNumber">
    <w:name w:val="page number"/>
    <w:basedOn w:val="DefaultParagraphFont"/>
    <w:rsid w:val="00376A8C"/>
  </w:style>
  <w:style w:type="paragraph" w:styleId="BalloonText">
    <w:name w:val="Balloon Text"/>
    <w:basedOn w:val="Normal"/>
    <w:semiHidden/>
    <w:rsid w:val="00C14DAE"/>
    <w:rPr>
      <w:rFonts w:ascii="Tahoma" w:hAnsi="Tahoma" w:cs="Tahoma"/>
      <w:sz w:val="16"/>
      <w:szCs w:val="16"/>
    </w:rPr>
  </w:style>
  <w:style w:type="character" w:styleId="CommentReference">
    <w:name w:val="annotation reference"/>
    <w:basedOn w:val="DefaultParagraphFont"/>
    <w:semiHidden/>
    <w:rsid w:val="002D47CA"/>
    <w:rPr>
      <w:sz w:val="16"/>
      <w:szCs w:val="16"/>
    </w:rPr>
  </w:style>
  <w:style w:type="paragraph" w:styleId="CommentText">
    <w:name w:val="annotation text"/>
    <w:basedOn w:val="Normal"/>
    <w:semiHidden/>
    <w:rsid w:val="002D47CA"/>
    <w:rPr>
      <w:sz w:val="20"/>
    </w:rPr>
  </w:style>
  <w:style w:type="paragraph" w:styleId="CommentSubject">
    <w:name w:val="annotation subject"/>
    <w:basedOn w:val="CommentText"/>
    <w:next w:val="CommentText"/>
    <w:semiHidden/>
    <w:rsid w:val="002D47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10255</Characters>
  <Application>Microsoft Office Word</Application>
  <DocSecurity>0</DocSecurity>
  <Lines>297</Lines>
  <Paragraphs>91</Paragraphs>
  <ScaleCrop>false</ScaleCrop>
  <HeadingPairs>
    <vt:vector size="2" baseType="variant">
      <vt:variant>
        <vt:lpstr>Title</vt:lpstr>
      </vt:variant>
      <vt:variant>
        <vt:i4>1</vt:i4>
      </vt:variant>
    </vt:vector>
  </HeadingPairs>
  <TitlesOfParts>
    <vt:vector size="1" baseType="lpstr">
      <vt:lpstr>EXAMPLE OF AN APPOINTMENT MINUTE</vt:lpstr>
    </vt:vector>
  </TitlesOfParts>
  <Company>Department of Industry Tourism and Resources</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AN APPOINTMENT MINUTE</dc:title>
  <dc:subject/>
  <dc:creator>njw</dc:creator>
  <cp:keywords/>
  <dc:description/>
  <cp:lastModifiedBy>hilhma</cp:lastModifiedBy>
  <cp:revision>2</cp:revision>
  <cp:lastPrinted>2008-09-23T05:54:00Z</cp:lastPrinted>
  <dcterms:created xsi:type="dcterms:W3CDTF">2012-06-27T05:42:00Z</dcterms:created>
  <dcterms:modified xsi:type="dcterms:W3CDTF">2012-06-27T05:42:00Z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