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9D4" w:rsidRPr="003F0D8B" w:rsidRDefault="00F109D4" w:rsidP="00BF7BE7">
      <w:pPr>
        <w:pStyle w:val="Heading1"/>
        <w:rPr>
          <w:u w:val="none"/>
        </w:rPr>
      </w:pPr>
      <w:r w:rsidRPr="00503E44">
        <w:t>EXPLANATORY STATEMENT</w:t>
      </w:r>
    </w:p>
    <w:p w:rsidR="00C300AE" w:rsidRDefault="00C300AE" w:rsidP="00C300AE">
      <w:pPr>
        <w:pStyle w:val="base-text-paragraph"/>
        <w:tabs>
          <w:tab w:val="clear" w:pos="1987"/>
        </w:tabs>
        <w:ind w:left="0"/>
        <w:jc w:val="center"/>
        <w:rPr>
          <w:b/>
          <w:u w:val="single"/>
        </w:rPr>
      </w:pPr>
    </w:p>
    <w:p w:rsidR="005833BE" w:rsidRPr="00503E44" w:rsidRDefault="00C300AE" w:rsidP="00C300AE">
      <w:pPr>
        <w:pStyle w:val="base-text-paragraph"/>
        <w:tabs>
          <w:tab w:val="clear" w:pos="1987"/>
        </w:tabs>
        <w:ind w:left="0"/>
        <w:jc w:val="center"/>
        <w:rPr>
          <w:b/>
          <w:u w:val="single"/>
        </w:rPr>
      </w:pPr>
      <w:r>
        <w:rPr>
          <w:b/>
          <w:u w:val="single"/>
        </w:rPr>
        <w:t>Select Legislative Instrument 2012 No. 149</w:t>
      </w:r>
    </w:p>
    <w:p w:rsidR="00F109D4" w:rsidRPr="00C300AE" w:rsidRDefault="00F109D4" w:rsidP="00BF7BE7">
      <w:pPr>
        <w:pStyle w:val="Heading2"/>
        <w:jc w:val="center"/>
        <w:rPr>
          <w:sz w:val="24"/>
          <w:szCs w:val="24"/>
        </w:rPr>
      </w:pPr>
      <w:r w:rsidRPr="00C300AE">
        <w:rPr>
          <w:sz w:val="24"/>
          <w:szCs w:val="24"/>
        </w:rPr>
        <w:t xml:space="preserve">Issued by authority of the </w:t>
      </w:r>
      <w:r w:rsidR="005A1183" w:rsidRPr="00C300AE">
        <w:rPr>
          <w:sz w:val="24"/>
          <w:szCs w:val="24"/>
        </w:rPr>
        <w:t>Assistant Treasurer</w:t>
      </w:r>
    </w:p>
    <w:p w:rsidR="005A1183" w:rsidRPr="00503E44" w:rsidRDefault="005A1183" w:rsidP="00BF7BE7">
      <w:pPr>
        <w:jc w:val="center"/>
        <w:rPr>
          <w:i/>
        </w:rPr>
      </w:pPr>
      <w:r>
        <w:rPr>
          <w:i/>
        </w:rPr>
        <w:t>A New Tax System (Goods and Services Tax) Act 1999</w:t>
      </w:r>
    </w:p>
    <w:p w:rsidR="005A1183" w:rsidRDefault="005A1183" w:rsidP="00BF7BE7">
      <w:pPr>
        <w:tabs>
          <w:tab w:val="left" w:pos="1701"/>
          <w:tab w:val="right" w:pos="9072"/>
        </w:tabs>
        <w:ind w:right="91"/>
        <w:jc w:val="center"/>
        <w:rPr>
          <w:i/>
        </w:rPr>
      </w:pPr>
      <w:r w:rsidRPr="00262871">
        <w:rPr>
          <w:i/>
        </w:rPr>
        <w:t xml:space="preserve">A New Tax System (Goods and Services Tax) </w:t>
      </w:r>
      <w:r w:rsidR="00C300AE">
        <w:rPr>
          <w:i/>
        </w:rPr>
        <w:t>Amendment Regulation 2012 (No. 3</w:t>
      </w:r>
      <w:r w:rsidRPr="00262871">
        <w:rPr>
          <w:i/>
        </w:rPr>
        <w:t>)</w:t>
      </w:r>
    </w:p>
    <w:p w:rsidR="00BF7BE7" w:rsidRDefault="00BF7BE7" w:rsidP="00BF7BE7">
      <w:pPr>
        <w:tabs>
          <w:tab w:val="left" w:pos="1701"/>
          <w:tab w:val="right" w:pos="9072"/>
        </w:tabs>
        <w:ind w:right="91"/>
        <w:jc w:val="center"/>
        <w:rPr>
          <w:i/>
        </w:rPr>
      </w:pPr>
    </w:p>
    <w:p w:rsidR="005A1183" w:rsidRPr="008C7B5C" w:rsidRDefault="005A1183" w:rsidP="005A1183">
      <w:pPr>
        <w:tabs>
          <w:tab w:val="right" w:pos="9072"/>
        </w:tabs>
        <w:ind w:right="91"/>
        <w:rPr>
          <w:szCs w:val="24"/>
        </w:rPr>
      </w:pPr>
      <w:r w:rsidRPr="0090458B">
        <w:rPr>
          <w:szCs w:val="24"/>
        </w:rPr>
        <w:t xml:space="preserve">Section 177-15 of the </w:t>
      </w:r>
      <w:r w:rsidRPr="0090458B">
        <w:rPr>
          <w:i/>
          <w:szCs w:val="24"/>
        </w:rPr>
        <w:t xml:space="preserve">A New Tax System (Goods and Services Tax) Act 1999 </w:t>
      </w:r>
      <w:r w:rsidRPr="0090458B">
        <w:rPr>
          <w:szCs w:val="24"/>
        </w:rPr>
        <w:t>(</w:t>
      </w:r>
      <w:r w:rsidR="004045F7">
        <w:rPr>
          <w:szCs w:val="24"/>
        </w:rPr>
        <w:t xml:space="preserve">the </w:t>
      </w:r>
      <w:r w:rsidRPr="0090458B">
        <w:rPr>
          <w:szCs w:val="24"/>
        </w:rPr>
        <w:t>Act) enables the Governor-General to make regulations prescribing matters required or permitted by the Act to be prescribed, or necessary or convenient to be prescribed for carrying out or giving effect to the Act.  The Regula</w:t>
      </w:r>
      <w:r>
        <w:rPr>
          <w:szCs w:val="24"/>
        </w:rPr>
        <w:t>tion is made under this section.</w:t>
      </w:r>
    </w:p>
    <w:p w:rsidR="005A1183" w:rsidRDefault="005A1183" w:rsidP="005A1183">
      <w:pPr>
        <w:tabs>
          <w:tab w:val="left" w:pos="1701"/>
          <w:tab w:val="right" w:pos="9072"/>
        </w:tabs>
        <w:ind w:right="91"/>
        <w:rPr>
          <w:szCs w:val="24"/>
        </w:rPr>
      </w:pPr>
      <w:r w:rsidRPr="0090458B">
        <w:rPr>
          <w:szCs w:val="24"/>
        </w:rPr>
        <w:t xml:space="preserve">The </w:t>
      </w:r>
      <w:r>
        <w:rPr>
          <w:szCs w:val="24"/>
        </w:rPr>
        <w:t xml:space="preserve">purpose of this </w:t>
      </w:r>
      <w:r w:rsidRPr="0090458B">
        <w:rPr>
          <w:szCs w:val="24"/>
        </w:rPr>
        <w:t>R</w:t>
      </w:r>
      <w:r>
        <w:rPr>
          <w:szCs w:val="24"/>
        </w:rPr>
        <w:t>egulation is to amend</w:t>
      </w:r>
      <w:r w:rsidRPr="0090458B">
        <w:rPr>
          <w:szCs w:val="24"/>
        </w:rPr>
        <w:t xml:space="preserve"> </w:t>
      </w:r>
      <w:r>
        <w:rPr>
          <w:szCs w:val="24"/>
        </w:rPr>
        <w:t xml:space="preserve">item 6 of the table in </w:t>
      </w:r>
      <w:r w:rsidRPr="0090458B">
        <w:rPr>
          <w:szCs w:val="24"/>
        </w:rPr>
        <w:t>Schedule 11</w:t>
      </w:r>
      <w:r>
        <w:rPr>
          <w:szCs w:val="24"/>
        </w:rPr>
        <w:t xml:space="preserve"> to the </w:t>
      </w:r>
      <w:r w:rsidRPr="0090458B">
        <w:rPr>
          <w:i/>
          <w:szCs w:val="24"/>
        </w:rPr>
        <w:t xml:space="preserve">A New Tax System (Goods and Services Tax) </w:t>
      </w:r>
      <w:r>
        <w:rPr>
          <w:i/>
          <w:szCs w:val="24"/>
        </w:rPr>
        <w:t>Regulations</w:t>
      </w:r>
      <w:r w:rsidRPr="0090458B">
        <w:rPr>
          <w:i/>
          <w:szCs w:val="24"/>
        </w:rPr>
        <w:t xml:space="preserve"> 1999</w:t>
      </w:r>
      <w:r>
        <w:rPr>
          <w:szCs w:val="24"/>
        </w:rPr>
        <w:t xml:space="preserve"> (the Principal Regulations) </w:t>
      </w:r>
      <w:r w:rsidRPr="0090458B">
        <w:rPr>
          <w:szCs w:val="24"/>
        </w:rPr>
        <w:t xml:space="preserve">to update the reference to </w:t>
      </w:r>
      <w:r>
        <w:rPr>
          <w:szCs w:val="24"/>
        </w:rPr>
        <w:t xml:space="preserve">the legislation containing </w:t>
      </w:r>
      <w:r w:rsidRPr="0090458B">
        <w:rPr>
          <w:szCs w:val="24"/>
        </w:rPr>
        <w:t>the Australian Capital Territory</w:t>
      </w:r>
      <w:r w:rsidR="00977DF9">
        <w:rPr>
          <w:szCs w:val="24"/>
        </w:rPr>
        <w:t>’s</w:t>
      </w:r>
      <w:r w:rsidRPr="0090458B">
        <w:rPr>
          <w:szCs w:val="24"/>
        </w:rPr>
        <w:t xml:space="preserve"> (ACT</w:t>
      </w:r>
      <w:r w:rsidR="00977DF9">
        <w:rPr>
          <w:szCs w:val="24"/>
        </w:rPr>
        <w:t>’s</w:t>
      </w:r>
      <w:r w:rsidRPr="0090458B">
        <w:rPr>
          <w:szCs w:val="24"/>
        </w:rPr>
        <w:t xml:space="preserve">) compulsory third party (CTP) insurance scheme.  This scheme is now contained in the </w:t>
      </w:r>
      <w:r w:rsidRPr="0090458B">
        <w:rPr>
          <w:i/>
          <w:szCs w:val="24"/>
        </w:rPr>
        <w:t xml:space="preserve">Road Transport (Third-Party Insurance) Act 2008 </w:t>
      </w:r>
      <w:r w:rsidRPr="0090458B">
        <w:rPr>
          <w:szCs w:val="24"/>
        </w:rPr>
        <w:t>(ACT) and not</w:t>
      </w:r>
      <w:r w:rsidR="00E73E05">
        <w:rPr>
          <w:szCs w:val="24"/>
        </w:rPr>
        <w:t xml:space="preserve"> in</w:t>
      </w:r>
      <w:r w:rsidRPr="0090458B">
        <w:rPr>
          <w:szCs w:val="24"/>
        </w:rPr>
        <w:t xml:space="preserve"> the </w:t>
      </w:r>
      <w:r w:rsidRPr="0090458B">
        <w:rPr>
          <w:i/>
          <w:szCs w:val="24"/>
        </w:rPr>
        <w:t xml:space="preserve">Road Transport (General) Act 1999 </w:t>
      </w:r>
      <w:r w:rsidRPr="0090458B">
        <w:rPr>
          <w:szCs w:val="24"/>
        </w:rPr>
        <w:t>(ACT).</w:t>
      </w:r>
    </w:p>
    <w:p w:rsidR="007E4463" w:rsidRDefault="00DD57A6" w:rsidP="005A1183">
      <w:pPr>
        <w:tabs>
          <w:tab w:val="left" w:pos="1701"/>
          <w:tab w:val="right" w:pos="9072"/>
        </w:tabs>
        <w:ind w:right="91"/>
      </w:pPr>
      <w:r>
        <w:rPr>
          <w:szCs w:val="24"/>
        </w:rPr>
        <w:t>For an insurer to use special rules in the Division 79 and 80 of the Act, the insurance must qualify as a CTP insurance scheme.</w:t>
      </w:r>
      <w:r w:rsidR="004A7BBB" w:rsidRPr="004A7BBB">
        <w:t xml:space="preserve"> </w:t>
      </w:r>
      <w:r w:rsidR="004A7BBB">
        <w:t>This amendment will ensure that the ACT’s CTP scheme qualifies as a CTP scheme</w:t>
      </w:r>
      <w:r w:rsidR="007E4463">
        <w:t xml:space="preserve"> for the purposes of the Act</w:t>
      </w:r>
      <w:r w:rsidR="004A7BBB">
        <w:t xml:space="preserve">.  </w:t>
      </w:r>
    </w:p>
    <w:p w:rsidR="005A1183" w:rsidRPr="0090458B" w:rsidRDefault="005A1183" w:rsidP="005A1183">
      <w:pPr>
        <w:tabs>
          <w:tab w:val="left" w:pos="1701"/>
          <w:tab w:val="right" w:pos="9072"/>
        </w:tabs>
        <w:ind w:right="91"/>
        <w:rPr>
          <w:szCs w:val="24"/>
        </w:rPr>
      </w:pPr>
      <w:r w:rsidRPr="0090458B">
        <w:rPr>
          <w:szCs w:val="24"/>
        </w:rPr>
        <w:t xml:space="preserve">The normal GST rules – taxing supplies and providing input tax credits for acquisitions – are hard to apply under the GST’s invoice-credit system in the case of insurance.  As a result, special rules are set out in the </w:t>
      </w:r>
      <w:r w:rsidRPr="00DF2778">
        <w:rPr>
          <w:szCs w:val="24"/>
        </w:rPr>
        <w:t>Act</w:t>
      </w:r>
      <w:r w:rsidRPr="0090458B">
        <w:rPr>
          <w:i/>
          <w:szCs w:val="24"/>
        </w:rPr>
        <w:t xml:space="preserve"> </w:t>
      </w:r>
      <w:r w:rsidRPr="0090458B">
        <w:rPr>
          <w:szCs w:val="24"/>
        </w:rPr>
        <w:t>for taxing insurance.  Broadly, these rules apply GST to the insurer’s margin to reflect the value added due to the insurer’s activities.</w:t>
      </w:r>
    </w:p>
    <w:p w:rsidR="005A1183" w:rsidRPr="0090458B" w:rsidRDefault="00943451" w:rsidP="00943451">
      <w:pPr>
        <w:tabs>
          <w:tab w:val="left" w:pos="1701"/>
          <w:tab w:val="right" w:pos="9072"/>
        </w:tabs>
        <w:ind w:right="91"/>
        <w:rPr>
          <w:szCs w:val="24"/>
        </w:rPr>
      </w:pPr>
      <w:r>
        <w:rPr>
          <w:szCs w:val="24"/>
        </w:rPr>
        <w:t>T</w:t>
      </w:r>
      <w:r w:rsidR="005A1183" w:rsidRPr="0090458B">
        <w:rPr>
          <w:szCs w:val="24"/>
        </w:rPr>
        <w:t>hese rules for general insurance ar</w:t>
      </w:r>
      <w:r w:rsidR="00817821">
        <w:rPr>
          <w:szCs w:val="24"/>
        </w:rPr>
        <w:t xml:space="preserve">e difficult for insurers to </w:t>
      </w:r>
      <w:r w:rsidR="005A1183" w:rsidRPr="0090458B">
        <w:rPr>
          <w:szCs w:val="24"/>
        </w:rPr>
        <w:t xml:space="preserve">apply </w:t>
      </w:r>
      <w:r w:rsidR="009A3BED">
        <w:rPr>
          <w:szCs w:val="24"/>
        </w:rPr>
        <w:t>to CTP schemes because the insurer</w:t>
      </w:r>
      <w:r w:rsidR="005A1183" w:rsidRPr="0090458B">
        <w:rPr>
          <w:szCs w:val="24"/>
        </w:rPr>
        <w:t xml:space="preserve"> will not often know the input tax credit entitlement of the claimant.  The process is also complicated by special features of CTP insurance schemes (for example, settlement sharing arrangements across multiple insurers and states, nominal defendants and certain bulk billing arrangements). As a result, the Act provides special rules for CTP insurers.  For the insurer to use these special rules, the insurance must be supplied under a CTP insurance scheme.  This is defined in section 195-1 of the Act as a scheme or arrangement that is established by </w:t>
      </w:r>
      <w:r w:rsidR="00977DF9">
        <w:rPr>
          <w:szCs w:val="24"/>
        </w:rPr>
        <w:t xml:space="preserve">an </w:t>
      </w:r>
      <w:r w:rsidR="005A1183" w:rsidRPr="0090458B">
        <w:rPr>
          <w:szCs w:val="24"/>
        </w:rPr>
        <w:t>Australian law and specified</w:t>
      </w:r>
      <w:r w:rsidR="00D16890">
        <w:rPr>
          <w:szCs w:val="24"/>
        </w:rPr>
        <w:t>, or is of a kind specified,</w:t>
      </w:r>
      <w:r w:rsidR="005A1183" w:rsidRPr="0090458B">
        <w:rPr>
          <w:szCs w:val="24"/>
        </w:rPr>
        <w:t xml:space="preserve"> in the </w:t>
      </w:r>
      <w:r w:rsidR="005A1183">
        <w:rPr>
          <w:szCs w:val="24"/>
        </w:rPr>
        <w:t xml:space="preserve">Principal </w:t>
      </w:r>
      <w:r w:rsidR="005A1183" w:rsidRPr="0090458B">
        <w:rPr>
          <w:szCs w:val="24"/>
        </w:rPr>
        <w:t xml:space="preserve">Regulations. </w:t>
      </w:r>
    </w:p>
    <w:p w:rsidR="00A84314" w:rsidRDefault="005A1183" w:rsidP="005A1183">
      <w:pPr>
        <w:tabs>
          <w:tab w:val="left" w:pos="1701"/>
          <w:tab w:val="right" w:pos="9072"/>
        </w:tabs>
        <w:ind w:right="91"/>
        <w:rPr>
          <w:szCs w:val="24"/>
        </w:rPr>
      </w:pPr>
      <w:r w:rsidRPr="0090458B">
        <w:rPr>
          <w:szCs w:val="24"/>
        </w:rPr>
        <w:t xml:space="preserve">Regulation 195-1.01 </w:t>
      </w:r>
      <w:r>
        <w:rPr>
          <w:szCs w:val="24"/>
        </w:rPr>
        <w:t>provides</w:t>
      </w:r>
      <w:r w:rsidRPr="0090458B">
        <w:rPr>
          <w:szCs w:val="24"/>
        </w:rPr>
        <w:t xml:space="preserve"> that</w:t>
      </w:r>
      <w:r>
        <w:rPr>
          <w:szCs w:val="24"/>
        </w:rPr>
        <w:t xml:space="preserve"> the specified schemes are listed in</w:t>
      </w:r>
      <w:r w:rsidRPr="0090458B">
        <w:rPr>
          <w:szCs w:val="24"/>
        </w:rPr>
        <w:t xml:space="preserve"> Schedule 11 to the </w:t>
      </w:r>
      <w:r>
        <w:rPr>
          <w:szCs w:val="24"/>
        </w:rPr>
        <w:t xml:space="preserve">Principal </w:t>
      </w:r>
      <w:r w:rsidRPr="0090458B">
        <w:rPr>
          <w:szCs w:val="24"/>
        </w:rPr>
        <w:t>Regulations.  Schedule 11 lists the names of the schemes and arrangements that govern CTP insur</w:t>
      </w:r>
      <w:r w:rsidR="00943451">
        <w:rPr>
          <w:szCs w:val="24"/>
        </w:rPr>
        <w:t>ance in each of the Australian states and t</w:t>
      </w:r>
      <w:r w:rsidRPr="0090458B">
        <w:rPr>
          <w:szCs w:val="24"/>
        </w:rPr>
        <w:t>erritories.</w:t>
      </w:r>
      <w:r>
        <w:rPr>
          <w:szCs w:val="24"/>
        </w:rPr>
        <w:t xml:space="preserve"> </w:t>
      </w:r>
      <w:r w:rsidRPr="0090458B">
        <w:rPr>
          <w:szCs w:val="24"/>
        </w:rPr>
        <w:t xml:space="preserve"> It also identifies the relevant legislation in each of these jurisdictions.</w:t>
      </w:r>
      <w:r w:rsidR="00943451">
        <w:rPr>
          <w:szCs w:val="24"/>
        </w:rPr>
        <w:t xml:space="preserve"> </w:t>
      </w:r>
      <w:r w:rsidR="00925856">
        <w:rPr>
          <w:szCs w:val="24"/>
        </w:rPr>
        <w:t>T</w:t>
      </w:r>
      <w:r w:rsidRPr="00D84F2C">
        <w:rPr>
          <w:szCs w:val="24"/>
        </w:rPr>
        <w:t>he specified ACT legislation in Schedule 11 is no longer accurate</w:t>
      </w:r>
      <w:r w:rsidRPr="0090458B">
        <w:rPr>
          <w:szCs w:val="24"/>
        </w:rPr>
        <w:t>.  This is due to the</w:t>
      </w:r>
      <w:r w:rsidR="00FF6EC0">
        <w:rPr>
          <w:szCs w:val="24"/>
        </w:rPr>
        <w:t xml:space="preserve"> removal of the ACT’s CTP scheme from</w:t>
      </w:r>
      <w:r w:rsidRPr="0090458B">
        <w:rPr>
          <w:szCs w:val="24"/>
        </w:rPr>
        <w:t xml:space="preserve"> </w:t>
      </w:r>
      <w:bookmarkStart w:id="0" w:name="OLE_LINK1"/>
      <w:bookmarkStart w:id="1" w:name="OLE_LINK2"/>
      <w:r w:rsidRPr="0090458B">
        <w:rPr>
          <w:i/>
          <w:szCs w:val="24"/>
        </w:rPr>
        <w:t>Road Transport (General) Act 1999</w:t>
      </w:r>
      <w:r w:rsidRPr="0090458B">
        <w:rPr>
          <w:szCs w:val="24"/>
        </w:rPr>
        <w:t xml:space="preserve"> (ACT)</w:t>
      </w:r>
      <w:bookmarkEnd w:id="0"/>
      <w:bookmarkEnd w:id="1"/>
      <w:r w:rsidRPr="0090458B">
        <w:rPr>
          <w:szCs w:val="24"/>
        </w:rPr>
        <w:t xml:space="preserve">. </w:t>
      </w:r>
      <w:r>
        <w:rPr>
          <w:szCs w:val="24"/>
        </w:rPr>
        <w:t xml:space="preserve"> </w:t>
      </w:r>
      <w:r w:rsidRPr="0090458B">
        <w:rPr>
          <w:szCs w:val="24"/>
        </w:rPr>
        <w:t xml:space="preserve">The </w:t>
      </w:r>
      <w:r w:rsidRPr="0090458B">
        <w:rPr>
          <w:i/>
          <w:szCs w:val="24"/>
        </w:rPr>
        <w:t xml:space="preserve">Road Transport (Third-Party Insurance) Act 2008 </w:t>
      </w:r>
      <w:r w:rsidRPr="0090458B">
        <w:rPr>
          <w:szCs w:val="24"/>
        </w:rPr>
        <w:t>(ACT) now governs CTP insurance in the ACT</w:t>
      </w:r>
      <w:r w:rsidR="00EB0944">
        <w:rPr>
          <w:szCs w:val="24"/>
        </w:rPr>
        <w:t xml:space="preserve"> and came into force on</w:t>
      </w:r>
      <w:r w:rsidR="007A148B">
        <w:rPr>
          <w:szCs w:val="24"/>
        </w:rPr>
        <w:t xml:space="preserve"> 3 March</w:t>
      </w:r>
      <w:r w:rsidR="00D311E9">
        <w:rPr>
          <w:szCs w:val="24"/>
        </w:rPr>
        <w:t xml:space="preserve"> 2008</w:t>
      </w:r>
      <w:r w:rsidRPr="0090458B">
        <w:rPr>
          <w:szCs w:val="24"/>
        </w:rPr>
        <w:t>.</w:t>
      </w:r>
      <w:r w:rsidR="00EE67FB">
        <w:rPr>
          <w:szCs w:val="24"/>
        </w:rPr>
        <w:t xml:space="preserve">  </w:t>
      </w:r>
    </w:p>
    <w:p w:rsidR="005A1183" w:rsidRPr="00EE67FB" w:rsidRDefault="00EE67FB" w:rsidP="005A1183">
      <w:pPr>
        <w:tabs>
          <w:tab w:val="left" w:pos="1701"/>
          <w:tab w:val="right" w:pos="9072"/>
        </w:tabs>
        <w:ind w:right="91"/>
      </w:pPr>
      <w:r>
        <w:lastRenderedPageBreak/>
        <w:t>The ACT</w:t>
      </w:r>
      <w:r w:rsidR="00D22FE9">
        <w:t> </w:t>
      </w:r>
      <w:r>
        <w:t xml:space="preserve">Government </w:t>
      </w:r>
      <w:r w:rsidR="00432B71">
        <w:t xml:space="preserve">requested that this </w:t>
      </w:r>
      <w:r w:rsidR="00E73E05">
        <w:t>out</w:t>
      </w:r>
      <w:r w:rsidR="00432B71">
        <w:t>dated reference be corrected</w:t>
      </w:r>
      <w:r>
        <w:t>.</w:t>
      </w:r>
    </w:p>
    <w:p w:rsidR="005A1183" w:rsidRDefault="005A1183" w:rsidP="005A1183">
      <w:pPr>
        <w:tabs>
          <w:tab w:val="right" w:pos="9072"/>
        </w:tabs>
        <w:ind w:right="91"/>
        <w:rPr>
          <w:szCs w:val="24"/>
        </w:rPr>
      </w:pPr>
      <w:r>
        <w:rPr>
          <w:szCs w:val="24"/>
        </w:rPr>
        <w:t>The amending</w:t>
      </w:r>
      <w:r w:rsidRPr="0090458B">
        <w:rPr>
          <w:szCs w:val="24"/>
        </w:rPr>
        <w:t xml:space="preserve"> R</w:t>
      </w:r>
      <w:r>
        <w:rPr>
          <w:szCs w:val="24"/>
        </w:rPr>
        <w:t xml:space="preserve">egulation </w:t>
      </w:r>
      <w:r w:rsidRPr="0090458B">
        <w:rPr>
          <w:szCs w:val="24"/>
        </w:rPr>
        <w:t>replace</w:t>
      </w:r>
      <w:r>
        <w:rPr>
          <w:szCs w:val="24"/>
        </w:rPr>
        <w:t>d</w:t>
      </w:r>
      <w:r w:rsidRPr="0090458B">
        <w:rPr>
          <w:szCs w:val="24"/>
        </w:rPr>
        <w:t xml:space="preserve"> the words</w:t>
      </w:r>
      <w:r w:rsidRPr="0090458B">
        <w:rPr>
          <w:i/>
          <w:szCs w:val="24"/>
        </w:rPr>
        <w:t xml:space="preserve"> </w:t>
      </w:r>
      <w:r>
        <w:rPr>
          <w:szCs w:val="24"/>
        </w:rPr>
        <w:t>‘</w:t>
      </w:r>
      <w:r w:rsidRPr="0090458B">
        <w:rPr>
          <w:i/>
          <w:szCs w:val="24"/>
        </w:rPr>
        <w:t>Road Transport (General) Act 1999</w:t>
      </w:r>
      <w:r w:rsidRPr="0090458B">
        <w:rPr>
          <w:szCs w:val="24"/>
        </w:rPr>
        <w:t xml:space="preserve"> (ACT)</w:t>
      </w:r>
      <w:r>
        <w:rPr>
          <w:szCs w:val="24"/>
        </w:rPr>
        <w:t>’</w:t>
      </w:r>
      <w:r w:rsidRPr="0090458B">
        <w:rPr>
          <w:szCs w:val="24"/>
        </w:rPr>
        <w:t xml:space="preserve"> in the second column </w:t>
      </w:r>
      <w:r w:rsidR="00E73E05">
        <w:rPr>
          <w:szCs w:val="24"/>
        </w:rPr>
        <w:t>of the table in Schedule 11 of R</w:t>
      </w:r>
      <w:r w:rsidRPr="0090458B">
        <w:rPr>
          <w:szCs w:val="24"/>
        </w:rPr>
        <w:t xml:space="preserve">egulation 195-1.01 with the words </w:t>
      </w:r>
      <w:r>
        <w:rPr>
          <w:szCs w:val="24"/>
        </w:rPr>
        <w:t>‘</w:t>
      </w:r>
      <w:r w:rsidRPr="0090458B">
        <w:rPr>
          <w:i/>
          <w:szCs w:val="24"/>
        </w:rPr>
        <w:t xml:space="preserve">Road Transport (Third-Party Insurance) Act 2008 </w:t>
      </w:r>
      <w:r w:rsidRPr="0090458B">
        <w:rPr>
          <w:szCs w:val="24"/>
        </w:rPr>
        <w:t>(ACT)</w:t>
      </w:r>
      <w:r>
        <w:rPr>
          <w:szCs w:val="24"/>
        </w:rPr>
        <w:t>’</w:t>
      </w:r>
      <w:r w:rsidRPr="0090458B">
        <w:rPr>
          <w:szCs w:val="24"/>
        </w:rPr>
        <w:t>.</w:t>
      </w:r>
    </w:p>
    <w:p w:rsidR="003E411D" w:rsidRPr="00304EAD" w:rsidRDefault="005A1183" w:rsidP="00304EAD">
      <w:pPr>
        <w:tabs>
          <w:tab w:val="left" w:pos="1701"/>
          <w:tab w:val="right" w:pos="9072"/>
        </w:tabs>
        <w:ind w:right="91"/>
      </w:pPr>
      <w:r>
        <w:rPr>
          <w:szCs w:val="24"/>
        </w:rPr>
        <w:t>The Regulation commenced on the day after it was registered on the Federal Register of Legislative Instruments.</w:t>
      </w:r>
      <w:r w:rsidR="003E411D">
        <w:rPr>
          <w:szCs w:val="24"/>
        </w:rPr>
        <w:t xml:space="preserve">  </w:t>
      </w:r>
    </w:p>
    <w:p w:rsidR="002B54EC" w:rsidRDefault="002B54EC" w:rsidP="00B958B1">
      <w:pPr>
        <w:tabs>
          <w:tab w:val="right" w:pos="9072"/>
        </w:tabs>
        <w:ind w:right="91"/>
        <w:rPr>
          <w:szCs w:val="24"/>
        </w:rPr>
      </w:pPr>
      <w:r>
        <w:rPr>
          <w:szCs w:val="24"/>
        </w:rPr>
        <w:t xml:space="preserve">The Office of Best Practice Regulation agreed that the changes were of a minor nature and no further analysis in the form of a Regulation Impact Statement (RIS) was required.  It granted an exemption from the requirement to produce </w:t>
      </w:r>
      <w:r w:rsidR="00432B71">
        <w:rPr>
          <w:szCs w:val="24"/>
        </w:rPr>
        <w:t xml:space="preserve">a </w:t>
      </w:r>
      <w:r>
        <w:rPr>
          <w:szCs w:val="24"/>
        </w:rPr>
        <w:t>RIS</w:t>
      </w:r>
      <w:r w:rsidR="00ED716F">
        <w:rPr>
          <w:szCs w:val="24"/>
        </w:rPr>
        <w:t xml:space="preserve"> (reference</w:t>
      </w:r>
      <w:r w:rsidR="004A5808">
        <w:rPr>
          <w:szCs w:val="24"/>
        </w:rPr>
        <w:t xml:space="preserve"> 12267).</w:t>
      </w:r>
      <w:r w:rsidR="00B958B1" w:rsidRPr="00B958B1">
        <w:rPr>
          <w:szCs w:val="24"/>
        </w:rPr>
        <w:t xml:space="preserve"> </w:t>
      </w:r>
      <w:r w:rsidR="0097237A">
        <w:rPr>
          <w:szCs w:val="24"/>
        </w:rPr>
        <w:t xml:space="preserve"> </w:t>
      </w:r>
      <w:r w:rsidR="00B958B1" w:rsidRPr="00B813A7">
        <w:rPr>
          <w:szCs w:val="24"/>
        </w:rPr>
        <w:t xml:space="preserve">Accordingly, a </w:t>
      </w:r>
      <w:r w:rsidR="00432B71">
        <w:rPr>
          <w:szCs w:val="24"/>
        </w:rPr>
        <w:t xml:space="preserve">RIS </w:t>
      </w:r>
      <w:r w:rsidR="00B958B1" w:rsidRPr="00B813A7">
        <w:rPr>
          <w:szCs w:val="24"/>
        </w:rPr>
        <w:t>has not been prepared.</w:t>
      </w:r>
    </w:p>
    <w:p w:rsidR="005A1183" w:rsidRPr="00B813A7" w:rsidRDefault="00B958B1" w:rsidP="005A1183">
      <w:pPr>
        <w:tabs>
          <w:tab w:val="right" w:pos="9072"/>
        </w:tabs>
        <w:ind w:right="91"/>
        <w:rPr>
          <w:szCs w:val="24"/>
        </w:rPr>
      </w:pPr>
      <w:r>
        <w:rPr>
          <w:szCs w:val="24"/>
        </w:rPr>
        <w:t>Howev</w:t>
      </w:r>
      <w:r w:rsidR="00971B8E">
        <w:rPr>
          <w:szCs w:val="24"/>
        </w:rPr>
        <w:t>er, as the R</w:t>
      </w:r>
      <w:r>
        <w:rPr>
          <w:szCs w:val="24"/>
        </w:rPr>
        <w:t>egulation only confirms the existing practice of ACT CTP insurers (taxpayers), it is not considered to add to compliance costs</w:t>
      </w:r>
      <w:r w:rsidR="00432B71">
        <w:rPr>
          <w:szCs w:val="24"/>
        </w:rPr>
        <w:t>, and</w:t>
      </w:r>
      <w:r>
        <w:rPr>
          <w:szCs w:val="24"/>
        </w:rPr>
        <w:t xml:space="preserve"> may </w:t>
      </w:r>
      <w:r w:rsidR="00432B71">
        <w:rPr>
          <w:szCs w:val="24"/>
        </w:rPr>
        <w:t xml:space="preserve">actually </w:t>
      </w:r>
      <w:r>
        <w:rPr>
          <w:szCs w:val="24"/>
        </w:rPr>
        <w:t xml:space="preserve">reduce compliance costs by </w:t>
      </w:r>
      <w:r w:rsidR="00432B71">
        <w:rPr>
          <w:szCs w:val="24"/>
        </w:rPr>
        <w:t xml:space="preserve">providing a </w:t>
      </w:r>
      <w:r>
        <w:rPr>
          <w:szCs w:val="24"/>
        </w:rPr>
        <w:t xml:space="preserve">reference to a current rather than incorrect </w:t>
      </w:r>
      <w:r w:rsidR="00304EAD">
        <w:rPr>
          <w:szCs w:val="24"/>
        </w:rPr>
        <w:t xml:space="preserve">statute. Taxpayers would not have </w:t>
      </w:r>
      <w:r>
        <w:rPr>
          <w:szCs w:val="24"/>
        </w:rPr>
        <w:t xml:space="preserve">to </w:t>
      </w:r>
      <w:r w:rsidR="004F1431">
        <w:rPr>
          <w:szCs w:val="24"/>
        </w:rPr>
        <w:t xml:space="preserve">investigate further to find </w:t>
      </w:r>
      <w:r w:rsidR="00304EAD">
        <w:rPr>
          <w:szCs w:val="24"/>
        </w:rPr>
        <w:t xml:space="preserve">the current statute.  </w:t>
      </w:r>
    </w:p>
    <w:p w:rsidR="005A1183" w:rsidRPr="00B813A7" w:rsidRDefault="005A1183" w:rsidP="005A1183">
      <w:pPr>
        <w:spacing w:before="100" w:beforeAutospacing="1" w:after="100" w:afterAutospacing="1"/>
        <w:rPr>
          <w:szCs w:val="24"/>
        </w:rPr>
      </w:pPr>
      <w:r w:rsidRPr="00B813A7">
        <w:rPr>
          <w:szCs w:val="24"/>
        </w:rPr>
        <w:t xml:space="preserve">No </w:t>
      </w:r>
      <w:r w:rsidR="00335D40">
        <w:rPr>
          <w:szCs w:val="24"/>
        </w:rPr>
        <w:t xml:space="preserve">detailed </w:t>
      </w:r>
      <w:r w:rsidRPr="00B813A7">
        <w:rPr>
          <w:szCs w:val="24"/>
        </w:rPr>
        <w:t>consultation was underta</w:t>
      </w:r>
      <w:r w:rsidR="00971B8E">
        <w:rPr>
          <w:szCs w:val="24"/>
        </w:rPr>
        <w:t>ken on this R</w:t>
      </w:r>
      <w:r w:rsidR="00304EAD">
        <w:rPr>
          <w:szCs w:val="24"/>
        </w:rPr>
        <w:t>egulation</w:t>
      </w:r>
      <w:r w:rsidRPr="00B813A7">
        <w:rPr>
          <w:szCs w:val="24"/>
        </w:rPr>
        <w:t xml:space="preserve"> as </w:t>
      </w:r>
      <w:r w:rsidR="00304EAD">
        <w:rPr>
          <w:szCs w:val="24"/>
        </w:rPr>
        <w:t xml:space="preserve">it </w:t>
      </w:r>
      <w:r w:rsidR="00B958B1">
        <w:rPr>
          <w:szCs w:val="24"/>
        </w:rPr>
        <w:t xml:space="preserve">only confirms existing practice and </w:t>
      </w:r>
      <w:r w:rsidRPr="00B813A7">
        <w:rPr>
          <w:szCs w:val="24"/>
        </w:rPr>
        <w:t xml:space="preserve">is </w:t>
      </w:r>
      <w:r w:rsidR="00B958B1">
        <w:rPr>
          <w:szCs w:val="24"/>
        </w:rPr>
        <w:t xml:space="preserve">of </w:t>
      </w:r>
      <w:r w:rsidRPr="00B813A7">
        <w:rPr>
          <w:szCs w:val="24"/>
        </w:rPr>
        <w:t xml:space="preserve">a minor technical </w:t>
      </w:r>
      <w:r w:rsidR="00B958B1">
        <w:rPr>
          <w:szCs w:val="24"/>
        </w:rPr>
        <w:t xml:space="preserve">nature.  However, the Australian Taxation Office </w:t>
      </w:r>
      <w:r w:rsidR="00E73E05">
        <w:rPr>
          <w:szCs w:val="24"/>
        </w:rPr>
        <w:t xml:space="preserve">and </w:t>
      </w:r>
      <w:r w:rsidR="00335D40">
        <w:rPr>
          <w:szCs w:val="24"/>
        </w:rPr>
        <w:t>the ACT Treasury</w:t>
      </w:r>
      <w:r w:rsidR="00E73E05">
        <w:rPr>
          <w:szCs w:val="24"/>
        </w:rPr>
        <w:t xml:space="preserve"> were consulted</w:t>
      </w:r>
      <w:r w:rsidR="00335D40">
        <w:rPr>
          <w:szCs w:val="24"/>
        </w:rPr>
        <w:t>.</w:t>
      </w:r>
    </w:p>
    <w:p w:rsidR="005A1183" w:rsidRPr="0090458B" w:rsidRDefault="005A1183" w:rsidP="005A1183">
      <w:pPr>
        <w:tabs>
          <w:tab w:val="right" w:pos="9072"/>
        </w:tabs>
        <w:ind w:right="91"/>
        <w:rPr>
          <w:szCs w:val="24"/>
        </w:rPr>
      </w:pPr>
    </w:p>
    <w:p w:rsidR="005A1183" w:rsidRDefault="005A1183" w:rsidP="005A1183">
      <w:pPr>
        <w:tabs>
          <w:tab w:val="right" w:pos="9072"/>
        </w:tabs>
        <w:ind w:right="91"/>
        <w:rPr>
          <w:szCs w:val="24"/>
        </w:rPr>
      </w:pPr>
    </w:p>
    <w:p w:rsidR="005A1183" w:rsidRPr="0090458B" w:rsidRDefault="005A1183" w:rsidP="005A1183">
      <w:pPr>
        <w:tabs>
          <w:tab w:val="right" w:pos="9072"/>
        </w:tabs>
        <w:ind w:right="91"/>
        <w:rPr>
          <w:szCs w:val="24"/>
        </w:rPr>
      </w:pPr>
    </w:p>
    <w:p w:rsidR="00D83A68" w:rsidRDefault="00D83A68" w:rsidP="00D83A68">
      <w:pPr>
        <w:spacing w:before="0" w:after="0"/>
      </w:pPr>
    </w:p>
    <w:p w:rsidR="00D83A68" w:rsidRDefault="00D83A68" w:rsidP="00D83A68">
      <w:pPr>
        <w:spacing w:before="0" w:after="0"/>
      </w:pPr>
    </w:p>
    <w:p w:rsidR="00D83A68" w:rsidRDefault="00D83A68" w:rsidP="00D83A68">
      <w:pPr>
        <w:spacing w:before="0" w:after="0"/>
      </w:pPr>
    </w:p>
    <w:p w:rsidR="00D83A68" w:rsidRDefault="00D83A68" w:rsidP="00D83A68">
      <w:pPr>
        <w:spacing w:before="0" w:after="0"/>
      </w:pPr>
    </w:p>
    <w:p w:rsidR="00D83A68" w:rsidRDefault="00D83A68" w:rsidP="00D83A68">
      <w:pPr>
        <w:spacing w:before="0" w:after="0"/>
      </w:pPr>
    </w:p>
    <w:p w:rsidR="00D83A68" w:rsidRDefault="00D83A68" w:rsidP="00D83A68">
      <w:pPr>
        <w:spacing w:before="0" w:after="0"/>
      </w:pPr>
    </w:p>
    <w:p w:rsidR="00D83A68" w:rsidRDefault="00D83A68" w:rsidP="00D83A68">
      <w:pPr>
        <w:spacing w:before="0" w:after="0"/>
      </w:pPr>
    </w:p>
    <w:p w:rsidR="00D83A68" w:rsidRDefault="00D83A68" w:rsidP="00D83A68">
      <w:pPr>
        <w:spacing w:before="0" w:after="0"/>
      </w:pPr>
    </w:p>
    <w:p w:rsidR="00D83A68" w:rsidRDefault="00D83A68" w:rsidP="00D83A68">
      <w:pPr>
        <w:spacing w:before="0" w:after="0"/>
      </w:pPr>
    </w:p>
    <w:p w:rsidR="00D83A68" w:rsidRDefault="00D83A68" w:rsidP="00D83A68">
      <w:pPr>
        <w:spacing w:before="0" w:after="0"/>
      </w:pPr>
    </w:p>
    <w:p w:rsidR="00D83A68" w:rsidRDefault="00D83A68" w:rsidP="00D83A68">
      <w:pPr>
        <w:spacing w:before="0" w:after="0"/>
      </w:pPr>
    </w:p>
    <w:p w:rsidR="00D83A68" w:rsidRDefault="00D83A68" w:rsidP="00D83A68">
      <w:pPr>
        <w:spacing w:before="0" w:after="0"/>
      </w:pPr>
    </w:p>
    <w:p w:rsidR="00D83A68" w:rsidRDefault="00D83A68" w:rsidP="00D83A68">
      <w:pPr>
        <w:spacing w:before="0" w:after="0"/>
      </w:pPr>
    </w:p>
    <w:p w:rsidR="00D83A68" w:rsidRDefault="00D83A68" w:rsidP="00D83A68">
      <w:pPr>
        <w:spacing w:before="0" w:after="0"/>
      </w:pPr>
    </w:p>
    <w:p w:rsidR="00D83A68" w:rsidRDefault="00D83A68" w:rsidP="00D83A68">
      <w:pPr>
        <w:spacing w:before="0" w:after="0"/>
      </w:pPr>
    </w:p>
    <w:p w:rsidR="00D83A68" w:rsidRDefault="00D83A68" w:rsidP="00D83A68">
      <w:pPr>
        <w:spacing w:before="0" w:after="0"/>
      </w:pPr>
    </w:p>
    <w:p w:rsidR="00D83A68" w:rsidRDefault="00D83A68" w:rsidP="00D83A68">
      <w:pPr>
        <w:spacing w:before="0" w:after="0"/>
      </w:pPr>
    </w:p>
    <w:p w:rsidR="00D83A68" w:rsidRDefault="00D83A68">
      <w:pPr>
        <w:spacing w:before="0" w:after="0"/>
      </w:pPr>
      <w:r>
        <w:br w:type="page"/>
      </w:r>
    </w:p>
    <w:p w:rsidR="00F711A4" w:rsidRPr="00D83A68" w:rsidRDefault="00F711A4" w:rsidP="00D83A68">
      <w:pPr>
        <w:spacing w:before="0" w:after="0"/>
        <w:jc w:val="center"/>
      </w:pPr>
      <w:r w:rsidRPr="00454B09">
        <w:rPr>
          <w:b/>
          <w:sz w:val="28"/>
          <w:szCs w:val="28"/>
          <w:lang w:val="en-US"/>
        </w:rPr>
        <w:t>Statement of Compatibility with Human Rights</w:t>
      </w:r>
    </w:p>
    <w:p w:rsidR="00F711A4" w:rsidRPr="00454B09" w:rsidRDefault="00F711A4" w:rsidP="00F711A4">
      <w:pPr>
        <w:jc w:val="center"/>
        <w:rPr>
          <w:lang w:val="en-US"/>
        </w:rPr>
      </w:pPr>
      <w:r w:rsidRPr="00454B09">
        <w:rPr>
          <w:i/>
          <w:lang w:val="en-US"/>
        </w:rPr>
        <w:t>Prepared in accordance with Part 3 of the Human Rights (Parliamentary Scrutiny) Act 2011</w:t>
      </w:r>
    </w:p>
    <w:p w:rsidR="004335FA" w:rsidRPr="00F711A4" w:rsidRDefault="004335FA" w:rsidP="00BB19FD">
      <w:pPr>
        <w:pStyle w:val="Heading3"/>
        <w:jc w:val="center"/>
        <w:rPr>
          <w:rFonts w:ascii="Times New Roman" w:hAnsi="Times New Roman"/>
          <w:i/>
        </w:rPr>
      </w:pPr>
      <w:r w:rsidRPr="00F711A4">
        <w:rPr>
          <w:rFonts w:ascii="Times New Roman" w:hAnsi="Times New Roman"/>
          <w:i/>
        </w:rPr>
        <w:t>A New Tax System (Good</w:t>
      </w:r>
      <w:r w:rsidR="00607C8A">
        <w:rPr>
          <w:rFonts w:ascii="Times New Roman" w:hAnsi="Times New Roman"/>
          <w:i/>
        </w:rPr>
        <w:t xml:space="preserve">s and Services Tax) Regulation </w:t>
      </w:r>
      <w:r w:rsidRPr="00F711A4">
        <w:rPr>
          <w:rFonts w:ascii="Times New Roman" w:hAnsi="Times New Roman"/>
          <w:i/>
        </w:rPr>
        <w:t xml:space="preserve">2012 </w:t>
      </w:r>
      <w:r w:rsidR="00C300AE">
        <w:rPr>
          <w:rFonts w:ascii="Times New Roman" w:hAnsi="Times New Roman"/>
          <w:i/>
        </w:rPr>
        <w:t>(No. 3</w:t>
      </w:r>
      <w:r w:rsidR="00607C8A" w:rsidRPr="00F711A4">
        <w:rPr>
          <w:rFonts w:ascii="Times New Roman" w:hAnsi="Times New Roman"/>
          <w:i/>
        </w:rPr>
        <w:t>)</w:t>
      </w:r>
    </w:p>
    <w:p w:rsidR="004335FA" w:rsidRDefault="004335FA" w:rsidP="004335FA">
      <w:pPr>
        <w:pStyle w:val="Heading3"/>
        <w:rPr>
          <w:rFonts w:ascii="Times New Roman" w:hAnsi="Times New Roman"/>
        </w:rPr>
      </w:pPr>
      <w:r w:rsidRPr="00F711A4">
        <w:rPr>
          <w:rFonts w:ascii="Times New Roman" w:hAnsi="Times New Roman"/>
        </w:rPr>
        <w:t xml:space="preserve">This Regulation is compatible with the human rights and freedoms recognised or declared in the international instruments listed in section 3 of the </w:t>
      </w:r>
      <w:r w:rsidRPr="00F711A4">
        <w:rPr>
          <w:rFonts w:ascii="Times New Roman" w:hAnsi="Times New Roman"/>
          <w:i/>
        </w:rPr>
        <w:t>Human Rights (Parliamentary Scrutiny) Act 2011</w:t>
      </w:r>
      <w:r w:rsidRPr="00F711A4">
        <w:rPr>
          <w:rFonts w:ascii="Times New Roman" w:hAnsi="Times New Roman"/>
        </w:rPr>
        <w:t>.</w:t>
      </w:r>
    </w:p>
    <w:p w:rsidR="00BB19FD" w:rsidRPr="00BB19FD" w:rsidRDefault="00BB19FD" w:rsidP="00BB19FD">
      <w:pPr>
        <w:pStyle w:val="base-text-paragraph"/>
      </w:pPr>
    </w:p>
    <w:p w:rsidR="004335FA" w:rsidRPr="00BB19FD" w:rsidRDefault="004335FA" w:rsidP="00BB19FD">
      <w:pPr>
        <w:pStyle w:val="NoSpacing"/>
        <w:rPr>
          <w:b/>
        </w:rPr>
      </w:pPr>
      <w:r w:rsidRPr="00BB19FD">
        <w:rPr>
          <w:b/>
        </w:rPr>
        <w:t>Overview</w:t>
      </w:r>
    </w:p>
    <w:p w:rsidR="00315213" w:rsidRDefault="004335FA" w:rsidP="00315213">
      <w:pPr>
        <w:pStyle w:val="NoSpacing"/>
        <w:keepNext/>
      </w:pPr>
      <w:r>
        <w:rPr>
          <w:rFonts w:cs="Helvetica"/>
          <w:i/>
        </w:rPr>
        <w:t>A New Tax System (Good</w:t>
      </w:r>
      <w:r w:rsidR="00BB19FD">
        <w:rPr>
          <w:rFonts w:cs="Helvetica"/>
          <w:i/>
        </w:rPr>
        <w:t xml:space="preserve">s and Services Tax) Regulation </w:t>
      </w:r>
      <w:r>
        <w:rPr>
          <w:rFonts w:cs="Helvetica"/>
          <w:i/>
        </w:rPr>
        <w:t xml:space="preserve">2012 </w:t>
      </w:r>
      <w:r w:rsidR="00C300AE">
        <w:rPr>
          <w:rFonts w:cs="Helvetica"/>
          <w:i/>
        </w:rPr>
        <w:t>(No. 3</w:t>
      </w:r>
      <w:r w:rsidR="00BB19FD">
        <w:rPr>
          <w:rFonts w:cs="Helvetica"/>
          <w:i/>
        </w:rPr>
        <w:t xml:space="preserve">) </w:t>
      </w:r>
      <w:r>
        <w:t xml:space="preserve">amends an </w:t>
      </w:r>
    </w:p>
    <w:p w:rsidR="00BB19FD" w:rsidRDefault="00315213" w:rsidP="00315213">
      <w:pPr>
        <w:pStyle w:val="NoSpacing"/>
        <w:keepNext/>
        <w:rPr>
          <w:rFonts w:cs="Helvetica"/>
          <w:i/>
        </w:rPr>
      </w:pPr>
      <w:r>
        <w:t xml:space="preserve">out-of-date </w:t>
      </w:r>
      <w:r w:rsidR="004335FA">
        <w:t>reference to Australian Capital Territory compulsory third party legislation</w:t>
      </w:r>
      <w:r w:rsidR="004335FA">
        <w:rPr>
          <w:i/>
        </w:rPr>
        <w:t xml:space="preserve"> </w:t>
      </w:r>
      <w:r w:rsidR="006856CB">
        <w:t>in item 6 of Schedule 11 to</w:t>
      </w:r>
      <w:r w:rsidR="004335FA">
        <w:t xml:space="preserve"> the </w:t>
      </w:r>
      <w:r w:rsidR="004335FA">
        <w:rPr>
          <w:rFonts w:cs="Helvetica"/>
          <w:i/>
        </w:rPr>
        <w:t>A New Tax System (Goods and Services Tax) Regulations 1999.</w:t>
      </w:r>
    </w:p>
    <w:p w:rsidR="00BB19FD" w:rsidRPr="005C2AF0" w:rsidRDefault="00BB19FD" w:rsidP="00BB19FD">
      <w:pPr>
        <w:pStyle w:val="NoSpacing"/>
        <w:rPr>
          <w:rFonts w:cs="Helvetica"/>
        </w:rPr>
      </w:pPr>
    </w:p>
    <w:p w:rsidR="004335FA" w:rsidRPr="00BB19FD" w:rsidRDefault="004335FA" w:rsidP="00BB19FD">
      <w:pPr>
        <w:pStyle w:val="NoSpacing"/>
        <w:rPr>
          <w:b/>
        </w:rPr>
      </w:pPr>
      <w:r w:rsidRPr="00BB19FD">
        <w:rPr>
          <w:b/>
        </w:rPr>
        <w:t>Human rights implications</w:t>
      </w:r>
    </w:p>
    <w:p w:rsidR="004335FA" w:rsidRDefault="004335FA" w:rsidP="00BB19FD">
      <w:pPr>
        <w:pStyle w:val="NoSpacing"/>
      </w:pPr>
      <w:r>
        <w:rPr>
          <w:szCs w:val="24"/>
        </w:rPr>
        <w:t>The Regulation does not engage any of the applicable rights or freedoms.</w:t>
      </w:r>
    </w:p>
    <w:p w:rsidR="00464B89" w:rsidRDefault="00464B89" w:rsidP="00BB19FD">
      <w:pPr>
        <w:pStyle w:val="NoSpacing"/>
        <w:rPr>
          <w:b/>
        </w:rPr>
      </w:pPr>
    </w:p>
    <w:p w:rsidR="004335FA" w:rsidRPr="00F711A4" w:rsidRDefault="004335FA" w:rsidP="00BB19FD">
      <w:pPr>
        <w:pStyle w:val="NoSpacing"/>
        <w:rPr>
          <w:b/>
        </w:rPr>
      </w:pPr>
      <w:r w:rsidRPr="00F711A4">
        <w:rPr>
          <w:b/>
        </w:rPr>
        <w:t>Conclusion</w:t>
      </w:r>
    </w:p>
    <w:p w:rsidR="004335FA" w:rsidRDefault="004335FA" w:rsidP="00BB19FD">
      <w:pPr>
        <w:pStyle w:val="NoSpacing"/>
      </w:pPr>
      <w:r>
        <w:t xml:space="preserve">This Regulation is compatible with human rights as it does not raise any human rights issues. </w:t>
      </w:r>
    </w:p>
    <w:p w:rsidR="004335FA" w:rsidRDefault="004335FA" w:rsidP="004335FA"/>
    <w:p w:rsidR="004335FA" w:rsidRDefault="004335FA"/>
    <w:p w:rsidR="004335FA" w:rsidRDefault="004335FA"/>
    <w:p w:rsidR="004335FA" w:rsidRPr="00503E44" w:rsidRDefault="004335FA"/>
    <w:sectPr w:rsidR="004335FA" w:rsidRPr="00503E44" w:rsidSect="00392BB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EDF" w:rsidRDefault="00704EDF" w:rsidP="000407A7">
      <w:pPr>
        <w:spacing w:before="0" w:after="0"/>
      </w:pPr>
      <w:r>
        <w:separator/>
      </w:r>
    </w:p>
  </w:endnote>
  <w:endnote w:type="continuationSeparator" w:id="0">
    <w:p w:rsidR="00704EDF" w:rsidRDefault="00704EDF" w:rsidP="000407A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463" w:rsidRPr="003F0D8B" w:rsidRDefault="007E4463" w:rsidP="003F0D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463" w:rsidRPr="003F0D8B" w:rsidRDefault="007E4463" w:rsidP="003F0D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463" w:rsidRPr="003F0D8B" w:rsidRDefault="007E4463" w:rsidP="003F0D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EDF" w:rsidRDefault="00704EDF" w:rsidP="000407A7">
      <w:pPr>
        <w:spacing w:before="0" w:after="0"/>
      </w:pPr>
      <w:r>
        <w:separator/>
      </w:r>
    </w:p>
  </w:footnote>
  <w:footnote w:type="continuationSeparator" w:id="0">
    <w:p w:rsidR="00704EDF" w:rsidRDefault="00704EDF" w:rsidP="000407A7">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463" w:rsidRPr="003F0D8B" w:rsidRDefault="007E4463" w:rsidP="003F0D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463" w:rsidRDefault="007E4463">
    <w:pPr>
      <w:pStyle w:val="Header"/>
    </w:pPr>
    <w:r>
      <w:rPr>
        <w:b/>
      </w:rP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463" w:rsidRPr="003F0D8B" w:rsidRDefault="007E4463" w:rsidP="003F0D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3D714D4B"/>
    <w:multiLevelType w:val="multilevel"/>
    <w:tmpl w:val="84EA8F72"/>
    <w:styleLink w:val="ChapterList"/>
    <w:lvl w:ilvl="0">
      <w:start w:val="1"/>
      <w:numFmt w:val="decimal"/>
      <w:pStyle w:val="ChapterHeading"/>
      <w:lvlText w:val="Chapter %1"/>
      <w:lvlJc w:val="left"/>
      <w:pPr>
        <w:tabs>
          <w:tab w:val="num" w:pos="1134"/>
        </w:tabs>
        <w:ind w:left="0" w:firstLine="0"/>
      </w:pPr>
    </w:lvl>
    <w:lvl w:ilvl="1">
      <w:start w:val="1"/>
      <w:numFmt w:val="decimal"/>
      <w:lvlText w:val="%1.%2"/>
      <w:lvlJc w:val="left"/>
      <w:pPr>
        <w:tabs>
          <w:tab w:val="num" w:pos="1985"/>
        </w:tabs>
        <w:ind w:left="1134" w:firstLine="0"/>
      </w:pPr>
    </w:lvl>
    <w:lvl w:ilvl="2">
      <w:start w:val="1"/>
      <w:numFmt w:val="decimal"/>
      <w:lvlRestart w:val="1"/>
      <w:pStyle w:val="Diagram"/>
      <w:suff w:val="nothing"/>
      <w:lvlText w:val="Diagram %1.%3"/>
      <w:lvlJc w:val="left"/>
      <w:pPr>
        <w:ind w:left="1134" w:firstLine="0"/>
      </w:pPr>
    </w:lvl>
    <w:lvl w:ilvl="3">
      <w:start w:val="1"/>
      <w:numFmt w:val="decimal"/>
      <w:lvlRestart w:val="1"/>
      <w:pStyle w:val="ExampleHeading"/>
      <w:suff w:val="nothing"/>
      <w:lvlText w:val="Example %1.%4"/>
      <w:lvlJc w:val="left"/>
      <w:pPr>
        <w:ind w:left="1134" w:firstLine="0"/>
      </w:pPr>
    </w:lvl>
    <w:lvl w:ilvl="4">
      <w:start w:val="1"/>
      <w:numFmt w:val="decimal"/>
      <w:lvlRestart w:val="1"/>
      <w:pStyle w:val="TableHeadingoutsidetable"/>
      <w:suff w:val="nothing"/>
      <w:lvlText w:val="Table %1.%5"/>
      <w:lvlJc w:val="left"/>
      <w:pPr>
        <w:ind w:left="113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5DF6494"/>
    <w:multiLevelType w:val="multilevel"/>
    <w:tmpl w:val="84EA8F72"/>
    <w:numStyleLink w:val="ChapterList"/>
  </w:abstractNum>
  <w:abstractNum w:abstractNumId="3">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num>
  <w:num w:numId="3">
    <w:abstractNumId w:val="2"/>
    <w:lvlOverride w:ilvl="0">
      <w:startOverride w:val="1"/>
      <w:lvl w:ilvl="0">
        <w:start w:val="1"/>
        <w:numFmt w:val="decimal"/>
        <w:lvlText w:val="Chapter %1"/>
        <w:lvlJc w:val="left"/>
        <w:pPr>
          <w:tabs>
            <w:tab w:val="num" w:pos="1134"/>
          </w:tabs>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808"/>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SecurityClassificationInHeader" w:val="False"/>
  </w:docVars>
  <w:rsids>
    <w:rsidRoot w:val="005A1183"/>
    <w:rsid w:val="00006AE7"/>
    <w:rsid w:val="00016EA2"/>
    <w:rsid w:val="000407A7"/>
    <w:rsid w:val="00095211"/>
    <w:rsid w:val="000C10DF"/>
    <w:rsid w:val="000C6E19"/>
    <w:rsid w:val="000D551D"/>
    <w:rsid w:val="00113B45"/>
    <w:rsid w:val="001249E3"/>
    <w:rsid w:val="00142614"/>
    <w:rsid w:val="001920FC"/>
    <w:rsid w:val="001E6A74"/>
    <w:rsid w:val="001F41D0"/>
    <w:rsid w:val="00220F16"/>
    <w:rsid w:val="00254C5B"/>
    <w:rsid w:val="002B54EC"/>
    <w:rsid w:val="00304EAD"/>
    <w:rsid w:val="00315213"/>
    <w:rsid w:val="003342CD"/>
    <w:rsid w:val="00335042"/>
    <w:rsid w:val="00335D40"/>
    <w:rsid w:val="00340024"/>
    <w:rsid w:val="00392BBA"/>
    <w:rsid w:val="003E411D"/>
    <w:rsid w:val="003F0D8B"/>
    <w:rsid w:val="004045F7"/>
    <w:rsid w:val="00432B71"/>
    <w:rsid w:val="004335FA"/>
    <w:rsid w:val="00464B89"/>
    <w:rsid w:val="004A5808"/>
    <w:rsid w:val="004A7BBB"/>
    <w:rsid w:val="004E39E1"/>
    <w:rsid w:val="004F1431"/>
    <w:rsid w:val="00503E44"/>
    <w:rsid w:val="00515283"/>
    <w:rsid w:val="0055675D"/>
    <w:rsid w:val="005833BE"/>
    <w:rsid w:val="005A1183"/>
    <w:rsid w:val="005B17C4"/>
    <w:rsid w:val="005C2AF0"/>
    <w:rsid w:val="005D7D5A"/>
    <w:rsid w:val="0060130D"/>
    <w:rsid w:val="00607C8A"/>
    <w:rsid w:val="00640E4E"/>
    <w:rsid w:val="0064129F"/>
    <w:rsid w:val="006856CB"/>
    <w:rsid w:val="00704EDF"/>
    <w:rsid w:val="007A148B"/>
    <w:rsid w:val="007E018D"/>
    <w:rsid w:val="007E4463"/>
    <w:rsid w:val="007F26F7"/>
    <w:rsid w:val="00807E7D"/>
    <w:rsid w:val="00817821"/>
    <w:rsid w:val="00831675"/>
    <w:rsid w:val="0088467C"/>
    <w:rsid w:val="008940C5"/>
    <w:rsid w:val="008D16F7"/>
    <w:rsid w:val="00925856"/>
    <w:rsid w:val="00934BD4"/>
    <w:rsid w:val="00943451"/>
    <w:rsid w:val="00971B8E"/>
    <w:rsid w:val="0097237A"/>
    <w:rsid w:val="009725EA"/>
    <w:rsid w:val="00977DF9"/>
    <w:rsid w:val="009A3BED"/>
    <w:rsid w:val="009E2F86"/>
    <w:rsid w:val="00A02070"/>
    <w:rsid w:val="00A12209"/>
    <w:rsid w:val="00A36DF3"/>
    <w:rsid w:val="00A44A45"/>
    <w:rsid w:val="00A532DD"/>
    <w:rsid w:val="00A80BCF"/>
    <w:rsid w:val="00A84314"/>
    <w:rsid w:val="00AA31E1"/>
    <w:rsid w:val="00B07B0C"/>
    <w:rsid w:val="00B958B1"/>
    <w:rsid w:val="00BB19FD"/>
    <w:rsid w:val="00BD61A2"/>
    <w:rsid w:val="00BD7FA8"/>
    <w:rsid w:val="00BE484D"/>
    <w:rsid w:val="00BF7BE7"/>
    <w:rsid w:val="00C300AE"/>
    <w:rsid w:val="00C37E05"/>
    <w:rsid w:val="00C55D29"/>
    <w:rsid w:val="00C635AD"/>
    <w:rsid w:val="00C7733C"/>
    <w:rsid w:val="00C81256"/>
    <w:rsid w:val="00D16890"/>
    <w:rsid w:val="00D22FE9"/>
    <w:rsid w:val="00D258CC"/>
    <w:rsid w:val="00D311E9"/>
    <w:rsid w:val="00D34626"/>
    <w:rsid w:val="00D4257A"/>
    <w:rsid w:val="00D83A68"/>
    <w:rsid w:val="00D84F2C"/>
    <w:rsid w:val="00DC0CDE"/>
    <w:rsid w:val="00DD57A6"/>
    <w:rsid w:val="00DF2778"/>
    <w:rsid w:val="00E04276"/>
    <w:rsid w:val="00E0624D"/>
    <w:rsid w:val="00E61970"/>
    <w:rsid w:val="00E73E05"/>
    <w:rsid w:val="00EA51E5"/>
    <w:rsid w:val="00EB0944"/>
    <w:rsid w:val="00EB7E71"/>
    <w:rsid w:val="00ED716F"/>
    <w:rsid w:val="00EE67FB"/>
    <w:rsid w:val="00F109D4"/>
    <w:rsid w:val="00F134AD"/>
    <w:rsid w:val="00F711A4"/>
    <w:rsid w:val="00F95E31"/>
    <w:rsid w:val="00FB1581"/>
    <w:rsid w:val="00FF1057"/>
    <w:rsid w:val="00FF6EC0"/>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392BBA"/>
    <w:pPr>
      <w:spacing w:before="120"/>
      <w:ind w:left="1140"/>
      <w:outlineLvl w:val="3"/>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uiPriority w:val="99"/>
    <w:unhideWhenUsed/>
    <w:rsid w:val="00A532DD"/>
    <w:rPr>
      <w:color w:val="0000FF"/>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link w:val="Default"/>
    <w:rsid w:val="00E0624D"/>
    <w:rPr>
      <w:color w:val="000000"/>
      <w:sz w:val="24"/>
      <w:szCs w:val="24"/>
    </w:rPr>
  </w:style>
  <w:style w:type="character" w:customStyle="1" w:styleId="BulletChar">
    <w:name w:val="Bullet 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link w:val="DoubleDot"/>
    <w:rsid w:val="00E0624D"/>
    <w:rPr>
      <w:color w:val="000000"/>
      <w:sz w:val="24"/>
      <w:szCs w:val="23"/>
    </w:rPr>
  </w:style>
  <w:style w:type="character" w:styleId="PlaceholderText">
    <w:name w:val="Placeholder Tex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link w:val="BalloonText"/>
    <w:uiPriority w:val="99"/>
    <w:semiHidden/>
    <w:rsid w:val="00A12209"/>
    <w:rPr>
      <w:rFonts w:ascii="Tahoma" w:hAnsi="Tahoma" w:cs="Tahoma"/>
      <w:sz w:val="16"/>
      <w:szCs w:val="16"/>
    </w:rPr>
  </w:style>
  <w:style w:type="character" w:styleId="CommentReference">
    <w:name w:val="annotation reference"/>
    <w:uiPriority w:val="99"/>
    <w:semiHidden/>
    <w:unhideWhenUsed/>
    <w:rsid w:val="005A1183"/>
    <w:rPr>
      <w:sz w:val="16"/>
      <w:szCs w:val="16"/>
    </w:rPr>
  </w:style>
  <w:style w:type="paragraph" w:styleId="CommentText">
    <w:name w:val="annotation text"/>
    <w:basedOn w:val="Normal"/>
    <w:link w:val="CommentTextChar"/>
    <w:uiPriority w:val="99"/>
    <w:semiHidden/>
    <w:unhideWhenUsed/>
    <w:rsid w:val="005A1183"/>
    <w:pPr>
      <w:spacing w:before="0" w:after="200"/>
    </w:pPr>
    <w:rPr>
      <w:rFonts w:ascii="Calibri" w:eastAsia="Calibri" w:hAnsi="Calibri"/>
      <w:sz w:val="20"/>
      <w:lang w:eastAsia="en-US"/>
    </w:rPr>
  </w:style>
  <w:style w:type="character" w:customStyle="1" w:styleId="CommentTextChar">
    <w:name w:val="Comment Text Char"/>
    <w:link w:val="CommentText"/>
    <w:uiPriority w:val="99"/>
    <w:semiHidden/>
    <w:rsid w:val="005A1183"/>
    <w:rPr>
      <w:rFonts w:ascii="Calibri" w:eastAsia="Calibri" w:hAnsi="Calibri" w:cs="Times New Roman"/>
      <w:lang w:eastAsia="en-US"/>
    </w:rPr>
  </w:style>
  <w:style w:type="paragraph" w:customStyle="1" w:styleId="ChapterHeading">
    <w:name w:val="Chapter Heading"/>
    <w:next w:val="Heading2"/>
    <w:rsid w:val="004335FA"/>
    <w:pPr>
      <w:numPr>
        <w:numId w:val="4"/>
      </w:numPr>
      <w:pBdr>
        <w:top w:val="single" w:sz="4" w:space="1" w:color="auto"/>
        <w:bottom w:val="single" w:sz="4" w:space="1" w:color="auto"/>
      </w:pBdr>
      <w:spacing w:before="240" w:line="260" w:lineRule="atLeast"/>
    </w:pPr>
    <w:rPr>
      <w:rFonts w:ascii="Helvetica" w:hAnsi="Helvetica"/>
      <w:b/>
      <w:i/>
      <w:sz w:val="38"/>
    </w:rPr>
  </w:style>
  <w:style w:type="paragraph" w:customStyle="1" w:styleId="TableHeadingoutsidetable">
    <w:name w:val="Table Heading (outside table)"/>
    <w:basedOn w:val="Heading4"/>
    <w:rsid w:val="004335FA"/>
    <w:pPr>
      <w:numPr>
        <w:ilvl w:val="4"/>
        <w:numId w:val="4"/>
      </w:numPr>
      <w:tabs>
        <w:tab w:val="clear" w:pos="1987"/>
        <w:tab w:val="num" w:pos="360"/>
      </w:tabs>
      <w:ind w:left="0"/>
    </w:pPr>
    <w:rPr>
      <w:i w:val="0"/>
      <w:kern w:val="0"/>
      <w:sz w:val="22"/>
    </w:rPr>
  </w:style>
  <w:style w:type="character" w:customStyle="1" w:styleId="base-text-paragraphChar">
    <w:name w:val="base-text-paragraph Char"/>
    <w:link w:val="base-text-paragraph"/>
    <w:locked/>
    <w:rsid w:val="004335FA"/>
    <w:rPr>
      <w:sz w:val="24"/>
    </w:rPr>
  </w:style>
  <w:style w:type="paragraph" w:customStyle="1" w:styleId="ExampleHeading">
    <w:name w:val="Example Heading"/>
    <w:basedOn w:val="Normal"/>
    <w:next w:val="Normal"/>
    <w:rsid w:val="004335FA"/>
    <w:pPr>
      <w:keepNext/>
      <w:numPr>
        <w:ilvl w:val="3"/>
        <w:numId w:val="4"/>
      </w:numPr>
    </w:pPr>
    <w:rPr>
      <w:b/>
      <w:sz w:val="22"/>
    </w:rPr>
  </w:style>
  <w:style w:type="paragraph" w:customStyle="1" w:styleId="Diagram">
    <w:name w:val="Diagram"/>
    <w:basedOn w:val="Normal"/>
    <w:next w:val="Normal"/>
    <w:rsid w:val="004335FA"/>
    <w:pPr>
      <w:keepNext/>
      <w:numPr>
        <w:ilvl w:val="2"/>
        <w:numId w:val="4"/>
      </w:numPr>
      <w:spacing w:before="0" w:after="0"/>
    </w:pPr>
    <w:rPr>
      <w:b/>
      <w:sz w:val="22"/>
    </w:rPr>
  </w:style>
  <w:style w:type="numbering" w:customStyle="1" w:styleId="ChapterList">
    <w:name w:val="ChapterList"/>
    <w:uiPriority w:val="99"/>
    <w:rsid w:val="004335FA"/>
    <w:pPr>
      <w:numPr>
        <w:numId w:val="4"/>
      </w:numPr>
    </w:pPr>
  </w:style>
  <w:style w:type="paragraph" w:styleId="Header">
    <w:name w:val="header"/>
    <w:basedOn w:val="Normal"/>
    <w:link w:val="HeaderChar"/>
    <w:uiPriority w:val="99"/>
    <w:unhideWhenUsed/>
    <w:rsid w:val="000407A7"/>
    <w:pPr>
      <w:tabs>
        <w:tab w:val="center" w:pos="4513"/>
        <w:tab w:val="right" w:pos="9026"/>
      </w:tabs>
      <w:spacing w:before="0" w:after="0"/>
    </w:pPr>
  </w:style>
  <w:style w:type="character" w:customStyle="1" w:styleId="HeaderChar">
    <w:name w:val="Header Char"/>
    <w:link w:val="Header"/>
    <w:uiPriority w:val="99"/>
    <w:rsid w:val="000407A7"/>
    <w:rPr>
      <w:sz w:val="24"/>
    </w:rPr>
  </w:style>
  <w:style w:type="paragraph" w:styleId="Footer">
    <w:name w:val="footer"/>
    <w:basedOn w:val="Normal"/>
    <w:link w:val="FooterChar"/>
    <w:uiPriority w:val="99"/>
    <w:unhideWhenUsed/>
    <w:rsid w:val="000407A7"/>
    <w:pPr>
      <w:tabs>
        <w:tab w:val="center" w:pos="4513"/>
        <w:tab w:val="right" w:pos="9026"/>
      </w:tabs>
      <w:spacing w:before="0" w:after="0"/>
    </w:pPr>
  </w:style>
  <w:style w:type="character" w:customStyle="1" w:styleId="FooterChar">
    <w:name w:val="Footer Char"/>
    <w:link w:val="Footer"/>
    <w:uiPriority w:val="99"/>
    <w:rsid w:val="000407A7"/>
    <w:rPr>
      <w:sz w:val="24"/>
    </w:rPr>
  </w:style>
  <w:style w:type="paragraph" w:customStyle="1" w:styleId="SecurityClassificationHeader">
    <w:name w:val="Security Classification Header"/>
    <w:link w:val="SecurityClassificationHeaderChar"/>
    <w:rsid w:val="00E04276"/>
    <w:pPr>
      <w:spacing w:after="240"/>
      <w:jc w:val="center"/>
    </w:pPr>
    <w:rPr>
      <w:b/>
      <w:caps/>
      <w:sz w:val="24"/>
    </w:rPr>
  </w:style>
  <w:style w:type="character" w:customStyle="1" w:styleId="SecurityClassificationHeaderChar">
    <w:name w:val="Security Classification Header Char"/>
    <w:link w:val="SecurityClassificationHeader"/>
    <w:rsid w:val="00E04276"/>
    <w:rPr>
      <w:b/>
      <w:caps/>
      <w:sz w:val="24"/>
    </w:rPr>
  </w:style>
  <w:style w:type="paragraph" w:customStyle="1" w:styleId="SecurityClassificationFooter">
    <w:name w:val="Security Classification Footer"/>
    <w:link w:val="SecurityClassificationFooterChar"/>
    <w:rsid w:val="00E04276"/>
    <w:pPr>
      <w:spacing w:before="240"/>
      <w:jc w:val="center"/>
    </w:pPr>
    <w:rPr>
      <w:b/>
      <w:caps/>
      <w:sz w:val="24"/>
    </w:rPr>
  </w:style>
  <w:style w:type="character" w:customStyle="1" w:styleId="SecurityClassificationFooterChar">
    <w:name w:val="Security Classification Footer Char"/>
    <w:link w:val="SecurityClassificationFooter"/>
    <w:rsid w:val="00E04276"/>
    <w:rPr>
      <w:b/>
      <w:caps/>
      <w:sz w:val="24"/>
    </w:rPr>
  </w:style>
  <w:style w:type="paragraph" w:styleId="NoSpacing">
    <w:name w:val="No Spacing"/>
    <w:uiPriority w:val="1"/>
    <w:qFormat/>
    <w:rsid w:val="00BB19FD"/>
    <w:rPr>
      <w:sz w:val="24"/>
    </w:rPr>
  </w:style>
</w:styles>
</file>

<file path=word/webSettings.xml><?xml version="1.0" encoding="utf-8"?>
<w:webSettings xmlns:r="http://schemas.openxmlformats.org/officeDocument/2006/relationships" xmlns:w="http://schemas.openxmlformats.org/wordprocessingml/2006/main">
  <w:divs>
    <w:div w:id="148138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3F4AC-B649-46B8-B74D-4B717C24F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Xco Explanatory Statement</Template>
  <TotalTime>0</TotalTime>
  <Pages>3</Pages>
  <Words>826</Words>
  <Characters>4289</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Coronakes Pead, Jessie</dc:creator>
  <cp:keywords/>
  <cp:lastModifiedBy>hilhma</cp:lastModifiedBy>
  <cp:revision>2</cp:revision>
  <cp:lastPrinted>2012-05-18T01:51:00Z</cp:lastPrinted>
  <dcterms:created xsi:type="dcterms:W3CDTF">2012-06-27T01:05:00Z</dcterms:created>
  <dcterms:modified xsi:type="dcterms:W3CDTF">2012-06-27T01:05:00Z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-694862426</vt:i4>
  </property>
  <property fmtid="{D5CDD505-2E9C-101B-9397-08002B2CF9AE}" pid="3" name="_NewReviewCycle">
    <vt:lpwstr/>
  </property>
  <property fmtid="{D5CDD505-2E9C-101B-9397-08002B2CF9AE}" pid="4" name="_EmailSubject">
    <vt:lpwstr>Lodgement of your regs with FRLI [SEC=UNCLASSIFIED]</vt:lpwstr>
  </property>
  <property fmtid="{D5CDD505-2E9C-101B-9397-08002B2CF9AE}" pid="5" name="_AuthorEmail">
    <vt:lpwstr>Jessie.CoronakesPead@TREASURY.GOV.AU</vt:lpwstr>
  </property>
  <property fmtid="{D5CDD505-2E9C-101B-9397-08002B2CF9AE}" pid="6" name="_AuthorEmailDisplayName">
    <vt:lpwstr>Coronakes Pead, Jessie</vt:lpwstr>
  </property>
  <property fmtid="{D5CDD505-2E9C-101B-9397-08002B2CF9AE}" pid="7" name="SecurityClassification">
    <vt:lpwstr/>
  </property>
  <property fmtid="{D5CDD505-2E9C-101B-9397-08002B2CF9AE}" pid="8" name="_PreviousAdHocReviewCycleID">
    <vt:i4>-2119910230</vt:i4>
  </property>
  <property fmtid="{D5CDD505-2E9C-101B-9397-08002B2CF9AE}" pid="9" name="_ReviewingToolsShownOnce">
    <vt:lpwstr/>
  </property>
</Properties>
</file>