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84F" w:rsidRPr="00A3084F" w:rsidRDefault="00A3084F" w:rsidP="00A3084F">
      <w:pPr>
        <w:pStyle w:val="Title"/>
        <w:rPr>
          <w:szCs w:val="24"/>
        </w:rPr>
      </w:pPr>
      <w:bookmarkStart w:id="0" w:name="_Toc290210739"/>
      <w:r w:rsidRPr="00A3084F">
        <w:rPr>
          <w:szCs w:val="24"/>
        </w:rPr>
        <w:t>EXPLANATORY STATEMENT</w:t>
      </w:r>
    </w:p>
    <w:p w:rsidR="00A3084F" w:rsidRPr="00A3084F" w:rsidRDefault="00A3084F" w:rsidP="00A3084F">
      <w:pPr>
        <w:pStyle w:val="Title"/>
        <w:rPr>
          <w:b w:val="0"/>
          <w:szCs w:val="24"/>
        </w:rPr>
      </w:pPr>
    </w:p>
    <w:p w:rsidR="00A3084F" w:rsidRPr="00F60F93" w:rsidRDefault="00A3084F" w:rsidP="00A3084F">
      <w:pPr>
        <w:pStyle w:val="Subtitle"/>
        <w:jc w:val="center"/>
        <w:rPr>
          <w:b/>
          <w:szCs w:val="24"/>
        </w:rPr>
      </w:pPr>
      <w:r w:rsidRPr="00F60F93">
        <w:rPr>
          <w:b/>
          <w:szCs w:val="24"/>
        </w:rPr>
        <w:t>Select Legislative Instrument 2012 No.</w:t>
      </w:r>
      <w:r w:rsidR="00F60F93">
        <w:rPr>
          <w:b/>
          <w:szCs w:val="24"/>
        </w:rPr>
        <w:t xml:space="preserve"> 138</w:t>
      </w:r>
    </w:p>
    <w:p w:rsidR="00A3084F" w:rsidRPr="00A3084F" w:rsidRDefault="00A3084F" w:rsidP="00A3084F">
      <w:pPr>
        <w:pStyle w:val="Subtitle"/>
        <w:jc w:val="center"/>
        <w:rPr>
          <w:szCs w:val="24"/>
          <w:u w:val="none"/>
        </w:rPr>
      </w:pPr>
    </w:p>
    <w:p w:rsidR="00A3084F" w:rsidRPr="00A3084F" w:rsidRDefault="00A3084F" w:rsidP="00A3084F">
      <w:pPr>
        <w:pStyle w:val="Subtitle"/>
        <w:jc w:val="center"/>
        <w:rPr>
          <w:i/>
          <w:szCs w:val="24"/>
          <w:u w:val="none"/>
        </w:rPr>
      </w:pPr>
      <w:r w:rsidRPr="00A3084F">
        <w:rPr>
          <w:i/>
          <w:szCs w:val="24"/>
          <w:u w:val="none"/>
        </w:rPr>
        <w:t>Health Insurance Act 1973</w:t>
      </w:r>
    </w:p>
    <w:p w:rsidR="00A3084F" w:rsidRPr="00A3084F" w:rsidRDefault="00A3084F" w:rsidP="00A3084F">
      <w:pPr>
        <w:pStyle w:val="Subtitle"/>
        <w:ind w:left="1701"/>
        <w:jc w:val="center"/>
        <w:rPr>
          <w:i/>
          <w:szCs w:val="24"/>
          <w:u w:val="none"/>
        </w:rPr>
      </w:pPr>
    </w:p>
    <w:p w:rsidR="00A3084F" w:rsidRPr="00A3084F" w:rsidRDefault="00A3084F" w:rsidP="00A3084F">
      <w:pPr>
        <w:pStyle w:val="Subtitle"/>
        <w:jc w:val="center"/>
        <w:rPr>
          <w:i/>
          <w:szCs w:val="24"/>
          <w:u w:val="none"/>
        </w:rPr>
      </w:pPr>
      <w:r w:rsidRPr="00A3084F">
        <w:rPr>
          <w:i/>
          <w:szCs w:val="24"/>
          <w:u w:val="none"/>
        </w:rPr>
        <w:t>Health Insurance A</w:t>
      </w:r>
      <w:r w:rsidR="00F60F93">
        <w:rPr>
          <w:i/>
          <w:szCs w:val="24"/>
          <w:u w:val="none"/>
        </w:rPr>
        <w:t>mendment Regulation 2012 (No. 1</w:t>
      </w:r>
      <w:r w:rsidRPr="00A3084F">
        <w:rPr>
          <w:i/>
          <w:szCs w:val="24"/>
          <w:u w:val="none"/>
        </w:rPr>
        <w:t>)</w:t>
      </w:r>
    </w:p>
    <w:p w:rsidR="00A3084F" w:rsidRPr="00A3084F" w:rsidRDefault="00A3084F" w:rsidP="00A3084F">
      <w:pPr>
        <w:pStyle w:val="Subtitle"/>
        <w:ind w:left="1701"/>
        <w:rPr>
          <w:i/>
          <w:szCs w:val="24"/>
          <w:u w:val="none"/>
        </w:rPr>
      </w:pPr>
    </w:p>
    <w:p w:rsidR="00A3084F" w:rsidRPr="00A3084F" w:rsidRDefault="00A3084F" w:rsidP="00A3084F">
      <w:pPr>
        <w:spacing w:after="0" w:line="240" w:lineRule="auto"/>
        <w:ind w:left="550" w:right="402"/>
        <w:rPr>
          <w:rFonts w:ascii="Times New Roman" w:hAnsi="Times New Roman"/>
          <w:sz w:val="24"/>
          <w:szCs w:val="24"/>
        </w:rPr>
      </w:pPr>
      <w:r w:rsidRPr="00A3084F">
        <w:rPr>
          <w:rFonts w:ascii="Times New Roman" w:hAnsi="Times New Roman"/>
          <w:sz w:val="24"/>
          <w:szCs w:val="24"/>
        </w:rPr>
        <w:t xml:space="preserve">Subsection 133(1) of the </w:t>
      </w:r>
      <w:r w:rsidRPr="00A3084F">
        <w:rPr>
          <w:rFonts w:ascii="Times New Roman" w:hAnsi="Times New Roman"/>
          <w:i/>
          <w:sz w:val="24"/>
          <w:szCs w:val="24"/>
        </w:rPr>
        <w:t xml:space="preserve">Health Insurance Act 1973 </w:t>
      </w:r>
      <w:r w:rsidRPr="00A3084F">
        <w:rPr>
          <w:rFonts w:ascii="Times New Roman" w:hAnsi="Times New Roman"/>
          <w:sz w:val="24"/>
          <w:szCs w:val="24"/>
        </w:rPr>
        <w:t xml:space="preserve">(the Act) provides that the </w:t>
      </w:r>
    </w:p>
    <w:p w:rsidR="00A3084F" w:rsidRPr="00A3084F" w:rsidRDefault="00A3084F" w:rsidP="00A3084F">
      <w:pPr>
        <w:spacing w:after="0" w:line="240" w:lineRule="auto"/>
        <w:ind w:left="550" w:right="402"/>
        <w:rPr>
          <w:rFonts w:ascii="Times New Roman" w:hAnsi="Times New Roman"/>
          <w:sz w:val="24"/>
          <w:szCs w:val="24"/>
        </w:rPr>
      </w:pPr>
      <w:r w:rsidRPr="00A3084F">
        <w:rPr>
          <w:rFonts w:ascii="Times New Roman" w:hAnsi="Times New Roman"/>
          <w:sz w:val="24"/>
          <w:szCs w:val="24"/>
        </w:rPr>
        <w:t xml:space="preserve">Governor-General may make regulations, not inconsistent with the Act, prescribing all matters required or permitted by the Act to be prescribed, or necessary or convenient to be prescribed for carrying out or giving effect to the Act. </w:t>
      </w:r>
    </w:p>
    <w:p w:rsidR="00A3084F" w:rsidRPr="00A3084F" w:rsidRDefault="00A3084F" w:rsidP="00A3084F">
      <w:pPr>
        <w:pStyle w:val="Subtitle"/>
        <w:ind w:left="550" w:right="402"/>
        <w:rPr>
          <w:szCs w:val="24"/>
          <w:u w:val="none"/>
        </w:rPr>
      </w:pPr>
    </w:p>
    <w:p w:rsidR="00A3084F" w:rsidRPr="00A3084F" w:rsidRDefault="00A3084F" w:rsidP="00A3084F">
      <w:pPr>
        <w:pStyle w:val="Subtitle"/>
        <w:ind w:left="550" w:right="402"/>
        <w:rPr>
          <w:szCs w:val="24"/>
          <w:u w:val="none"/>
        </w:rPr>
      </w:pPr>
      <w:r w:rsidRPr="00A3084F">
        <w:rPr>
          <w:szCs w:val="24"/>
          <w:u w:val="none"/>
        </w:rPr>
        <w:t xml:space="preserve">The Act provides, in part, for payments of medicare benefits in respect of professional services rendered to eligible persons by medical practitioners who are not vocationally registered but are undertaking approved placements in specified workforce programs which will lead to vocational registration.  Section 3GA of the Act refers to the approved programs and courses in which a non-vocationally registered medical practitioner can participate in order to be eligible to provide </w:t>
      </w:r>
      <w:proofErr w:type="spellStart"/>
      <w:r w:rsidRPr="00A3084F">
        <w:rPr>
          <w:szCs w:val="24"/>
          <w:u w:val="none"/>
        </w:rPr>
        <w:t>rebateable</w:t>
      </w:r>
      <w:proofErr w:type="spellEnd"/>
      <w:r w:rsidRPr="00A3084F">
        <w:rPr>
          <w:szCs w:val="24"/>
          <w:u w:val="none"/>
        </w:rPr>
        <w:t xml:space="preserve"> services.  (Section 3GA, section 3GC and section 19AA of the Act are collectively known as Medicare Provider Number Legislation.) </w:t>
      </w:r>
    </w:p>
    <w:p w:rsidR="00A3084F" w:rsidRPr="00A3084F" w:rsidRDefault="00A3084F" w:rsidP="00A3084F">
      <w:pPr>
        <w:spacing w:after="0"/>
        <w:ind w:left="550" w:right="402"/>
        <w:rPr>
          <w:rFonts w:ascii="Times New Roman" w:hAnsi="Times New Roman"/>
          <w:sz w:val="24"/>
          <w:szCs w:val="24"/>
        </w:rPr>
      </w:pPr>
    </w:p>
    <w:p w:rsidR="00A3084F" w:rsidRPr="00A3084F" w:rsidRDefault="00A3084F" w:rsidP="00A3084F">
      <w:pPr>
        <w:spacing w:after="0" w:line="240" w:lineRule="auto"/>
        <w:ind w:left="550" w:right="402"/>
        <w:rPr>
          <w:rFonts w:ascii="Times New Roman" w:hAnsi="Times New Roman"/>
          <w:sz w:val="24"/>
          <w:szCs w:val="24"/>
        </w:rPr>
      </w:pPr>
      <w:r w:rsidRPr="00A3084F">
        <w:rPr>
          <w:rFonts w:ascii="Times New Roman" w:hAnsi="Times New Roman"/>
          <w:sz w:val="24"/>
          <w:szCs w:val="24"/>
        </w:rPr>
        <w:t xml:space="preserve">The approved programs and courses referred to in section 3GA of the Act are specified in Part 2 of Schedule 5 of the </w:t>
      </w:r>
      <w:r w:rsidRPr="00A3084F">
        <w:rPr>
          <w:rFonts w:ascii="Times New Roman" w:hAnsi="Times New Roman"/>
          <w:i/>
          <w:sz w:val="24"/>
          <w:szCs w:val="24"/>
        </w:rPr>
        <w:t xml:space="preserve">Health Insurance Regulations 1975 </w:t>
      </w:r>
      <w:r w:rsidRPr="00A3084F">
        <w:rPr>
          <w:rFonts w:ascii="Times New Roman" w:hAnsi="Times New Roman"/>
          <w:sz w:val="24"/>
          <w:szCs w:val="24"/>
        </w:rPr>
        <w:t xml:space="preserve">(the Principal Regulations).  Recently, the status of several programs and courses in Part 2 of Schedule 5 have changed.  The 2010 Review into Medicare Provider Number Legislation recommended that Part 2, Schedule 5 of the Principal Regulations be amended to reflect these changes. </w:t>
      </w:r>
    </w:p>
    <w:p w:rsidR="00A3084F" w:rsidRPr="00A3084F" w:rsidRDefault="00A3084F" w:rsidP="00A3084F">
      <w:pPr>
        <w:spacing w:after="0"/>
        <w:ind w:left="550" w:right="402"/>
        <w:rPr>
          <w:rFonts w:ascii="Times New Roman" w:hAnsi="Times New Roman"/>
          <w:sz w:val="24"/>
          <w:szCs w:val="24"/>
        </w:rPr>
      </w:pPr>
    </w:p>
    <w:p w:rsidR="00A3084F" w:rsidRPr="00A3084F" w:rsidRDefault="00A3084F" w:rsidP="00A3084F">
      <w:pPr>
        <w:spacing w:after="0"/>
        <w:ind w:left="550" w:right="402"/>
        <w:rPr>
          <w:rFonts w:ascii="Times New Roman" w:hAnsi="Times New Roman"/>
          <w:sz w:val="24"/>
          <w:szCs w:val="24"/>
        </w:rPr>
      </w:pPr>
      <w:r w:rsidRPr="00A3084F">
        <w:rPr>
          <w:rFonts w:ascii="Times New Roman" w:hAnsi="Times New Roman"/>
          <w:sz w:val="24"/>
          <w:szCs w:val="24"/>
        </w:rPr>
        <w:t>In particular</w:t>
      </w:r>
    </w:p>
    <w:p w:rsidR="00A3084F" w:rsidRPr="00A3084F" w:rsidRDefault="00A3084F" w:rsidP="00A3084F">
      <w:pPr>
        <w:numPr>
          <w:ilvl w:val="0"/>
          <w:numId w:val="5"/>
        </w:numPr>
        <w:spacing w:after="0" w:line="240" w:lineRule="auto"/>
        <w:ind w:left="770" w:right="402" w:hanging="220"/>
        <w:rPr>
          <w:rFonts w:ascii="Times New Roman" w:hAnsi="Times New Roman"/>
          <w:sz w:val="24"/>
          <w:szCs w:val="24"/>
        </w:rPr>
      </w:pPr>
      <w:r w:rsidRPr="00A3084F">
        <w:rPr>
          <w:rFonts w:ascii="Times New Roman" w:hAnsi="Times New Roman"/>
          <w:sz w:val="24"/>
          <w:szCs w:val="24"/>
        </w:rPr>
        <w:t xml:space="preserve">the Rural and Remote Area Placement Program (item 2), the Assistance at Operations Program (item 5) and the Metropolitan Workforce Support Program (item 6) be removed from </w:t>
      </w:r>
    </w:p>
    <w:p w:rsidR="00A3084F" w:rsidRPr="00A3084F" w:rsidRDefault="00A3084F" w:rsidP="00A3084F">
      <w:pPr>
        <w:spacing w:after="0" w:line="240" w:lineRule="auto"/>
        <w:ind w:left="550" w:right="402"/>
        <w:rPr>
          <w:rFonts w:ascii="Times New Roman" w:hAnsi="Times New Roman"/>
          <w:sz w:val="24"/>
          <w:szCs w:val="24"/>
        </w:rPr>
      </w:pPr>
      <w:r>
        <w:rPr>
          <w:rFonts w:ascii="Times New Roman" w:hAnsi="Times New Roman"/>
          <w:sz w:val="24"/>
          <w:szCs w:val="24"/>
        </w:rPr>
        <w:t xml:space="preserve">    P</w:t>
      </w:r>
      <w:r w:rsidRPr="00A3084F">
        <w:rPr>
          <w:rFonts w:ascii="Times New Roman" w:hAnsi="Times New Roman"/>
          <w:sz w:val="24"/>
          <w:szCs w:val="24"/>
        </w:rPr>
        <w:t xml:space="preserve">art 2, Schedule 5 as they no longer exist; and </w:t>
      </w:r>
    </w:p>
    <w:p w:rsidR="00A3084F" w:rsidRPr="00A3084F" w:rsidRDefault="00A3084F" w:rsidP="00A3084F">
      <w:pPr>
        <w:numPr>
          <w:ilvl w:val="0"/>
          <w:numId w:val="5"/>
        </w:numPr>
        <w:spacing w:after="0" w:line="240" w:lineRule="auto"/>
        <w:ind w:left="770" w:right="402" w:hanging="220"/>
        <w:rPr>
          <w:rFonts w:ascii="Times New Roman" w:hAnsi="Times New Roman"/>
          <w:sz w:val="24"/>
          <w:szCs w:val="24"/>
        </w:rPr>
      </w:pPr>
      <w:r w:rsidRPr="00A3084F">
        <w:rPr>
          <w:rFonts w:ascii="Times New Roman" w:hAnsi="Times New Roman"/>
          <w:sz w:val="24"/>
          <w:szCs w:val="24"/>
        </w:rPr>
        <w:t xml:space="preserve">the references to the Pre-vocational General Practice Placements Program being managed by the Royal Australian College of General Practitioners (item 19) or the Australian College of Rural and Remote Medicine (item 1) be removed from Part 2, Schedule 5 as the Program is now wholly managed through General Practice Education and Training Limited. </w:t>
      </w:r>
    </w:p>
    <w:p w:rsidR="00A3084F" w:rsidRPr="00A3084F" w:rsidRDefault="00A3084F" w:rsidP="00A3084F">
      <w:pPr>
        <w:spacing w:after="0"/>
        <w:ind w:left="550" w:right="402"/>
        <w:rPr>
          <w:rFonts w:ascii="Times New Roman" w:hAnsi="Times New Roman"/>
          <w:sz w:val="24"/>
          <w:szCs w:val="24"/>
        </w:rPr>
      </w:pPr>
    </w:p>
    <w:p w:rsidR="00A3084F" w:rsidRPr="00A3084F" w:rsidRDefault="00A3084F" w:rsidP="00A3084F">
      <w:pPr>
        <w:spacing w:after="0" w:line="240" w:lineRule="auto"/>
        <w:ind w:left="550" w:right="402"/>
        <w:rPr>
          <w:rFonts w:ascii="Times New Roman" w:hAnsi="Times New Roman"/>
          <w:sz w:val="24"/>
          <w:szCs w:val="24"/>
        </w:rPr>
      </w:pPr>
      <w:r w:rsidRPr="00A3084F">
        <w:rPr>
          <w:rFonts w:ascii="Times New Roman" w:hAnsi="Times New Roman"/>
          <w:sz w:val="24"/>
          <w:szCs w:val="24"/>
        </w:rPr>
        <w:t xml:space="preserve">The amendments to the Principal Regulations remove the above references from Part 2, Schedule 5 and result in an updated list of approved programs under section 3GA of the Act. </w:t>
      </w:r>
    </w:p>
    <w:p w:rsidR="00A3084F" w:rsidRPr="00A3084F" w:rsidRDefault="00A3084F" w:rsidP="00A3084F">
      <w:pPr>
        <w:spacing w:after="0" w:line="240" w:lineRule="auto"/>
        <w:ind w:left="550" w:right="402"/>
        <w:rPr>
          <w:rFonts w:ascii="Times New Roman" w:hAnsi="Times New Roman"/>
          <w:sz w:val="24"/>
          <w:szCs w:val="24"/>
        </w:rPr>
      </w:pPr>
    </w:p>
    <w:p w:rsidR="00A3084F" w:rsidRPr="00A3084F" w:rsidRDefault="00A3084F" w:rsidP="00A3084F">
      <w:pPr>
        <w:pStyle w:val="Header"/>
        <w:spacing w:after="0" w:line="240" w:lineRule="auto"/>
        <w:ind w:left="550" w:right="402"/>
        <w:rPr>
          <w:rFonts w:ascii="Times New Roman" w:hAnsi="Times New Roman"/>
          <w:sz w:val="24"/>
          <w:szCs w:val="24"/>
        </w:rPr>
      </w:pPr>
      <w:r w:rsidRPr="00A3084F">
        <w:rPr>
          <w:rFonts w:ascii="Times New Roman" w:hAnsi="Times New Roman"/>
          <w:sz w:val="24"/>
          <w:szCs w:val="24"/>
        </w:rPr>
        <w:t>The Act specifies no conditions that need to be met before the power to make the regulation may be exercised.</w:t>
      </w:r>
    </w:p>
    <w:p w:rsidR="00A3084F" w:rsidRPr="00A3084F" w:rsidRDefault="00A3084F" w:rsidP="00A3084F">
      <w:pPr>
        <w:pStyle w:val="Header"/>
        <w:spacing w:after="0" w:line="240" w:lineRule="auto"/>
        <w:ind w:left="550" w:right="402"/>
        <w:rPr>
          <w:rFonts w:ascii="Times New Roman" w:hAnsi="Times New Roman"/>
          <w:sz w:val="24"/>
          <w:szCs w:val="24"/>
        </w:rPr>
      </w:pPr>
    </w:p>
    <w:p w:rsidR="00A3084F" w:rsidRPr="00A3084F" w:rsidRDefault="00A3084F" w:rsidP="00A3084F">
      <w:pPr>
        <w:spacing w:after="0" w:line="240" w:lineRule="auto"/>
        <w:ind w:left="550" w:right="402"/>
        <w:rPr>
          <w:rFonts w:ascii="Times New Roman" w:hAnsi="Times New Roman"/>
          <w:sz w:val="24"/>
          <w:szCs w:val="24"/>
        </w:rPr>
      </w:pPr>
      <w:r w:rsidRPr="00A3084F">
        <w:rPr>
          <w:rFonts w:ascii="Times New Roman" w:hAnsi="Times New Roman"/>
          <w:sz w:val="24"/>
          <w:szCs w:val="24"/>
        </w:rPr>
        <w:t xml:space="preserve">The regulation is a legislative instrument for the purposes of the </w:t>
      </w:r>
      <w:r w:rsidRPr="00A3084F">
        <w:rPr>
          <w:rFonts w:ascii="Times New Roman" w:hAnsi="Times New Roman"/>
          <w:i/>
          <w:sz w:val="24"/>
          <w:szCs w:val="24"/>
        </w:rPr>
        <w:t>Legislative Instruments Act 2003</w:t>
      </w:r>
      <w:r w:rsidRPr="00A3084F">
        <w:rPr>
          <w:rFonts w:ascii="Times New Roman" w:hAnsi="Times New Roman"/>
          <w:sz w:val="24"/>
          <w:szCs w:val="24"/>
        </w:rPr>
        <w:t>.</w:t>
      </w:r>
    </w:p>
    <w:p w:rsidR="00A3084F" w:rsidRPr="00A3084F" w:rsidRDefault="00A3084F" w:rsidP="00A3084F">
      <w:pPr>
        <w:spacing w:after="0" w:line="240" w:lineRule="auto"/>
        <w:ind w:left="550" w:right="402"/>
        <w:rPr>
          <w:rFonts w:ascii="Times New Roman" w:hAnsi="Times New Roman"/>
          <w:sz w:val="24"/>
          <w:szCs w:val="24"/>
        </w:rPr>
      </w:pPr>
    </w:p>
    <w:p w:rsidR="00A3084F" w:rsidRPr="00A3084F" w:rsidRDefault="00A3084F" w:rsidP="00A3084F">
      <w:pPr>
        <w:spacing w:after="0" w:line="240" w:lineRule="auto"/>
        <w:ind w:left="550" w:right="402"/>
        <w:rPr>
          <w:rFonts w:ascii="Times New Roman" w:hAnsi="Times New Roman"/>
          <w:sz w:val="24"/>
          <w:szCs w:val="24"/>
        </w:rPr>
      </w:pPr>
      <w:r w:rsidRPr="00A3084F">
        <w:rPr>
          <w:rFonts w:ascii="Times New Roman" w:hAnsi="Times New Roman"/>
          <w:sz w:val="24"/>
          <w:szCs w:val="24"/>
        </w:rPr>
        <w:t>The regulation commences on the day after it is registered.</w:t>
      </w:r>
    </w:p>
    <w:p w:rsidR="00A3084F" w:rsidRPr="00A3084F" w:rsidRDefault="00A3084F" w:rsidP="00A3084F">
      <w:pPr>
        <w:spacing w:after="0" w:line="240" w:lineRule="auto"/>
        <w:ind w:left="550" w:right="402"/>
        <w:rPr>
          <w:rFonts w:ascii="Times New Roman" w:hAnsi="Times New Roman"/>
          <w:sz w:val="24"/>
          <w:szCs w:val="24"/>
        </w:rPr>
      </w:pPr>
    </w:p>
    <w:p w:rsidR="00A3084F" w:rsidRPr="00A3084F" w:rsidRDefault="00A3084F" w:rsidP="00A3084F">
      <w:pPr>
        <w:autoSpaceDE w:val="0"/>
        <w:autoSpaceDN w:val="0"/>
        <w:adjustRightInd w:val="0"/>
        <w:spacing w:after="0" w:line="240" w:lineRule="auto"/>
        <w:ind w:left="550" w:right="402"/>
        <w:rPr>
          <w:rFonts w:ascii="Times New Roman" w:hAnsi="Times New Roman"/>
          <w:color w:val="000000"/>
          <w:sz w:val="24"/>
          <w:szCs w:val="24"/>
          <w:lang w:val="en-US"/>
        </w:rPr>
      </w:pPr>
      <w:r w:rsidRPr="00A3084F">
        <w:rPr>
          <w:rFonts w:ascii="Times New Roman" w:hAnsi="Times New Roman"/>
          <w:color w:val="000000"/>
          <w:sz w:val="24"/>
          <w:szCs w:val="24"/>
          <w:lang w:val="en-US"/>
        </w:rPr>
        <w:lastRenderedPageBreak/>
        <w:t xml:space="preserve">The consultation for these </w:t>
      </w:r>
      <w:r w:rsidR="00616E3B">
        <w:rPr>
          <w:rFonts w:ascii="Times New Roman" w:hAnsi="Times New Roman"/>
          <w:color w:val="000000"/>
          <w:sz w:val="24"/>
          <w:szCs w:val="24"/>
          <w:lang w:val="en-US"/>
        </w:rPr>
        <w:t>changes</w:t>
      </w:r>
      <w:r w:rsidRPr="00A3084F">
        <w:rPr>
          <w:rFonts w:ascii="Times New Roman" w:hAnsi="Times New Roman"/>
          <w:color w:val="000000"/>
          <w:sz w:val="24"/>
          <w:szCs w:val="24"/>
          <w:lang w:val="en-US"/>
        </w:rPr>
        <w:t xml:space="preserve"> largely took place through the 2010 Review of Medicare Provider Number Legislation, conducted by ARTD Consultants.  As part of the Review, ARTD meet with key industry stakeholders during the consultation phase.  </w:t>
      </w:r>
      <w:r w:rsidR="00F33876">
        <w:rPr>
          <w:rFonts w:ascii="Times New Roman" w:hAnsi="Times New Roman"/>
          <w:color w:val="000000"/>
          <w:sz w:val="24"/>
          <w:szCs w:val="24"/>
          <w:lang w:val="en-US"/>
        </w:rPr>
        <w:t xml:space="preserve">Sixty-five </w:t>
      </w:r>
      <w:r w:rsidRPr="00A3084F">
        <w:rPr>
          <w:rFonts w:ascii="Times New Roman" w:hAnsi="Times New Roman"/>
          <w:color w:val="000000"/>
          <w:sz w:val="24"/>
          <w:szCs w:val="24"/>
          <w:lang w:val="en-US"/>
        </w:rPr>
        <w:t>parti</w:t>
      </w:r>
      <w:r w:rsidR="00F33876">
        <w:rPr>
          <w:rFonts w:ascii="Times New Roman" w:hAnsi="Times New Roman"/>
          <w:color w:val="000000"/>
          <w:sz w:val="24"/>
          <w:szCs w:val="24"/>
          <w:lang w:val="en-US"/>
        </w:rPr>
        <w:t xml:space="preserve">cipants engaged in one on </w:t>
      </w:r>
      <w:r w:rsidRPr="00A3084F">
        <w:rPr>
          <w:rFonts w:ascii="Times New Roman" w:hAnsi="Times New Roman"/>
          <w:color w:val="000000"/>
          <w:sz w:val="24"/>
          <w:szCs w:val="24"/>
          <w:lang w:val="en-US"/>
        </w:rPr>
        <w:t xml:space="preserve">one interviews or group meetings, six </w:t>
      </w:r>
      <w:proofErr w:type="spellStart"/>
      <w:r w:rsidRPr="00A3084F">
        <w:rPr>
          <w:rFonts w:ascii="Times New Roman" w:hAnsi="Times New Roman"/>
          <w:color w:val="000000"/>
          <w:sz w:val="24"/>
          <w:szCs w:val="24"/>
          <w:lang w:val="en-US"/>
        </w:rPr>
        <w:t>organisations</w:t>
      </w:r>
      <w:proofErr w:type="spellEnd"/>
      <w:r w:rsidRPr="00A3084F">
        <w:rPr>
          <w:rFonts w:ascii="Times New Roman" w:hAnsi="Times New Roman"/>
          <w:color w:val="000000"/>
          <w:sz w:val="24"/>
          <w:szCs w:val="24"/>
          <w:lang w:val="en-US"/>
        </w:rPr>
        <w:t xml:space="preserve"> provided formal submissions and 37 responses to a semi-structured electronic submission were received.  </w:t>
      </w:r>
    </w:p>
    <w:p w:rsidR="00A3084F" w:rsidRPr="00A3084F" w:rsidRDefault="00A3084F" w:rsidP="00A3084F">
      <w:pPr>
        <w:autoSpaceDE w:val="0"/>
        <w:autoSpaceDN w:val="0"/>
        <w:adjustRightInd w:val="0"/>
        <w:spacing w:after="0" w:line="240" w:lineRule="auto"/>
        <w:ind w:left="550" w:right="402"/>
        <w:rPr>
          <w:rFonts w:ascii="Times New Roman" w:hAnsi="Times New Roman"/>
          <w:color w:val="000000"/>
          <w:sz w:val="24"/>
          <w:szCs w:val="24"/>
          <w:lang w:val="en-US"/>
        </w:rPr>
      </w:pPr>
    </w:p>
    <w:p w:rsidR="00A3084F" w:rsidRPr="00A3084F" w:rsidRDefault="00A3084F" w:rsidP="00A3084F">
      <w:pPr>
        <w:autoSpaceDE w:val="0"/>
        <w:autoSpaceDN w:val="0"/>
        <w:adjustRightInd w:val="0"/>
        <w:spacing w:after="0" w:line="240" w:lineRule="auto"/>
        <w:ind w:left="550" w:right="402"/>
        <w:rPr>
          <w:rFonts w:ascii="Times New Roman" w:hAnsi="Times New Roman"/>
          <w:color w:val="000000"/>
          <w:sz w:val="24"/>
          <w:szCs w:val="24"/>
          <w:lang w:val="en-US"/>
        </w:rPr>
      </w:pPr>
      <w:r w:rsidRPr="00A3084F">
        <w:rPr>
          <w:rFonts w:ascii="Times New Roman" w:hAnsi="Times New Roman"/>
          <w:color w:val="000000"/>
          <w:sz w:val="24"/>
          <w:szCs w:val="24"/>
          <w:lang w:val="en-US"/>
        </w:rPr>
        <w:t>During the Review, the consultants liaised continually with the Medical Training Review Panel which includes representatives from all state and territory health administrations, recognised specialist medical colleges, medical schools, the Australian Medical Council, and a range of other professional, industrial and stakeholder bodies.</w:t>
      </w:r>
    </w:p>
    <w:p w:rsidR="00A3084F" w:rsidRPr="00A3084F" w:rsidRDefault="00A3084F" w:rsidP="00A3084F">
      <w:pPr>
        <w:autoSpaceDE w:val="0"/>
        <w:autoSpaceDN w:val="0"/>
        <w:adjustRightInd w:val="0"/>
        <w:spacing w:after="0" w:line="240" w:lineRule="auto"/>
        <w:ind w:left="550" w:right="402"/>
        <w:rPr>
          <w:rFonts w:ascii="Times New Roman" w:hAnsi="Times New Roman"/>
          <w:color w:val="000000"/>
          <w:sz w:val="24"/>
          <w:szCs w:val="24"/>
          <w:lang w:val="en-US"/>
        </w:rPr>
      </w:pPr>
    </w:p>
    <w:p w:rsidR="00A3084F" w:rsidRPr="00A3084F" w:rsidRDefault="00A3084F" w:rsidP="00A3084F">
      <w:pPr>
        <w:autoSpaceDE w:val="0"/>
        <w:autoSpaceDN w:val="0"/>
        <w:adjustRightInd w:val="0"/>
        <w:spacing w:after="0"/>
        <w:ind w:left="550" w:right="402"/>
        <w:rPr>
          <w:rFonts w:ascii="Times New Roman" w:hAnsi="Times New Roman"/>
          <w:color w:val="000000"/>
          <w:sz w:val="24"/>
          <w:szCs w:val="24"/>
          <w:lang w:val="en-US"/>
        </w:rPr>
      </w:pPr>
    </w:p>
    <w:p w:rsidR="00A3084F" w:rsidRPr="00A3084F" w:rsidRDefault="00A3084F" w:rsidP="00A3084F">
      <w:pPr>
        <w:pStyle w:val="Subtitle"/>
        <w:ind w:left="550" w:right="402"/>
        <w:rPr>
          <w:szCs w:val="24"/>
          <w:u w:val="none"/>
        </w:rPr>
      </w:pPr>
      <w:r w:rsidRPr="00A3084F">
        <w:rPr>
          <w:szCs w:val="24"/>
          <w:u w:val="none"/>
        </w:rPr>
        <w:tab/>
      </w:r>
      <w:r w:rsidRPr="00A3084F">
        <w:rPr>
          <w:szCs w:val="24"/>
          <w:u w:val="none"/>
        </w:rPr>
        <w:tab/>
      </w:r>
      <w:r w:rsidRPr="00A3084F">
        <w:rPr>
          <w:szCs w:val="24"/>
          <w:u w:val="none"/>
        </w:rPr>
        <w:tab/>
      </w:r>
      <w:r w:rsidRPr="00A3084F">
        <w:rPr>
          <w:szCs w:val="24"/>
          <w:u w:val="none"/>
        </w:rPr>
        <w:tab/>
      </w:r>
      <w:r w:rsidRPr="00A3084F">
        <w:rPr>
          <w:szCs w:val="24"/>
          <w:u w:val="none"/>
        </w:rPr>
        <w:tab/>
      </w:r>
    </w:p>
    <w:p w:rsidR="00A3084F" w:rsidRPr="00A3084F" w:rsidRDefault="00A3084F" w:rsidP="00A3084F">
      <w:pPr>
        <w:pStyle w:val="Subtitle"/>
        <w:ind w:left="550" w:right="402"/>
        <w:rPr>
          <w:i/>
          <w:szCs w:val="24"/>
          <w:u w:val="none"/>
        </w:rPr>
      </w:pPr>
      <w:r w:rsidRPr="00A3084F">
        <w:rPr>
          <w:szCs w:val="24"/>
          <w:u w:val="none"/>
        </w:rPr>
        <w:tab/>
      </w:r>
      <w:r w:rsidRPr="00A3084F">
        <w:rPr>
          <w:szCs w:val="24"/>
          <w:u w:val="none"/>
        </w:rPr>
        <w:tab/>
      </w:r>
      <w:r w:rsidRPr="00A3084F">
        <w:rPr>
          <w:szCs w:val="24"/>
          <w:u w:val="none"/>
        </w:rPr>
        <w:tab/>
      </w:r>
      <w:r w:rsidRPr="00A3084F">
        <w:rPr>
          <w:szCs w:val="24"/>
          <w:u w:val="none"/>
        </w:rPr>
        <w:tab/>
      </w:r>
      <w:r w:rsidRPr="00A3084F">
        <w:rPr>
          <w:szCs w:val="24"/>
          <w:u w:val="none"/>
        </w:rPr>
        <w:tab/>
        <w:t xml:space="preserve">                  </w:t>
      </w:r>
      <w:r>
        <w:rPr>
          <w:szCs w:val="24"/>
          <w:u w:val="none"/>
        </w:rPr>
        <w:t xml:space="preserve">            </w:t>
      </w:r>
      <w:r w:rsidRPr="00A3084F">
        <w:rPr>
          <w:szCs w:val="24"/>
          <w:u w:val="none"/>
        </w:rPr>
        <w:t xml:space="preserve"> </w:t>
      </w:r>
      <w:r w:rsidRPr="00A3084F">
        <w:rPr>
          <w:szCs w:val="24"/>
        </w:rPr>
        <w:t>Authority:</w:t>
      </w:r>
      <w:r w:rsidRPr="00A3084F">
        <w:rPr>
          <w:szCs w:val="24"/>
          <w:u w:val="none"/>
        </w:rPr>
        <w:t xml:space="preserve">  Subsection</w:t>
      </w:r>
      <w:r w:rsidR="00B146E8">
        <w:rPr>
          <w:szCs w:val="24"/>
          <w:u w:val="none"/>
        </w:rPr>
        <w:t xml:space="preserve"> </w:t>
      </w:r>
      <w:r w:rsidRPr="00A3084F">
        <w:rPr>
          <w:szCs w:val="24"/>
          <w:u w:val="none"/>
        </w:rPr>
        <w:t>133(1) of the</w:t>
      </w:r>
      <w:r w:rsidRPr="00A3084F">
        <w:rPr>
          <w:szCs w:val="24"/>
          <w:u w:val="none"/>
        </w:rPr>
        <w:tab/>
      </w:r>
      <w:r w:rsidRPr="00A3084F">
        <w:rPr>
          <w:szCs w:val="24"/>
          <w:u w:val="none"/>
        </w:rPr>
        <w:tab/>
      </w:r>
      <w:r w:rsidRPr="00A3084F">
        <w:rPr>
          <w:szCs w:val="24"/>
          <w:u w:val="none"/>
        </w:rPr>
        <w:tab/>
      </w:r>
      <w:r w:rsidRPr="00A3084F">
        <w:rPr>
          <w:szCs w:val="24"/>
          <w:u w:val="none"/>
        </w:rPr>
        <w:tab/>
      </w:r>
      <w:r w:rsidRPr="00A3084F">
        <w:rPr>
          <w:szCs w:val="24"/>
          <w:u w:val="none"/>
        </w:rPr>
        <w:tab/>
      </w:r>
      <w:r w:rsidRPr="00A3084F">
        <w:rPr>
          <w:szCs w:val="24"/>
          <w:u w:val="none"/>
        </w:rPr>
        <w:tab/>
      </w:r>
      <w:r w:rsidRPr="00A3084F">
        <w:rPr>
          <w:szCs w:val="24"/>
          <w:u w:val="none"/>
        </w:rPr>
        <w:tab/>
        <w:t xml:space="preserve">                          </w:t>
      </w:r>
      <w:r w:rsidRPr="00A3084F">
        <w:rPr>
          <w:i/>
          <w:szCs w:val="24"/>
          <w:u w:val="none"/>
        </w:rPr>
        <w:t>Health Insurance Act 1973</w:t>
      </w:r>
    </w:p>
    <w:p w:rsidR="00341B5E" w:rsidRDefault="00A3084F" w:rsidP="00341B5E">
      <w:pPr>
        <w:ind w:left="720" w:hanging="720"/>
      </w:pPr>
      <w:r>
        <w:br w:type="page"/>
      </w:r>
    </w:p>
    <w:p w:rsidR="00341B5E" w:rsidRDefault="00341B5E" w:rsidP="00341B5E">
      <w:pPr>
        <w:ind w:left="720" w:hanging="720"/>
      </w:pPr>
      <w:r>
        <w:rPr>
          <w:noProof/>
          <w:lang w:eastAsia="en-AU"/>
        </w:rPr>
        <w:pict>
          <v:rect id="_x0000_s1026" style="position:absolute;left:0;text-align:left;margin-left:.85pt;margin-top:14.1pt;width:481.8pt;height:540.6pt;z-index:251657728" strokeweight="6pt">
            <v:stroke linestyle="thickBetweenThin"/>
            <v:textbox style="mso-next-textbox:#_x0000_s1026" inset="5mm,,5mm">
              <w:txbxContent>
                <w:p w:rsidR="00D92839" w:rsidRPr="00E4135E" w:rsidRDefault="00D92839" w:rsidP="00341B5E">
                  <w:pPr>
                    <w:spacing w:before="360" w:after="120"/>
                    <w:jc w:val="center"/>
                    <w:rPr>
                      <w:rFonts w:ascii="Times New Roman" w:hAnsi="Times New Roman"/>
                      <w:b/>
                      <w:sz w:val="28"/>
                      <w:szCs w:val="28"/>
                    </w:rPr>
                  </w:pPr>
                  <w:r w:rsidRPr="00E4135E">
                    <w:rPr>
                      <w:rFonts w:ascii="Times New Roman" w:hAnsi="Times New Roman"/>
                      <w:b/>
                      <w:sz w:val="28"/>
                      <w:szCs w:val="28"/>
                    </w:rPr>
                    <w:t>Statement of Compatibility with Human Rights</w:t>
                  </w:r>
                </w:p>
                <w:p w:rsidR="00D92839" w:rsidRPr="00E4135E" w:rsidRDefault="00D92839" w:rsidP="00341B5E">
                  <w:pPr>
                    <w:spacing w:before="120" w:after="120"/>
                    <w:jc w:val="center"/>
                    <w:rPr>
                      <w:rFonts w:ascii="Times New Roman" w:hAnsi="Times New Roman"/>
                      <w:sz w:val="24"/>
                      <w:szCs w:val="24"/>
                    </w:rPr>
                  </w:pPr>
                  <w:r w:rsidRPr="00E4135E">
                    <w:rPr>
                      <w:rFonts w:ascii="Times New Roman" w:hAnsi="Times New Roman"/>
                      <w:i/>
                      <w:sz w:val="24"/>
                      <w:szCs w:val="24"/>
                    </w:rPr>
                    <w:t>Prepared in accordance with Part 3 of the Human Rights (Parliamentary Scrutiny) Act 2011</w:t>
                  </w:r>
                </w:p>
                <w:p w:rsidR="00D92839" w:rsidRPr="00E4135E" w:rsidRDefault="00D92839" w:rsidP="00341B5E">
                  <w:pPr>
                    <w:spacing w:before="120" w:after="120"/>
                    <w:jc w:val="center"/>
                    <w:rPr>
                      <w:rFonts w:ascii="Times New Roman" w:hAnsi="Times New Roman"/>
                      <w:sz w:val="24"/>
                      <w:szCs w:val="24"/>
                    </w:rPr>
                  </w:pPr>
                </w:p>
                <w:p w:rsidR="00D92839" w:rsidRPr="00616E3B" w:rsidRDefault="00D92839" w:rsidP="00341B5E">
                  <w:pPr>
                    <w:spacing w:before="120" w:after="120"/>
                    <w:jc w:val="center"/>
                    <w:rPr>
                      <w:rFonts w:ascii="Times New Roman" w:hAnsi="Times New Roman"/>
                      <w:b/>
                      <w:i/>
                      <w:sz w:val="24"/>
                      <w:szCs w:val="24"/>
                    </w:rPr>
                  </w:pPr>
                  <w:r w:rsidRPr="00616E3B">
                    <w:rPr>
                      <w:rFonts w:ascii="Times New Roman" w:hAnsi="Times New Roman"/>
                      <w:b/>
                      <w:i/>
                      <w:sz w:val="24"/>
                      <w:szCs w:val="24"/>
                    </w:rPr>
                    <w:t>Health Insurance Amend</w:t>
                  </w:r>
                  <w:r w:rsidR="00F60F93">
                    <w:rPr>
                      <w:rFonts w:ascii="Times New Roman" w:hAnsi="Times New Roman"/>
                      <w:b/>
                      <w:i/>
                      <w:sz w:val="24"/>
                      <w:szCs w:val="24"/>
                    </w:rPr>
                    <w:t>ment Regulation 2012 (No. 1)</w:t>
                  </w:r>
                </w:p>
                <w:p w:rsidR="00D92839" w:rsidRPr="00E4135E" w:rsidRDefault="00D92839" w:rsidP="00341B5E">
                  <w:pPr>
                    <w:spacing w:before="120" w:after="120"/>
                    <w:jc w:val="center"/>
                    <w:rPr>
                      <w:rFonts w:ascii="Times New Roman" w:hAnsi="Times New Roman"/>
                      <w:sz w:val="24"/>
                      <w:szCs w:val="24"/>
                    </w:rPr>
                  </w:pPr>
                </w:p>
                <w:p w:rsidR="00D92839" w:rsidRPr="00E4135E" w:rsidRDefault="00D92839" w:rsidP="00341B5E">
                  <w:pPr>
                    <w:spacing w:before="120" w:after="120"/>
                    <w:jc w:val="center"/>
                    <w:rPr>
                      <w:rFonts w:ascii="Times New Roman" w:hAnsi="Times New Roman"/>
                      <w:sz w:val="24"/>
                      <w:szCs w:val="24"/>
                    </w:rPr>
                  </w:pPr>
                  <w:r w:rsidRPr="00E4135E">
                    <w:rPr>
                      <w:rFonts w:ascii="Times New Roman" w:hAnsi="Times New Roman"/>
                      <w:sz w:val="24"/>
                      <w:szCs w:val="24"/>
                    </w:rPr>
                    <w:t xml:space="preserve">This Legislative Instrument is compatible with the human rights and freedoms recognised or declared in the international instruments listed in section 3 of the </w:t>
                  </w:r>
                  <w:r w:rsidRPr="00E4135E">
                    <w:rPr>
                      <w:rFonts w:ascii="Times New Roman" w:hAnsi="Times New Roman"/>
                      <w:i/>
                      <w:sz w:val="24"/>
                      <w:szCs w:val="24"/>
                    </w:rPr>
                    <w:t>Human Rights (Parliamentary Scrutiny) Act 2011</w:t>
                  </w:r>
                  <w:r w:rsidRPr="00E4135E">
                    <w:rPr>
                      <w:rFonts w:ascii="Times New Roman" w:hAnsi="Times New Roman"/>
                      <w:sz w:val="24"/>
                      <w:szCs w:val="24"/>
                    </w:rPr>
                    <w:t>.</w:t>
                  </w:r>
                </w:p>
                <w:p w:rsidR="00D92839" w:rsidRPr="00E4135E" w:rsidRDefault="00D92839" w:rsidP="00341B5E">
                  <w:pPr>
                    <w:spacing w:before="120" w:after="120"/>
                    <w:jc w:val="center"/>
                    <w:rPr>
                      <w:rFonts w:ascii="Times New Roman" w:hAnsi="Times New Roman"/>
                      <w:sz w:val="24"/>
                      <w:szCs w:val="24"/>
                    </w:rPr>
                  </w:pPr>
                </w:p>
                <w:p w:rsidR="00D92839" w:rsidRPr="00E4135E" w:rsidRDefault="00D92839" w:rsidP="00341B5E">
                  <w:pPr>
                    <w:spacing w:before="120" w:after="120"/>
                    <w:jc w:val="both"/>
                    <w:rPr>
                      <w:rFonts w:ascii="Times New Roman" w:hAnsi="Times New Roman"/>
                      <w:b/>
                      <w:sz w:val="24"/>
                      <w:szCs w:val="24"/>
                    </w:rPr>
                  </w:pPr>
                  <w:r w:rsidRPr="00E4135E">
                    <w:rPr>
                      <w:rFonts w:ascii="Times New Roman" w:hAnsi="Times New Roman"/>
                      <w:b/>
                      <w:sz w:val="24"/>
                      <w:szCs w:val="24"/>
                    </w:rPr>
                    <w:t>Overview of the Legislative Instrument</w:t>
                  </w:r>
                </w:p>
                <w:p w:rsidR="00D92839" w:rsidRPr="00E4135E" w:rsidRDefault="00D92839" w:rsidP="00341B5E">
                  <w:pPr>
                    <w:spacing w:before="120" w:after="120"/>
                    <w:rPr>
                      <w:rFonts w:ascii="Times New Roman" w:hAnsi="Times New Roman"/>
                      <w:sz w:val="24"/>
                      <w:szCs w:val="24"/>
                    </w:rPr>
                  </w:pPr>
                  <w:r>
                    <w:rPr>
                      <w:rFonts w:ascii="Times New Roman" w:hAnsi="Times New Roman"/>
                      <w:sz w:val="24"/>
                      <w:szCs w:val="24"/>
                    </w:rPr>
                    <w:t>Removes the names of health workforce programs which no longer exist from a table at Part 2, Schedule 5 which lists them as eligible as programs under which approved placements can occur.  This is a housekeeping change recommended by the 2010 Review into Medicare Provider Number Legislation</w:t>
                  </w:r>
                </w:p>
                <w:p w:rsidR="00D92839" w:rsidRPr="00E4135E" w:rsidRDefault="00D92839" w:rsidP="00341B5E">
                  <w:pPr>
                    <w:spacing w:before="120" w:after="120"/>
                    <w:rPr>
                      <w:rFonts w:ascii="Times New Roman" w:hAnsi="Times New Roman"/>
                      <w:b/>
                      <w:sz w:val="24"/>
                      <w:szCs w:val="24"/>
                    </w:rPr>
                  </w:pPr>
                  <w:r w:rsidRPr="00E4135E">
                    <w:rPr>
                      <w:rFonts w:ascii="Times New Roman" w:hAnsi="Times New Roman"/>
                      <w:b/>
                      <w:sz w:val="24"/>
                      <w:szCs w:val="24"/>
                    </w:rPr>
                    <w:t>Human rights implications</w:t>
                  </w:r>
                </w:p>
                <w:p w:rsidR="00D92839" w:rsidRPr="00E4135E" w:rsidRDefault="00D92839" w:rsidP="00341B5E">
                  <w:pPr>
                    <w:spacing w:before="120" w:after="120"/>
                    <w:rPr>
                      <w:rFonts w:ascii="Times New Roman" w:hAnsi="Times New Roman"/>
                      <w:sz w:val="24"/>
                      <w:szCs w:val="24"/>
                    </w:rPr>
                  </w:pPr>
                  <w:r w:rsidRPr="00E4135E">
                    <w:rPr>
                      <w:rFonts w:ascii="Times New Roman" w:hAnsi="Times New Roman"/>
                      <w:sz w:val="24"/>
                      <w:szCs w:val="24"/>
                    </w:rPr>
                    <w:t>This Legislative Instrument does not engage any of the applicable rights or freedoms.</w:t>
                  </w:r>
                </w:p>
                <w:p w:rsidR="00D92839" w:rsidRPr="00E4135E" w:rsidRDefault="00D92839" w:rsidP="00341B5E">
                  <w:pPr>
                    <w:spacing w:before="120" w:after="120"/>
                    <w:rPr>
                      <w:rFonts w:ascii="Times New Roman" w:hAnsi="Times New Roman"/>
                      <w:b/>
                      <w:sz w:val="24"/>
                      <w:szCs w:val="24"/>
                    </w:rPr>
                  </w:pPr>
                  <w:r w:rsidRPr="00E4135E">
                    <w:rPr>
                      <w:rFonts w:ascii="Times New Roman" w:hAnsi="Times New Roman"/>
                      <w:b/>
                      <w:sz w:val="24"/>
                      <w:szCs w:val="24"/>
                    </w:rPr>
                    <w:t>Conclusion</w:t>
                  </w:r>
                </w:p>
                <w:p w:rsidR="00D92839" w:rsidRPr="00E4135E" w:rsidRDefault="00D92839" w:rsidP="00341B5E">
                  <w:pPr>
                    <w:spacing w:before="120" w:after="120"/>
                    <w:rPr>
                      <w:rFonts w:ascii="Times New Roman" w:hAnsi="Times New Roman"/>
                      <w:sz w:val="24"/>
                      <w:szCs w:val="24"/>
                    </w:rPr>
                  </w:pPr>
                  <w:r w:rsidRPr="00E4135E">
                    <w:rPr>
                      <w:rFonts w:ascii="Times New Roman" w:hAnsi="Times New Roman"/>
                      <w:sz w:val="24"/>
                      <w:szCs w:val="24"/>
                    </w:rPr>
                    <w:t>This Legislative Instrument is compatible with human rights as it does not raise any human rights issues.</w:t>
                  </w:r>
                </w:p>
                <w:p w:rsidR="00D92839" w:rsidRPr="00E4135E" w:rsidRDefault="00D92839" w:rsidP="00341B5E">
                  <w:pPr>
                    <w:spacing w:before="120" w:after="120"/>
                    <w:jc w:val="center"/>
                    <w:rPr>
                      <w:rFonts w:ascii="Times New Roman" w:hAnsi="Times New Roman"/>
                      <w:sz w:val="24"/>
                      <w:szCs w:val="24"/>
                    </w:rPr>
                  </w:pPr>
                </w:p>
                <w:p w:rsidR="00D92839" w:rsidRPr="00E4135E" w:rsidRDefault="00D92839" w:rsidP="00341B5E">
                  <w:pPr>
                    <w:spacing w:before="120" w:after="120"/>
                    <w:jc w:val="center"/>
                    <w:rPr>
                      <w:rFonts w:ascii="Times New Roman" w:hAnsi="Times New Roman"/>
                      <w:sz w:val="24"/>
                      <w:szCs w:val="24"/>
                    </w:rPr>
                  </w:pPr>
                </w:p>
                <w:p w:rsidR="00D92839" w:rsidRDefault="00D92839" w:rsidP="00341B5E">
                  <w:pPr>
                    <w:spacing w:before="120" w:after="120"/>
                    <w:jc w:val="center"/>
                    <w:rPr>
                      <w:rFonts w:ascii="Times New Roman" w:hAnsi="Times New Roman"/>
                      <w:b/>
                      <w:sz w:val="24"/>
                      <w:szCs w:val="24"/>
                    </w:rPr>
                  </w:pPr>
                  <w:r>
                    <w:rPr>
                      <w:rFonts w:ascii="Times New Roman" w:hAnsi="Times New Roman"/>
                      <w:b/>
                      <w:sz w:val="24"/>
                      <w:szCs w:val="24"/>
                    </w:rPr>
                    <w:t>Tanya Plibersek</w:t>
                  </w:r>
                </w:p>
                <w:p w:rsidR="00D92839" w:rsidRPr="00E4135E" w:rsidRDefault="00D92839" w:rsidP="00341B5E">
                  <w:pPr>
                    <w:spacing w:before="120" w:after="120"/>
                    <w:jc w:val="center"/>
                    <w:rPr>
                      <w:rFonts w:ascii="Times New Roman" w:hAnsi="Times New Roman"/>
                      <w:sz w:val="24"/>
                      <w:szCs w:val="24"/>
                    </w:rPr>
                  </w:pPr>
                  <w:r>
                    <w:rPr>
                      <w:rFonts w:ascii="Times New Roman" w:hAnsi="Times New Roman"/>
                      <w:b/>
                      <w:sz w:val="24"/>
                      <w:szCs w:val="24"/>
                    </w:rPr>
                    <w:t>Minister for Health</w:t>
                  </w:r>
                </w:p>
              </w:txbxContent>
            </v:textbox>
          </v:rect>
        </w:pict>
      </w:r>
    </w:p>
    <w:p w:rsidR="00341B5E" w:rsidRDefault="00341B5E" w:rsidP="00341B5E">
      <w:pPr>
        <w:ind w:left="720" w:hanging="720"/>
      </w:pPr>
    </w:p>
    <w:p w:rsidR="00341B5E" w:rsidRDefault="00341B5E" w:rsidP="00341B5E">
      <w:pPr>
        <w:ind w:left="720" w:hanging="720"/>
      </w:pPr>
    </w:p>
    <w:p w:rsidR="00341B5E" w:rsidRDefault="00341B5E" w:rsidP="00341B5E">
      <w:pPr>
        <w:ind w:left="720" w:hanging="720"/>
      </w:pPr>
    </w:p>
    <w:p w:rsidR="00341B5E" w:rsidRDefault="00341B5E" w:rsidP="00341B5E">
      <w:pPr>
        <w:ind w:left="720" w:hanging="720"/>
      </w:pPr>
    </w:p>
    <w:p w:rsidR="00341B5E" w:rsidRDefault="00341B5E" w:rsidP="00341B5E">
      <w:pPr>
        <w:ind w:left="720" w:hanging="720"/>
      </w:pPr>
    </w:p>
    <w:p w:rsidR="00341B5E" w:rsidRDefault="00341B5E" w:rsidP="00341B5E">
      <w:pPr>
        <w:ind w:left="720" w:hanging="720"/>
      </w:pPr>
    </w:p>
    <w:p w:rsidR="00341B5E" w:rsidRDefault="00341B5E" w:rsidP="00341B5E">
      <w:pPr>
        <w:ind w:left="720" w:hanging="720"/>
      </w:pPr>
    </w:p>
    <w:p w:rsidR="00341B5E" w:rsidRDefault="00341B5E" w:rsidP="00341B5E">
      <w:pPr>
        <w:ind w:left="720" w:hanging="720"/>
      </w:pPr>
    </w:p>
    <w:p w:rsidR="00341B5E" w:rsidRDefault="00341B5E" w:rsidP="00341B5E">
      <w:pPr>
        <w:ind w:left="720" w:hanging="720"/>
      </w:pPr>
    </w:p>
    <w:p w:rsidR="00341B5E" w:rsidRDefault="00341B5E" w:rsidP="00341B5E">
      <w:pPr>
        <w:ind w:left="720" w:hanging="720"/>
      </w:pPr>
    </w:p>
    <w:p w:rsidR="00341B5E" w:rsidRDefault="00341B5E" w:rsidP="00341B5E">
      <w:pPr>
        <w:ind w:left="720" w:hanging="720"/>
      </w:pPr>
    </w:p>
    <w:p w:rsidR="00341B5E" w:rsidRDefault="00341B5E" w:rsidP="00341B5E">
      <w:pPr>
        <w:ind w:left="720" w:hanging="720"/>
      </w:pPr>
    </w:p>
    <w:p w:rsidR="00341B5E" w:rsidRDefault="00341B5E" w:rsidP="00341B5E">
      <w:pPr>
        <w:ind w:left="720" w:hanging="720"/>
      </w:pPr>
    </w:p>
    <w:p w:rsidR="00341B5E" w:rsidRDefault="00341B5E" w:rsidP="00341B5E">
      <w:pPr>
        <w:ind w:left="720" w:hanging="720"/>
      </w:pPr>
    </w:p>
    <w:p w:rsidR="00341B5E" w:rsidRDefault="00341B5E" w:rsidP="00341B5E">
      <w:pPr>
        <w:ind w:left="720" w:hanging="720"/>
      </w:pPr>
    </w:p>
    <w:p w:rsidR="00341B5E" w:rsidRDefault="00341B5E" w:rsidP="00341B5E">
      <w:pPr>
        <w:ind w:left="720" w:hanging="720"/>
      </w:pPr>
    </w:p>
    <w:p w:rsidR="00341B5E" w:rsidRDefault="00341B5E" w:rsidP="00341B5E">
      <w:pPr>
        <w:ind w:left="720" w:hanging="720"/>
      </w:pPr>
    </w:p>
    <w:p w:rsidR="00341B5E" w:rsidRDefault="00341B5E" w:rsidP="00341B5E">
      <w:pPr>
        <w:ind w:left="720" w:hanging="720"/>
      </w:pPr>
    </w:p>
    <w:p w:rsidR="00341B5E" w:rsidRDefault="00341B5E" w:rsidP="00341B5E">
      <w:pPr>
        <w:ind w:left="720" w:hanging="720"/>
      </w:pPr>
    </w:p>
    <w:p w:rsidR="00341B5E" w:rsidRDefault="00341B5E" w:rsidP="00341B5E">
      <w:pPr>
        <w:ind w:left="720" w:hanging="720"/>
      </w:pPr>
    </w:p>
    <w:p w:rsidR="00341B5E" w:rsidRDefault="00341B5E" w:rsidP="00341B5E">
      <w:pPr>
        <w:ind w:left="720" w:hanging="720"/>
      </w:pPr>
    </w:p>
    <w:bookmarkEnd w:id="0"/>
    <w:p w:rsidR="00341B5E" w:rsidRDefault="00341B5E" w:rsidP="00341B5E">
      <w:pPr>
        <w:ind w:left="720" w:hanging="720"/>
      </w:pPr>
    </w:p>
    <w:sectPr w:rsidR="00341B5E" w:rsidSect="00A3084F">
      <w:headerReference w:type="even" r:id="rId7"/>
      <w:headerReference w:type="default" r:id="rId8"/>
      <w:pgSz w:w="11906" w:h="16838"/>
      <w:pgMar w:top="1077" w:right="1077" w:bottom="1077" w:left="1077" w:header="284" w:footer="284"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320C" w:rsidRDefault="0052320C" w:rsidP="00341B5E">
      <w:pPr>
        <w:spacing w:after="0" w:line="240" w:lineRule="auto"/>
      </w:pPr>
      <w:r>
        <w:separator/>
      </w:r>
    </w:p>
  </w:endnote>
  <w:endnote w:type="continuationSeparator" w:id="0">
    <w:p w:rsidR="0052320C" w:rsidRDefault="0052320C" w:rsidP="00341B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320C" w:rsidRDefault="0052320C" w:rsidP="00341B5E">
      <w:pPr>
        <w:spacing w:after="0" w:line="240" w:lineRule="auto"/>
      </w:pPr>
      <w:r>
        <w:separator/>
      </w:r>
    </w:p>
  </w:footnote>
  <w:footnote w:type="continuationSeparator" w:id="0">
    <w:p w:rsidR="0052320C" w:rsidRDefault="0052320C" w:rsidP="00341B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839" w:rsidRDefault="00D92839" w:rsidP="00A3084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92839" w:rsidRDefault="00D9283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839" w:rsidRDefault="00D92839" w:rsidP="00A3084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60F93">
      <w:rPr>
        <w:rStyle w:val="PageNumber"/>
        <w:noProof/>
      </w:rPr>
      <w:t>2</w:t>
    </w:r>
    <w:r>
      <w:rPr>
        <w:rStyle w:val="PageNumber"/>
      </w:rPr>
      <w:fldChar w:fldCharType="end"/>
    </w:r>
  </w:p>
  <w:p w:rsidR="00D92839" w:rsidRPr="00F75F6E" w:rsidRDefault="00D92839" w:rsidP="00F75F6E">
    <w:pPr>
      <w:pStyle w:val="Header"/>
      <w:spacing w:after="0" w:line="240" w:lineRule="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09161E9"/>
    <w:multiLevelType w:val="hybridMultilevel"/>
    <w:tmpl w:val="CADE3292"/>
    <w:lvl w:ilvl="0" w:tplc="F7287B6A">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1B45D0D"/>
    <w:multiLevelType w:val="hybridMultilevel"/>
    <w:tmpl w:val="D74E4B50"/>
    <w:lvl w:ilvl="0" w:tplc="51D82C2A">
      <w:numFmt w:val="bullet"/>
      <w:lvlText w:val="-"/>
      <w:lvlJc w:val="left"/>
      <w:pPr>
        <w:ind w:left="1080" w:hanging="360"/>
      </w:pPr>
      <w:rPr>
        <w:rFonts w:ascii="Cambria" w:eastAsia="Calibri" w:hAnsi="Cambria"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6381148F"/>
    <w:multiLevelType w:val="hybridMultilevel"/>
    <w:tmpl w:val="904A0026"/>
    <w:lvl w:ilvl="0" w:tplc="37FE764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4">
    <w:nsid w:val="6E2C4B37"/>
    <w:multiLevelType w:val="hybridMultilevel"/>
    <w:tmpl w:val="7166C0A6"/>
    <w:lvl w:ilvl="0" w:tplc="0C090001">
      <w:start w:val="1"/>
      <w:numFmt w:val="bullet"/>
      <w:lvlText w:val=""/>
      <w:lvlJc w:val="left"/>
      <w:pPr>
        <w:ind w:left="750" w:hanging="360"/>
      </w:pPr>
      <w:rPr>
        <w:rFonts w:ascii="Symbol" w:hAnsi="Symbol" w:hint="default"/>
      </w:rPr>
    </w:lvl>
    <w:lvl w:ilvl="1" w:tplc="0C090003" w:tentative="1">
      <w:start w:val="1"/>
      <w:numFmt w:val="bullet"/>
      <w:lvlText w:val="o"/>
      <w:lvlJc w:val="left"/>
      <w:pPr>
        <w:ind w:left="1470" w:hanging="360"/>
      </w:pPr>
      <w:rPr>
        <w:rFonts w:ascii="Courier New" w:hAnsi="Courier New" w:cs="Courier New" w:hint="default"/>
      </w:rPr>
    </w:lvl>
    <w:lvl w:ilvl="2" w:tplc="0C090005" w:tentative="1">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cs="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cs="Courier New" w:hint="default"/>
      </w:rPr>
    </w:lvl>
    <w:lvl w:ilvl="8" w:tplc="0C090005" w:tentative="1">
      <w:start w:val="1"/>
      <w:numFmt w:val="bullet"/>
      <w:lvlText w:val=""/>
      <w:lvlJc w:val="left"/>
      <w:pPr>
        <w:ind w:left="651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41B5E"/>
    <w:rsid w:val="000E53FD"/>
    <w:rsid w:val="000F2561"/>
    <w:rsid w:val="001847A9"/>
    <w:rsid w:val="001B64E8"/>
    <w:rsid w:val="001F0B1C"/>
    <w:rsid w:val="002B394B"/>
    <w:rsid w:val="00341B5E"/>
    <w:rsid w:val="0034501B"/>
    <w:rsid w:val="004023A0"/>
    <w:rsid w:val="0052320C"/>
    <w:rsid w:val="00575C50"/>
    <w:rsid w:val="00616E3B"/>
    <w:rsid w:val="00620840"/>
    <w:rsid w:val="00630F8B"/>
    <w:rsid w:val="006A0DB2"/>
    <w:rsid w:val="006A7FA8"/>
    <w:rsid w:val="00750E2D"/>
    <w:rsid w:val="007D19D4"/>
    <w:rsid w:val="00834748"/>
    <w:rsid w:val="00867E9C"/>
    <w:rsid w:val="0091394D"/>
    <w:rsid w:val="0096161C"/>
    <w:rsid w:val="00961CC4"/>
    <w:rsid w:val="00961F49"/>
    <w:rsid w:val="009C6ABB"/>
    <w:rsid w:val="00A3084F"/>
    <w:rsid w:val="00A66212"/>
    <w:rsid w:val="00AD41A2"/>
    <w:rsid w:val="00B146E8"/>
    <w:rsid w:val="00B648DF"/>
    <w:rsid w:val="00BB4BF2"/>
    <w:rsid w:val="00BE26D1"/>
    <w:rsid w:val="00BF5E16"/>
    <w:rsid w:val="00C474C8"/>
    <w:rsid w:val="00C648E3"/>
    <w:rsid w:val="00C77305"/>
    <w:rsid w:val="00C967F8"/>
    <w:rsid w:val="00CB6537"/>
    <w:rsid w:val="00D84BD3"/>
    <w:rsid w:val="00D92839"/>
    <w:rsid w:val="00D93DA0"/>
    <w:rsid w:val="00DD673C"/>
    <w:rsid w:val="00E4135E"/>
    <w:rsid w:val="00EB591C"/>
    <w:rsid w:val="00EC521B"/>
    <w:rsid w:val="00ED5469"/>
    <w:rsid w:val="00F17CC3"/>
    <w:rsid w:val="00F33876"/>
    <w:rsid w:val="00F60F93"/>
    <w:rsid w:val="00F66081"/>
    <w:rsid w:val="00F75F6E"/>
    <w:rsid w:val="00FA00B5"/>
    <w:rsid w:val="00FF145B"/>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B5E"/>
    <w:pPr>
      <w:spacing w:after="200" w:line="276" w:lineRule="auto"/>
    </w:pPr>
    <w:rPr>
      <w:sz w:val="22"/>
      <w:szCs w:val="22"/>
      <w:lang w:eastAsia="en-US"/>
    </w:rPr>
  </w:style>
  <w:style w:type="paragraph" w:styleId="Heading1">
    <w:name w:val="heading 1"/>
    <w:basedOn w:val="Normal"/>
    <w:next w:val="Normal"/>
    <w:link w:val="Heading1Char"/>
    <w:uiPriority w:val="9"/>
    <w:qFormat/>
    <w:rsid w:val="00341B5E"/>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41B5E"/>
    <w:rPr>
      <w:rFonts w:ascii="Cambria" w:eastAsia="Times New Roman" w:hAnsi="Cambria" w:cs="Times New Roman"/>
      <w:b/>
      <w:bCs/>
      <w:kern w:val="32"/>
      <w:sz w:val="32"/>
      <w:szCs w:val="32"/>
    </w:rPr>
  </w:style>
  <w:style w:type="paragraph" w:styleId="FootnoteText">
    <w:name w:val="footnote text"/>
    <w:basedOn w:val="Normal"/>
    <w:link w:val="FootnoteTextChar"/>
    <w:uiPriority w:val="99"/>
    <w:unhideWhenUsed/>
    <w:rsid w:val="00341B5E"/>
    <w:rPr>
      <w:sz w:val="20"/>
      <w:szCs w:val="20"/>
    </w:rPr>
  </w:style>
  <w:style w:type="character" w:customStyle="1" w:styleId="FootnoteTextChar">
    <w:name w:val="Footnote Text Char"/>
    <w:link w:val="FootnoteText"/>
    <w:uiPriority w:val="99"/>
    <w:rsid w:val="00341B5E"/>
    <w:rPr>
      <w:rFonts w:ascii="Calibri" w:eastAsia="Calibri" w:hAnsi="Calibri" w:cs="Times New Roman"/>
      <w:sz w:val="20"/>
      <w:szCs w:val="20"/>
    </w:rPr>
  </w:style>
  <w:style w:type="character" w:styleId="FootnoteReference">
    <w:name w:val="footnote reference"/>
    <w:unhideWhenUsed/>
    <w:rsid w:val="00341B5E"/>
    <w:rPr>
      <w:vertAlign w:val="superscript"/>
    </w:rPr>
  </w:style>
  <w:style w:type="character" w:styleId="Hyperlink">
    <w:name w:val="Hyperlink"/>
    <w:uiPriority w:val="99"/>
    <w:unhideWhenUsed/>
    <w:rsid w:val="00341B5E"/>
    <w:rPr>
      <w:color w:val="0000FF"/>
      <w:u w:val="single"/>
    </w:rPr>
  </w:style>
  <w:style w:type="paragraph" w:styleId="ListParagraph">
    <w:name w:val="List Paragraph"/>
    <w:basedOn w:val="Normal"/>
    <w:uiPriority w:val="34"/>
    <w:qFormat/>
    <w:rsid w:val="00341B5E"/>
    <w:pPr>
      <w:ind w:left="720"/>
    </w:pPr>
  </w:style>
  <w:style w:type="paragraph" w:styleId="Header">
    <w:name w:val="header"/>
    <w:aliases w:val="Subheading (body)"/>
    <w:basedOn w:val="Normal"/>
    <w:link w:val="HeaderChar"/>
    <w:uiPriority w:val="99"/>
    <w:unhideWhenUsed/>
    <w:rsid w:val="00F75F6E"/>
    <w:pPr>
      <w:tabs>
        <w:tab w:val="center" w:pos="4513"/>
        <w:tab w:val="right" w:pos="9026"/>
      </w:tabs>
    </w:pPr>
  </w:style>
  <w:style w:type="character" w:customStyle="1" w:styleId="HeaderChar">
    <w:name w:val="Header Char"/>
    <w:aliases w:val="Subheading (body) Char"/>
    <w:link w:val="Header"/>
    <w:uiPriority w:val="99"/>
    <w:rsid w:val="00F75F6E"/>
    <w:rPr>
      <w:sz w:val="22"/>
      <w:szCs w:val="22"/>
      <w:lang w:eastAsia="en-US"/>
    </w:rPr>
  </w:style>
  <w:style w:type="paragraph" w:styleId="Footer">
    <w:name w:val="footer"/>
    <w:basedOn w:val="Normal"/>
    <w:link w:val="FooterChar"/>
    <w:uiPriority w:val="99"/>
    <w:semiHidden/>
    <w:unhideWhenUsed/>
    <w:rsid w:val="00F75F6E"/>
    <w:pPr>
      <w:tabs>
        <w:tab w:val="center" w:pos="4513"/>
        <w:tab w:val="right" w:pos="9026"/>
      </w:tabs>
    </w:pPr>
  </w:style>
  <w:style w:type="character" w:customStyle="1" w:styleId="FooterChar">
    <w:name w:val="Footer Char"/>
    <w:link w:val="Footer"/>
    <w:uiPriority w:val="99"/>
    <w:semiHidden/>
    <w:rsid w:val="00F75F6E"/>
    <w:rPr>
      <w:sz w:val="22"/>
      <w:szCs w:val="22"/>
      <w:lang w:eastAsia="en-US"/>
    </w:rPr>
  </w:style>
  <w:style w:type="paragraph" w:styleId="Title">
    <w:name w:val="Title"/>
    <w:basedOn w:val="Normal"/>
    <w:qFormat/>
    <w:rsid w:val="00A3084F"/>
    <w:pPr>
      <w:spacing w:after="0" w:line="240" w:lineRule="auto"/>
      <w:jc w:val="center"/>
    </w:pPr>
    <w:rPr>
      <w:rFonts w:ascii="Times New Roman" w:eastAsia="Times New Roman" w:hAnsi="Times New Roman"/>
      <w:b/>
      <w:sz w:val="24"/>
      <w:szCs w:val="20"/>
      <w:u w:val="single"/>
    </w:rPr>
  </w:style>
  <w:style w:type="paragraph" w:styleId="Subtitle">
    <w:name w:val="Subtitle"/>
    <w:basedOn w:val="Normal"/>
    <w:qFormat/>
    <w:rsid w:val="00A3084F"/>
    <w:pPr>
      <w:spacing w:after="0" w:line="240" w:lineRule="auto"/>
    </w:pPr>
    <w:rPr>
      <w:rFonts w:ascii="Times New Roman" w:eastAsia="Times New Roman" w:hAnsi="Times New Roman"/>
      <w:sz w:val="24"/>
      <w:szCs w:val="20"/>
      <w:u w:val="single"/>
    </w:rPr>
  </w:style>
  <w:style w:type="character" w:styleId="PageNumber">
    <w:name w:val="page number"/>
    <w:basedOn w:val="DefaultParagraphFont"/>
    <w:rsid w:val="00A3084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512</Words>
  <Characters>2870</Characters>
  <Application>Microsoft Office Word</Application>
  <DocSecurity>0</DocSecurity>
  <Lines>91</Lines>
  <Paragraphs>19</Paragraphs>
  <ScaleCrop>false</ScaleCrop>
  <HeadingPairs>
    <vt:vector size="2" baseType="variant">
      <vt:variant>
        <vt:lpstr>Title</vt:lpstr>
      </vt:variant>
      <vt:variant>
        <vt:i4>1</vt:i4>
      </vt:variant>
    </vt:vector>
  </HeadingPairs>
  <TitlesOfParts>
    <vt:vector size="1" baseType="lpstr">
      <vt:lpstr>TEMPLATE 1:</vt:lpstr>
    </vt:vector>
  </TitlesOfParts>
  <Company/>
  <LinksUpToDate>false</LinksUpToDate>
  <CharactersWithSpaces>3457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1:</dc:title>
  <dc:subject/>
  <dc:creator>thilir</dc:creator>
  <cp:keywords/>
  <cp:lastModifiedBy>hilhma</cp:lastModifiedBy>
  <cp:revision>2</cp:revision>
  <cp:lastPrinted>2011-08-26T01:52:00Z</cp:lastPrinted>
  <dcterms:created xsi:type="dcterms:W3CDTF">2012-06-26T06:16:00Z</dcterms:created>
  <dcterms:modified xsi:type="dcterms:W3CDTF">2012-06-26T06:16:00Z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Order">
    <vt:lpwstr>700.000000000000</vt:lpwstr>
  </property>
  <property fmtid="{D5CDD505-2E9C-101B-9397-08002B2CF9AE}" pid="4" name="TemplateUrl">
    <vt:lpwstr/>
  </property>
  <property fmtid="{D5CDD505-2E9C-101B-9397-08002B2CF9AE}" pid="5" name="xd_ProgID">
    <vt:lpwstr/>
  </property>
  <property fmtid="{D5CDD505-2E9C-101B-9397-08002B2CF9AE}" pid="6" name="PublishingStartDate">
    <vt:lpwstr/>
  </property>
  <property fmtid="{D5CDD505-2E9C-101B-9397-08002B2CF9AE}" pid="7" name="PublishingExpirationDate">
    <vt:lpwstr/>
  </property>
  <property fmtid="{D5CDD505-2E9C-101B-9397-08002B2CF9AE}" pid="8" name="_SourceUrl">
    <vt:lpwstr/>
  </property>
  <property fmtid="{D5CDD505-2E9C-101B-9397-08002B2CF9AE}" pid="9" name="DMSDocType">
    <vt:lpwstr/>
  </property>
  <property fmtid="{D5CDD505-2E9C-101B-9397-08002B2CF9AE}" pid="10" name="DraftType">
    <vt:lpwstr/>
  </property>
  <property fmtid="{D5CDD505-2E9C-101B-9397-08002B2CF9AE}" pid="11" name="WPLUSServerName">
    <vt:lpwstr/>
  </property>
  <property fmtid="{D5CDD505-2E9C-101B-9397-08002B2CF9AE}" pid="12" name="WPLUSDataBaseName">
    <vt:lpwstr/>
  </property>
  <property fmtid="{D5CDD505-2E9C-101B-9397-08002B2CF9AE}" pid="13" name="WPLUSDocumentUNID">
    <vt:lpwstr/>
  </property>
  <property fmtid="{D5CDD505-2E9C-101B-9397-08002B2CF9AE}" pid="14" name="NeverSavedToNT">
    <vt:lpwstr/>
  </property>
</Properties>
</file>