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606" w:rsidRDefault="00532722" w:rsidP="0053272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4A89">
        <w:rPr>
          <w:rFonts w:ascii="Times New Roman" w:hAnsi="Times New Roman" w:cs="Times New Roman"/>
          <w:b/>
          <w:sz w:val="24"/>
          <w:szCs w:val="24"/>
          <w:u w:val="single"/>
        </w:rPr>
        <w:t>EXPLANATORY STATEMENT</w:t>
      </w:r>
    </w:p>
    <w:p w:rsidR="001154C9" w:rsidRPr="00570532" w:rsidRDefault="001154C9" w:rsidP="00570532">
      <w:pPr>
        <w:spacing w:before="2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70532">
        <w:rPr>
          <w:rFonts w:ascii="Times New Roman" w:hAnsi="Times New Roman" w:cs="Times New Roman"/>
          <w:sz w:val="24"/>
          <w:szCs w:val="24"/>
          <w:u w:val="single"/>
        </w:rPr>
        <w:t>Issued by the authority of the Attorney-General</w:t>
      </w:r>
    </w:p>
    <w:p w:rsidR="001154C9" w:rsidRDefault="001154C9" w:rsidP="00570532">
      <w:pPr>
        <w:spacing w:before="24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Family Law </w:t>
      </w:r>
      <w:r w:rsidR="00A2496B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Superannuation</w:t>
      </w:r>
      <w:r w:rsidR="00A2496B">
        <w:rPr>
          <w:rFonts w:ascii="Times New Roman" w:hAnsi="Times New Roman" w:cs="Times New Roman"/>
          <w:i/>
          <w:sz w:val="24"/>
          <w:szCs w:val="24"/>
        </w:rPr>
        <w:t>)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 xml:space="preserve"> Regulations 2001</w:t>
      </w:r>
    </w:p>
    <w:p w:rsidR="00DC4A89" w:rsidRPr="00DC4A89" w:rsidRDefault="00DC4A89" w:rsidP="001154C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Family Law (Superannuation) (Methods and Factors for Valuing Particular Superannuation Interests) Amendment Approval 2012 </w:t>
      </w:r>
      <w:r w:rsidRPr="001154C9">
        <w:rPr>
          <w:rFonts w:ascii="Times New Roman" w:hAnsi="Times New Roman" w:cs="Times New Roman"/>
          <w:i/>
          <w:sz w:val="24"/>
          <w:szCs w:val="24"/>
        </w:rPr>
        <w:t>(No.</w:t>
      </w:r>
      <w:r w:rsidR="00820A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377E">
        <w:rPr>
          <w:rFonts w:ascii="Times New Roman" w:hAnsi="Times New Roman" w:cs="Times New Roman"/>
          <w:i/>
          <w:sz w:val="24"/>
          <w:szCs w:val="24"/>
        </w:rPr>
        <w:t>2</w:t>
      </w:r>
      <w:r w:rsidRPr="001154C9">
        <w:rPr>
          <w:rFonts w:ascii="Times New Roman" w:hAnsi="Times New Roman" w:cs="Times New Roman"/>
          <w:i/>
          <w:sz w:val="24"/>
          <w:szCs w:val="24"/>
        </w:rPr>
        <w:t>)</w:t>
      </w:r>
    </w:p>
    <w:p w:rsidR="00895AF4" w:rsidRDefault="00895AF4" w:rsidP="000F71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Attorney-General, under regulations 38 and 43A of the </w:t>
      </w:r>
      <w:r w:rsidR="00925D07">
        <w:rPr>
          <w:rFonts w:ascii="Times New Roman" w:hAnsi="Times New Roman" w:cs="Times New Roman"/>
          <w:i/>
          <w:sz w:val="24"/>
          <w:szCs w:val="24"/>
        </w:rPr>
        <w:t xml:space="preserve">Family </w:t>
      </w:r>
      <w:r>
        <w:rPr>
          <w:rFonts w:ascii="Times New Roman" w:hAnsi="Times New Roman" w:cs="Times New Roman"/>
          <w:i/>
          <w:sz w:val="24"/>
          <w:szCs w:val="24"/>
        </w:rPr>
        <w:t>Law</w:t>
      </w:r>
      <w:r w:rsidR="00925D0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(Superannuation)</w:t>
      </w:r>
      <w:r w:rsidR="00925D0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Regulations 2001</w:t>
      </w:r>
      <w:r>
        <w:rPr>
          <w:rFonts w:ascii="Times New Roman" w:hAnsi="Times New Roman" w:cs="Times New Roman"/>
          <w:sz w:val="24"/>
          <w:szCs w:val="24"/>
        </w:rPr>
        <w:t xml:space="preserve">, may approve in writing methods for determining the gross value of superannuation interests for the purposes of the provisions of the </w:t>
      </w:r>
      <w:r>
        <w:rPr>
          <w:rFonts w:ascii="Times New Roman" w:hAnsi="Times New Roman" w:cs="Times New Roman"/>
          <w:i/>
          <w:sz w:val="24"/>
          <w:szCs w:val="24"/>
        </w:rPr>
        <w:t>Family Law Act 1975</w:t>
      </w:r>
      <w:r>
        <w:rPr>
          <w:rFonts w:ascii="Times New Roman" w:hAnsi="Times New Roman" w:cs="Times New Roman"/>
          <w:sz w:val="24"/>
          <w:szCs w:val="24"/>
        </w:rPr>
        <w:t xml:space="preserve"> that allow superannuation to be split on relationship breakdown.  In this instrument, the Attorney</w:t>
      </w:r>
      <w:r>
        <w:rPr>
          <w:rFonts w:ascii="Times New Roman" w:hAnsi="Times New Roman" w:cs="Times New Roman"/>
          <w:sz w:val="24"/>
          <w:szCs w:val="24"/>
        </w:rPr>
        <w:noBreakHyphen/>
        <w:t xml:space="preserve">General amends the </w:t>
      </w:r>
      <w:r>
        <w:rPr>
          <w:rFonts w:ascii="Times New Roman" w:hAnsi="Times New Roman" w:cs="Times New Roman"/>
          <w:i/>
          <w:sz w:val="24"/>
          <w:szCs w:val="24"/>
        </w:rPr>
        <w:t>Family Law (Superannuation) (Methods and Factors for Valuing Particular Superannuation Interests) Amendment Approval 2003</w:t>
      </w:r>
      <w:r>
        <w:rPr>
          <w:rFonts w:ascii="Times New Roman" w:hAnsi="Times New Roman" w:cs="Times New Roman"/>
          <w:sz w:val="24"/>
          <w:szCs w:val="24"/>
        </w:rPr>
        <w:t xml:space="preserve"> (the Approval). </w:t>
      </w:r>
    </w:p>
    <w:p w:rsidR="001154C9" w:rsidRDefault="001154C9" w:rsidP="000F71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Pursuant to arrangements made by the South Australian Government</w:t>
      </w:r>
      <w:r w:rsidR="00254AE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members of the South Australian Local Government Superannuation Scheme are to be transferred to the </w:t>
      </w:r>
      <w:proofErr w:type="spellStart"/>
      <w:r>
        <w:rPr>
          <w:rFonts w:ascii="Times New Roman" w:hAnsi="Times New Roman"/>
          <w:sz w:val="24"/>
          <w:szCs w:val="24"/>
        </w:rPr>
        <w:t>Statewide</w:t>
      </w:r>
      <w:proofErr w:type="spellEnd"/>
      <w:r>
        <w:rPr>
          <w:rFonts w:ascii="Times New Roman" w:hAnsi="Times New Roman"/>
          <w:sz w:val="24"/>
          <w:szCs w:val="24"/>
        </w:rPr>
        <w:t xml:space="preserve"> Superannuation </w:t>
      </w:r>
      <w:r w:rsidR="0036527B">
        <w:rPr>
          <w:rFonts w:ascii="Times New Roman" w:hAnsi="Times New Roman"/>
          <w:sz w:val="24"/>
          <w:szCs w:val="24"/>
        </w:rPr>
        <w:t>Trust</w:t>
      </w:r>
      <w:r>
        <w:rPr>
          <w:rFonts w:ascii="Times New Roman" w:hAnsi="Times New Roman"/>
          <w:sz w:val="24"/>
          <w:szCs w:val="24"/>
        </w:rPr>
        <w:t>.  Once transferred, t</w:t>
      </w:r>
      <w:r w:rsidRPr="00BE5BB3">
        <w:rPr>
          <w:rFonts w:ascii="Times New Roman" w:hAnsi="Times New Roman"/>
          <w:sz w:val="24"/>
          <w:szCs w:val="24"/>
        </w:rPr>
        <w:t xml:space="preserve">he Local Government Superannuation </w:t>
      </w:r>
      <w:r>
        <w:rPr>
          <w:rFonts w:ascii="Times New Roman" w:hAnsi="Times New Roman"/>
          <w:sz w:val="24"/>
          <w:szCs w:val="24"/>
        </w:rPr>
        <w:t>S</w:t>
      </w:r>
      <w:r w:rsidRPr="00BE5BB3">
        <w:rPr>
          <w:rFonts w:ascii="Times New Roman" w:hAnsi="Times New Roman"/>
          <w:sz w:val="24"/>
          <w:szCs w:val="24"/>
        </w:rPr>
        <w:t>cheme members are to have the same rights and entitlements that they had as members of the South</w:t>
      </w:r>
      <w:r>
        <w:rPr>
          <w:rFonts w:ascii="Times New Roman" w:hAnsi="Times New Roman"/>
          <w:sz w:val="24"/>
          <w:szCs w:val="24"/>
        </w:rPr>
        <w:t> </w:t>
      </w:r>
      <w:r w:rsidRPr="00BE5BB3">
        <w:rPr>
          <w:rFonts w:ascii="Times New Roman" w:hAnsi="Times New Roman"/>
          <w:sz w:val="24"/>
          <w:szCs w:val="24"/>
        </w:rPr>
        <w:t xml:space="preserve">Australian Local Government Superannuation </w:t>
      </w:r>
      <w:r>
        <w:rPr>
          <w:rFonts w:ascii="Times New Roman" w:hAnsi="Times New Roman"/>
          <w:sz w:val="24"/>
          <w:szCs w:val="24"/>
        </w:rPr>
        <w:t>S</w:t>
      </w:r>
      <w:r w:rsidRPr="00BE5BB3">
        <w:rPr>
          <w:rFonts w:ascii="Times New Roman" w:hAnsi="Times New Roman"/>
          <w:sz w:val="24"/>
          <w:szCs w:val="24"/>
        </w:rPr>
        <w:t>cheme.</w:t>
      </w:r>
    </w:p>
    <w:p w:rsidR="00820AFC" w:rsidRDefault="00FF0165" w:rsidP="00B34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Specifically, t</w:t>
      </w:r>
      <w:r w:rsidR="001154C9">
        <w:rPr>
          <w:rFonts w:ascii="Times New Roman" w:hAnsi="Times New Roman" w:cs="Times New Roman"/>
          <w:sz w:val="24"/>
          <w:szCs w:val="24"/>
        </w:rPr>
        <w:t>his instrument amends the</w:t>
      </w:r>
      <w:r w:rsidR="00820AFC">
        <w:rPr>
          <w:rFonts w:ascii="Times New Roman" w:hAnsi="Times New Roman" w:cs="Times New Roman"/>
          <w:sz w:val="24"/>
          <w:szCs w:val="24"/>
        </w:rPr>
        <w:t xml:space="preserve"> Approval</w:t>
      </w:r>
      <w:r w:rsidR="001154C9">
        <w:rPr>
          <w:rFonts w:ascii="Times New Roman" w:hAnsi="Times New Roman" w:cs="Times New Roman"/>
          <w:sz w:val="24"/>
          <w:szCs w:val="24"/>
        </w:rPr>
        <w:t xml:space="preserve"> </w:t>
      </w:r>
      <w:r w:rsidR="00460CEE">
        <w:rPr>
          <w:rFonts w:ascii="Times New Roman" w:hAnsi="Times New Roman" w:cs="Times New Roman"/>
          <w:sz w:val="24"/>
          <w:szCs w:val="24"/>
        </w:rPr>
        <w:t>for Local Government Superannuation Scheme members</w:t>
      </w:r>
      <w:r w:rsidR="00460CEE" w:rsidRPr="00BE5BB3">
        <w:rPr>
          <w:rFonts w:ascii="Times New Roman" w:hAnsi="Times New Roman" w:cs="Times New Roman"/>
          <w:sz w:val="24"/>
          <w:szCs w:val="24"/>
        </w:rPr>
        <w:t xml:space="preserve"> so that </w:t>
      </w:r>
      <w:r w:rsidR="00460CEE">
        <w:rPr>
          <w:rFonts w:ascii="Times New Roman" w:hAnsi="Times New Roman" w:cs="Times New Roman"/>
          <w:sz w:val="24"/>
          <w:szCs w:val="24"/>
        </w:rPr>
        <w:t xml:space="preserve">the valuation methods and factors set out in the </w:t>
      </w:r>
      <w:r w:rsidR="001154C9">
        <w:rPr>
          <w:rFonts w:ascii="Times New Roman" w:hAnsi="Times New Roman" w:cs="Times New Roman"/>
          <w:sz w:val="24"/>
          <w:szCs w:val="24"/>
        </w:rPr>
        <w:t>Approval</w:t>
      </w:r>
      <w:r w:rsidR="00460CEE">
        <w:rPr>
          <w:rFonts w:ascii="Times New Roman" w:hAnsi="Times New Roman" w:cs="Times New Roman"/>
          <w:sz w:val="24"/>
          <w:szCs w:val="24"/>
        </w:rPr>
        <w:t xml:space="preserve"> will apply to the valuation of the superannuation interests of those</w:t>
      </w:r>
      <w:r w:rsidR="00460CEE" w:rsidRPr="00BE5BB3">
        <w:rPr>
          <w:rFonts w:ascii="Times New Roman" w:hAnsi="Times New Roman" w:cs="Times New Roman"/>
          <w:sz w:val="24"/>
          <w:szCs w:val="24"/>
        </w:rPr>
        <w:t xml:space="preserve"> persons once they become members of </w:t>
      </w:r>
      <w:r w:rsidR="00FA30A6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460CEE" w:rsidRPr="00BE5BB3">
        <w:rPr>
          <w:rFonts w:ascii="Times New Roman" w:hAnsi="Times New Roman" w:cs="Times New Roman"/>
          <w:sz w:val="24"/>
          <w:szCs w:val="24"/>
        </w:rPr>
        <w:t>Statewide</w:t>
      </w:r>
      <w:proofErr w:type="spellEnd"/>
      <w:r w:rsidR="00460CEE" w:rsidRPr="00BE5BB3">
        <w:rPr>
          <w:rFonts w:ascii="Times New Roman" w:hAnsi="Times New Roman" w:cs="Times New Roman"/>
          <w:sz w:val="24"/>
          <w:szCs w:val="24"/>
        </w:rPr>
        <w:t xml:space="preserve"> Superannuation</w:t>
      </w:r>
      <w:r w:rsidR="00FA30A6">
        <w:rPr>
          <w:rFonts w:ascii="Times New Roman" w:hAnsi="Times New Roman" w:cs="Times New Roman"/>
          <w:sz w:val="24"/>
          <w:szCs w:val="24"/>
        </w:rPr>
        <w:t xml:space="preserve"> </w:t>
      </w:r>
      <w:r w:rsidR="0036527B">
        <w:rPr>
          <w:rFonts w:ascii="Times New Roman" w:hAnsi="Times New Roman" w:cs="Times New Roman"/>
          <w:sz w:val="24"/>
          <w:szCs w:val="24"/>
        </w:rPr>
        <w:t>Trust</w:t>
      </w:r>
      <w:r w:rsidR="00460CEE" w:rsidRPr="00BE5BB3">
        <w:rPr>
          <w:rFonts w:ascii="Times New Roman" w:hAnsi="Times New Roman" w:cs="Times New Roman"/>
          <w:sz w:val="24"/>
          <w:szCs w:val="24"/>
        </w:rPr>
        <w:t>.</w:t>
      </w:r>
    </w:p>
    <w:p w:rsidR="00FF0165" w:rsidRDefault="00FF0165" w:rsidP="00B34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138" w:rsidRDefault="00130138" w:rsidP="0013013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Consultation on the content of the amendments occurred between the Commonwealth and </w:t>
      </w:r>
      <w:r w:rsidR="00925D07">
        <w:rPr>
          <w:rFonts w:ascii="Times New Roman" w:hAnsi="Times New Roman"/>
          <w:sz w:val="24"/>
          <w:szCs w:val="24"/>
        </w:rPr>
        <w:t xml:space="preserve">the </w:t>
      </w:r>
      <w:r w:rsidRPr="00BE5BB3">
        <w:rPr>
          <w:rFonts w:ascii="Times New Roman" w:hAnsi="Times New Roman"/>
          <w:sz w:val="24"/>
          <w:szCs w:val="24"/>
        </w:rPr>
        <w:t>South</w:t>
      </w:r>
      <w:r>
        <w:rPr>
          <w:rFonts w:ascii="Times New Roman" w:hAnsi="Times New Roman"/>
          <w:sz w:val="24"/>
          <w:szCs w:val="24"/>
        </w:rPr>
        <w:t> </w:t>
      </w:r>
      <w:r w:rsidRPr="00BE5BB3">
        <w:rPr>
          <w:rFonts w:ascii="Times New Roman" w:hAnsi="Times New Roman"/>
          <w:sz w:val="24"/>
          <w:szCs w:val="24"/>
        </w:rPr>
        <w:t xml:space="preserve">Australian Local Government Superannuation </w:t>
      </w:r>
      <w:r>
        <w:rPr>
          <w:rFonts w:ascii="Times New Roman" w:hAnsi="Times New Roman"/>
          <w:sz w:val="24"/>
          <w:szCs w:val="24"/>
        </w:rPr>
        <w:t>S</w:t>
      </w:r>
      <w:r w:rsidRPr="00BE5BB3">
        <w:rPr>
          <w:rFonts w:ascii="Times New Roman" w:hAnsi="Times New Roman"/>
          <w:sz w:val="24"/>
          <w:szCs w:val="24"/>
        </w:rPr>
        <w:t>cheme</w:t>
      </w:r>
      <w:r>
        <w:rPr>
          <w:rFonts w:ascii="Times New Roman" w:hAnsi="Times New Roman"/>
          <w:sz w:val="24"/>
          <w:szCs w:val="24"/>
        </w:rPr>
        <w:t xml:space="preserve"> by way of email and telephone exchange.</w:t>
      </w:r>
    </w:p>
    <w:p w:rsidR="00B34AA3" w:rsidRDefault="001154C9" w:rsidP="00B34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C377E">
        <w:rPr>
          <w:rFonts w:ascii="Times New Roman" w:hAnsi="Times New Roman" w:cs="Times New Roman"/>
          <w:sz w:val="24"/>
          <w:szCs w:val="24"/>
        </w:rPr>
        <w:t xml:space="preserve">instrument </w:t>
      </w:r>
      <w:r>
        <w:rPr>
          <w:rFonts w:ascii="Times New Roman" w:hAnsi="Times New Roman" w:cs="Times New Roman"/>
          <w:sz w:val="24"/>
          <w:szCs w:val="24"/>
        </w:rPr>
        <w:t>commences on 1 July</w:t>
      </w:r>
      <w:r w:rsidR="00820AFC">
        <w:rPr>
          <w:rFonts w:ascii="Times New Roman" w:hAnsi="Times New Roman" w:cs="Times New Roman"/>
          <w:sz w:val="24"/>
          <w:szCs w:val="24"/>
        </w:rPr>
        <w:t xml:space="preserve"> 2012</w:t>
      </w:r>
      <w:r w:rsidR="00925D07">
        <w:rPr>
          <w:rFonts w:ascii="Times New Roman" w:hAnsi="Times New Roman" w:cs="Times New Roman"/>
          <w:sz w:val="24"/>
          <w:szCs w:val="24"/>
        </w:rPr>
        <w:t>.</w:t>
      </w:r>
    </w:p>
    <w:p w:rsidR="001154C9" w:rsidRDefault="001154C9" w:rsidP="00B34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4C9" w:rsidRDefault="001154C9" w:rsidP="00B34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C377E">
        <w:rPr>
          <w:rFonts w:ascii="Times New Roman" w:hAnsi="Times New Roman" w:cs="Times New Roman"/>
          <w:sz w:val="24"/>
          <w:szCs w:val="24"/>
        </w:rPr>
        <w:t xml:space="preserve">instrument </w:t>
      </w:r>
      <w:r>
        <w:rPr>
          <w:rFonts w:ascii="Times New Roman" w:hAnsi="Times New Roman" w:cs="Times New Roman"/>
          <w:sz w:val="24"/>
          <w:szCs w:val="24"/>
        </w:rPr>
        <w:t xml:space="preserve">is a legislative instrument for the purposes of the </w:t>
      </w:r>
      <w:r w:rsidR="00385004">
        <w:rPr>
          <w:rFonts w:ascii="Times New Roman" w:hAnsi="Times New Roman" w:cs="Times New Roman"/>
          <w:i/>
          <w:sz w:val="24"/>
          <w:szCs w:val="24"/>
        </w:rPr>
        <w:t>Legislative </w:t>
      </w:r>
      <w:r w:rsidRPr="001154C9">
        <w:rPr>
          <w:rFonts w:ascii="Times New Roman" w:hAnsi="Times New Roman" w:cs="Times New Roman"/>
          <w:i/>
          <w:sz w:val="24"/>
          <w:szCs w:val="24"/>
        </w:rPr>
        <w:t>Instruments</w:t>
      </w:r>
      <w:r w:rsidR="00385004">
        <w:rPr>
          <w:rFonts w:ascii="Times New Roman" w:hAnsi="Times New Roman" w:cs="Times New Roman"/>
          <w:i/>
          <w:sz w:val="24"/>
          <w:szCs w:val="24"/>
        </w:rPr>
        <w:t> </w:t>
      </w:r>
      <w:r w:rsidRPr="001154C9">
        <w:rPr>
          <w:rFonts w:ascii="Times New Roman" w:hAnsi="Times New Roman" w:cs="Times New Roman"/>
          <w:i/>
          <w:sz w:val="24"/>
          <w:szCs w:val="24"/>
        </w:rPr>
        <w:t>Act</w:t>
      </w:r>
      <w:r w:rsidR="00385004">
        <w:rPr>
          <w:rFonts w:ascii="Times New Roman" w:hAnsi="Times New Roman" w:cs="Times New Roman"/>
          <w:i/>
          <w:sz w:val="24"/>
          <w:szCs w:val="24"/>
        </w:rPr>
        <w:t> </w:t>
      </w:r>
      <w:r w:rsidRPr="001154C9">
        <w:rPr>
          <w:rFonts w:ascii="Times New Roman" w:hAnsi="Times New Roman" w:cs="Times New Roman"/>
          <w:i/>
          <w:sz w:val="24"/>
          <w:szCs w:val="24"/>
        </w:rPr>
        <w:t>2003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54C9" w:rsidRDefault="001154C9" w:rsidP="00B34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4C9" w:rsidRDefault="001154C9" w:rsidP="00B34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Details of the </w:t>
      </w:r>
      <w:r w:rsidR="00686EE3">
        <w:rPr>
          <w:rFonts w:ascii="Times New Roman" w:hAnsi="Times New Roman" w:cs="Times New Roman"/>
          <w:sz w:val="24"/>
          <w:szCs w:val="24"/>
        </w:rPr>
        <w:t xml:space="preserve">instrument </w:t>
      </w:r>
      <w:r>
        <w:rPr>
          <w:rFonts w:ascii="Times New Roman" w:hAnsi="Times New Roman" w:cs="Times New Roman"/>
          <w:sz w:val="24"/>
          <w:szCs w:val="24"/>
        </w:rPr>
        <w:t>are as follows:</w:t>
      </w:r>
    </w:p>
    <w:p w:rsidR="001154C9" w:rsidRDefault="001154C9" w:rsidP="00B34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4C9" w:rsidRPr="00E27D58" w:rsidRDefault="001154C9" w:rsidP="00D80B2B">
      <w:pPr>
        <w:pStyle w:val="Heading2numbered"/>
        <w:numPr>
          <w:ilvl w:val="0"/>
          <w:numId w:val="0"/>
        </w:numPr>
        <w:spacing w:before="0"/>
      </w:pPr>
      <w:r>
        <w:t>Section</w:t>
      </w:r>
      <w:r w:rsidRPr="00E27D58">
        <w:t xml:space="preserve"> 1</w:t>
      </w:r>
      <w:r>
        <w:t xml:space="preserve"> — </w:t>
      </w:r>
      <w:r w:rsidRPr="00E27D58">
        <w:t xml:space="preserve">Name of </w:t>
      </w:r>
      <w:r w:rsidR="00686EE3">
        <w:t>approval</w:t>
      </w:r>
    </w:p>
    <w:p w:rsidR="001154C9" w:rsidRDefault="001154C9" w:rsidP="00D80B2B">
      <w:pPr>
        <w:keepNext/>
        <w:keepLines/>
        <w:spacing w:after="0" w:line="240" w:lineRule="auto"/>
      </w:pPr>
    </w:p>
    <w:p w:rsidR="001154C9" w:rsidRDefault="001154C9" w:rsidP="00D80B2B">
      <w:pPr>
        <w:pStyle w:val="Default"/>
        <w:keepNext/>
        <w:keepLines/>
      </w:pPr>
      <w:r>
        <w:t xml:space="preserve">Section 1 provides that the title of the </w:t>
      </w:r>
      <w:r w:rsidR="00686EE3">
        <w:t xml:space="preserve">instrument </w:t>
      </w:r>
      <w:r>
        <w:t xml:space="preserve">is the </w:t>
      </w:r>
      <w:r>
        <w:rPr>
          <w:i/>
        </w:rPr>
        <w:t xml:space="preserve">Family Law (Superannuation) (Methods and Factors for Valuing Particular Superannuation Interests) Amendment Approval 2012 (No. </w:t>
      </w:r>
      <w:r w:rsidR="005C30FD">
        <w:rPr>
          <w:i/>
        </w:rPr>
        <w:t>2</w:t>
      </w:r>
      <w:r>
        <w:rPr>
          <w:i/>
        </w:rPr>
        <w:t>)</w:t>
      </w:r>
      <w:r>
        <w:t xml:space="preserve">. </w:t>
      </w:r>
    </w:p>
    <w:p w:rsidR="001154C9" w:rsidRDefault="001154C9" w:rsidP="001154C9">
      <w:pPr>
        <w:pStyle w:val="Default"/>
      </w:pPr>
    </w:p>
    <w:p w:rsidR="001154C9" w:rsidRDefault="001154C9" w:rsidP="001154C9">
      <w:pPr>
        <w:pStyle w:val="Default"/>
        <w:rPr>
          <w:b/>
          <w:i/>
        </w:rPr>
      </w:pPr>
      <w:r>
        <w:rPr>
          <w:b/>
          <w:i/>
        </w:rPr>
        <w:t xml:space="preserve">Section 2 </w:t>
      </w:r>
      <w:r>
        <w:t xml:space="preserve">— </w:t>
      </w:r>
      <w:r w:rsidR="00686EE3">
        <w:rPr>
          <w:b/>
          <w:i/>
        </w:rPr>
        <w:t xml:space="preserve">Commencement </w:t>
      </w:r>
    </w:p>
    <w:p w:rsidR="001154C9" w:rsidRDefault="001154C9" w:rsidP="001154C9">
      <w:pPr>
        <w:pStyle w:val="Default"/>
        <w:rPr>
          <w:b/>
          <w:i/>
        </w:rPr>
      </w:pPr>
    </w:p>
    <w:p w:rsidR="001154C9" w:rsidRDefault="001154C9" w:rsidP="001154C9">
      <w:pPr>
        <w:pStyle w:val="Default"/>
      </w:pPr>
      <w:r>
        <w:t xml:space="preserve">Section 2 provides that the </w:t>
      </w:r>
      <w:r w:rsidR="00686EE3">
        <w:t xml:space="preserve">instrument </w:t>
      </w:r>
      <w:r>
        <w:t xml:space="preserve">commences on 1 July 2012. </w:t>
      </w:r>
    </w:p>
    <w:p w:rsidR="001154C9" w:rsidRDefault="001154C9" w:rsidP="00B27390">
      <w:pPr>
        <w:pStyle w:val="Default"/>
        <w:keepNext/>
        <w:keepLines/>
        <w:rPr>
          <w:b/>
          <w:i/>
        </w:rPr>
      </w:pPr>
      <w:r>
        <w:rPr>
          <w:b/>
          <w:i/>
        </w:rPr>
        <w:lastRenderedPageBreak/>
        <w:t xml:space="preserve">Section 3 </w:t>
      </w:r>
      <w:r>
        <w:t xml:space="preserve">— </w:t>
      </w:r>
      <w:r>
        <w:rPr>
          <w:b/>
          <w:i/>
        </w:rPr>
        <w:t>Amendment of Family Law (Superannuation) (Methods and Factors for Valuing Particular Superannuation Interests) Approval 2003</w:t>
      </w:r>
    </w:p>
    <w:p w:rsidR="001154C9" w:rsidRDefault="001154C9" w:rsidP="00B27390">
      <w:pPr>
        <w:pStyle w:val="Default"/>
        <w:keepNext/>
        <w:keepLines/>
        <w:rPr>
          <w:b/>
          <w:i/>
        </w:rPr>
      </w:pPr>
    </w:p>
    <w:p w:rsidR="001154C9" w:rsidRPr="001154C9" w:rsidRDefault="001154C9" w:rsidP="00B27390">
      <w:pPr>
        <w:pStyle w:val="Default"/>
        <w:keepNext/>
        <w:keepLines/>
      </w:pPr>
      <w:r>
        <w:t xml:space="preserve">Section 3 provides that the </w:t>
      </w:r>
      <w:r w:rsidRPr="001154C9">
        <w:rPr>
          <w:i/>
        </w:rPr>
        <w:t>Family Law (Superannuation) (Methods and Factors for Valuing Particular Superannuation Interests) Approval 2003</w:t>
      </w:r>
      <w:r>
        <w:t xml:space="preserve"> is amended as set out in schedule 1.</w:t>
      </w:r>
    </w:p>
    <w:p w:rsidR="001154C9" w:rsidRDefault="001154C9" w:rsidP="001154C9">
      <w:pPr>
        <w:spacing w:after="0" w:line="240" w:lineRule="auto"/>
      </w:pPr>
      <w:r>
        <w:t xml:space="preserve"> </w:t>
      </w:r>
    </w:p>
    <w:p w:rsidR="001154C9" w:rsidRDefault="00130138" w:rsidP="001154C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Schedule 1</w:t>
      </w:r>
      <w:r w:rsidR="001154C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154C9">
        <w:t>—</w:t>
      </w:r>
      <w:r w:rsidR="001154C9">
        <w:rPr>
          <w:rFonts w:ascii="Times New Roman" w:hAnsi="Times New Roman" w:cs="Times New Roman"/>
          <w:sz w:val="24"/>
          <w:szCs w:val="24"/>
        </w:rPr>
        <w:t xml:space="preserve"> </w:t>
      </w:r>
      <w:r w:rsidR="001154C9">
        <w:rPr>
          <w:rFonts w:ascii="Times New Roman" w:hAnsi="Times New Roman" w:cs="Times New Roman"/>
          <w:b/>
          <w:i/>
          <w:sz w:val="24"/>
          <w:szCs w:val="24"/>
        </w:rPr>
        <w:t xml:space="preserve">Amendments </w:t>
      </w:r>
    </w:p>
    <w:p w:rsidR="001154C9" w:rsidRDefault="001154C9" w:rsidP="001154C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154C9" w:rsidRDefault="00441446" w:rsidP="001154C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Item [1] – </w:t>
      </w:r>
      <w:r w:rsidR="00130138">
        <w:rPr>
          <w:rFonts w:ascii="Times New Roman" w:hAnsi="Times New Roman" w:cs="Times New Roman"/>
          <w:b/>
          <w:sz w:val="24"/>
          <w:szCs w:val="24"/>
        </w:rPr>
        <w:t>Schedule 6, Part 2, subclause 1 (1)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1446" w:rsidRDefault="00441446" w:rsidP="001154C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0046B" w:rsidRDefault="00254AE0" w:rsidP="00E00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1</w:t>
      </w:r>
      <w:r w:rsidR="005C30FD" w:rsidRPr="005C30FD">
        <w:rPr>
          <w:rFonts w:ascii="Times New Roman" w:hAnsi="Times New Roman" w:cs="Times New Roman"/>
          <w:sz w:val="24"/>
          <w:szCs w:val="24"/>
        </w:rPr>
        <w:t xml:space="preserve"> </w:t>
      </w:r>
      <w:r w:rsidR="00E0046B">
        <w:rPr>
          <w:rFonts w:ascii="Times New Roman" w:hAnsi="Times New Roman" w:cs="Times New Roman"/>
          <w:sz w:val="24"/>
          <w:szCs w:val="24"/>
        </w:rPr>
        <w:t>substitutes</w:t>
      </w:r>
      <w:r w:rsidR="00385004">
        <w:rPr>
          <w:rFonts w:ascii="Times New Roman" w:hAnsi="Times New Roman" w:cs="Times New Roman"/>
          <w:sz w:val="24"/>
          <w:szCs w:val="24"/>
        </w:rPr>
        <w:t xml:space="preserve"> </w:t>
      </w:r>
      <w:r w:rsidR="00E0046B">
        <w:rPr>
          <w:rFonts w:ascii="Times New Roman" w:hAnsi="Times New Roman" w:cs="Times New Roman"/>
          <w:sz w:val="24"/>
          <w:szCs w:val="24"/>
        </w:rPr>
        <w:t xml:space="preserve">the definitions in </w:t>
      </w:r>
      <w:r w:rsidR="00385004">
        <w:rPr>
          <w:rFonts w:ascii="Times New Roman" w:hAnsi="Times New Roman" w:cs="Times New Roman"/>
          <w:sz w:val="24"/>
          <w:szCs w:val="24"/>
        </w:rPr>
        <w:t xml:space="preserve">Schedule 6, Part 2, subclause 1(1) to include </w:t>
      </w:r>
      <w:r w:rsidR="00BF3ED5">
        <w:rPr>
          <w:rFonts w:ascii="Times New Roman" w:hAnsi="Times New Roman" w:cs="Times New Roman"/>
          <w:sz w:val="24"/>
          <w:szCs w:val="24"/>
        </w:rPr>
        <w:t xml:space="preserve">definitions of </w:t>
      </w:r>
      <w:r w:rsidR="00B27390">
        <w:rPr>
          <w:rFonts w:ascii="Times New Roman" w:hAnsi="Times New Roman" w:cs="Times New Roman"/>
          <w:sz w:val="24"/>
          <w:szCs w:val="24"/>
        </w:rPr>
        <w:t>‘</w:t>
      </w:r>
      <w:r w:rsidR="00BF3ED5" w:rsidRPr="00B27390">
        <w:rPr>
          <w:rFonts w:ascii="Times New Roman" w:hAnsi="Times New Roman" w:cs="Times New Roman"/>
          <w:sz w:val="24"/>
          <w:szCs w:val="24"/>
        </w:rPr>
        <w:t>SA Local Government Superannuation Scheme</w:t>
      </w:r>
      <w:r w:rsidR="00B27390">
        <w:rPr>
          <w:rFonts w:ascii="Times New Roman" w:hAnsi="Times New Roman" w:cs="Times New Roman"/>
          <w:sz w:val="24"/>
          <w:szCs w:val="24"/>
        </w:rPr>
        <w:t>’</w:t>
      </w:r>
      <w:r w:rsidR="00BF3ED5" w:rsidRPr="00B27390">
        <w:rPr>
          <w:rFonts w:ascii="Times New Roman" w:hAnsi="Times New Roman" w:cs="Times New Roman"/>
          <w:sz w:val="24"/>
          <w:szCs w:val="24"/>
        </w:rPr>
        <w:t xml:space="preserve">, </w:t>
      </w:r>
      <w:r w:rsidR="00B27390">
        <w:rPr>
          <w:rFonts w:ascii="Times New Roman" w:hAnsi="Times New Roman" w:cs="Times New Roman"/>
          <w:sz w:val="24"/>
          <w:szCs w:val="24"/>
        </w:rPr>
        <w:t>‘</w:t>
      </w:r>
      <w:r w:rsidR="00BF3ED5" w:rsidRPr="00B27390">
        <w:rPr>
          <w:rFonts w:ascii="Times New Roman" w:hAnsi="Times New Roman" w:cs="Times New Roman"/>
          <w:sz w:val="24"/>
          <w:szCs w:val="24"/>
        </w:rPr>
        <w:t>Rules</w:t>
      </w:r>
      <w:r w:rsidR="00B27390">
        <w:rPr>
          <w:rFonts w:ascii="Times New Roman" w:hAnsi="Times New Roman" w:cs="Times New Roman"/>
          <w:sz w:val="24"/>
          <w:szCs w:val="24"/>
        </w:rPr>
        <w:t>’</w:t>
      </w:r>
      <w:r w:rsidR="00BF3ED5" w:rsidRPr="00B27390">
        <w:rPr>
          <w:rFonts w:ascii="Times New Roman" w:hAnsi="Times New Roman" w:cs="Times New Roman"/>
          <w:sz w:val="24"/>
          <w:szCs w:val="24"/>
        </w:rPr>
        <w:t xml:space="preserve"> and</w:t>
      </w:r>
      <w:r w:rsidR="000C0D4E" w:rsidRPr="00B27390">
        <w:rPr>
          <w:rFonts w:ascii="Times New Roman" w:hAnsi="Times New Roman" w:cs="Times New Roman"/>
          <w:sz w:val="24"/>
          <w:szCs w:val="24"/>
        </w:rPr>
        <w:t xml:space="preserve"> a new definition of</w:t>
      </w:r>
      <w:r w:rsidR="00BF3ED5" w:rsidRPr="00B27390">
        <w:rPr>
          <w:rFonts w:ascii="Times New Roman" w:hAnsi="Times New Roman" w:cs="Times New Roman"/>
          <w:sz w:val="24"/>
          <w:szCs w:val="24"/>
        </w:rPr>
        <w:t xml:space="preserve"> </w:t>
      </w:r>
      <w:r w:rsidR="00B27390">
        <w:rPr>
          <w:rFonts w:ascii="Times New Roman" w:hAnsi="Times New Roman" w:cs="Times New Roman"/>
          <w:sz w:val="24"/>
          <w:szCs w:val="24"/>
        </w:rPr>
        <w:t>‘</w:t>
      </w:r>
      <w:r w:rsidR="00BF3ED5" w:rsidRPr="00B27390">
        <w:rPr>
          <w:rFonts w:ascii="Times New Roman" w:hAnsi="Times New Roman" w:cs="Times New Roman"/>
          <w:sz w:val="24"/>
          <w:szCs w:val="24"/>
        </w:rPr>
        <w:t>trust</w:t>
      </w:r>
      <w:r w:rsidR="000C0D4E" w:rsidRPr="00B27390">
        <w:rPr>
          <w:rFonts w:ascii="Times New Roman" w:hAnsi="Times New Roman" w:cs="Times New Roman"/>
          <w:sz w:val="24"/>
          <w:szCs w:val="24"/>
        </w:rPr>
        <w:t> </w:t>
      </w:r>
      <w:r w:rsidR="00BF3ED5" w:rsidRPr="00B27390">
        <w:rPr>
          <w:rFonts w:ascii="Times New Roman" w:hAnsi="Times New Roman" w:cs="Times New Roman"/>
          <w:sz w:val="24"/>
          <w:szCs w:val="24"/>
        </w:rPr>
        <w:t>deed</w:t>
      </w:r>
      <w:r w:rsidR="00B27390">
        <w:rPr>
          <w:rFonts w:ascii="Times New Roman" w:hAnsi="Times New Roman" w:cs="Times New Roman"/>
          <w:sz w:val="24"/>
          <w:szCs w:val="24"/>
        </w:rPr>
        <w:t>’</w:t>
      </w:r>
      <w:r w:rsidR="00BF3ED5">
        <w:rPr>
          <w:rFonts w:ascii="Times New Roman" w:hAnsi="Times New Roman" w:cs="Times New Roman"/>
          <w:sz w:val="24"/>
          <w:szCs w:val="24"/>
        </w:rPr>
        <w:t xml:space="preserve">.  </w:t>
      </w:r>
      <w:r w:rsidR="00E004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46B" w:rsidRDefault="00E0046B" w:rsidP="00E00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138" w:rsidRDefault="00E0046B" w:rsidP="00E0046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en-AU"/>
        </w:rPr>
      </w:pPr>
      <w:r>
        <w:rPr>
          <w:rFonts w:ascii="Times New Roman" w:hAnsi="Times New Roman" w:cs="Times New Roman"/>
          <w:sz w:val="24"/>
          <w:szCs w:val="24"/>
        </w:rPr>
        <w:t xml:space="preserve">The new definition of </w:t>
      </w:r>
      <w:r w:rsidR="00B27390">
        <w:rPr>
          <w:rFonts w:ascii="Times New Roman" w:hAnsi="Times New Roman" w:cs="Times New Roman"/>
          <w:sz w:val="24"/>
          <w:szCs w:val="24"/>
        </w:rPr>
        <w:t>‘</w:t>
      </w:r>
      <w:r w:rsidR="00441446" w:rsidRPr="00B27390">
        <w:rPr>
          <w:rFonts w:ascii="Times New Roman" w:hAnsi="Times New Roman" w:cs="Times New Roman"/>
          <w:sz w:val="24"/>
          <w:szCs w:val="24"/>
        </w:rPr>
        <w:t>SA Local Government Superannuation Scheme</w:t>
      </w:r>
      <w:r w:rsidR="00B27390">
        <w:rPr>
          <w:rFonts w:ascii="Times New Roman" w:hAnsi="Times New Roman" w:cs="Times New Roman"/>
          <w:sz w:val="24"/>
          <w:szCs w:val="24"/>
        </w:rPr>
        <w:t>’</w:t>
      </w:r>
      <w:r w:rsidR="00441446" w:rsidRPr="001301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1446" w:rsidRPr="00130138">
        <w:rPr>
          <w:rFonts w:ascii="Times New Roman" w:hAnsi="Times New Roman" w:cs="Times New Roman"/>
          <w:sz w:val="24"/>
          <w:szCs w:val="24"/>
        </w:rPr>
        <w:t>mean</w:t>
      </w:r>
      <w:r>
        <w:rPr>
          <w:rFonts w:ascii="Times New Roman" w:hAnsi="Times New Roman" w:cs="Times New Roman"/>
          <w:sz w:val="24"/>
          <w:szCs w:val="24"/>
        </w:rPr>
        <w:t>s</w:t>
      </w:r>
      <w:r w:rsidR="00441446" w:rsidRPr="00130138">
        <w:rPr>
          <w:rFonts w:ascii="Times New Roman" w:hAnsi="Times New Roman" w:cs="Times New Roman"/>
          <w:sz w:val="24"/>
          <w:szCs w:val="24"/>
        </w:rPr>
        <w:t xml:space="preserve"> the scheme continued in</w:t>
      </w:r>
      <w:r w:rsidR="00F163C0">
        <w:rPr>
          <w:rFonts w:ascii="Times New Roman" w:hAnsi="Times New Roman" w:cs="Times New Roman"/>
          <w:sz w:val="24"/>
          <w:szCs w:val="24"/>
        </w:rPr>
        <w:t xml:space="preserve"> existence by </w:t>
      </w:r>
      <w:r w:rsidR="00040DD1">
        <w:rPr>
          <w:rFonts w:ascii="Times New Roman" w:hAnsi="Times New Roman" w:cs="Times New Roman"/>
          <w:sz w:val="24"/>
          <w:szCs w:val="24"/>
        </w:rPr>
        <w:t>paragraph</w:t>
      </w:r>
      <w:r w:rsidR="00F163C0">
        <w:rPr>
          <w:rFonts w:ascii="Times New Roman" w:hAnsi="Times New Roman" w:cs="Times New Roman"/>
          <w:sz w:val="24"/>
          <w:szCs w:val="24"/>
        </w:rPr>
        <w:t xml:space="preserve"> 2(1</w:t>
      </w:r>
      <w:proofErr w:type="gramStart"/>
      <w:r w:rsidR="00F163C0">
        <w:rPr>
          <w:rFonts w:ascii="Times New Roman" w:hAnsi="Times New Roman" w:cs="Times New Roman"/>
          <w:sz w:val="24"/>
          <w:szCs w:val="24"/>
        </w:rPr>
        <w:t>)</w:t>
      </w:r>
      <w:r w:rsidR="00040DD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40DD1">
        <w:rPr>
          <w:rFonts w:ascii="Times New Roman" w:hAnsi="Times New Roman" w:cs="Times New Roman"/>
          <w:sz w:val="24"/>
          <w:szCs w:val="24"/>
        </w:rPr>
        <w:t>b)</w:t>
      </w:r>
      <w:r w:rsidR="00441446" w:rsidRPr="00130138">
        <w:rPr>
          <w:rFonts w:ascii="Times New Roman" w:hAnsi="Times New Roman" w:cs="Times New Roman"/>
          <w:sz w:val="24"/>
          <w:szCs w:val="24"/>
        </w:rPr>
        <w:t xml:space="preserve"> of Schedule 1 to the </w:t>
      </w:r>
      <w:r w:rsidR="00441446" w:rsidRPr="00130138">
        <w:rPr>
          <w:rFonts w:ascii="Times New Roman" w:hAnsi="Times New Roman" w:cs="Times New Roman"/>
          <w:i/>
          <w:sz w:val="24"/>
          <w:szCs w:val="24"/>
        </w:rPr>
        <w:t>Local Government (Superannuation Scheme) Amendment Act 2008</w:t>
      </w:r>
      <w:r w:rsidR="00441446" w:rsidRPr="00130138">
        <w:rPr>
          <w:rFonts w:ascii="Times New Roman" w:hAnsi="Times New Roman" w:cs="Times New Roman"/>
          <w:sz w:val="24"/>
          <w:szCs w:val="24"/>
        </w:rPr>
        <w:t xml:space="preserve"> </w:t>
      </w:r>
      <w:r w:rsidR="00254AE0">
        <w:rPr>
          <w:rFonts w:ascii="Times New Roman" w:hAnsi="Times New Roman" w:cs="Times New Roman"/>
          <w:sz w:val="24"/>
          <w:szCs w:val="24"/>
        </w:rPr>
        <w:t>(SA)</w:t>
      </w:r>
      <w:r w:rsidR="00040DD1">
        <w:rPr>
          <w:rFonts w:ascii="Times New Roman" w:hAnsi="Times New Roman" w:cs="Times New Roman"/>
          <w:sz w:val="24"/>
          <w:szCs w:val="24"/>
        </w:rPr>
        <w:t xml:space="preserve">.  </w:t>
      </w:r>
      <w:r w:rsidR="000D083E">
        <w:rPr>
          <w:rFonts w:ascii="Times New Roman" w:eastAsia="Times New Roman" w:hAnsi="Times New Roman"/>
          <w:sz w:val="24"/>
          <w:szCs w:val="20"/>
          <w:lang w:eastAsia="en-AU"/>
        </w:rPr>
        <w:t>T</w:t>
      </w:r>
      <w:r w:rsidR="00040DD1">
        <w:rPr>
          <w:rFonts w:ascii="Times New Roman" w:eastAsia="Times New Roman" w:hAnsi="Times New Roman"/>
          <w:sz w:val="24"/>
          <w:szCs w:val="20"/>
          <w:lang w:eastAsia="en-AU"/>
        </w:rPr>
        <w:t xml:space="preserve">he </w:t>
      </w:r>
      <w:r w:rsidR="000D083E">
        <w:rPr>
          <w:rFonts w:ascii="Times New Roman" w:eastAsia="Times New Roman" w:hAnsi="Times New Roman"/>
          <w:i/>
          <w:sz w:val="24"/>
          <w:szCs w:val="20"/>
          <w:lang w:eastAsia="en-AU"/>
        </w:rPr>
        <w:t>Local </w:t>
      </w:r>
      <w:r w:rsidR="00040DD1" w:rsidRPr="009F4247">
        <w:rPr>
          <w:rFonts w:ascii="Times New Roman" w:eastAsia="Times New Roman" w:hAnsi="Times New Roman"/>
          <w:i/>
          <w:sz w:val="24"/>
          <w:szCs w:val="20"/>
          <w:lang w:eastAsia="en-AU"/>
        </w:rPr>
        <w:t>Government</w:t>
      </w:r>
      <w:r w:rsidR="000D083E">
        <w:rPr>
          <w:rFonts w:ascii="Times New Roman" w:eastAsia="Times New Roman" w:hAnsi="Times New Roman"/>
          <w:i/>
          <w:sz w:val="24"/>
          <w:szCs w:val="20"/>
          <w:lang w:eastAsia="en-AU"/>
        </w:rPr>
        <w:t xml:space="preserve"> </w:t>
      </w:r>
      <w:r w:rsidR="00040DD1" w:rsidRPr="009F4247">
        <w:rPr>
          <w:rFonts w:ascii="Times New Roman" w:eastAsia="Times New Roman" w:hAnsi="Times New Roman"/>
          <w:i/>
          <w:sz w:val="24"/>
          <w:szCs w:val="20"/>
          <w:lang w:eastAsia="en-AU"/>
        </w:rPr>
        <w:t>(Superannuation Scheme) (Merger) Amendment Act 2012</w:t>
      </w:r>
      <w:r w:rsidR="00040DD1">
        <w:rPr>
          <w:rFonts w:ascii="Times New Roman" w:eastAsia="Times New Roman" w:hAnsi="Times New Roman"/>
          <w:sz w:val="24"/>
          <w:szCs w:val="20"/>
          <w:lang w:eastAsia="en-AU"/>
        </w:rPr>
        <w:t xml:space="preserve"> (SA) </w:t>
      </w:r>
      <w:r w:rsidR="000D083E">
        <w:rPr>
          <w:rFonts w:ascii="Times New Roman" w:eastAsia="Times New Roman" w:hAnsi="Times New Roman"/>
          <w:sz w:val="24"/>
          <w:szCs w:val="20"/>
          <w:lang w:eastAsia="en-AU"/>
        </w:rPr>
        <w:t xml:space="preserve">amends the transitional provisions in the </w:t>
      </w:r>
      <w:r w:rsidR="000D083E" w:rsidRPr="00B27390">
        <w:rPr>
          <w:rFonts w:ascii="Times New Roman" w:hAnsi="Times New Roman" w:cs="Times New Roman"/>
          <w:i/>
          <w:sz w:val="24"/>
          <w:szCs w:val="24"/>
        </w:rPr>
        <w:t>Local Government (Superannuation Scheme) Amendment Act</w:t>
      </w:r>
      <w:r w:rsidR="00B27390" w:rsidRPr="00B27390">
        <w:rPr>
          <w:rFonts w:ascii="Times New Roman" w:hAnsi="Times New Roman" w:cs="Times New Roman"/>
          <w:i/>
          <w:sz w:val="24"/>
          <w:szCs w:val="24"/>
        </w:rPr>
        <w:t xml:space="preserve"> 2008</w:t>
      </w:r>
      <w:r w:rsidR="000D083E">
        <w:rPr>
          <w:rFonts w:ascii="Times New Roman" w:eastAsia="Times New Roman" w:hAnsi="Times New Roman"/>
          <w:sz w:val="24"/>
          <w:szCs w:val="20"/>
          <w:lang w:eastAsia="en-AU"/>
        </w:rPr>
        <w:t xml:space="preserve"> </w:t>
      </w:r>
      <w:r w:rsidR="00B27390">
        <w:rPr>
          <w:rFonts w:ascii="Times New Roman" w:eastAsia="Times New Roman" w:hAnsi="Times New Roman"/>
          <w:sz w:val="24"/>
          <w:szCs w:val="20"/>
          <w:lang w:eastAsia="en-AU"/>
        </w:rPr>
        <w:t xml:space="preserve">(SA) </w:t>
      </w:r>
      <w:r w:rsidR="00B25B5F">
        <w:rPr>
          <w:rFonts w:ascii="Times New Roman" w:eastAsia="Times New Roman" w:hAnsi="Times New Roman"/>
          <w:sz w:val="24"/>
          <w:szCs w:val="20"/>
          <w:lang w:eastAsia="en-AU"/>
        </w:rPr>
        <w:t xml:space="preserve">(located in Schedule 1 of that Act) </w:t>
      </w:r>
      <w:r w:rsidR="00040DD1">
        <w:rPr>
          <w:rFonts w:ascii="Times New Roman" w:eastAsia="Times New Roman" w:hAnsi="Times New Roman"/>
          <w:sz w:val="24"/>
          <w:szCs w:val="20"/>
          <w:lang w:eastAsia="en-AU"/>
        </w:rPr>
        <w:t xml:space="preserve">to enable the </w:t>
      </w:r>
      <w:r w:rsidR="00B27390">
        <w:rPr>
          <w:rFonts w:ascii="Times New Roman" w:eastAsia="Times New Roman" w:hAnsi="Times New Roman"/>
          <w:sz w:val="24"/>
          <w:szCs w:val="20"/>
          <w:lang w:eastAsia="en-AU"/>
        </w:rPr>
        <w:t xml:space="preserve">South Australian </w:t>
      </w:r>
      <w:r w:rsidR="00040DD1">
        <w:rPr>
          <w:rFonts w:ascii="Times New Roman" w:eastAsia="Times New Roman" w:hAnsi="Times New Roman"/>
          <w:sz w:val="24"/>
          <w:szCs w:val="20"/>
          <w:lang w:eastAsia="en-AU"/>
        </w:rPr>
        <w:t xml:space="preserve">Local Government Superannuation Scheme to continue in existence as a result of </w:t>
      </w:r>
      <w:r w:rsidR="00B25B5F">
        <w:rPr>
          <w:rFonts w:ascii="Times New Roman" w:eastAsia="Times New Roman" w:hAnsi="Times New Roman"/>
          <w:sz w:val="24"/>
          <w:szCs w:val="20"/>
          <w:lang w:eastAsia="en-AU"/>
        </w:rPr>
        <w:t>a merger of the scheme (or a subsequent merger of the scheme) with another superannuation fund (in this case the</w:t>
      </w:r>
      <w:r w:rsidR="00040DD1">
        <w:rPr>
          <w:rFonts w:ascii="Times New Roman" w:eastAsia="Times New Roman" w:hAnsi="Times New Roman"/>
          <w:sz w:val="24"/>
          <w:szCs w:val="20"/>
          <w:lang w:eastAsia="en-AU"/>
        </w:rPr>
        <w:t xml:space="preserve"> </w:t>
      </w:r>
      <w:proofErr w:type="spellStart"/>
      <w:r w:rsidR="00040DD1">
        <w:rPr>
          <w:rFonts w:ascii="Times New Roman" w:eastAsia="Times New Roman" w:hAnsi="Times New Roman"/>
          <w:sz w:val="24"/>
          <w:szCs w:val="20"/>
          <w:lang w:eastAsia="en-AU"/>
        </w:rPr>
        <w:t>State</w:t>
      </w:r>
      <w:r w:rsidR="00BF3ED5">
        <w:rPr>
          <w:rFonts w:ascii="Times New Roman" w:eastAsia="Times New Roman" w:hAnsi="Times New Roman"/>
          <w:sz w:val="24"/>
          <w:szCs w:val="20"/>
          <w:lang w:eastAsia="en-AU"/>
        </w:rPr>
        <w:t>wide</w:t>
      </w:r>
      <w:proofErr w:type="spellEnd"/>
      <w:r w:rsidR="00040DD1">
        <w:rPr>
          <w:rFonts w:ascii="Times New Roman" w:eastAsia="Times New Roman" w:hAnsi="Times New Roman"/>
          <w:sz w:val="24"/>
          <w:szCs w:val="20"/>
          <w:lang w:eastAsia="en-AU"/>
        </w:rPr>
        <w:t xml:space="preserve"> Superannuation </w:t>
      </w:r>
      <w:r w:rsidR="0036527B">
        <w:rPr>
          <w:rFonts w:ascii="Times New Roman" w:eastAsia="Times New Roman" w:hAnsi="Times New Roman"/>
          <w:sz w:val="24"/>
          <w:szCs w:val="20"/>
          <w:lang w:eastAsia="en-AU"/>
        </w:rPr>
        <w:t>Trust</w:t>
      </w:r>
      <w:r w:rsidR="00B25B5F">
        <w:rPr>
          <w:rFonts w:ascii="Times New Roman" w:eastAsia="Times New Roman" w:hAnsi="Times New Roman"/>
          <w:sz w:val="24"/>
          <w:szCs w:val="20"/>
          <w:lang w:eastAsia="en-AU"/>
        </w:rPr>
        <w:t>)</w:t>
      </w:r>
      <w:r w:rsidR="00040DD1">
        <w:rPr>
          <w:rFonts w:ascii="Times New Roman" w:eastAsia="Times New Roman" w:hAnsi="Times New Roman"/>
          <w:sz w:val="24"/>
          <w:szCs w:val="20"/>
          <w:lang w:eastAsia="en-AU"/>
        </w:rPr>
        <w:t>.</w:t>
      </w:r>
    </w:p>
    <w:p w:rsidR="00E0046B" w:rsidRDefault="00E0046B" w:rsidP="00E00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446" w:rsidRDefault="00E0046B" w:rsidP="00E00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46B">
        <w:rPr>
          <w:rFonts w:ascii="Times New Roman" w:hAnsi="Times New Roman" w:cs="Times New Roman"/>
          <w:sz w:val="24"/>
          <w:szCs w:val="24"/>
        </w:rPr>
        <w:t xml:space="preserve">The new definition </w:t>
      </w:r>
      <w:r w:rsidRPr="00B27390">
        <w:rPr>
          <w:rFonts w:ascii="Times New Roman" w:hAnsi="Times New Roman" w:cs="Times New Roman"/>
          <w:sz w:val="24"/>
          <w:szCs w:val="24"/>
        </w:rPr>
        <w:t xml:space="preserve">of </w:t>
      </w:r>
      <w:r w:rsidR="00B27390">
        <w:rPr>
          <w:rFonts w:ascii="Times New Roman" w:hAnsi="Times New Roman" w:cs="Times New Roman"/>
          <w:sz w:val="24"/>
          <w:szCs w:val="24"/>
        </w:rPr>
        <w:t>‘</w:t>
      </w:r>
      <w:r w:rsidR="00662DC4" w:rsidRPr="00B27390">
        <w:rPr>
          <w:rFonts w:ascii="Times New Roman" w:hAnsi="Times New Roman" w:cs="Times New Roman"/>
          <w:sz w:val="24"/>
          <w:szCs w:val="24"/>
        </w:rPr>
        <w:t>R</w:t>
      </w:r>
      <w:r w:rsidR="00130138" w:rsidRPr="00B27390">
        <w:rPr>
          <w:rFonts w:ascii="Times New Roman" w:hAnsi="Times New Roman" w:cs="Times New Roman"/>
          <w:sz w:val="24"/>
          <w:szCs w:val="24"/>
        </w:rPr>
        <w:t>ules</w:t>
      </w:r>
      <w:r w:rsidR="00B27390">
        <w:rPr>
          <w:rFonts w:ascii="Times New Roman" w:hAnsi="Times New Roman" w:cs="Times New Roman"/>
          <w:sz w:val="24"/>
          <w:szCs w:val="24"/>
        </w:rPr>
        <w:t>’</w:t>
      </w:r>
      <w:r w:rsidR="00662DC4" w:rsidRPr="00E0046B">
        <w:rPr>
          <w:rFonts w:ascii="Times New Roman" w:hAnsi="Times New Roman" w:cs="Times New Roman"/>
          <w:sz w:val="24"/>
          <w:szCs w:val="24"/>
        </w:rPr>
        <w:t xml:space="preserve"> </w:t>
      </w:r>
      <w:r w:rsidR="00B25B5F" w:rsidRPr="00E0046B">
        <w:rPr>
          <w:rFonts w:ascii="Times New Roman" w:hAnsi="Times New Roman" w:cs="Times New Roman"/>
          <w:sz w:val="24"/>
          <w:szCs w:val="24"/>
        </w:rPr>
        <w:t>mean</w:t>
      </w:r>
      <w:r>
        <w:rPr>
          <w:rFonts w:ascii="Times New Roman" w:hAnsi="Times New Roman" w:cs="Times New Roman"/>
          <w:sz w:val="24"/>
          <w:szCs w:val="24"/>
        </w:rPr>
        <w:t>s</w:t>
      </w:r>
      <w:r w:rsidR="00B25B5F" w:rsidRPr="00E0046B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r</w:t>
      </w:r>
      <w:r w:rsidR="00130138" w:rsidRPr="00E0046B">
        <w:rPr>
          <w:rFonts w:ascii="Times New Roman" w:hAnsi="Times New Roman" w:cs="Times New Roman"/>
          <w:sz w:val="24"/>
          <w:szCs w:val="24"/>
        </w:rPr>
        <w:t>ules set out i</w:t>
      </w:r>
      <w:r w:rsidR="00662DC4" w:rsidRPr="00E0046B">
        <w:rPr>
          <w:rFonts w:ascii="Times New Roman" w:hAnsi="Times New Roman" w:cs="Times New Roman"/>
          <w:sz w:val="24"/>
          <w:szCs w:val="24"/>
        </w:rPr>
        <w:t>n Division 9 of the trust deed</w:t>
      </w:r>
      <w:r w:rsidR="00B9084D" w:rsidRPr="00E0046B">
        <w:rPr>
          <w:rFonts w:ascii="Times New Roman" w:hAnsi="Times New Roman" w:cs="Times New Roman"/>
          <w:sz w:val="24"/>
          <w:szCs w:val="24"/>
        </w:rPr>
        <w:t>.</w:t>
      </w:r>
    </w:p>
    <w:p w:rsidR="00E0046B" w:rsidRPr="00E0046B" w:rsidRDefault="00E0046B" w:rsidP="00E00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138" w:rsidRPr="00E0046B" w:rsidRDefault="00E0046B" w:rsidP="00E00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46B">
        <w:rPr>
          <w:rFonts w:ascii="Times New Roman" w:hAnsi="Times New Roman" w:cs="Times New Roman"/>
          <w:sz w:val="24"/>
          <w:szCs w:val="24"/>
        </w:rPr>
        <w:t xml:space="preserve">The new definition </w:t>
      </w:r>
      <w:r w:rsidRPr="00B27390">
        <w:rPr>
          <w:rFonts w:ascii="Times New Roman" w:hAnsi="Times New Roman" w:cs="Times New Roman"/>
          <w:sz w:val="24"/>
          <w:szCs w:val="24"/>
        </w:rPr>
        <w:t xml:space="preserve">of </w:t>
      </w:r>
      <w:r w:rsidR="00B27390">
        <w:rPr>
          <w:rFonts w:ascii="Times New Roman" w:hAnsi="Times New Roman" w:cs="Times New Roman"/>
          <w:sz w:val="24"/>
          <w:szCs w:val="24"/>
        </w:rPr>
        <w:t>‘</w:t>
      </w:r>
      <w:r w:rsidR="00130138" w:rsidRPr="00B27390">
        <w:rPr>
          <w:rFonts w:ascii="Times New Roman" w:hAnsi="Times New Roman" w:cs="Times New Roman"/>
          <w:sz w:val="24"/>
          <w:szCs w:val="24"/>
        </w:rPr>
        <w:t>trust deed</w:t>
      </w:r>
      <w:r w:rsidR="00B27390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0138" w:rsidRPr="00E0046B">
        <w:rPr>
          <w:rFonts w:ascii="Times New Roman" w:hAnsi="Times New Roman" w:cs="Times New Roman"/>
          <w:sz w:val="24"/>
          <w:szCs w:val="24"/>
        </w:rPr>
        <w:t>mean</w:t>
      </w:r>
      <w:r>
        <w:rPr>
          <w:rFonts w:ascii="Times New Roman" w:hAnsi="Times New Roman" w:cs="Times New Roman"/>
          <w:sz w:val="24"/>
          <w:szCs w:val="24"/>
        </w:rPr>
        <w:t>s</w:t>
      </w:r>
      <w:r w:rsidR="00130138" w:rsidRPr="00E0046B">
        <w:rPr>
          <w:rFonts w:ascii="Times New Roman" w:hAnsi="Times New Roman" w:cs="Times New Roman"/>
          <w:sz w:val="24"/>
          <w:szCs w:val="24"/>
        </w:rPr>
        <w:t xml:space="preserve"> the declaration of trust date</w:t>
      </w:r>
      <w:r w:rsidR="00F7261C" w:rsidRPr="00E0046B">
        <w:rPr>
          <w:rFonts w:ascii="Times New Roman" w:hAnsi="Times New Roman" w:cs="Times New Roman"/>
          <w:sz w:val="24"/>
          <w:szCs w:val="24"/>
        </w:rPr>
        <w:t xml:space="preserve">d 1 May 1986, made by </w:t>
      </w:r>
      <w:proofErr w:type="spellStart"/>
      <w:r w:rsidR="00F7261C" w:rsidRPr="00E0046B">
        <w:rPr>
          <w:rFonts w:ascii="Times New Roman" w:hAnsi="Times New Roman" w:cs="Times New Roman"/>
          <w:sz w:val="24"/>
          <w:szCs w:val="24"/>
        </w:rPr>
        <w:t>Statewide</w:t>
      </w:r>
      <w:proofErr w:type="spellEnd"/>
      <w:r w:rsidR="00F7261C" w:rsidRPr="00E0046B">
        <w:rPr>
          <w:rFonts w:ascii="Times New Roman" w:hAnsi="Times New Roman" w:cs="Times New Roman"/>
          <w:sz w:val="24"/>
          <w:szCs w:val="24"/>
        </w:rPr>
        <w:t> </w:t>
      </w:r>
      <w:r w:rsidR="00130138" w:rsidRPr="00E0046B">
        <w:rPr>
          <w:rFonts w:ascii="Times New Roman" w:hAnsi="Times New Roman" w:cs="Times New Roman"/>
          <w:sz w:val="24"/>
          <w:szCs w:val="24"/>
        </w:rPr>
        <w:t>Superannuation Pty Ltd, as amended and in force on 1 July 2012.</w:t>
      </w:r>
      <w:r w:rsidR="00B25B5F" w:rsidRPr="00E0046B">
        <w:rPr>
          <w:rFonts w:ascii="Times New Roman" w:hAnsi="Times New Roman" w:cs="Times New Roman"/>
          <w:sz w:val="24"/>
          <w:szCs w:val="24"/>
        </w:rPr>
        <w:t xml:space="preserve">  A copy of the trust deed is available to members on request.</w:t>
      </w:r>
    </w:p>
    <w:p w:rsidR="001154C9" w:rsidRDefault="001154C9" w:rsidP="001154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5868" w:rsidRPr="00130138" w:rsidRDefault="00D15868" w:rsidP="00D15868">
      <w:pPr>
        <w:pStyle w:val="Default"/>
        <w:rPr>
          <w:b/>
          <w:bCs/>
        </w:rPr>
      </w:pPr>
      <w:r w:rsidRPr="00130138">
        <w:rPr>
          <w:b/>
        </w:rPr>
        <w:t xml:space="preserve">Item [2] - </w:t>
      </w:r>
      <w:r w:rsidRPr="00130138">
        <w:rPr>
          <w:b/>
          <w:bCs/>
        </w:rPr>
        <w:t xml:space="preserve">Schedule 6, Part 2, clause 2, table, item 1 </w:t>
      </w:r>
    </w:p>
    <w:p w:rsidR="00130138" w:rsidRPr="00130138" w:rsidRDefault="00130138" w:rsidP="00D15868">
      <w:pPr>
        <w:pStyle w:val="Default"/>
      </w:pPr>
    </w:p>
    <w:p w:rsidR="00D15868" w:rsidRPr="00130138" w:rsidRDefault="00254AE0" w:rsidP="00254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Item 2 omits </w:t>
      </w:r>
      <w:r w:rsidR="00662DC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the reference to sub-sub-subparagraph </w:t>
      </w:r>
      <w:r w:rsidR="00F163C0">
        <w:rPr>
          <w:rFonts w:ascii="Times New Roman" w:hAnsi="Times New Roman" w:cs="Times New Roman"/>
          <w:color w:val="000000"/>
          <w:sz w:val="24"/>
          <w:szCs w:val="24"/>
        </w:rPr>
        <w:t>61(a</w:t>
      </w:r>
      <w:proofErr w:type="gramStart"/>
      <w:r w:rsidR="00F163C0">
        <w:rPr>
          <w:rFonts w:ascii="Times New Roman" w:hAnsi="Times New Roman" w:cs="Times New Roman"/>
          <w:color w:val="000000"/>
          <w:sz w:val="24"/>
          <w:szCs w:val="24"/>
        </w:rPr>
        <w:t>)(</w:t>
      </w:r>
      <w:proofErr w:type="gramEnd"/>
      <w:r w:rsidR="00F163C0">
        <w:rPr>
          <w:rFonts w:ascii="Times New Roman" w:hAnsi="Times New Roman" w:cs="Times New Roman"/>
          <w:color w:val="000000"/>
          <w:sz w:val="24"/>
          <w:szCs w:val="24"/>
        </w:rPr>
        <w:t>ii)(B)</w:t>
      </w:r>
      <w:r w:rsidR="00D15868" w:rsidRPr="00D15868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r w:rsidR="00662DC4">
        <w:rPr>
          <w:rFonts w:ascii="Times New Roman" w:hAnsi="Times New Roman" w:cs="Times New Roman"/>
          <w:color w:val="000000"/>
          <w:sz w:val="24"/>
          <w:szCs w:val="24"/>
        </w:rPr>
        <w:t xml:space="preserve">of the Rules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and inserts </w:t>
      </w:r>
      <w:r w:rsidR="00F163C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sub-sub-subparagraph </w:t>
      </w:r>
      <w:r w:rsidR="00F163C0">
        <w:rPr>
          <w:rFonts w:ascii="Times New Roman" w:hAnsi="Times New Roman" w:cs="Times New Roman"/>
          <w:color w:val="000000"/>
          <w:sz w:val="24"/>
          <w:szCs w:val="24"/>
        </w:rPr>
        <w:t>43</w:t>
      </w:r>
      <w:r w:rsidR="00D15868" w:rsidRPr="00130138">
        <w:rPr>
          <w:rFonts w:ascii="Times New Roman" w:hAnsi="Times New Roman" w:cs="Times New Roman"/>
          <w:color w:val="000000"/>
          <w:sz w:val="24"/>
          <w:szCs w:val="24"/>
        </w:rPr>
        <w:t>(a)</w:t>
      </w:r>
      <w:r w:rsidR="00F163C0">
        <w:rPr>
          <w:rFonts w:ascii="Times New Roman" w:hAnsi="Times New Roman" w:cs="Times New Roman"/>
          <w:color w:val="000000"/>
          <w:sz w:val="24"/>
          <w:szCs w:val="24"/>
        </w:rPr>
        <w:t>(ii)(B)</w:t>
      </w:r>
      <w:r>
        <w:rPr>
          <w:rFonts w:ascii="Times New Roman" w:hAnsi="Times New Roman" w:cs="Times New Roman"/>
          <w:color w:val="000000"/>
          <w:sz w:val="24"/>
          <w:szCs w:val="24"/>
        </w:rPr>
        <w:t>(4) of Sub-division C</w:t>
      </w:r>
      <w:r w:rsidR="00662DC4">
        <w:rPr>
          <w:rFonts w:ascii="Times New Roman" w:hAnsi="Times New Roman" w:cs="Times New Roman"/>
          <w:color w:val="000000"/>
          <w:sz w:val="24"/>
          <w:szCs w:val="24"/>
        </w:rPr>
        <w:t xml:space="preserve"> of the Rules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E30F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42756D">
        <w:rPr>
          <w:rFonts w:ascii="Times New Roman" w:hAnsi="Times New Roman" w:cs="Times New Roman"/>
          <w:color w:val="000000"/>
          <w:sz w:val="24"/>
          <w:szCs w:val="24"/>
        </w:rPr>
        <w:t xml:space="preserve">This takes account of reference changes in the trust deed, as a result of the merger, in relation to </w:t>
      </w:r>
      <w:r w:rsidR="0036527B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42756D">
        <w:rPr>
          <w:rFonts w:ascii="Times New Roman" w:hAnsi="Times New Roman" w:cs="Times New Roman"/>
          <w:color w:val="000000"/>
          <w:sz w:val="24"/>
          <w:szCs w:val="24"/>
        </w:rPr>
        <w:t>termination of service benefit.</w:t>
      </w:r>
    </w:p>
    <w:p w:rsidR="00D15868" w:rsidRPr="00130138" w:rsidRDefault="00D15868" w:rsidP="00D1586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570EE" w:rsidRPr="00130138" w:rsidRDefault="00C570EE" w:rsidP="00C570EE">
      <w:pPr>
        <w:pStyle w:val="Default"/>
      </w:pPr>
      <w:r w:rsidRPr="00130138">
        <w:rPr>
          <w:b/>
        </w:rPr>
        <w:t xml:space="preserve">Item [3] - </w:t>
      </w:r>
      <w:r w:rsidRPr="00130138">
        <w:rPr>
          <w:b/>
          <w:bCs/>
        </w:rPr>
        <w:t xml:space="preserve">Schedule 6, Part 2, clause 2, table, item 2 </w:t>
      </w:r>
    </w:p>
    <w:p w:rsidR="00C570EE" w:rsidRDefault="00C570EE" w:rsidP="00C570EE">
      <w:pPr>
        <w:spacing w:before="240" w:after="0" w:line="240" w:lineRule="auto"/>
        <w:ind w:right="91"/>
        <w:rPr>
          <w:rFonts w:ascii="Times New Roman" w:eastAsia="Times New Roman" w:hAnsi="Times New Roman"/>
          <w:sz w:val="24"/>
          <w:szCs w:val="20"/>
          <w:lang w:eastAsia="en-AU"/>
        </w:rPr>
      </w:pPr>
      <w:r>
        <w:rPr>
          <w:rFonts w:ascii="Times New Roman" w:eastAsia="Times New Roman" w:hAnsi="Times New Roman"/>
          <w:sz w:val="24"/>
          <w:szCs w:val="20"/>
          <w:lang w:eastAsia="en-AU"/>
        </w:rPr>
        <w:t xml:space="preserve">Item 3 omits the reference to “rule 73” and inserts a reference to “rule 58 of Sub-division C” in its place.  </w:t>
      </w:r>
      <w:r>
        <w:rPr>
          <w:rFonts w:ascii="Times New Roman" w:hAnsi="Times New Roman"/>
          <w:color w:val="000000"/>
          <w:sz w:val="24"/>
          <w:szCs w:val="24"/>
        </w:rPr>
        <w:t xml:space="preserve">This takes account of reference changes in the trust deed, as a result of the merger, in relation to the retention of benefits in the </w:t>
      </w:r>
      <w:r w:rsidRPr="00BE5BB3">
        <w:rPr>
          <w:rFonts w:ascii="Times New Roman" w:hAnsi="Times New Roman"/>
          <w:sz w:val="24"/>
          <w:szCs w:val="24"/>
        </w:rPr>
        <w:t xml:space="preserve">Local Government Superannuation </w:t>
      </w:r>
      <w:r>
        <w:rPr>
          <w:rFonts w:ascii="Times New Roman" w:hAnsi="Times New Roman"/>
          <w:sz w:val="24"/>
          <w:szCs w:val="24"/>
        </w:rPr>
        <w:t>S</w:t>
      </w:r>
      <w:r w:rsidRPr="00BE5BB3">
        <w:rPr>
          <w:rFonts w:ascii="Times New Roman" w:hAnsi="Times New Roman"/>
          <w:sz w:val="24"/>
          <w:szCs w:val="24"/>
        </w:rPr>
        <w:t>cheme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570EE" w:rsidRPr="00C570EE" w:rsidRDefault="00C570EE" w:rsidP="00C570E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15868" w:rsidRPr="00130138" w:rsidRDefault="00C570EE" w:rsidP="00D15868">
      <w:pPr>
        <w:pStyle w:val="Default"/>
      </w:pPr>
      <w:r>
        <w:rPr>
          <w:b/>
        </w:rPr>
        <w:t>Item [4</w:t>
      </w:r>
      <w:r w:rsidR="00D15868" w:rsidRPr="00130138">
        <w:rPr>
          <w:b/>
        </w:rPr>
        <w:t xml:space="preserve">] - </w:t>
      </w:r>
      <w:r w:rsidR="00D15868" w:rsidRPr="00130138">
        <w:rPr>
          <w:b/>
          <w:bCs/>
        </w:rPr>
        <w:t xml:space="preserve">Schedule 6, Part 2, clause 2, table, item 2 </w:t>
      </w:r>
    </w:p>
    <w:p w:rsidR="00254AE0" w:rsidRDefault="00254AE0" w:rsidP="00D15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254AE0" w:rsidRDefault="00C570EE" w:rsidP="00662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Item 4</w:t>
      </w:r>
      <w:r w:rsidR="00254AE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omits</w:t>
      </w:r>
      <w:r w:rsidR="00662DC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each mention to sub-sub-subparagraph</w:t>
      </w:r>
      <w:r w:rsidR="00254AE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B27390">
        <w:rPr>
          <w:rFonts w:ascii="Times New Roman" w:hAnsi="Times New Roman" w:cs="Times New Roman"/>
          <w:iCs/>
          <w:color w:val="000000"/>
          <w:sz w:val="24"/>
          <w:szCs w:val="24"/>
        </w:rPr>
        <w:t>“</w:t>
      </w:r>
      <w:r w:rsidR="00F163C0">
        <w:rPr>
          <w:rFonts w:ascii="Times New Roman" w:hAnsi="Times New Roman" w:cs="Times New Roman"/>
          <w:color w:val="000000"/>
          <w:sz w:val="24"/>
          <w:szCs w:val="24"/>
        </w:rPr>
        <w:t>61(a</w:t>
      </w:r>
      <w:proofErr w:type="gramStart"/>
      <w:r w:rsidR="00F163C0">
        <w:rPr>
          <w:rFonts w:ascii="Times New Roman" w:hAnsi="Times New Roman" w:cs="Times New Roman"/>
          <w:color w:val="000000"/>
          <w:sz w:val="24"/>
          <w:szCs w:val="24"/>
        </w:rPr>
        <w:t>)(</w:t>
      </w:r>
      <w:proofErr w:type="gramEnd"/>
      <w:r w:rsidR="00F163C0">
        <w:rPr>
          <w:rFonts w:ascii="Times New Roman" w:hAnsi="Times New Roman" w:cs="Times New Roman"/>
          <w:color w:val="000000"/>
          <w:sz w:val="24"/>
          <w:szCs w:val="24"/>
        </w:rPr>
        <w:t>ii)(B)</w:t>
      </w:r>
      <w:r w:rsidR="00D15868" w:rsidRPr="00D15868">
        <w:rPr>
          <w:rFonts w:ascii="Times New Roman" w:hAnsi="Times New Roman" w:cs="Times New Roman"/>
          <w:color w:val="000000"/>
          <w:sz w:val="24"/>
          <w:szCs w:val="24"/>
        </w:rPr>
        <w:t>(4)</w:t>
      </w:r>
      <w:r w:rsidR="00B27390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662DC4">
        <w:rPr>
          <w:rFonts w:ascii="Times New Roman" w:hAnsi="Times New Roman" w:cs="Times New Roman"/>
          <w:color w:val="000000"/>
          <w:sz w:val="24"/>
          <w:szCs w:val="24"/>
        </w:rPr>
        <w:t xml:space="preserve"> of the </w:t>
      </w:r>
      <w:r w:rsidR="00B27390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662DC4">
        <w:rPr>
          <w:rFonts w:ascii="Times New Roman" w:hAnsi="Times New Roman" w:cs="Times New Roman"/>
          <w:color w:val="000000"/>
          <w:sz w:val="24"/>
          <w:szCs w:val="24"/>
        </w:rPr>
        <w:t>ules</w:t>
      </w:r>
      <w:r w:rsidR="00D15868" w:rsidRPr="00D158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4AE0">
        <w:rPr>
          <w:rFonts w:ascii="Times New Roman" w:hAnsi="Times New Roman" w:cs="Times New Roman"/>
          <w:color w:val="000000"/>
          <w:sz w:val="24"/>
          <w:szCs w:val="24"/>
        </w:rPr>
        <w:t xml:space="preserve">and inserts </w:t>
      </w:r>
      <w:r w:rsidR="00F163C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sub-sub-subparagraph </w:t>
      </w:r>
      <w:r w:rsidR="00B27390">
        <w:rPr>
          <w:rFonts w:ascii="Times New Roman" w:hAnsi="Times New Roman" w:cs="Times New Roman"/>
          <w:iCs/>
          <w:color w:val="000000"/>
          <w:sz w:val="24"/>
          <w:szCs w:val="24"/>
        </w:rPr>
        <w:t>“</w:t>
      </w:r>
      <w:r w:rsidR="00F163C0">
        <w:rPr>
          <w:rFonts w:ascii="Times New Roman" w:hAnsi="Times New Roman" w:cs="Times New Roman"/>
          <w:color w:val="000000"/>
          <w:sz w:val="24"/>
          <w:szCs w:val="24"/>
        </w:rPr>
        <w:t>43(a)</w:t>
      </w:r>
      <w:r w:rsidR="00D15868" w:rsidRPr="00130138">
        <w:rPr>
          <w:rFonts w:ascii="Times New Roman" w:hAnsi="Times New Roman" w:cs="Times New Roman"/>
          <w:color w:val="000000"/>
          <w:sz w:val="24"/>
          <w:szCs w:val="24"/>
        </w:rPr>
        <w:t>(ii)(B)</w:t>
      </w:r>
      <w:r w:rsidR="00F163C0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r w:rsidR="00D15868" w:rsidRPr="00130138">
        <w:rPr>
          <w:rFonts w:ascii="Times New Roman" w:hAnsi="Times New Roman" w:cs="Times New Roman"/>
          <w:color w:val="000000"/>
          <w:sz w:val="24"/>
          <w:szCs w:val="24"/>
        </w:rPr>
        <w:t>of Su</w:t>
      </w:r>
      <w:r w:rsidR="00254AE0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254AE0">
        <w:rPr>
          <w:rFonts w:ascii="Times New Roman" w:hAnsi="Times New Roman" w:cs="Times New Roman"/>
          <w:color w:val="000000"/>
          <w:sz w:val="24"/>
          <w:szCs w:val="24"/>
        </w:rPr>
        <w:noBreakHyphen/>
        <w:t>division </w:t>
      </w:r>
      <w:r w:rsidR="00D15868" w:rsidRPr="00130138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B27390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662DC4">
        <w:rPr>
          <w:rFonts w:ascii="Times New Roman" w:hAnsi="Times New Roman" w:cs="Times New Roman"/>
          <w:color w:val="000000"/>
          <w:sz w:val="24"/>
          <w:szCs w:val="24"/>
        </w:rPr>
        <w:t xml:space="preserve"> of the </w:t>
      </w:r>
      <w:r w:rsidR="00B27390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662DC4">
        <w:rPr>
          <w:rFonts w:ascii="Times New Roman" w:hAnsi="Times New Roman" w:cs="Times New Roman"/>
          <w:color w:val="000000"/>
          <w:sz w:val="24"/>
          <w:szCs w:val="24"/>
        </w:rPr>
        <w:t>ules</w:t>
      </w:r>
      <w:r w:rsidR="00254AE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7040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42756D">
        <w:rPr>
          <w:rFonts w:ascii="Times New Roman" w:hAnsi="Times New Roman" w:cs="Times New Roman"/>
          <w:color w:val="000000"/>
          <w:sz w:val="24"/>
          <w:szCs w:val="24"/>
        </w:rPr>
        <w:t xml:space="preserve">This takes account of reference changes in the trust deed, as a result of the merger, in relation to </w:t>
      </w:r>
      <w:r w:rsidR="0036527B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42756D">
        <w:rPr>
          <w:rFonts w:ascii="Times New Roman" w:hAnsi="Times New Roman" w:cs="Times New Roman"/>
          <w:color w:val="000000"/>
          <w:sz w:val="24"/>
          <w:szCs w:val="24"/>
        </w:rPr>
        <w:t>termination of service benefit.</w:t>
      </w:r>
      <w:r w:rsidR="00D15868" w:rsidRPr="00D1586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254AE0">
        <w:rPr>
          <w:rFonts w:ascii="Times New Roman" w:hAnsi="Times New Roman" w:cs="Times New Roman"/>
          <w:sz w:val="24"/>
          <w:szCs w:val="24"/>
        </w:rPr>
        <w:br w:type="page"/>
      </w:r>
    </w:p>
    <w:p w:rsidR="00D37612" w:rsidRPr="00570532" w:rsidRDefault="00D37612" w:rsidP="00D37612">
      <w:pPr>
        <w:spacing w:after="0" w:line="240" w:lineRule="auto"/>
        <w:ind w:right="91"/>
        <w:jc w:val="center"/>
        <w:rPr>
          <w:rFonts w:ascii="Times New Roman" w:eastAsia="Times New Roman" w:hAnsi="Times New Roman"/>
          <w:b/>
          <w:sz w:val="24"/>
          <w:szCs w:val="20"/>
          <w:u w:val="single"/>
          <w:lang w:eastAsia="en-AU"/>
        </w:rPr>
      </w:pPr>
      <w:r w:rsidRPr="00570532">
        <w:rPr>
          <w:rFonts w:ascii="Times New Roman" w:eastAsia="Times New Roman" w:hAnsi="Times New Roman"/>
          <w:b/>
          <w:sz w:val="24"/>
          <w:szCs w:val="20"/>
          <w:u w:val="single"/>
          <w:lang w:eastAsia="en-AU"/>
        </w:rPr>
        <w:lastRenderedPageBreak/>
        <w:t>Statement of Compatibility with Human Rights</w:t>
      </w:r>
    </w:p>
    <w:p w:rsidR="00D37612" w:rsidRPr="00570532" w:rsidRDefault="00D37612" w:rsidP="00D37612">
      <w:pPr>
        <w:spacing w:before="240" w:after="0" w:line="240" w:lineRule="auto"/>
        <w:rPr>
          <w:rFonts w:ascii="Times New Roman" w:eastAsia="Times New Roman" w:hAnsi="Times New Roman"/>
          <w:i/>
          <w:sz w:val="24"/>
          <w:szCs w:val="20"/>
          <w:lang w:eastAsia="en-AU"/>
        </w:rPr>
      </w:pPr>
      <w:r w:rsidRPr="00570532">
        <w:rPr>
          <w:rFonts w:ascii="Times New Roman" w:eastAsia="Times New Roman" w:hAnsi="Times New Roman"/>
          <w:i/>
          <w:sz w:val="24"/>
          <w:szCs w:val="20"/>
          <w:lang w:eastAsia="en-AU"/>
        </w:rPr>
        <w:t>Prepared in accordance with Part 3 of the Human Rights (Parliamentary Scrutiny) Act 2011</w:t>
      </w:r>
    </w:p>
    <w:p w:rsidR="00D37612" w:rsidRDefault="00D37612" w:rsidP="00D376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612" w:rsidRPr="00F72FB2" w:rsidRDefault="00D37612" w:rsidP="00570532">
      <w:pPr>
        <w:spacing w:before="240"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72FB2">
        <w:rPr>
          <w:rFonts w:ascii="Times New Roman" w:hAnsi="Times New Roman" w:cs="Times New Roman"/>
          <w:b/>
          <w:i/>
          <w:sz w:val="24"/>
          <w:szCs w:val="24"/>
        </w:rPr>
        <w:t xml:space="preserve">Family Law (Superannuation) (Methods and Factors for Valuing Particular Superannuation Interests) Amendment Approval 2012 (No. </w:t>
      </w:r>
      <w:r w:rsidR="0079650B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F72FB2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D37612" w:rsidRPr="003F36AF" w:rsidRDefault="00D37612" w:rsidP="00570532">
      <w:pPr>
        <w:spacing w:before="240" w:line="240" w:lineRule="auto"/>
        <w:rPr>
          <w:rFonts w:ascii="Times New Roman" w:eastAsia="Times New Roman" w:hAnsi="Times New Roman"/>
          <w:sz w:val="24"/>
          <w:szCs w:val="20"/>
          <w:lang w:eastAsia="en-AU"/>
        </w:rPr>
      </w:pPr>
      <w:r w:rsidRPr="003F36AF">
        <w:rPr>
          <w:rFonts w:ascii="Times New Roman" w:eastAsia="Times New Roman" w:hAnsi="Times New Roman"/>
          <w:sz w:val="24"/>
          <w:szCs w:val="20"/>
          <w:lang w:eastAsia="en-AU"/>
        </w:rPr>
        <w:t xml:space="preserve">This </w:t>
      </w:r>
      <w:r>
        <w:rPr>
          <w:rFonts w:ascii="Times New Roman" w:eastAsia="Times New Roman" w:hAnsi="Times New Roman"/>
          <w:sz w:val="24"/>
          <w:szCs w:val="20"/>
          <w:lang w:eastAsia="en-AU"/>
        </w:rPr>
        <w:t xml:space="preserve">Legislative Instrument </w:t>
      </w:r>
      <w:r w:rsidRPr="003F36AF">
        <w:rPr>
          <w:rFonts w:ascii="Times New Roman" w:eastAsia="Times New Roman" w:hAnsi="Times New Roman"/>
          <w:sz w:val="24"/>
          <w:szCs w:val="20"/>
          <w:lang w:eastAsia="en-AU"/>
        </w:rPr>
        <w:t xml:space="preserve">is compatible with the human rights and freedoms recognised or declared in the international instruments listed in section 3 of the </w:t>
      </w:r>
      <w:r w:rsidRPr="003F36AF">
        <w:rPr>
          <w:rFonts w:ascii="Times New Roman" w:eastAsia="Times New Roman" w:hAnsi="Times New Roman"/>
          <w:i/>
          <w:sz w:val="24"/>
          <w:szCs w:val="20"/>
          <w:lang w:eastAsia="en-AU"/>
        </w:rPr>
        <w:t>Human Rights (Parliamentary Scrutiny) Act 2011</w:t>
      </w:r>
      <w:r w:rsidRPr="003F36AF">
        <w:rPr>
          <w:rFonts w:ascii="Times New Roman" w:eastAsia="Times New Roman" w:hAnsi="Times New Roman"/>
          <w:sz w:val="24"/>
          <w:szCs w:val="20"/>
          <w:lang w:eastAsia="en-AU"/>
        </w:rPr>
        <w:t>.</w:t>
      </w:r>
    </w:p>
    <w:p w:rsidR="00D37612" w:rsidRDefault="00D37612" w:rsidP="00D37612">
      <w:pPr>
        <w:spacing w:before="240" w:after="0" w:line="240" w:lineRule="auto"/>
        <w:rPr>
          <w:rFonts w:ascii="Times New Roman" w:eastAsia="Times New Roman" w:hAnsi="Times New Roman"/>
          <w:b/>
          <w:sz w:val="24"/>
          <w:szCs w:val="20"/>
          <w:lang w:eastAsia="en-AU"/>
        </w:rPr>
      </w:pPr>
      <w:r w:rsidRPr="003F36AF">
        <w:rPr>
          <w:rFonts w:ascii="Times New Roman" w:eastAsia="Times New Roman" w:hAnsi="Times New Roman"/>
          <w:b/>
          <w:sz w:val="24"/>
          <w:szCs w:val="20"/>
          <w:lang w:eastAsia="en-AU"/>
        </w:rPr>
        <w:t>Overview of the</w:t>
      </w:r>
      <w:r>
        <w:rPr>
          <w:rFonts w:ascii="Times New Roman" w:eastAsia="Times New Roman" w:hAnsi="Times New Roman"/>
          <w:b/>
          <w:sz w:val="24"/>
          <w:szCs w:val="20"/>
          <w:lang w:eastAsia="en-AU"/>
        </w:rPr>
        <w:t xml:space="preserve"> Legislative</w:t>
      </w:r>
      <w:r w:rsidRPr="003F36AF">
        <w:rPr>
          <w:rFonts w:ascii="Times New Roman" w:eastAsia="Times New Roman" w:hAnsi="Times New Roman"/>
          <w:b/>
          <w:sz w:val="24"/>
          <w:szCs w:val="20"/>
          <w:lang w:eastAsia="en-A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0"/>
          <w:lang w:eastAsia="en-AU"/>
        </w:rPr>
        <w:t>Instrument</w:t>
      </w:r>
    </w:p>
    <w:p w:rsidR="003C77AA" w:rsidRPr="003F36AF" w:rsidRDefault="003C77AA" w:rsidP="003C77AA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en-AU"/>
        </w:rPr>
      </w:pPr>
    </w:p>
    <w:p w:rsidR="003C77AA" w:rsidRDefault="003C77AA" w:rsidP="003C77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Pursuant to arrangements made by the</w:t>
      </w:r>
      <w:r w:rsidR="00FE2216">
        <w:rPr>
          <w:rFonts w:ascii="Times New Roman" w:hAnsi="Times New Roman" w:cs="Times New Roman"/>
          <w:sz w:val="24"/>
          <w:szCs w:val="24"/>
        </w:rPr>
        <w:t xml:space="preserve"> South Australian </w:t>
      </w:r>
      <w:r w:rsidR="00B27390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overnment, the members of the South Australian Local Government Superannuation Scheme are to be transferred t</w:t>
      </w:r>
      <w:r w:rsidR="00F72FB2">
        <w:rPr>
          <w:rFonts w:ascii="Times New Roman" w:hAnsi="Times New Roman" w:cs="Times New Roman"/>
          <w:sz w:val="24"/>
          <w:szCs w:val="24"/>
        </w:rPr>
        <w:t xml:space="preserve">o the </w:t>
      </w:r>
      <w:proofErr w:type="spellStart"/>
      <w:r w:rsidR="00F72FB2">
        <w:rPr>
          <w:rFonts w:ascii="Times New Roman" w:hAnsi="Times New Roman" w:cs="Times New Roman"/>
          <w:sz w:val="24"/>
          <w:szCs w:val="24"/>
        </w:rPr>
        <w:t>Statewide</w:t>
      </w:r>
      <w:proofErr w:type="spellEnd"/>
      <w:r w:rsidR="00F72FB2">
        <w:rPr>
          <w:rFonts w:ascii="Times New Roman" w:hAnsi="Times New Roman" w:cs="Times New Roman"/>
          <w:sz w:val="24"/>
          <w:szCs w:val="24"/>
        </w:rPr>
        <w:t xml:space="preserve"> Superannuation </w:t>
      </w:r>
      <w:r w:rsidR="0036527B">
        <w:rPr>
          <w:rFonts w:ascii="Times New Roman" w:hAnsi="Times New Roman" w:cs="Times New Roman"/>
          <w:sz w:val="24"/>
          <w:szCs w:val="24"/>
        </w:rPr>
        <w:t>Trust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F72FB2">
        <w:rPr>
          <w:rFonts w:ascii="Times New Roman" w:hAnsi="Times New Roman" w:cs="Times New Roman"/>
          <w:sz w:val="24"/>
          <w:szCs w:val="24"/>
        </w:rPr>
        <w:t>Th</w:t>
      </w:r>
      <w:r w:rsidR="00FE2216">
        <w:rPr>
          <w:rFonts w:ascii="Times New Roman" w:hAnsi="Times New Roman" w:cs="Times New Roman"/>
          <w:sz w:val="24"/>
          <w:szCs w:val="24"/>
        </w:rPr>
        <w:t>is</w:t>
      </w:r>
      <w:r w:rsidR="00F72FB2">
        <w:rPr>
          <w:rFonts w:ascii="Times New Roman" w:hAnsi="Times New Roman" w:cs="Times New Roman"/>
          <w:sz w:val="24"/>
          <w:szCs w:val="24"/>
        </w:rPr>
        <w:t xml:space="preserve"> </w:t>
      </w:r>
      <w:r w:rsidR="00FE2216">
        <w:rPr>
          <w:rFonts w:ascii="Times New Roman" w:hAnsi="Times New Roman" w:cs="Times New Roman"/>
          <w:sz w:val="24"/>
          <w:szCs w:val="24"/>
        </w:rPr>
        <w:t>instrument</w:t>
      </w:r>
      <w:r w:rsidR="00F72FB2">
        <w:rPr>
          <w:rFonts w:ascii="Times New Roman" w:hAnsi="Times New Roman" w:cs="Times New Roman"/>
          <w:sz w:val="24"/>
          <w:szCs w:val="24"/>
        </w:rPr>
        <w:t xml:space="preserve"> ensures that, o</w:t>
      </w:r>
      <w:r>
        <w:rPr>
          <w:rFonts w:ascii="Times New Roman" w:hAnsi="Times New Roman" w:cs="Times New Roman"/>
          <w:sz w:val="24"/>
          <w:szCs w:val="24"/>
        </w:rPr>
        <w:t>nce transferred, t</w:t>
      </w:r>
      <w:r w:rsidRPr="00BE5BB3">
        <w:rPr>
          <w:rFonts w:ascii="Times New Roman" w:hAnsi="Times New Roman" w:cs="Times New Roman"/>
          <w:sz w:val="24"/>
          <w:szCs w:val="24"/>
        </w:rPr>
        <w:t xml:space="preserve">he Local Government Superannuation </w:t>
      </w:r>
      <w:r w:rsidR="00F72FB2">
        <w:rPr>
          <w:rFonts w:ascii="Times New Roman" w:hAnsi="Times New Roman" w:cs="Times New Roman"/>
          <w:sz w:val="24"/>
          <w:szCs w:val="24"/>
        </w:rPr>
        <w:t>S</w:t>
      </w:r>
      <w:r w:rsidRPr="00BE5BB3">
        <w:rPr>
          <w:rFonts w:ascii="Times New Roman" w:hAnsi="Times New Roman" w:cs="Times New Roman"/>
          <w:sz w:val="24"/>
          <w:szCs w:val="24"/>
        </w:rPr>
        <w:t xml:space="preserve">cheme members </w:t>
      </w:r>
      <w:r w:rsidR="00F72FB2">
        <w:rPr>
          <w:rFonts w:ascii="Times New Roman" w:hAnsi="Times New Roman" w:cs="Times New Roman"/>
          <w:sz w:val="24"/>
          <w:szCs w:val="24"/>
        </w:rPr>
        <w:t xml:space="preserve">retain </w:t>
      </w:r>
      <w:r w:rsidRPr="00BE5BB3">
        <w:rPr>
          <w:rFonts w:ascii="Times New Roman" w:hAnsi="Times New Roman" w:cs="Times New Roman"/>
          <w:sz w:val="24"/>
          <w:szCs w:val="24"/>
        </w:rPr>
        <w:t xml:space="preserve">the same rights and entitlements that they had as members of the </w:t>
      </w:r>
      <w:r>
        <w:rPr>
          <w:rFonts w:ascii="Times New Roman" w:hAnsi="Times New Roman" w:cs="Times New Roman"/>
          <w:sz w:val="24"/>
          <w:szCs w:val="24"/>
        </w:rPr>
        <w:t xml:space="preserve">South Australian </w:t>
      </w:r>
      <w:r w:rsidRPr="00BE5BB3">
        <w:rPr>
          <w:rFonts w:ascii="Times New Roman" w:hAnsi="Times New Roman" w:cs="Times New Roman"/>
          <w:sz w:val="24"/>
          <w:szCs w:val="24"/>
        </w:rPr>
        <w:t xml:space="preserve">Local Government Superannuation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E5BB3">
        <w:rPr>
          <w:rFonts w:ascii="Times New Roman" w:hAnsi="Times New Roman" w:cs="Times New Roman"/>
          <w:sz w:val="24"/>
          <w:szCs w:val="24"/>
        </w:rPr>
        <w:t>cheme.</w:t>
      </w:r>
    </w:p>
    <w:p w:rsidR="00D37612" w:rsidRPr="00AB605C" w:rsidRDefault="00D37612" w:rsidP="00D37612">
      <w:pPr>
        <w:spacing w:before="240" w:after="0" w:line="240" w:lineRule="auto"/>
        <w:rPr>
          <w:rFonts w:ascii="Times New Roman" w:eastAsia="Times New Roman" w:hAnsi="Times New Roman"/>
          <w:b/>
          <w:sz w:val="24"/>
          <w:szCs w:val="20"/>
          <w:lang w:eastAsia="en-AU"/>
        </w:rPr>
      </w:pPr>
      <w:r w:rsidRPr="003F36AF">
        <w:rPr>
          <w:rFonts w:ascii="Times New Roman" w:eastAsia="Times New Roman" w:hAnsi="Times New Roman"/>
          <w:b/>
          <w:sz w:val="24"/>
          <w:szCs w:val="20"/>
          <w:lang w:eastAsia="en-AU"/>
        </w:rPr>
        <w:t>Human rights implications</w:t>
      </w:r>
    </w:p>
    <w:p w:rsidR="00D37612" w:rsidRPr="00AB605C" w:rsidRDefault="00D37612" w:rsidP="00D37612">
      <w:pPr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eastAsia="en-AU"/>
        </w:rPr>
      </w:pPr>
      <w:r w:rsidRPr="00AB605C">
        <w:rPr>
          <w:rFonts w:ascii="Times New Roman" w:eastAsia="Times New Roman" w:hAnsi="Times New Roman"/>
          <w:sz w:val="24"/>
          <w:szCs w:val="24"/>
          <w:lang w:eastAsia="en-AU"/>
        </w:rPr>
        <w:t xml:space="preserve">The </w:t>
      </w:r>
      <w:r w:rsidR="009C5609">
        <w:rPr>
          <w:rFonts w:ascii="Times New Roman" w:eastAsia="Times New Roman" w:hAnsi="Times New Roman"/>
          <w:sz w:val="24"/>
          <w:szCs w:val="24"/>
          <w:lang w:eastAsia="en-AU"/>
        </w:rPr>
        <w:t>instrument</w:t>
      </w:r>
      <w:r w:rsidRPr="00AB605C">
        <w:rPr>
          <w:rFonts w:ascii="Times New Roman" w:eastAsia="Times New Roman" w:hAnsi="Times New Roman"/>
          <w:sz w:val="24"/>
          <w:szCs w:val="24"/>
          <w:lang w:eastAsia="en-AU"/>
        </w:rPr>
        <w:t xml:space="preserve"> does not engage any of the applicable rights and freedoms</w:t>
      </w:r>
      <w:r w:rsidR="003C77AA">
        <w:rPr>
          <w:rFonts w:ascii="Times New Roman" w:eastAsia="Times New Roman" w:hAnsi="Times New Roman"/>
          <w:sz w:val="24"/>
          <w:szCs w:val="24"/>
          <w:lang w:eastAsia="en-AU"/>
        </w:rPr>
        <w:t xml:space="preserve"> as its affect is only administrative</w:t>
      </w:r>
      <w:r w:rsidRPr="00AB605C">
        <w:rPr>
          <w:rFonts w:ascii="Times New Roman" w:eastAsia="Times New Roman" w:hAnsi="Times New Roman"/>
          <w:sz w:val="24"/>
          <w:szCs w:val="24"/>
          <w:lang w:eastAsia="en-AU"/>
        </w:rPr>
        <w:t xml:space="preserve">. </w:t>
      </w:r>
    </w:p>
    <w:p w:rsidR="00D37612" w:rsidRPr="00AB605C" w:rsidRDefault="00D37612" w:rsidP="00D37612">
      <w:pPr>
        <w:spacing w:before="240" w:after="0" w:line="240" w:lineRule="auto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 w:rsidRPr="00AB605C">
        <w:rPr>
          <w:rFonts w:ascii="Times New Roman" w:eastAsia="Times New Roman" w:hAnsi="Times New Roman"/>
          <w:b/>
          <w:sz w:val="24"/>
          <w:szCs w:val="24"/>
          <w:lang w:eastAsia="en-AU"/>
        </w:rPr>
        <w:t>Conclusion</w:t>
      </w:r>
    </w:p>
    <w:p w:rsidR="00D37612" w:rsidRPr="00AB605C" w:rsidRDefault="00D37612" w:rsidP="00D37612">
      <w:pPr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eastAsia="en-AU"/>
        </w:rPr>
      </w:pPr>
      <w:r w:rsidRPr="00AB605C">
        <w:rPr>
          <w:rFonts w:ascii="Times New Roman" w:eastAsia="Times New Roman" w:hAnsi="Times New Roman"/>
          <w:sz w:val="24"/>
          <w:szCs w:val="24"/>
          <w:lang w:eastAsia="en-AU"/>
        </w:rPr>
        <w:t xml:space="preserve">The </w:t>
      </w:r>
      <w:r w:rsidR="009C5609">
        <w:rPr>
          <w:rFonts w:ascii="Times New Roman" w:eastAsia="Times New Roman" w:hAnsi="Times New Roman"/>
          <w:sz w:val="24"/>
          <w:szCs w:val="24"/>
          <w:lang w:eastAsia="en-AU"/>
        </w:rPr>
        <w:t>instrument</w:t>
      </w:r>
      <w:r w:rsidRPr="00AB605C">
        <w:rPr>
          <w:rFonts w:ascii="Times New Roman" w:eastAsia="Times New Roman" w:hAnsi="Times New Roman"/>
          <w:sz w:val="24"/>
          <w:szCs w:val="24"/>
          <w:lang w:eastAsia="en-AU"/>
        </w:rPr>
        <w:t xml:space="preserve"> is compatible with human rights as it does not raise any human rights issues.</w:t>
      </w:r>
    </w:p>
    <w:p w:rsidR="00D37612" w:rsidRPr="003F36AF" w:rsidRDefault="00D37612" w:rsidP="00D37612">
      <w:pPr>
        <w:spacing w:before="240" w:after="0" w:line="240" w:lineRule="auto"/>
        <w:rPr>
          <w:rFonts w:ascii="Times New Roman" w:eastAsia="Times New Roman" w:hAnsi="Times New Roman"/>
          <w:sz w:val="24"/>
          <w:szCs w:val="20"/>
          <w:lang w:eastAsia="en-AU"/>
        </w:rPr>
      </w:pPr>
    </w:p>
    <w:p w:rsidR="00732D38" w:rsidRPr="00BE5BB3" w:rsidRDefault="00732D38" w:rsidP="00F163C0">
      <w:pPr>
        <w:rPr>
          <w:rFonts w:ascii="Times New Roman" w:hAnsi="Times New Roman" w:cs="Times New Roman"/>
          <w:sz w:val="24"/>
          <w:szCs w:val="24"/>
        </w:rPr>
      </w:pPr>
    </w:p>
    <w:p w:rsidR="00F163C0" w:rsidRDefault="00F163C0" w:rsidP="00F163C0">
      <w:pPr>
        <w:spacing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en-AU"/>
        </w:rPr>
      </w:pPr>
    </w:p>
    <w:p w:rsidR="00F163C0" w:rsidRDefault="00F163C0" w:rsidP="00F163C0">
      <w:pPr>
        <w:spacing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en-AU"/>
        </w:rPr>
      </w:pPr>
    </w:p>
    <w:p w:rsidR="00F163C0" w:rsidRDefault="00F163C0" w:rsidP="00F163C0">
      <w:pPr>
        <w:spacing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en-AU"/>
        </w:rPr>
      </w:pPr>
    </w:p>
    <w:p w:rsidR="00C06426" w:rsidRDefault="00C06426" w:rsidP="00F163C0">
      <w:pPr>
        <w:spacing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en-AU"/>
        </w:rPr>
      </w:pPr>
    </w:p>
    <w:p w:rsidR="00F163C0" w:rsidRPr="00633FA9" w:rsidRDefault="00F163C0" w:rsidP="00F163C0">
      <w:pPr>
        <w:spacing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en-AU"/>
        </w:rPr>
      </w:pPr>
      <w:r w:rsidRPr="00633FA9">
        <w:rPr>
          <w:rFonts w:ascii="Times New Roman" w:eastAsia="Times New Roman" w:hAnsi="Times New Roman"/>
          <w:b/>
          <w:bCs/>
          <w:sz w:val="24"/>
          <w:szCs w:val="24"/>
          <w:lang w:eastAsia="en-AU"/>
        </w:rPr>
        <w:t>The Hon Nicola Roxon MP</w:t>
      </w:r>
    </w:p>
    <w:p w:rsidR="00532722" w:rsidRPr="00040DD1" w:rsidRDefault="00F163C0" w:rsidP="00040DD1">
      <w:pPr>
        <w:spacing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en-AU"/>
        </w:rPr>
      </w:pPr>
      <w:r w:rsidRPr="00633FA9">
        <w:rPr>
          <w:rFonts w:ascii="Times New Roman" w:eastAsia="Times New Roman" w:hAnsi="Times New Roman"/>
          <w:b/>
          <w:bCs/>
          <w:sz w:val="24"/>
          <w:szCs w:val="24"/>
          <w:lang w:eastAsia="en-AU"/>
        </w:rPr>
        <w:t>Attorney-General</w:t>
      </w:r>
    </w:p>
    <w:sectPr w:rsidR="00532722" w:rsidRPr="00040DD1" w:rsidSect="00B27390">
      <w:footerReference w:type="default" r:id="rId9"/>
      <w:pgSz w:w="11906" w:h="16838"/>
      <w:pgMar w:top="1701" w:right="1440" w:bottom="1276" w:left="1440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3C0" w:rsidRDefault="00F163C0" w:rsidP="00F163C0">
      <w:pPr>
        <w:spacing w:after="0" w:line="240" w:lineRule="auto"/>
      </w:pPr>
      <w:r>
        <w:separator/>
      </w:r>
    </w:p>
  </w:endnote>
  <w:endnote w:type="continuationSeparator" w:id="0">
    <w:p w:rsidR="00F163C0" w:rsidRDefault="00F163C0" w:rsidP="00F16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3C0" w:rsidRPr="009C5609" w:rsidRDefault="00F163C0" w:rsidP="00F163C0">
    <w:pPr>
      <w:spacing w:after="0" w:line="240" w:lineRule="auto"/>
      <w:jc w:val="right"/>
      <w:rPr>
        <w:rFonts w:ascii="Times New Roman" w:hAnsi="Times New Roman"/>
        <w:i/>
      </w:rPr>
    </w:pPr>
    <w:r w:rsidRPr="009C5609">
      <w:rPr>
        <w:rFonts w:ascii="Times New Roman" w:hAnsi="Times New Roman" w:cs="Times New Roman"/>
        <w:i/>
      </w:rPr>
      <w:t xml:space="preserve">Family Law (Superannuation) (Methods and Factors for Valuing Particular Superannuation Interests) Amendment Approval 2012 (No. </w:t>
    </w:r>
    <w:r w:rsidR="009C5609" w:rsidRPr="009C5609">
      <w:rPr>
        <w:rFonts w:ascii="Times New Roman" w:hAnsi="Times New Roman" w:cs="Times New Roman"/>
        <w:i/>
      </w:rPr>
      <w:t>2</w:t>
    </w:r>
    <w:r w:rsidRPr="009C5609">
      <w:rPr>
        <w:rFonts w:ascii="Times New Roman" w:hAnsi="Times New Roman" w:cs="Times New Roman"/>
        <w:i/>
      </w:rPr>
      <w:t>)</w:t>
    </w:r>
  </w:p>
  <w:p w:rsidR="00F163C0" w:rsidRPr="00B27390" w:rsidRDefault="00F163C0" w:rsidP="00B27390">
    <w:pPr>
      <w:pStyle w:val="Footer"/>
      <w:tabs>
        <w:tab w:val="clear" w:pos="4513"/>
        <w:tab w:val="clear" w:pos="9026"/>
      </w:tabs>
      <w:jc w:val="right"/>
      <w:rPr>
        <w:rFonts w:ascii="Times New Roman" w:eastAsia="Times New Roman" w:hAnsi="Times New Roman"/>
        <w:szCs w:val="20"/>
        <w:lang w:eastAsia="en-AU"/>
      </w:rPr>
    </w:pPr>
    <w:r w:rsidRPr="00E953ED">
      <w:rPr>
        <w:rFonts w:ascii="Times New Roman" w:eastAsia="Times New Roman" w:hAnsi="Times New Roman"/>
        <w:szCs w:val="20"/>
        <w:lang w:eastAsia="en-AU"/>
      </w:rPr>
      <w:t xml:space="preserve">Explanatory Statement and Statement of Compatibility with Human Rights — </w:t>
    </w:r>
    <w:r w:rsidRPr="00E953ED">
      <w:rPr>
        <w:rFonts w:ascii="Times New Roman" w:eastAsia="Times New Roman" w:hAnsi="Times New Roman"/>
        <w:szCs w:val="20"/>
        <w:lang w:eastAsia="en-AU"/>
      </w:rPr>
      <w:fldChar w:fldCharType="begin"/>
    </w:r>
    <w:r w:rsidRPr="00E953ED">
      <w:rPr>
        <w:rFonts w:ascii="Times New Roman" w:eastAsia="Times New Roman" w:hAnsi="Times New Roman"/>
        <w:szCs w:val="20"/>
        <w:lang w:eastAsia="en-AU"/>
      </w:rPr>
      <w:instrText xml:space="preserve"> PAGE </w:instrText>
    </w:r>
    <w:r w:rsidRPr="00E953ED">
      <w:rPr>
        <w:rFonts w:ascii="Times New Roman" w:eastAsia="Times New Roman" w:hAnsi="Times New Roman"/>
        <w:szCs w:val="20"/>
        <w:lang w:eastAsia="en-AU"/>
      </w:rPr>
      <w:fldChar w:fldCharType="separate"/>
    </w:r>
    <w:r w:rsidR="00A2496B">
      <w:rPr>
        <w:rFonts w:ascii="Times New Roman" w:eastAsia="Times New Roman" w:hAnsi="Times New Roman"/>
        <w:noProof/>
        <w:szCs w:val="20"/>
        <w:lang w:eastAsia="en-AU"/>
      </w:rPr>
      <w:t>1</w:t>
    </w:r>
    <w:r w:rsidRPr="00E953ED">
      <w:rPr>
        <w:rFonts w:ascii="Times New Roman" w:eastAsia="Times New Roman" w:hAnsi="Times New Roman"/>
        <w:szCs w:val="20"/>
        <w:lang w:eastAsia="en-AU"/>
      </w:rPr>
      <w:fldChar w:fldCharType="end"/>
    </w:r>
    <w:r w:rsidRPr="00E953ED">
      <w:rPr>
        <w:rFonts w:ascii="Times New Roman" w:eastAsia="Times New Roman" w:hAnsi="Times New Roman"/>
        <w:szCs w:val="20"/>
        <w:lang w:eastAsia="en-AU"/>
      </w:rPr>
      <w:t xml:space="preserve"> of </w:t>
    </w:r>
    <w:r w:rsidRPr="00E953ED">
      <w:rPr>
        <w:rFonts w:ascii="Times New Roman" w:eastAsia="Times New Roman" w:hAnsi="Times New Roman"/>
        <w:szCs w:val="20"/>
        <w:lang w:eastAsia="en-AU"/>
      </w:rPr>
      <w:fldChar w:fldCharType="begin"/>
    </w:r>
    <w:r w:rsidRPr="00E953ED">
      <w:rPr>
        <w:rFonts w:ascii="Times New Roman" w:eastAsia="Times New Roman" w:hAnsi="Times New Roman"/>
        <w:szCs w:val="20"/>
        <w:lang w:eastAsia="en-AU"/>
      </w:rPr>
      <w:instrText xml:space="preserve"> NUMPAGES </w:instrText>
    </w:r>
    <w:r w:rsidRPr="00E953ED">
      <w:rPr>
        <w:rFonts w:ascii="Times New Roman" w:eastAsia="Times New Roman" w:hAnsi="Times New Roman"/>
        <w:szCs w:val="20"/>
        <w:lang w:eastAsia="en-AU"/>
      </w:rPr>
      <w:fldChar w:fldCharType="separate"/>
    </w:r>
    <w:r w:rsidR="00A2496B">
      <w:rPr>
        <w:rFonts w:ascii="Times New Roman" w:eastAsia="Times New Roman" w:hAnsi="Times New Roman"/>
        <w:noProof/>
        <w:szCs w:val="20"/>
        <w:lang w:eastAsia="en-AU"/>
      </w:rPr>
      <w:t>3</w:t>
    </w:r>
    <w:r w:rsidRPr="00E953ED">
      <w:rPr>
        <w:rFonts w:ascii="Times New Roman" w:eastAsia="Times New Roman" w:hAnsi="Times New Roman"/>
        <w:szCs w:val="20"/>
        <w:lang w:eastAsia="en-AU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3C0" w:rsidRDefault="00F163C0" w:rsidP="00F163C0">
      <w:pPr>
        <w:spacing w:after="0" w:line="240" w:lineRule="auto"/>
      </w:pPr>
      <w:r>
        <w:separator/>
      </w:r>
    </w:p>
  </w:footnote>
  <w:footnote w:type="continuationSeparator" w:id="0">
    <w:p w:rsidR="00F163C0" w:rsidRDefault="00F163C0" w:rsidP="00F16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908C5"/>
    <w:multiLevelType w:val="hybridMultilevel"/>
    <w:tmpl w:val="413E37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B0658"/>
    <w:multiLevelType w:val="multilevel"/>
    <w:tmpl w:val="99E43D82"/>
    <w:lvl w:ilvl="0">
      <w:start w:val="1"/>
      <w:numFmt w:val="decimal"/>
      <w:pStyle w:val="Heading1numbered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Heading2numbered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Heading3numbered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pStyle w:val="Heading4numbered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F404D0C"/>
    <w:multiLevelType w:val="hybridMultilevel"/>
    <w:tmpl w:val="FBFCA3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722"/>
    <w:rsid w:val="0003272B"/>
    <w:rsid w:val="00040DD1"/>
    <w:rsid w:val="000C0D4E"/>
    <w:rsid w:val="000D083E"/>
    <w:rsid w:val="000F71D2"/>
    <w:rsid w:val="001154C9"/>
    <w:rsid w:val="00130138"/>
    <w:rsid w:val="001C2638"/>
    <w:rsid w:val="00254AE0"/>
    <w:rsid w:val="0036527B"/>
    <w:rsid w:val="00385004"/>
    <w:rsid w:val="003C6A14"/>
    <w:rsid w:val="003C77AA"/>
    <w:rsid w:val="00415548"/>
    <w:rsid w:val="0042337F"/>
    <w:rsid w:val="0042756D"/>
    <w:rsid w:val="004276AB"/>
    <w:rsid w:val="0043269F"/>
    <w:rsid w:val="00441446"/>
    <w:rsid w:val="00460CEE"/>
    <w:rsid w:val="004D4B18"/>
    <w:rsid w:val="004F678C"/>
    <w:rsid w:val="00532722"/>
    <w:rsid w:val="00570532"/>
    <w:rsid w:val="00587FC3"/>
    <w:rsid w:val="005B6CC1"/>
    <w:rsid w:val="005C30FD"/>
    <w:rsid w:val="005E30FF"/>
    <w:rsid w:val="00616A47"/>
    <w:rsid w:val="00662DC4"/>
    <w:rsid w:val="00686EE3"/>
    <w:rsid w:val="006A1DB0"/>
    <w:rsid w:val="006E36A2"/>
    <w:rsid w:val="006E7558"/>
    <w:rsid w:val="00732D38"/>
    <w:rsid w:val="007721D4"/>
    <w:rsid w:val="007744EE"/>
    <w:rsid w:val="0079650B"/>
    <w:rsid w:val="007E1AD9"/>
    <w:rsid w:val="00812AAA"/>
    <w:rsid w:val="00820AFC"/>
    <w:rsid w:val="00870776"/>
    <w:rsid w:val="0089213F"/>
    <w:rsid w:val="00895AF4"/>
    <w:rsid w:val="009019D2"/>
    <w:rsid w:val="00925D07"/>
    <w:rsid w:val="00933EB6"/>
    <w:rsid w:val="009421DC"/>
    <w:rsid w:val="009C5609"/>
    <w:rsid w:val="00A2496B"/>
    <w:rsid w:val="00A951E7"/>
    <w:rsid w:val="00B25B5F"/>
    <w:rsid w:val="00B27390"/>
    <w:rsid w:val="00B34AA3"/>
    <w:rsid w:val="00B67EC9"/>
    <w:rsid w:val="00B9084D"/>
    <w:rsid w:val="00BE5BB3"/>
    <w:rsid w:val="00BF3ED5"/>
    <w:rsid w:val="00C06426"/>
    <w:rsid w:val="00C24346"/>
    <w:rsid w:val="00C27694"/>
    <w:rsid w:val="00C44FDA"/>
    <w:rsid w:val="00C570EE"/>
    <w:rsid w:val="00C7040B"/>
    <w:rsid w:val="00C855E3"/>
    <w:rsid w:val="00CC377E"/>
    <w:rsid w:val="00CE3307"/>
    <w:rsid w:val="00D15868"/>
    <w:rsid w:val="00D37612"/>
    <w:rsid w:val="00D61513"/>
    <w:rsid w:val="00D65C5F"/>
    <w:rsid w:val="00D74FCF"/>
    <w:rsid w:val="00D80B2B"/>
    <w:rsid w:val="00DC4A89"/>
    <w:rsid w:val="00DC50FF"/>
    <w:rsid w:val="00E0046B"/>
    <w:rsid w:val="00E05EDA"/>
    <w:rsid w:val="00E87233"/>
    <w:rsid w:val="00F065BF"/>
    <w:rsid w:val="00F163C0"/>
    <w:rsid w:val="00F17016"/>
    <w:rsid w:val="00F54E21"/>
    <w:rsid w:val="00F7261C"/>
    <w:rsid w:val="00F72FB2"/>
    <w:rsid w:val="00FA30A6"/>
    <w:rsid w:val="00FE2216"/>
    <w:rsid w:val="00FF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4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CEE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1154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4C9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4C9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4C9"/>
    <w:rPr>
      <w:rFonts w:ascii="Tahoma" w:hAnsi="Tahoma" w:cs="Tahoma"/>
      <w:sz w:val="16"/>
      <w:szCs w:val="16"/>
    </w:rPr>
  </w:style>
  <w:style w:type="paragraph" w:customStyle="1" w:styleId="Heading1numbered">
    <w:name w:val="Heading 1 (numbered)"/>
    <w:basedOn w:val="Heading1"/>
    <w:next w:val="Normal"/>
    <w:rsid w:val="001154C9"/>
    <w:pPr>
      <w:pageBreakBefore/>
      <w:numPr>
        <w:numId w:val="2"/>
      </w:numPr>
      <w:tabs>
        <w:tab w:val="clear" w:pos="360"/>
      </w:tabs>
      <w:spacing w:before="0" w:after="360" w:line="240" w:lineRule="auto"/>
      <w:ind w:left="720" w:hanging="360"/>
      <w:jc w:val="center"/>
    </w:pPr>
    <w:rPr>
      <w:rFonts w:ascii="Times New Roman" w:eastAsia="Times New Roman" w:hAnsi="Times New Roman" w:cs="Times New Roman"/>
      <w:bCs w:val="0"/>
      <w:smallCaps/>
      <w:color w:val="auto"/>
      <w:sz w:val="32"/>
      <w:szCs w:val="20"/>
      <w:lang w:eastAsia="en-AU"/>
    </w:rPr>
  </w:style>
  <w:style w:type="paragraph" w:customStyle="1" w:styleId="Heading2numbered">
    <w:name w:val="Heading 2 (numbered)"/>
    <w:basedOn w:val="Heading2"/>
    <w:next w:val="Normal"/>
    <w:rsid w:val="001154C9"/>
    <w:pPr>
      <w:numPr>
        <w:ilvl w:val="1"/>
        <w:numId w:val="2"/>
      </w:numPr>
      <w:tabs>
        <w:tab w:val="clear" w:pos="720"/>
        <w:tab w:val="left" w:pos="851"/>
      </w:tabs>
      <w:spacing w:before="480" w:line="240" w:lineRule="auto"/>
      <w:ind w:left="1440" w:hanging="360"/>
    </w:pPr>
    <w:rPr>
      <w:rFonts w:ascii="Times New Roman" w:eastAsia="Times New Roman" w:hAnsi="Times New Roman" w:cs="Times New Roman"/>
      <w:bCs w:val="0"/>
      <w:i/>
      <w:color w:val="auto"/>
      <w:sz w:val="24"/>
      <w:szCs w:val="20"/>
      <w:lang w:eastAsia="en-AU"/>
    </w:rPr>
  </w:style>
  <w:style w:type="paragraph" w:customStyle="1" w:styleId="Heading3numbered">
    <w:name w:val="Heading 3 (numbered)"/>
    <w:basedOn w:val="Heading3"/>
    <w:next w:val="Normal"/>
    <w:rsid w:val="001154C9"/>
    <w:pPr>
      <w:numPr>
        <w:ilvl w:val="2"/>
        <w:numId w:val="2"/>
      </w:numPr>
      <w:tabs>
        <w:tab w:val="clear" w:pos="720"/>
        <w:tab w:val="num" w:pos="360"/>
        <w:tab w:val="left" w:pos="1134"/>
      </w:tabs>
      <w:spacing w:before="360" w:line="240" w:lineRule="auto"/>
      <w:ind w:left="1134" w:hanging="1134"/>
    </w:pPr>
    <w:rPr>
      <w:rFonts w:ascii="Times New Roman" w:eastAsia="Times New Roman" w:hAnsi="Times New Roman" w:cs="Times New Roman"/>
      <w:b w:val="0"/>
      <w:bCs w:val="0"/>
      <w:i/>
      <w:color w:val="auto"/>
      <w:sz w:val="24"/>
      <w:szCs w:val="20"/>
      <w:lang w:eastAsia="en-AU"/>
    </w:rPr>
  </w:style>
  <w:style w:type="paragraph" w:customStyle="1" w:styleId="Heading4numbered">
    <w:name w:val="Heading 4 (numbered)"/>
    <w:basedOn w:val="Heading4"/>
    <w:next w:val="Normal"/>
    <w:rsid w:val="001154C9"/>
    <w:pPr>
      <w:numPr>
        <w:ilvl w:val="3"/>
        <w:numId w:val="2"/>
      </w:numPr>
      <w:tabs>
        <w:tab w:val="clear" w:pos="1080"/>
        <w:tab w:val="num" w:pos="360"/>
        <w:tab w:val="left" w:pos="1134"/>
      </w:tabs>
      <w:spacing w:before="240" w:line="240" w:lineRule="auto"/>
      <w:ind w:left="1134" w:hanging="1134"/>
    </w:pPr>
    <w:rPr>
      <w:rFonts w:ascii="Times New Roman" w:eastAsia="Times New Roman" w:hAnsi="Times New Roman" w:cs="Times New Roman"/>
      <w:b w:val="0"/>
      <w:bCs w:val="0"/>
      <w:i w:val="0"/>
      <w:iCs w:val="0"/>
      <w:color w:val="auto"/>
      <w:sz w:val="24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1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4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4C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1154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20AF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63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3C0"/>
  </w:style>
  <w:style w:type="paragraph" w:styleId="Footer">
    <w:name w:val="footer"/>
    <w:basedOn w:val="Normal"/>
    <w:link w:val="FooterChar"/>
    <w:unhideWhenUsed/>
    <w:rsid w:val="00F163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3C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77E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77E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4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CEE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1154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4C9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4C9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4C9"/>
    <w:rPr>
      <w:rFonts w:ascii="Tahoma" w:hAnsi="Tahoma" w:cs="Tahoma"/>
      <w:sz w:val="16"/>
      <w:szCs w:val="16"/>
    </w:rPr>
  </w:style>
  <w:style w:type="paragraph" w:customStyle="1" w:styleId="Heading1numbered">
    <w:name w:val="Heading 1 (numbered)"/>
    <w:basedOn w:val="Heading1"/>
    <w:next w:val="Normal"/>
    <w:rsid w:val="001154C9"/>
    <w:pPr>
      <w:pageBreakBefore/>
      <w:numPr>
        <w:numId w:val="2"/>
      </w:numPr>
      <w:tabs>
        <w:tab w:val="clear" w:pos="360"/>
      </w:tabs>
      <w:spacing w:before="0" w:after="360" w:line="240" w:lineRule="auto"/>
      <w:ind w:left="720" w:hanging="360"/>
      <w:jc w:val="center"/>
    </w:pPr>
    <w:rPr>
      <w:rFonts w:ascii="Times New Roman" w:eastAsia="Times New Roman" w:hAnsi="Times New Roman" w:cs="Times New Roman"/>
      <w:bCs w:val="0"/>
      <w:smallCaps/>
      <w:color w:val="auto"/>
      <w:sz w:val="32"/>
      <w:szCs w:val="20"/>
      <w:lang w:eastAsia="en-AU"/>
    </w:rPr>
  </w:style>
  <w:style w:type="paragraph" w:customStyle="1" w:styleId="Heading2numbered">
    <w:name w:val="Heading 2 (numbered)"/>
    <w:basedOn w:val="Heading2"/>
    <w:next w:val="Normal"/>
    <w:rsid w:val="001154C9"/>
    <w:pPr>
      <w:numPr>
        <w:ilvl w:val="1"/>
        <w:numId w:val="2"/>
      </w:numPr>
      <w:tabs>
        <w:tab w:val="clear" w:pos="720"/>
        <w:tab w:val="left" w:pos="851"/>
      </w:tabs>
      <w:spacing w:before="480" w:line="240" w:lineRule="auto"/>
      <w:ind w:left="1440" w:hanging="360"/>
    </w:pPr>
    <w:rPr>
      <w:rFonts w:ascii="Times New Roman" w:eastAsia="Times New Roman" w:hAnsi="Times New Roman" w:cs="Times New Roman"/>
      <w:bCs w:val="0"/>
      <w:i/>
      <w:color w:val="auto"/>
      <w:sz w:val="24"/>
      <w:szCs w:val="20"/>
      <w:lang w:eastAsia="en-AU"/>
    </w:rPr>
  </w:style>
  <w:style w:type="paragraph" w:customStyle="1" w:styleId="Heading3numbered">
    <w:name w:val="Heading 3 (numbered)"/>
    <w:basedOn w:val="Heading3"/>
    <w:next w:val="Normal"/>
    <w:rsid w:val="001154C9"/>
    <w:pPr>
      <w:numPr>
        <w:ilvl w:val="2"/>
        <w:numId w:val="2"/>
      </w:numPr>
      <w:tabs>
        <w:tab w:val="clear" w:pos="720"/>
        <w:tab w:val="num" w:pos="360"/>
        <w:tab w:val="left" w:pos="1134"/>
      </w:tabs>
      <w:spacing w:before="360" w:line="240" w:lineRule="auto"/>
      <w:ind w:left="1134" w:hanging="1134"/>
    </w:pPr>
    <w:rPr>
      <w:rFonts w:ascii="Times New Roman" w:eastAsia="Times New Roman" w:hAnsi="Times New Roman" w:cs="Times New Roman"/>
      <w:b w:val="0"/>
      <w:bCs w:val="0"/>
      <w:i/>
      <w:color w:val="auto"/>
      <w:sz w:val="24"/>
      <w:szCs w:val="20"/>
      <w:lang w:eastAsia="en-AU"/>
    </w:rPr>
  </w:style>
  <w:style w:type="paragraph" w:customStyle="1" w:styleId="Heading4numbered">
    <w:name w:val="Heading 4 (numbered)"/>
    <w:basedOn w:val="Heading4"/>
    <w:next w:val="Normal"/>
    <w:rsid w:val="001154C9"/>
    <w:pPr>
      <w:numPr>
        <w:ilvl w:val="3"/>
        <w:numId w:val="2"/>
      </w:numPr>
      <w:tabs>
        <w:tab w:val="clear" w:pos="1080"/>
        <w:tab w:val="num" w:pos="360"/>
        <w:tab w:val="left" w:pos="1134"/>
      </w:tabs>
      <w:spacing w:before="240" w:line="240" w:lineRule="auto"/>
      <w:ind w:left="1134" w:hanging="1134"/>
    </w:pPr>
    <w:rPr>
      <w:rFonts w:ascii="Times New Roman" w:eastAsia="Times New Roman" w:hAnsi="Times New Roman" w:cs="Times New Roman"/>
      <w:b w:val="0"/>
      <w:bCs w:val="0"/>
      <w:i w:val="0"/>
      <w:iCs w:val="0"/>
      <w:color w:val="auto"/>
      <w:sz w:val="24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1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4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4C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1154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20AF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63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3C0"/>
  </w:style>
  <w:style w:type="paragraph" w:styleId="Footer">
    <w:name w:val="footer"/>
    <w:basedOn w:val="Normal"/>
    <w:link w:val="FooterChar"/>
    <w:unhideWhenUsed/>
    <w:rsid w:val="00F163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3C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77E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77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A6098-211D-4706-893C-3C315C3CD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3</Pages>
  <Words>978</Words>
  <Characters>5067</Characters>
  <Application>Microsoft Office Word</Application>
  <DocSecurity>0</DocSecurity>
  <Lines>88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Attorney General's Department</Company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kennla</dc:creator>
  <cp:keywords/>
  <dc:description/>
  <cp:lastModifiedBy>wilkin</cp:lastModifiedBy>
  <cp:revision>63</cp:revision>
  <cp:lastPrinted>2012-06-21T00:31:00Z</cp:lastPrinted>
  <dcterms:created xsi:type="dcterms:W3CDTF">2012-05-16T01:07:00Z</dcterms:created>
  <dcterms:modified xsi:type="dcterms:W3CDTF">2012-06-29T06:26:00Z</dcterms:modified>
</cp:coreProperties>
</file>