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A5" w:rsidRPr="001F1CF4" w:rsidRDefault="00056AA5" w:rsidP="00122A34">
      <w:pPr>
        <w:pStyle w:val="Title"/>
        <w:spacing w:before="0"/>
        <w:rPr>
          <w:rFonts w:ascii="Times New Roman" w:hAnsi="Times New Roman" w:cs="Times New Roman"/>
          <w:color w:val="000000"/>
          <w:sz w:val="32"/>
          <w:szCs w:val="32"/>
        </w:rPr>
      </w:pPr>
    </w:p>
    <w:p w:rsidR="00056AA5" w:rsidRPr="001F1CF4" w:rsidRDefault="00056AA5" w:rsidP="00122A34">
      <w:pPr>
        <w:pStyle w:val="Title"/>
        <w:spacing w:before="0"/>
        <w:rPr>
          <w:rFonts w:ascii="Times New Roman" w:hAnsi="Times New Roman" w:cs="Times New Roman"/>
          <w:color w:val="000000"/>
          <w:sz w:val="32"/>
          <w:szCs w:val="32"/>
        </w:rPr>
      </w:pPr>
    </w:p>
    <w:p w:rsidR="00A64254" w:rsidRPr="001F1CF4" w:rsidRDefault="00A64254" w:rsidP="00122A34">
      <w:pPr>
        <w:pStyle w:val="Title"/>
        <w:spacing w:before="0"/>
        <w:rPr>
          <w:rFonts w:ascii="Times New Roman" w:hAnsi="Times New Roman" w:cs="Times New Roman"/>
          <w:color w:val="000000"/>
          <w:sz w:val="32"/>
          <w:szCs w:val="32"/>
        </w:rPr>
      </w:pPr>
      <w:r w:rsidRPr="001F1CF4">
        <w:rPr>
          <w:rFonts w:ascii="Times New Roman" w:hAnsi="Times New Roman" w:cs="Times New Roman"/>
          <w:color w:val="000000"/>
          <w:sz w:val="32"/>
          <w:szCs w:val="32"/>
        </w:rPr>
        <w:t>Commonwealth of Australia</w:t>
      </w:r>
    </w:p>
    <w:p w:rsidR="004E1D9D" w:rsidRPr="00C429BD" w:rsidRDefault="004E1D9D" w:rsidP="004E1D9D">
      <w:pPr>
        <w:pStyle w:val="Heading6"/>
        <w:jc w:val="center"/>
        <w:rPr>
          <w:i w:val="0"/>
        </w:rPr>
      </w:pPr>
      <w:r w:rsidRPr="004E1D9D">
        <w:rPr>
          <w:rFonts w:ascii="Times New Roman" w:hAnsi="Times New Roman" w:cs="Times New Roman"/>
          <w:color w:val="000000"/>
          <w:sz w:val="24"/>
          <w:szCs w:val="24"/>
        </w:rPr>
        <w:t xml:space="preserve">Telecommunications (Consumer Protection and Service Standards) Act 1999 </w:t>
      </w:r>
    </w:p>
    <w:p w:rsidR="001F1CF4" w:rsidRPr="001F1CF4" w:rsidRDefault="001F1CF4" w:rsidP="001F1CF4">
      <w:pPr>
        <w:pStyle w:val="Title"/>
        <w:spacing w:before="0"/>
        <w:rPr>
          <w:rFonts w:ascii="Times New Roman" w:hAnsi="Times New Roman" w:cs="Times New Roman"/>
          <w:color w:val="000000"/>
        </w:rPr>
      </w:pPr>
      <w:bookmarkStart w:id="0" w:name="OLE_LINK3"/>
      <w:bookmarkStart w:id="1" w:name="OLE_LINK4"/>
      <w:bookmarkStart w:id="2" w:name="OLE_LINK30"/>
    </w:p>
    <w:p w:rsidR="001F1CF4" w:rsidRPr="001F1CF4" w:rsidRDefault="001F1CF4" w:rsidP="001F1CF4">
      <w:pPr>
        <w:pStyle w:val="Title"/>
        <w:spacing w:before="0"/>
        <w:rPr>
          <w:rFonts w:ascii="Times New Roman" w:hAnsi="Times New Roman" w:cs="Times New Roman"/>
        </w:rPr>
      </w:pPr>
      <w:r w:rsidRPr="001F1CF4">
        <w:rPr>
          <w:rFonts w:ascii="Times New Roman" w:hAnsi="Times New Roman" w:cs="Times New Roman"/>
        </w:rPr>
        <w:t xml:space="preserve">Telecommunications (Customer Service Guarantee – Retail Performance Benchmarks) Instrument </w:t>
      </w:r>
    </w:p>
    <w:p w:rsidR="001F1CF4" w:rsidRPr="001F1CF4" w:rsidRDefault="001F1CF4" w:rsidP="001F1CF4">
      <w:pPr>
        <w:pStyle w:val="Title"/>
        <w:spacing w:before="0"/>
        <w:rPr>
          <w:rFonts w:ascii="Times New Roman" w:hAnsi="Times New Roman" w:cs="Times New Roman"/>
        </w:rPr>
      </w:pPr>
      <w:r w:rsidRPr="001F1CF4">
        <w:rPr>
          <w:rFonts w:ascii="Times New Roman" w:hAnsi="Times New Roman" w:cs="Times New Roman"/>
        </w:rPr>
        <w:t xml:space="preserve">(No. 1) 2011 </w:t>
      </w:r>
      <w:r>
        <w:rPr>
          <w:rFonts w:ascii="Times New Roman" w:hAnsi="Times New Roman" w:cs="Times New Roman"/>
        </w:rPr>
        <w:t>(Amendment No</w:t>
      </w:r>
      <w:r w:rsidR="000C0F7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 of 2012) </w:t>
      </w:r>
    </w:p>
    <w:p w:rsidR="001F1CF4" w:rsidRPr="001F1CF4" w:rsidRDefault="001F1CF4" w:rsidP="001F1CF4"/>
    <w:bookmarkEnd w:id="0"/>
    <w:bookmarkEnd w:id="1"/>
    <w:bookmarkEnd w:id="2"/>
    <w:p w:rsidR="00A64254" w:rsidRPr="00DA46B0" w:rsidRDefault="00A64254" w:rsidP="00A64254">
      <w:pPr>
        <w:spacing w:before="600"/>
        <w:jc w:val="both"/>
        <w:rPr>
          <w:iCs/>
          <w:sz w:val="24"/>
          <w:szCs w:val="24"/>
        </w:rPr>
      </w:pPr>
      <w:r w:rsidRPr="00DA46B0">
        <w:rPr>
          <w:sz w:val="24"/>
          <w:szCs w:val="24"/>
        </w:rPr>
        <w:t xml:space="preserve">I, STEPHEN MICHAEL CONROY, Minister for Broadband, Communications and the Digital Economy, make the following </w:t>
      </w:r>
      <w:r w:rsidR="001F1CF4" w:rsidRPr="00DA46B0">
        <w:rPr>
          <w:sz w:val="24"/>
          <w:szCs w:val="24"/>
        </w:rPr>
        <w:t>amending instrument</w:t>
      </w:r>
      <w:r w:rsidRPr="00DA46B0">
        <w:rPr>
          <w:sz w:val="24"/>
          <w:szCs w:val="24"/>
        </w:rPr>
        <w:t xml:space="preserve"> under sub</w:t>
      </w:r>
      <w:r w:rsidR="001F1CF4" w:rsidRPr="00DA46B0">
        <w:rPr>
          <w:sz w:val="24"/>
          <w:szCs w:val="24"/>
        </w:rPr>
        <w:t xml:space="preserve">section </w:t>
      </w:r>
      <w:proofErr w:type="gramStart"/>
      <w:r w:rsidR="001F1CF4" w:rsidRPr="00DA46B0">
        <w:rPr>
          <w:sz w:val="24"/>
          <w:szCs w:val="24"/>
        </w:rPr>
        <w:t>117B(</w:t>
      </w:r>
      <w:proofErr w:type="gramEnd"/>
      <w:r w:rsidR="001F1CF4" w:rsidRPr="00DA46B0">
        <w:rPr>
          <w:sz w:val="24"/>
          <w:szCs w:val="24"/>
        </w:rPr>
        <w:t>1)</w:t>
      </w:r>
      <w:r w:rsidRPr="00DA46B0">
        <w:rPr>
          <w:sz w:val="24"/>
          <w:szCs w:val="24"/>
        </w:rPr>
        <w:t xml:space="preserve"> of the </w:t>
      </w:r>
      <w:r w:rsidR="004E1D9D" w:rsidRPr="00DA46B0">
        <w:rPr>
          <w:i/>
          <w:sz w:val="24"/>
          <w:szCs w:val="24"/>
        </w:rPr>
        <w:t xml:space="preserve">Telecommunications (Consumer Protection and Service Standards) Act 1999 </w:t>
      </w:r>
      <w:r w:rsidR="00BA1CCB" w:rsidRPr="00DA46B0">
        <w:rPr>
          <w:iCs/>
          <w:sz w:val="24"/>
          <w:szCs w:val="24"/>
        </w:rPr>
        <w:t>and subsection</w:t>
      </w:r>
      <w:r w:rsidR="00786807">
        <w:rPr>
          <w:iCs/>
          <w:sz w:val="24"/>
          <w:szCs w:val="24"/>
        </w:rPr>
        <w:t> </w:t>
      </w:r>
      <w:r w:rsidR="00BA1CCB" w:rsidRPr="00DA46B0">
        <w:rPr>
          <w:iCs/>
          <w:sz w:val="24"/>
          <w:szCs w:val="24"/>
        </w:rPr>
        <w:t>33(3) of the</w:t>
      </w:r>
      <w:r w:rsidR="00FC178D" w:rsidRPr="00DA46B0">
        <w:rPr>
          <w:i/>
          <w:iCs/>
          <w:sz w:val="24"/>
          <w:szCs w:val="24"/>
        </w:rPr>
        <w:t xml:space="preserve"> Acts Interpretation Act 1901</w:t>
      </w:r>
      <w:r w:rsidRPr="00DA46B0">
        <w:rPr>
          <w:sz w:val="24"/>
          <w:szCs w:val="24"/>
        </w:rPr>
        <w:t>.</w:t>
      </w:r>
    </w:p>
    <w:p w:rsidR="00A64254" w:rsidRPr="00DA46B0" w:rsidRDefault="00A64254" w:rsidP="00D257F3">
      <w:pPr>
        <w:tabs>
          <w:tab w:val="center" w:pos="3119"/>
        </w:tabs>
        <w:spacing w:before="300" w:after="600"/>
        <w:rPr>
          <w:sz w:val="24"/>
          <w:szCs w:val="24"/>
        </w:rPr>
      </w:pPr>
      <w:r w:rsidRPr="00DA46B0">
        <w:rPr>
          <w:sz w:val="24"/>
          <w:szCs w:val="24"/>
        </w:rPr>
        <w:t xml:space="preserve">Dated </w:t>
      </w:r>
      <w:r w:rsidR="00D42171">
        <w:rPr>
          <w:sz w:val="24"/>
          <w:szCs w:val="24"/>
        </w:rPr>
        <w:t xml:space="preserve">20 June </w:t>
      </w:r>
      <w:r w:rsidR="002A32BF" w:rsidRPr="00DA46B0">
        <w:rPr>
          <w:sz w:val="24"/>
          <w:szCs w:val="24"/>
        </w:rPr>
        <w:t>2012</w:t>
      </w:r>
    </w:p>
    <w:p w:rsidR="00A64254" w:rsidRPr="001F1CF4" w:rsidRDefault="00A64254" w:rsidP="00D257F3">
      <w:pPr>
        <w:outlineLvl w:val="0"/>
        <w:rPr>
          <w:b/>
        </w:rPr>
      </w:pPr>
    </w:p>
    <w:p w:rsidR="00A64254" w:rsidRPr="00DA46B0" w:rsidRDefault="00A64254" w:rsidP="00D257F3">
      <w:pPr>
        <w:rPr>
          <w:sz w:val="24"/>
          <w:szCs w:val="24"/>
        </w:rPr>
      </w:pPr>
      <w:r w:rsidRPr="00DA46B0">
        <w:rPr>
          <w:sz w:val="24"/>
          <w:szCs w:val="24"/>
        </w:rPr>
        <w:t>STEPHEN MICHAEL CONROY</w:t>
      </w:r>
    </w:p>
    <w:p w:rsidR="00A64254" w:rsidRPr="00DA46B0" w:rsidRDefault="00A64254" w:rsidP="00D257F3">
      <w:pPr>
        <w:rPr>
          <w:sz w:val="24"/>
          <w:szCs w:val="24"/>
        </w:rPr>
      </w:pPr>
      <w:r w:rsidRPr="00DA46B0">
        <w:rPr>
          <w:sz w:val="24"/>
          <w:szCs w:val="24"/>
        </w:rPr>
        <w:t>Minister for Broadband, Communications and the Digital Economy</w:t>
      </w:r>
    </w:p>
    <w:p w:rsidR="00A64254" w:rsidRPr="001F1CF4" w:rsidRDefault="00A64254" w:rsidP="00A64254">
      <w:pPr>
        <w:tabs>
          <w:tab w:val="left" w:pos="3015"/>
        </w:tabs>
      </w:pPr>
      <w:r w:rsidRPr="001F1CF4">
        <w:tab/>
      </w:r>
    </w:p>
    <w:p w:rsidR="00A64254" w:rsidRPr="00DA46B0" w:rsidRDefault="00A64254" w:rsidP="00A64254">
      <w:pPr>
        <w:jc w:val="center"/>
        <w:rPr>
          <w:sz w:val="24"/>
          <w:szCs w:val="24"/>
        </w:rPr>
      </w:pPr>
      <w:r w:rsidRPr="00DA46B0">
        <w:rPr>
          <w:sz w:val="24"/>
          <w:szCs w:val="24"/>
        </w:rPr>
        <w:t>_________________________________________________________________</w:t>
      </w:r>
    </w:p>
    <w:p w:rsidR="00A64254" w:rsidRPr="00DA46B0" w:rsidRDefault="00A64254" w:rsidP="00DE26EF">
      <w:pPr>
        <w:pStyle w:val="HR"/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spacing w:before="400" w:line="300" w:lineRule="atLeast"/>
        <w:ind w:left="567" w:hanging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A46B0">
        <w:rPr>
          <w:rFonts w:ascii="Times New Roman" w:hAnsi="Times New Roman" w:cs="Times New Roman"/>
          <w:color w:val="000000"/>
          <w:sz w:val="24"/>
          <w:szCs w:val="24"/>
        </w:rPr>
        <w:t xml:space="preserve">Name of </w:t>
      </w:r>
      <w:r w:rsidR="00DA46B0" w:rsidRPr="00DA46B0">
        <w:rPr>
          <w:rFonts w:ascii="Times New Roman" w:hAnsi="Times New Roman" w:cs="Times New Roman"/>
          <w:color w:val="000000"/>
          <w:sz w:val="24"/>
          <w:szCs w:val="24"/>
        </w:rPr>
        <w:t>Instrument</w:t>
      </w:r>
    </w:p>
    <w:p w:rsidR="00DA46B0" w:rsidRPr="00DA46B0" w:rsidRDefault="006F7FEB" w:rsidP="00F26907">
      <w:pPr>
        <w:spacing w:before="240"/>
        <w:ind w:left="567"/>
        <w:rPr>
          <w:sz w:val="24"/>
          <w:szCs w:val="24"/>
        </w:rPr>
      </w:pPr>
      <w:r w:rsidRPr="00DA46B0">
        <w:rPr>
          <w:sz w:val="24"/>
          <w:szCs w:val="24"/>
        </w:rPr>
        <w:t xml:space="preserve">This </w:t>
      </w:r>
      <w:r w:rsidR="00DA46B0" w:rsidRPr="00DA46B0">
        <w:rPr>
          <w:sz w:val="24"/>
          <w:szCs w:val="24"/>
        </w:rPr>
        <w:t>Instrument</w:t>
      </w:r>
      <w:r w:rsidRPr="00DA46B0">
        <w:rPr>
          <w:sz w:val="24"/>
          <w:szCs w:val="24"/>
        </w:rPr>
        <w:t xml:space="preserve"> is the </w:t>
      </w:r>
      <w:r w:rsidR="00DA46B0" w:rsidRPr="00DA46B0">
        <w:rPr>
          <w:i/>
        </w:rPr>
        <w:t>Telecommunications (Customer Service Guarantee – Retail Performance Benchmarks) Instrument (No. 1) 2011 (Amendment No</w:t>
      </w:r>
      <w:r w:rsidR="000C0F7F">
        <w:rPr>
          <w:i/>
        </w:rPr>
        <w:t>.</w:t>
      </w:r>
      <w:r w:rsidR="00DA46B0" w:rsidRPr="00DA46B0">
        <w:rPr>
          <w:i/>
        </w:rPr>
        <w:t xml:space="preserve"> 1 of 2012)</w:t>
      </w:r>
      <w:r w:rsidR="00DA46B0">
        <w:t xml:space="preserve">.  </w:t>
      </w:r>
    </w:p>
    <w:p w:rsidR="00A64254" w:rsidRPr="00DA46B0" w:rsidRDefault="00A64254" w:rsidP="00DE26EF">
      <w:pPr>
        <w:pStyle w:val="HR"/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spacing w:before="400" w:line="300" w:lineRule="atLeast"/>
        <w:ind w:left="567" w:hanging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A46B0">
        <w:rPr>
          <w:rFonts w:ascii="Times New Roman" w:hAnsi="Times New Roman" w:cs="Times New Roman"/>
          <w:color w:val="000000"/>
          <w:sz w:val="24"/>
          <w:szCs w:val="24"/>
        </w:rPr>
        <w:t>Commencement</w:t>
      </w:r>
    </w:p>
    <w:p w:rsidR="00AA354B" w:rsidRPr="00DA46B0" w:rsidRDefault="00F01510" w:rsidP="00F26907">
      <w:pPr>
        <w:spacing w:before="240"/>
        <w:ind w:left="567"/>
        <w:rPr>
          <w:sz w:val="24"/>
          <w:szCs w:val="24"/>
        </w:rPr>
      </w:pPr>
      <w:r w:rsidRPr="00DA46B0">
        <w:rPr>
          <w:sz w:val="24"/>
          <w:szCs w:val="24"/>
        </w:rPr>
        <w:t xml:space="preserve">This </w:t>
      </w:r>
      <w:r w:rsidR="00A07E97">
        <w:rPr>
          <w:sz w:val="24"/>
          <w:szCs w:val="24"/>
        </w:rPr>
        <w:t>Instrument</w:t>
      </w:r>
      <w:r w:rsidR="00A07E97" w:rsidRPr="00DA46B0">
        <w:rPr>
          <w:sz w:val="24"/>
          <w:szCs w:val="24"/>
        </w:rPr>
        <w:t xml:space="preserve"> </w:t>
      </w:r>
      <w:r w:rsidRPr="00F92918">
        <w:rPr>
          <w:sz w:val="24"/>
          <w:szCs w:val="24"/>
        </w:rPr>
        <w:t xml:space="preserve">commences on </w:t>
      </w:r>
      <w:r w:rsidR="005A3818" w:rsidRPr="00F92918">
        <w:rPr>
          <w:sz w:val="24"/>
          <w:szCs w:val="24"/>
        </w:rPr>
        <w:t>1 July 2012</w:t>
      </w:r>
      <w:r w:rsidR="006F7FEB" w:rsidRPr="00DA46B0">
        <w:rPr>
          <w:sz w:val="24"/>
          <w:szCs w:val="24"/>
        </w:rPr>
        <w:t>.</w:t>
      </w:r>
    </w:p>
    <w:p w:rsidR="00A64254" w:rsidRPr="00DA46B0" w:rsidRDefault="00A64254" w:rsidP="00DE26EF">
      <w:pPr>
        <w:pStyle w:val="HR"/>
        <w:numPr>
          <w:ilvl w:val="0"/>
          <w:numId w:val="2"/>
        </w:numPr>
        <w:tabs>
          <w:tab w:val="clear" w:pos="360"/>
          <w:tab w:val="num" w:pos="567"/>
        </w:tabs>
        <w:autoSpaceDE/>
        <w:autoSpaceDN/>
        <w:spacing w:before="400" w:line="300" w:lineRule="atLeast"/>
        <w:ind w:left="567" w:hanging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A46B0">
        <w:rPr>
          <w:rFonts w:ascii="Times New Roman" w:hAnsi="Times New Roman" w:cs="Times New Roman"/>
          <w:color w:val="000000"/>
          <w:sz w:val="24"/>
          <w:szCs w:val="24"/>
        </w:rPr>
        <w:t>Variation</w:t>
      </w:r>
    </w:p>
    <w:p w:rsidR="00A64254" w:rsidRPr="00DA46B0" w:rsidRDefault="006F7FEB" w:rsidP="00F26907">
      <w:pPr>
        <w:pStyle w:val="R1"/>
        <w:ind w:left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DA46B0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F26907">
        <w:rPr>
          <w:rFonts w:ascii="Times New Roman" w:hAnsi="Times New Roman" w:cs="Times New Roman"/>
          <w:i/>
          <w:sz w:val="24"/>
          <w:szCs w:val="24"/>
        </w:rPr>
        <w:t xml:space="preserve">Telecommunications </w:t>
      </w:r>
      <w:r w:rsidR="005A3818" w:rsidRPr="005A3818">
        <w:rPr>
          <w:rFonts w:ascii="Times New Roman" w:hAnsi="Times New Roman" w:cs="Times New Roman"/>
          <w:i/>
          <w:sz w:val="24"/>
          <w:szCs w:val="24"/>
        </w:rPr>
        <w:t>(Customer Service Guarantee – Retail Performance Benchmarks) Instrument (No. 1) 2011</w:t>
      </w:r>
      <w:r w:rsidRPr="005A38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6B0">
        <w:rPr>
          <w:rFonts w:ascii="Times New Roman" w:hAnsi="Times New Roman" w:cs="Times New Roman"/>
          <w:color w:val="000000"/>
          <w:sz w:val="24"/>
          <w:szCs w:val="24"/>
        </w:rPr>
        <w:t>is amended as set out in the Schedule</w:t>
      </w:r>
      <w:r w:rsidR="003D220C" w:rsidRPr="00DA46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46B0">
        <w:rPr>
          <w:rFonts w:ascii="Times New Roman" w:hAnsi="Times New Roman" w:cs="Times New Roman"/>
          <w:color w:val="000000"/>
          <w:sz w:val="24"/>
          <w:szCs w:val="24"/>
        </w:rPr>
        <w:t xml:space="preserve">to this </w:t>
      </w:r>
      <w:r w:rsidR="005A3818">
        <w:rPr>
          <w:rFonts w:ascii="Times New Roman" w:hAnsi="Times New Roman" w:cs="Times New Roman"/>
          <w:color w:val="000000"/>
          <w:sz w:val="24"/>
          <w:szCs w:val="24"/>
        </w:rPr>
        <w:t>Instrument</w:t>
      </w:r>
      <w:r w:rsidRPr="00DA46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4254" w:rsidRPr="00DA46B0" w:rsidRDefault="00A64254" w:rsidP="00A64254">
      <w:pPr>
        <w:pStyle w:val="NoteBody2"/>
        <w:tabs>
          <w:tab w:val="left" w:pos="851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4254" w:rsidRPr="00DA46B0" w:rsidRDefault="00A64254" w:rsidP="00A64254">
      <w:pPr>
        <w:pStyle w:val="NoteBody2"/>
        <w:tabs>
          <w:tab w:val="left" w:pos="851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br w:type="column"/>
      </w: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Schedule</w:t>
      </w: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tab/>
        <w:t>Amendments</w:t>
      </w:r>
    </w:p>
    <w:p w:rsidR="00A64254" w:rsidRPr="00DA46B0" w:rsidRDefault="00A64254" w:rsidP="00A64254">
      <w:pPr>
        <w:pStyle w:val="NoteBody2"/>
        <w:tabs>
          <w:tab w:val="left" w:pos="851"/>
        </w:tabs>
        <w:ind w:left="567" w:hanging="567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64254" w:rsidRPr="00DA46B0" w:rsidRDefault="00A64254" w:rsidP="00A64254">
      <w:pPr>
        <w:pStyle w:val="NoteBody2"/>
        <w:tabs>
          <w:tab w:val="left" w:pos="851"/>
        </w:tabs>
        <w:ind w:left="567" w:hanging="567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t>[1]</w:t>
      </w: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FC73BB" w:rsidRPr="00DA46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Section </w:t>
      </w:r>
      <w:r w:rsidR="005A38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  </w:t>
      </w:r>
    </w:p>
    <w:p w:rsidR="00A64254" w:rsidRPr="00D83744" w:rsidRDefault="00C41F10" w:rsidP="00C41F10">
      <w:pPr>
        <w:pStyle w:val="R1"/>
        <w:tabs>
          <w:tab w:val="left" w:pos="851"/>
        </w:tabs>
        <w:spacing w:before="360" w:after="24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D83744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A64254" w:rsidRPr="00D83744">
        <w:rPr>
          <w:rFonts w:ascii="Times New Roman" w:hAnsi="Times New Roman" w:cs="Times New Roman"/>
          <w:color w:val="000000"/>
          <w:sz w:val="24"/>
          <w:szCs w:val="24"/>
        </w:rPr>
        <w:t>mit</w:t>
      </w:r>
      <w:r w:rsidRPr="00D8374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64254" w:rsidRPr="00D837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A3818" w:rsidRDefault="005A3818" w:rsidP="00F26907">
      <w:pPr>
        <w:ind w:left="567"/>
        <w:rPr>
          <w:bCs/>
          <w:iCs/>
          <w:sz w:val="24"/>
          <w:szCs w:val="24"/>
        </w:rPr>
      </w:pPr>
      <w:proofErr w:type="gramStart"/>
      <w:r w:rsidRPr="005A3818">
        <w:rPr>
          <w:b/>
          <w:bCs/>
          <w:i/>
          <w:iCs/>
          <w:sz w:val="24"/>
          <w:szCs w:val="24"/>
        </w:rPr>
        <w:t>connection</w:t>
      </w:r>
      <w:proofErr w:type="gramEnd"/>
      <w:r w:rsidRPr="005A3818">
        <w:rPr>
          <w:b/>
          <w:bCs/>
          <w:i/>
          <w:iCs/>
          <w:sz w:val="24"/>
          <w:szCs w:val="24"/>
        </w:rPr>
        <w:t xml:space="preserve"> period performance standard </w:t>
      </w:r>
      <w:r w:rsidRPr="005A3818">
        <w:rPr>
          <w:bCs/>
          <w:iCs/>
          <w:sz w:val="24"/>
          <w:szCs w:val="24"/>
        </w:rPr>
        <w:t>has the meaning given by subsection 6(1) of this Instrument.</w:t>
      </w:r>
    </w:p>
    <w:p w:rsidR="00D570BC" w:rsidRDefault="00D570BC" w:rsidP="00F26907">
      <w:pPr>
        <w:ind w:left="567"/>
        <w:rPr>
          <w:bCs/>
          <w:iCs/>
          <w:sz w:val="24"/>
          <w:szCs w:val="24"/>
        </w:rPr>
      </w:pPr>
    </w:p>
    <w:p w:rsidR="00D570BC" w:rsidRDefault="00D570BC" w:rsidP="00F26907">
      <w:pPr>
        <w:ind w:left="567"/>
        <w:rPr>
          <w:bCs/>
          <w:iCs/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>in-place</w:t>
      </w:r>
      <w:proofErr w:type="gramEnd"/>
      <w:r>
        <w:rPr>
          <w:b/>
          <w:bCs/>
          <w:i/>
          <w:iCs/>
          <w:sz w:val="24"/>
          <w:szCs w:val="24"/>
        </w:rPr>
        <w:t xml:space="preserve"> connection request </w:t>
      </w:r>
      <w:r>
        <w:rPr>
          <w:bCs/>
          <w:iCs/>
          <w:sz w:val="24"/>
          <w:szCs w:val="24"/>
        </w:rPr>
        <w:t>means a request made by a customer to a carriage service provider for connection to a CSG service where the carriage service provider is required to comply with the request in the guaranteed maximum connection period at item 201 of Schedule 1 to the CSG Standard</w:t>
      </w:r>
      <w:r w:rsidR="00924307">
        <w:rPr>
          <w:bCs/>
          <w:iCs/>
          <w:sz w:val="24"/>
          <w:szCs w:val="24"/>
        </w:rPr>
        <w:t>.</w:t>
      </w:r>
    </w:p>
    <w:p w:rsidR="00D570BC" w:rsidRDefault="00D570BC" w:rsidP="00F26907">
      <w:pPr>
        <w:ind w:left="567"/>
        <w:rPr>
          <w:b/>
          <w:bCs/>
          <w:i/>
          <w:iCs/>
          <w:sz w:val="24"/>
          <w:szCs w:val="24"/>
        </w:rPr>
      </w:pPr>
    </w:p>
    <w:p w:rsidR="00D570BC" w:rsidRDefault="00D570BC" w:rsidP="00D570BC">
      <w:pPr>
        <w:ind w:left="567"/>
        <w:rPr>
          <w:bCs/>
          <w:iCs/>
          <w:sz w:val="24"/>
          <w:szCs w:val="24"/>
        </w:rPr>
      </w:pPr>
      <w:proofErr w:type="gramStart"/>
      <w:r>
        <w:rPr>
          <w:b/>
          <w:bCs/>
          <w:i/>
          <w:iCs/>
          <w:sz w:val="24"/>
          <w:szCs w:val="24"/>
        </w:rPr>
        <w:t>new</w:t>
      </w:r>
      <w:proofErr w:type="gramEnd"/>
      <w:r>
        <w:rPr>
          <w:b/>
          <w:bCs/>
          <w:i/>
          <w:iCs/>
          <w:sz w:val="24"/>
          <w:szCs w:val="24"/>
        </w:rPr>
        <w:t xml:space="preserve"> connection request </w:t>
      </w:r>
      <w:r>
        <w:rPr>
          <w:bCs/>
          <w:iCs/>
          <w:sz w:val="24"/>
          <w:szCs w:val="24"/>
        </w:rPr>
        <w:t>refers to a request made by a customer to a carriage service provider for connection to a CSG service where the carriage service provider is required to comply with the request in the guaranteed maximum connection period at item 202 of Schedule 1 to the CSG Standard.</w:t>
      </w:r>
    </w:p>
    <w:p w:rsidR="00D570BC" w:rsidRDefault="00D570BC" w:rsidP="00D570BC">
      <w:pPr>
        <w:ind w:left="567"/>
        <w:rPr>
          <w:b/>
          <w:bCs/>
          <w:i/>
          <w:iCs/>
          <w:sz w:val="24"/>
          <w:szCs w:val="24"/>
        </w:rPr>
      </w:pPr>
    </w:p>
    <w:p w:rsidR="00D570BC" w:rsidRDefault="00D570BC" w:rsidP="00D570BC">
      <w:pPr>
        <w:ind w:left="567"/>
        <w:rPr>
          <w:bCs/>
          <w:iCs/>
          <w:sz w:val="24"/>
          <w:szCs w:val="24"/>
        </w:rPr>
      </w:pPr>
      <w:proofErr w:type="gramStart"/>
      <w:r w:rsidRPr="00D570BC">
        <w:rPr>
          <w:b/>
          <w:bCs/>
          <w:i/>
          <w:iCs/>
          <w:sz w:val="24"/>
          <w:szCs w:val="24"/>
        </w:rPr>
        <w:t>rectification</w:t>
      </w:r>
      <w:proofErr w:type="gramEnd"/>
      <w:r w:rsidRPr="00D570BC">
        <w:rPr>
          <w:b/>
          <w:bCs/>
          <w:i/>
          <w:iCs/>
          <w:sz w:val="24"/>
          <w:szCs w:val="24"/>
        </w:rPr>
        <w:t xml:space="preserve"> period performance standard </w:t>
      </w:r>
      <w:r w:rsidRPr="00D570BC">
        <w:rPr>
          <w:bCs/>
          <w:iCs/>
          <w:sz w:val="24"/>
          <w:szCs w:val="24"/>
        </w:rPr>
        <w:t>has the meaning given by subsection 7(1) of this Instrument.</w:t>
      </w:r>
    </w:p>
    <w:p w:rsidR="00F26907" w:rsidRPr="00D83744" w:rsidRDefault="00C41F10" w:rsidP="00C41F10">
      <w:pPr>
        <w:pStyle w:val="R1"/>
        <w:tabs>
          <w:tab w:val="left" w:pos="851"/>
        </w:tabs>
        <w:spacing w:before="360" w:after="24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D8374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26907" w:rsidRPr="00D83744">
        <w:rPr>
          <w:rFonts w:ascii="Times New Roman" w:hAnsi="Times New Roman" w:cs="Times New Roman"/>
          <w:color w:val="000000"/>
          <w:sz w:val="24"/>
          <w:szCs w:val="24"/>
        </w:rPr>
        <w:t>nsert</w:t>
      </w:r>
      <w:r w:rsidRPr="00D8374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A3818" w:rsidRPr="00F26907" w:rsidRDefault="005A3818" w:rsidP="00C41F10">
      <w:pPr>
        <w:pStyle w:val="definition"/>
        <w:tabs>
          <w:tab w:val="left" w:pos="851"/>
        </w:tabs>
        <w:spacing w:before="0"/>
        <w:ind w:left="567"/>
        <w:jc w:val="left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proofErr w:type="gramStart"/>
      <w:r w:rsidRPr="00F2690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connection</w:t>
      </w:r>
      <w:proofErr w:type="gramEnd"/>
      <w:r w:rsidRPr="00F26907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 xml:space="preserve"> period performance standard </w:t>
      </w:r>
      <w:r w:rsidRPr="00F26907">
        <w:rPr>
          <w:rFonts w:ascii="Times New Roman" w:hAnsi="Times New Roman" w:cs="Times New Roman"/>
          <w:bCs/>
          <w:iCs/>
          <w:color w:val="auto"/>
          <w:sz w:val="24"/>
          <w:szCs w:val="24"/>
        </w:rPr>
        <w:t>means in respect of an in-place connection request or a new connection request:</w:t>
      </w:r>
    </w:p>
    <w:p w:rsidR="005A3818" w:rsidRDefault="005A3818" w:rsidP="00DE26EF">
      <w:pPr>
        <w:pStyle w:val="definition"/>
        <w:numPr>
          <w:ilvl w:val="0"/>
          <w:numId w:val="5"/>
        </w:numPr>
        <w:tabs>
          <w:tab w:val="left" w:pos="1134"/>
          <w:tab w:val="left" w:pos="1276"/>
        </w:tabs>
        <w:spacing w:before="60" w:after="60"/>
        <w:ind w:left="1134" w:hanging="567"/>
        <w:jc w:val="left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F26907">
        <w:rPr>
          <w:rFonts w:ascii="Times New Roman" w:hAnsi="Times New Roman" w:cs="Times New Roman"/>
          <w:bCs/>
          <w:iCs/>
          <w:color w:val="auto"/>
          <w:sz w:val="24"/>
          <w:szCs w:val="24"/>
        </w:rPr>
        <w:t>the standard at subsection 8(3) of the CSG Standard; or</w:t>
      </w:r>
    </w:p>
    <w:p w:rsidR="005A3818" w:rsidRPr="00F26907" w:rsidRDefault="005A3818" w:rsidP="00DE26EF">
      <w:pPr>
        <w:pStyle w:val="definition"/>
        <w:numPr>
          <w:ilvl w:val="0"/>
          <w:numId w:val="5"/>
        </w:numPr>
        <w:tabs>
          <w:tab w:val="left" w:pos="1134"/>
          <w:tab w:val="left" w:pos="1276"/>
        </w:tabs>
        <w:spacing w:before="60" w:after="60"/>
        <w:ind w:left="1134" w:hanging="567"/>
        <w:jc w:val="left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proofErr w:type="gramStart"/>
      <w:r w:rsidRPr="00F26907">
        <w:rPr>
          <w:rFonts w:ascii="Times New Roman" w:hAnsi="Times New Roman" w:cs="Times New Roman"/>
          <w:bCs/>
          <w:iCs/>
          <w:color w:val="auto"/>
          <w:sz w:val="24"/>
          <w:szCs w:val="24"/>
        </w:rPr>
        <w:t>if</w:t>
      </w:r>
      <w:proofErr w:type="gramEnd"/>
      <w:r w:rsidRPr="00F26907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an arrangement of the kind mentioned in section 9 of the CSG Standard is in place – the standard provided for by that arrangement.</w:t>
      </w:r>
    </w:p>
    <w:p w:rsidR="00C41F10" w:rsidRDefault="00C41F10" w:rsidP="00C41F10">
      <w:pPr>
        <w:pStyle w:val="definition"/>
        <w:tabs>
          <w:tab w:val="left" w:pos="851"/>
        </w:tabs>
        <w:spacing w:before="0"/>
        <w:ind w:left="567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570BC" w:rsidRPr="00D570BC" w:rsidRDefault="00D570BC" w:rsidP="00C41F10">
      <w:pPr>
        <w:pStyle w:val="definition"/>
        <w:tabs>
          <w:tab w:val="left" w:pos="851"/>
        </w:tabs>
        <w:spacing w:before="0"/>
        <w:ind w:left="567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D570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in-place</w:t>
      </w:r>
      <w:proofErr w:type="gramEnd"/>
      <w:r w:rsidRPr="00D570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connection</w:t>
      </w:r>
      <w:r w:rsidRPr="00D570BC">
        <w:rPr>
          <w:rFonts w:ascii="Times New Roman" w:hAnsi="Times New Roman" w:cs="Times New Roman"/>
          <w:bCs/>
          <w:iCs/>
          <w:sz w:val="24"/>
          <w:szCs w:val="24"/>
        </w:rPr>
        <w:t xml:space="preserve"> means an in-place connection as described in item 101 of Schedule 1 to the CSG Standard.</w:t>
      </w:r>
    </w:p>
    <w:p w:rsidR="00C41F10" w:rsidRDefault="00C41F10" w:rsidP="00C41F10">
      <w:pPr>
        <w:pStyle w:val="definition"/>
        <w:tabs>
          <w:tab w:val="left" w:pos="851"/>
        </w:tabs>
        <w:spacing w:before="0"/>
        <w:ind w:left="567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570BC" w:rsidRPr="00D570BC" w:rsidRDefault="00D570BC" w:rsidP="00C41F10">
      <w:pPr>
        <w:pStyle w:val="definition"/>
        <w:tabs>
          <w:tab w:val="left" w:pos="851"/>
        </w:tabs>
        <w:spacing w:before="0"/>
        <w:ind w:left="567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D570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in-place</w:t>
      </w:r>
      <w:proofErr w:type="gramEnd"/>
      <w:r w:rsidRPr="00D570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connection request </w:t>
      </w:r>
      <w:r w:rsidRPr="00D570BC">
        <w:rPr>
          <w:rFonts w:ascii="Times New Roman" w:hAnsi="Times New Roman" w:cs="Times New Roman"/>
          <w:bCs/>
          <w:iCs/>
          <w:sz w:val="24"/>
          <w:szCs w:val="24"/>
        </w:rPr>
        <w:t xml:space="preserve">means a request made by a customer to a carriage service provider for connection </w:t>
      </w:r>
      <w:r w:rsidR="00924307">
        <w:rPr>
          <w:rFonts w:ascii="Times New Roman" w:hAnsi="Times New Roman" w:cs="Times New Roman"/>
          <w:bCs/>
          <w:iCs/>
          <w:sz w:val="24"/>
          <w:szCs w:val="24"/>
        </w:rPr>
        <w:t>of</w:t>
      </w:r>
      <w:r w:rsidRPr="00D570BC">
        <w:rPr>
          <w:rFonts w:ascii="Times New Roman" w:hAnsi="Times New Roman" w:cs="Times New Roman"/>
          <w:bCs/>
          <w:iCs/>
          <w:sz w:val="24"/>
          <w:szCs w:val="24"/>
        </w:rPr>
        <w:t xml:space="preserve"> a CSG service at a site that has an in-place connection.</w:t>
      </w:r>
    </w:p>
    <w:p w:rsidR="00C41F10" w:rsidRDefault="00C41F10" w:rsidP="00C41F10">
      <w:pPr>
        <w:pStyle w:val="definition"/>
        <w:tabs>
          <w:tab w:val="left" w:pos="851"/>
        </w:tabs>
        <w:spacing w:before="0"/>
        <w:ind w:left="567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570BC" w:rsidRPr="00D570BC" w:rsidRDefault="00D570BC" w:rsidP="00C41F10">
      <w:pPr>
        <w:pStyle w:val="definition"/>
        <w:tabs>
          <w:tab w:val="left" w:pos="851"/>
        </w:tabs>
        <w:spacing w:before="0"/>
        <w:ind w:left="567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D570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new</w:t>
      </w:r>
      <w:proofErr w:type="gramEnd"/>
      <w:r w:rsidRPr="00D570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connection request </w:t>
      </w:r>
      <w:r w:rsidRPr="00D570BC">
        <w:rPr>
          <w:rFonts w:ascii="Times New Roman" w:hAnsi="Times New Roman" w:cs="Times New Roman"/>
          <w:bCs/>
          <w:iCs/>
          <w:sz w:val="24"/>
          <w:szCs w:val="24"/>
        </w:rPr>
        <w:t xml:space="preserve">means a request made by a customer to a carriage service provider for connection </w:t>
      </w:r>
      <w:r w:rsidR="00924307">
        <w:rPr>
          <w:rFonts w:ascii="Times New Roman" w:hAnsi="Times New Roman" w:cs="Times New Roman"/>
          <w:bCs/>
          <w:iCs/>
          <w:sz w:val="24"/>
          <w:szCs w:val="24"/>
        </w:rPr>
        <w:t>of</w:t>
      </w:r>
      <w:r w:rsidRPr="00D570BC">
        <w:rPr>
          <w:rFonts w:ascii="Times New Roman" w:hAnsi="Times New Roman" w:cs="Times New Roman"/>
          <w:bCs/>
          <w:iCs/>
          <w:sz w:val="24"/>
          <w:szCs w:val="24"/>
        </w:rPr>
        <w:t xml:space="preserve"> a CSG service at a site that does not have an in-place connection </w:t>
      </w:r>
      <w:r w:rsidRPr="00D570BC">
        <w:rPr>
          <w:rFonts w:ascii="Times New Roman" w:hAnsi="Times New Roman" w:cs="Times New Roman"/>
          <w:sz w:val="24"/>
          <w:szCs w:val="24"/>
        </w:rPr>
        <w:t>and that site is in close proximity to external plant and facilities that have sufficient capacity to supply the service</w:t>
      </w:r>
      <w:r w:rsidRPr="00D570B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41F10" w:rsidRDefault="00C41F10" w:rsidP="00C41F10">
      <w:pPr>
        <w:pStyle w:val="definition"/>
        <w:tabs>
          <w:tab w:val="left" w:pos="851"/>
        </w:tabs>
        <w:spacing w:before="0"/>
        <w:ind w:left="567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570BC" w:rsidRPr="00D570BC" w:rsidRDefault="00D570BC" w:rsidP="00C41F10">
      <w:pPr>
        <w:pStyle w:val="definition"/>
        <w:tabs>
          <w:tab w:val="left" w:pos="851"/>
        </w:tabs>
        <w:spacing w:before="0"/>
        <w:ind w:left="567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D570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rectification</w:t>
      </w:r>
      <w:proofErr w:type="gramEnd"/>
      <w:r w:rsidRPr="00D570B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period performance standard </w:t>
      </w:r>
      <w:r w:rsidRPr="00D570BC">
        <w:rPr>
          <w:rFonts w:ascii="Times New Roman" w:hAnsi="Times New Roman" w:cs="Times New Roman"/>
          <w:bCs/>
          <w:iCs/>
          <w:sz w:val="24"/>
          <w:szCs w:val="24"/>
        </w:rPr>
        <w:t>means in respect of a fault or service difficulty reported to a carriage service provider by a customer:</w:t>
      </w:r>
    </w:p>
    <w:p w:rsidR="00D570BC" w:rsidRPr="00C41F10" w:rsidRDefault="00D570BC" w:rsidP="00DE26EF">
      <w:pPr>
        <w:pStyle w:val="definition"/>
        <w:numPr>
          <w:ilvl w:val="0"/>
          <w:numId w:val="6"/>
        </w:numPr>
        <w:tabs>
          <w:tab w:val="clear" w:pos="1134"/>
          <w:tab w:val="left" w:pos="1276"/>
        </w:tabs>
        <w:spacing w:before="60" w:after="60"/>
        <w:ind w:left="1134" w:hanging="567"/>
        <w:jc w:val="left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C41F10">
        <w:rPr>
          <w:rFonts w:ascii="Times New Roman" w:hAnsi="Times New Roman" w:cs="Times New Roman"/>
          <w:bCs/>
          <w:iCs/>
          <w:color w:val="auto"/>
          <w:sz w:val="24"/>
          <w:szCs w:val="24"/>
        </w:rPr>
        <w:t>the standard at subsection 11(5) of the CSG Standard; or</w:t>
      </w:r>
    </w:p>
    <w:p w:rsidR="00D570BC" w:rsidRDefault="00D570BC" w:rsidP="00DE26EF">
      <w:pPr>
        <w:pStyle w:val="definition"/>
        <w:numPr>
          <w:ilvl w:val="0"/>
          <w:numId w:val="6"/>
        </w:numPr>
        <w:tabs>
          <w:tab w:val="left" w:pos="1134"/>
          <w:tab w:val="left" w:pos="1276"/>
        </w:tabs>
        <w:spacing w:before="60" w:after="60"/>
        <w:ind w:left="1134" w:hanging="567"/>
        <w:jc w:val="left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proofErr w:type="gramStart"/>
      <w:r w:rsidRPr="00C41F10">
        <w:rPr>
          <w:rFonts w:ascii="Times New Roman" w:hAnsi="Times New Roman" w:cs="Times New Roman"/>
          <w:bCs/>
          <w:iCs/>
          <w:color w:val="auto"/>
          <w:sz w:val="24"/>
          <w:szCs w:val="24"/>
        </w:rPr>
        <w:t>if</w:t>
      </w:r>
      <w:proofErr w:type="gramEnd"/>
      <w:r w:rsidRPr="00C41F10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 an arrangement of the kind mentioned in section 14 of the CSG Standard is in place – the standard provided for by that arrangement.</w:t>
      </w:r>
    </w:p>
    <w:p w:rsidR="00F66B8C" w:rsidRPr="00F66B8C" w:rsidRDefault="00F66B8C" w:rsidP="00F66B8C">
      <w:pPr>
        <w:pStyle w:val="NoteBody2"/>
        <w:tabs>
          <w:tab w:val="left" w:pos="851"/>
        </w:tabs>
        <w:ind w:left="567" w:hanging="567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[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t>]</w:t>
      </w: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0302E">
        <w:rPr>
          <w:rFonts w:ascii="Times New Roman" w:hAnsi="Times New Roman" w:cs="Times New Roman"/>
          <w:b/>
          <w:color w:val="000000"/>
          <w:sz w:val="24"/>
          <w:szCs w:val="24"/>
        </w:rPr>
        <w:t>Subs</w:t>
      </w:r>
      <w:r w:rsidR="006C6A02">
        <w:rPr>
          <w:rFonts w:ascii="Times New Roman" w:hAnsi="Times New Roman" w:cs="Times New Roman"/>
          <w:b/>
          <w:color w:val="000000"/>
          <w:sz w:val="24"/>
          <w:szCs w:val="24"/>
        </w:rPr>
        <w:t>ection</w:t>
      </w: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C6A02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30302E">
        <w:rPr>
          <w:rFonts w:ascii="Times New Roman" w:hAnsi="Times New Roman" w:cs="Times New Roman"/>
          <w:b/>
          <w:color w:val="000000"/>
          <w:sz w:val="24"/>
          <w:szCs w:val="24"/>
        </w:rPr>
        <w:t>(1)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F66B8C" w:rsidRPr="00D83744" w:rsidRDefault="00F66B8C" w:rsidP="006C6A02">
      <w:pPr>
        <w:pStyle w:val="R1"/>
        <w:tabs>
          <w:tab w:val="left" w:pos="851"/>
        </w:tabs>
        <w:spacing w:before="360" w:after="24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D83744">
        <w:rPr>
          <w:rFonts w:ascii="Times New Roman" w:hAnsi="Times New Roman" w:cs="Times New Roman"/>
          <w:color w:val="000000"/>
          <w:sz w:val="24"/>
          <w:szCs w:val="24"/>
        </w:rPr>
        <w:t>Omit</w:t>
      </w:r>
      <w:r w:rsidR="00D83744" w:rsidRPr="00D8374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12B84" w:rsidRDefault="00F84521" w:rsidP="00F12B84">
      <w:pPr>
        <w:ind w:left="567"/>
        <w:rPr>
          <w:bCs/>
          <w:iCs/>
          <w:sz w:val="24"/>
          <w:szCs w:val="24"/>
        </w:rPr>
      </w:pPr>
      <w:r>
        <w:rPr>
          <w:szCs w:val="24"/>
        </w:rPr>
        <w:t>‘</w:t>
      </w:r>
      <w:proofErr w:type="gramStart"/>
      <w:r w:rsidR="00D83744">
        <w:rPr>
          <w:szCs w:val="24"/>
        </w:rPr>
        <w:t>standard</w:t>
      </w:r>
      <w:proofErr w:type="gramEnd"/>
      <w:r w:rsidR="00D83744">
        <w:rPr>
          <w:szCs w:val="24"/>
        </w:rPr>
        <w:t xml:space="preserve"> at subsection 8(3) of the CSG Standard (</w:t>
      </w:r>
      <w:r w:rsidR="00D83744">
        <w:rPr>
          <w:b/>
          <w:i/>
          <w:szCs w:val="24"/>
        </w:rPr>
        <w:t>connection period performance standard</w:t>
      </w:r>
      <w:r w:rsidR="00D83744">
        <w:rPr>
          <w:szCs w:val="24"/>
        </w:rPr>
        <w:t>)</w:t>
      </w:r>
      <w:r>
        <w:rPr>
          <w:szCs w:val="24"/>
        </w:rPr>
        <w:t>.’</w:t>
      </w:r>
    </w:p>
    <w:p w:rsidR="00F84521" w:rsidRPr="00D83744" w:rsidRDefault="00F84521" w:rsidP="00F84521">
      <w:pPr>
        <w:pStyle w:val="R1"/>
        <w:tabs>
          <w:tab w:val="left" w:pos="851"/>
        </w:tabs>
        <w:spacing w:before="360" w:after="24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Substitute with</w:t>
      </w:r>
      <w:r w:rsidRPr="00D8374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D83744" w:rsidRDefault="00F84521" w:rsidP="00F84521">
      <w:pPr>
        <w:pStyle w:val="definition"/>
        <w:tabs>
          <w:tab w:val="left" w:pos="1134"/>
          <w:tab w:val="left" w:pos="1276"/>
        </w:tabs>
        <w:spacing w:before="60" w:after="60"/>
        <w:ind w:left="567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‘</w:t>
      </w:r>
      <w:proofErr w:type="gramStart"/>
      <w:r w:rsidR="00D83744" w:rsidRPr="00F84521">
        <w:rPr>
          <w:rFonts w:ascii="Times New Roman" w:hAnsi="Times New Roman" w:cs="Times New Roman"/>
          <w:bCs/>
          <w:iCs/>
          <w:sz w:val="24"/>
          <w:szCs w:val="24"/>
        </w:rPr>
        <w:t>connection</w:t>
      </w:r>
      <w:proofErr w:type="gramEnd"/>
      <w:r w:rsidR="00D83744" w:rsidRPr="00F84521">
        <w:rPr>
          <w:rFonts w:ascii="Times New Roman" w:hAnsi="Times New Roman" w:cs="Times New Roman"/>
          <w:bCs/>
          <w:iCs/>
          <w:sz w:val="24"/>
          <w:szCs w:val="24"/>
        </w:rPr>
        <w:t xml:space="preserve"> period performance standard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.’ </w:t>
      </w:r>
    </w:p>
    <w:p w:rsidR="00F84521" w:rsidRDefault="00F84521" w:rsidP="00F84521">
      <w:pPr>
        <w:pStyle w:val="definition"/>
        <w:tabs>
          <w:tab w:val="left" w:pos="1134"/>
          <w:tab w:val="left" w:pos="1276"/>
        </w:tabs>
        <w:spacing w:before="60" w:after="60"/>
        <w:ind w:left="567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</w:p>
    <w:p w:rsidR="004B6E47" w:rsidRPr="00F66B8C" w:rsidRDefault="004B6E47" w:rsidP="004B6E47">
      <w:pPr>
        <w:pStyle w:val="NoteBody2"/>
        <w:tabs>
          <w:tab w:val="left" w:pos="851"/>
        </w:tabs>
        <w:ind w:left="567" w:hanging="567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t>[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t>]</w:t>
      </w: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30302E">
        <w:rPr>
          <w:rFonts w:ascii="Times New Roman" w:hAnsi="Times New Roman" w:cs="Times New Roman"/>
          <w:b/>
          <w:color w:val="000000"/>
          <w:sz w:val="24"/>
          <w:szCs w:val="24"/>
        </w:rPr>
        <w:t>Subs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ection</w:t>
      </w:r>
      <w:r w:rsidRPr="00DA46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="0030302E">
        <w:rPr>
          <w:rFonts w:ascii="Times New Roman" w:hAnsi="Times New Roman" w:cs="Times New Roman"/>
          <w:b/>
          <w:color w:val="000000"/>
          <w:sz w:val="24"/>
          <w:szCs w:val="24"/>
        </w:rPr>
        <w:t>(1)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4B6E47" w:rsidRPr="00D83744" w:rsidRDefault="004B6E47" w:rsidP="004B6E47">
      <w:pPr>
        <w:pStyle w:val="R1"/>
        <w:tabs>
          <w:tab w:val="left" w:pos="851"/>
        </w:tabs>
        <w:spacing w:before="360" w:after="24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D83744">
        <w:rPr>
          <w:rFonts w:ascii="Times New Roman" w:hAnsi="Times New Roman" w:cs="Times New Roman"/>
          <w:color w:val="000000"/>
          <w:sz w:val="24"/>
          <w:szCs w:val="24"/>
        </w:rPr>
        <w:t>Omit the following words in sub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83744">
        <w:rPr>
          <w:rFonts w:ascii="Times New Roman" w:hAnsi="Times New Roman" w:cs="Times New Roman"/>
          <w:color w:val="000000"/>
          <w:sz w:val="24"/>
          <w:szCs w:val="24"/>
        </w:rPr>
        <w:t xml:space="preserve">ection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83744">
        <w:rPr>
          <w:rFonts w:ascii="Times New Roman" w:hAnsi="Times New Roman" w:cs="Times New Roman"/>
          <w:color w:val="000000"/>
          <w:sz w:val="24"/>
          <w:szCs w:val="24"/>
        </w:rPr>
        <w:t>(1):</w:t>
      </w:r>
    </w:p>
    <w:p w:rsidR="004B6E47" w:rsidRDefault="004B6E47" w:rsidP="004B6E47">
      <w:pPr>
        <w:ind w:left="567"/>
        <w:rPr>
          <w:bCs/>
          <w:iCs/>
          <w:sz w:val="24"/>
          <w:szCs w:val="24"/>
        </w:rPr>
      </w:pPr>
      <w:r w:rsidRPr="004B6E47">
        <w:rPr>
          <w:szCs w:val="24"/>
        </w:rPr>
        <w:t>‘</w:t>
      </w:r>
      <w:proofErr w:type="gramStart"/>
      <w:r w:rsidRPr="004B6E47">
        <w:rPr>
          <w:szCs w:val="24"/>
        </w:rPr>
        <w:t>standard</w:t>
      </w:r>
      <w:proofErr w:type="gramEnd"/>
      <w:r w:rsidRPr="004B6E47">
        <w:rPr>
          <w:szCs w:val="24"/>
        </w:rPr>
        <w:t xml:space="preserve"> at subsection 11(5) of the CSG Standard (</w:t>
      </w:r>
      <w:r w:rsidR="00620447" w:rsidRPr="00620447">
        <w:rPr>
          <w:b/>
          <w:i/>
          <w:szCs w:val="24"/>
        </w:rPr>
        <w:t>rectification period performance standard</w:t>
      </w:r>
      <w:r w:rsidRPr="004B6E47">
        <w:rPr>
          <w:szCs w:val="24"/>
        </w:rPr>
        <w:t>).’</w:t>
      </w:r>
    </w:p>
    <w:p w:rsidR="004B6E47" w:rsidRPr="00D83744" w:rsidRDefault="004B6E47" w:rsidP="004B6E47">
      <w:pPr>
        <w:pStyle w:val="R1"/>
        <w:tabs>
          <w:tab w:val="left" w:pos="851"/>
        </w:tabs>
        <w:spacing w:before="360" w:after="240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Substitute with</w:t>
      </w:r>
      <w:r w:rsidRPr="00D8374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B6E47" w:rsidRPr="004B6E47" w:rsidRDefault="004B6E47" w:rsidP="004B6E47">
      <w:pPr>
        <w:pStyle w:val="definition"/>
        <w:tabs>
          <w:tab w:val="left" w:pos="1134"/>
          <w:tab w:val="left" w:pos="1276"/>
        </w:tabs>
        <w:spacing w:before="60" w:after="60"/>
        <w:ind w:left="567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  <w:r w:rsidRPr="004B6E47">
        <w:rPr>
          <w:rFonts w:ascii="Times New Roman" w:hAnsi="Times New Roman" w:cs="Times New Roman"/>
          <w:bCs/>
          <w:iCs/>
          <w:sz w:val="24"/>
          <w:szCs w:val="24"/>
        </w:rPr>
        <w:t>‘</w:t>
      </w:r>
      <w:proofErr w:type="gramStart"/>
      <w:r w:rsidRPr="004B6E47">
        <w:rPr>
          <w:rFonts w:ascii="Times New Roman" w:hAnsi="Times New Roman" w:cs="Times New Roman"/>
          <w:sz w:val="24"/>
          <w:szCs w:val="24"/>
        </w:rPr>
        <w:t>rectification</w:t>
      </w:r>
      <w:proofErr w:type="gramEnd"/>
      <w:r w:rsidRPr="004B6E47">
        <w:rPr>
          <w:rFonts w:ascii="Times New Roman" w:hAnsi="Times New Roman" w:cs="Times New Roman"/>
          <w:sz w:val="24"/>
          <w:szCs w:val="24"/>
        </w:rPr>
        <w:t xml:space="preserve"> period performance standard</w:t>
      </w:r>
      <w:r w:rsidRPr="004B6E47">
        <w:rPr>
          <w:rFonts w:ascii="Times New Roman" w:hAnsi="Times New Roman" w:cs="Times New Roman"/>
          <w:bCs/>
          <w:iCs/>
          <w:sz w:val="24"/>
          <w:szCs w:val="24"/>
        </w:rPr>
        <w:t xml:space="preserve">.’ </w:t>
      </w:r>
    </w:p>
    <w:p w:rsidR="00F84521" w:rsidRDefault="00F84521" w:rsidP="00F84521">
      <w:pPr>
        <w:pStyle w:val="definition"/>
        <w:tabs>
          <w:tab w:val="left" w:pos="1134"/>
          <w:tab w:val="left" w:pos="1276"/>
        </w:tabs>
        <w:spacing w:before="60" w:after="60"/>
        <w:ind w:left="567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</w:p>
    <w:p w:rsidR="00F84521" w:rsidRDefault="00F84521" w:rsidP="00F84521">
      <w:pPr>
        <w:pStyle w:val="definition"/>
        <w:tabs>
          <w:tab w:val="left" w:pos="1134"/>
          <w:tab w:val="left" w:pos="1276"/>
        </w:tabs>
        <w:spacing w:before="60" w:after="60"/>
        <w:ind w:left="567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</w:p>
    <w:p w:rsidR="00F84521" w:rsidRPr="00F84521" w:rsidRDefault="00F84521" w:rsidP="00F84521">
      <w:pPr>
        <w:pStyle w:val="definition"/>
        <w:tabs>
          <w:tab w:val="left" w:pos="1134"/>
          <w:tab w:val="left" w:pos="1276"/>
        </w:tabs>
        <w:spacing w:before="60" w:after="60"/>
        <w:ind w:left="567"/>
        <w:jc w:val="left"/>
        <w:rPr>
          <w:rFonts w:ascii="Times New Roman" w:hAnsi="Times New Roman" w:cs="Times New Roman"/>
          <w:bCs/>
          <w:iCs/>
          <w:sz w:val="24"/>
          <w:szCs w:val="24"/>
        </w:rPr>
      </w:pPr>
    </w:p>
    <w:sectPr w:rsidR="00F84521" w:rsidRPr="00F84521" w:rsidSect="00EF459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5DE" w:rsidRDefault="004005DE" w:rsidP="00454A47">
      <w:r>
        <w:separator/>
      </w:r>
    </w:p>
  </w:endnote>
  <w:endnote w:type="continuationSeparator" w:id="0">
    <w:p w:rsidR="004005DE" w:rsidRDefault="004005DE" w:rsidP="00454A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DE" w:rsidRDefault="00270352" w:rsidP="006F7FEB">
    <w:pPr>
      <w:pStyle w:val="Footer"/>
      <w:jc w:val="center"/>
    </w:pPr>
    <w:fldSimple w:instr=" PAGE   \* MERGEFORMAT ">
      <w:r w:rsidR="00D42171">
        <w:rPr>
          <w:noProof/>
        </w:rPr>
        <w:t>3</w:t>
      </w:r>
    </w:fldSimple>
  </w:p>
  <w:p w:rsidR="004005DE" w:rsidRPr="00A41806" w:rsidRDefault="004005DE" w:rsidP="00A642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5DE" w:rsidRDefault="004005DE" w:rsidP="00454A47">
      <w:r>
        <w:separator/>
      </w:r>
    </w:p>
  </w:footnote>
  <w:footnote w:type="continuationSeparator" w:id="0">
    <w:p w:rsidR="004005DE" w:rsidRDefault="004005DE" w:rsidP="00454A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5DE" w:rsidRDefault="004005DE" w:rsidP="005A3818">
    <w:pPr>
      <w:pStyle w:val="Header"/>
      <w:jc w:val="center"/>
      <w:rPr>
        <w:i/>
      </w:rPr>
    </w:pPr>
    <w:r w:rsidRPr="00DA46B0">
      <w:rPr>
        <w:i/>
      </w:rPr>
      <w:t xml:space="preserve">Telecommunications (Customer Service Guarantee – Retail Performance Benchmarks) </w:t>
    </w:r>
    <w:proofErr w:type="gramStart"/>
    <w:r w:rsidRPr="00DA46B0">
      <w:rPr>
        <w:i/>
      </w:rPr>
      <w:t xml:space="preserve">Instrument </w:t>
    </w:r>
    <w:r w:rsidRPr="00DA46B0">
      <w:rPr>
        <w:i/>
        <w:sz w:val="24"/>
        <w:szCs w:val="24"/>
      </w:rPr>
      <w:t xml:space="preserve"> </w:t>
    </w:r>
    <w:r w:rsidRPr="00DA46B0">
      <w:rPr>
        <w:i/>
      </w:rPr>
      <w:t>(</w:t>
    </w:r>
    <w:proofErr w:type="gramEnd"/>
    <w:r w:rsidRPr="00DA46B0">
      <w:rPr>
        <w:i/>
      </w:rPr>
      <w:t>No. 1) 2011 (Amendment No 1 of 2012)</w:t>
    </w:r>
  </w:p>
  <w:p w:rsidR="004005DE" w:rsidRDefault="004005DE" w:rsidP="005A3818">
    <w:pPr>
      <w:pStyle w:val="Header"/>
      <w:jc w:val="center"/>
      <w:rPr>
        <w:i/>
      </w:rPr>
    </w:pPr>
  </w:p>
  <w:p w:rsidR="004005DE" w:rsidRPr="005A3818" w:rsidRDefault="004005DE" w:rsidP="005A3818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BA6"/>
    <w:multiLevelType w:val="hybridMultilevel"/>
    <w:tmpl w:val="B04E507A"/>
    <w:lvl w:ilvl="0" w:tplc="CD26E5DC">
      <w:start w:val="1"/>
      <w:numFmt w:val="lowerLetter"/>
      <w:lvlText w:val="(%1)"/>
      <w:lvlJc w:val="left"/>
      <w:pPr>
        <w:ind w:left="1002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126B5944"/>
    <w:multiLevelType w:val="hybridMultilevel"/>
    <w:tmpl w:val="F02C5758"/>
    <w:lvl w:ilvl="0" w:tplc="479EEA4E">
      <w:start w:val="1"/>
      <w:numFmt w:val="bullet"/>
      <w:pStyle w:val="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8734A3A"/>
    <w:multiLevelType w:val="hybridMultilevel"/>
    <w:tmpl w:val="B04E507A"/>
    <w:lvl w:ilvl="0" w:tplc="CD26E5DC">
      <w:start w:val="1"/>
      <w:numFmt w:val="lowerLetter"/>
      <w:lvlText w:val="(%1)"/>
      <w:lvlJc w:val="left"/>
      <w:pPr>
        <w:ind w:left="1002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8735EF"/>
    <w:multiLevelType w:val="hybridMultilevel"/>
    <w:tmpl w:val="F6FE2E3A"/>
    <w:lvl w:ilvl="0" w:tplc="D0AAC770">
      <w:start w:val="1"/>
      <w:numFmt w:val="bullet"/>
      <w:pStyle w:val="Listlevel2"/>
      <w:lvlText w:val="–"/>
      <w:lvlJc w:val="left"/>
      <w:pPr>
        <w:ind w:left="717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7FC03CA9"/>
    <w:multiLevelType w:val="multilevel"/>
    <w:tmpl w:val="DCD8D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15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454A47"/>
    <w:rsid w:val="00002ED6"/>
    <w:rsid w:val="00006383"/>
    <w:rsid w:val="00006B0B"/>
    <w:rsid w:val="000074FE"/>
    <w:rsid w:val="00007843"/>
    <w:rsid w:val="00012B01"/>
    <w:rsid w:val="000133E5"/>
    <w:rsid w:val="00014E6C"/>
    <w:rsid w:val="00023CAA"/>
    <w:rsid w:val="00031326"/>
    <w:rsid w:val="0003271F"/>
    <w:rsid w:val="00032A10"/>
    <w:rsid w:val="00033F34"/>
    <w:rsid w:val="00037864"/>
    <w:rsid w:val="00040850"/>
    <w:rsid w:val="00044F38"/>
    <w:rsid w:val="00046251"/>
    <w:rsid w:val="00050D97"/>
    <w:rsid w:val="00050DE5"/>
    <w:rsid w:val="00052FB3"/>
    <w:rsid w:val="00054C6E"/>
    <w:rsid w:val="00054FE0"/>
    <w:rsid w:val="00056318"/>
    <w:rsid w:val="00056AA5"/>
    <w:rsid w:val="00056AC9"/>
    <w:rsid w:val="00057A1C"/>
    <w:rsid w:val="000617F0"/>
    <w:rsid w:val="00062566"/>
    <w:rsid w:val="00063CE6"/>
    <w:rsid w:val="00064D0E"/>
    <w:rsid w:val="00065458"/>
    <w:rsid w:val="00065E21"/>
    <w:rsid w:val="00070E43"/>
    <w:rsid w:val="00074246"/>
    <w:rsid w:val="00074695"/>
    <w:rsid w:val="000759F4"/>
    <w:rsid w:val="00076C02"/>
    <w:rsid w:val="0008071A"/>
    <w:rsid w:val="00080E16"/>
    <w:rsid w:val="00080FE3"/>
    <w:rsid w:val="00087ABB"/>
    <w:rsid w:val="000922C2"/>
    <w:rsid w:val="00094457"/>
    <w:rsid w:val="000A42CE"/>
    <w:rsid w:val="000A5D03"/>
    <w:rsid w:val="000B0037"/>
    <w:rsid w:val="000B067C"/>
    <w:rsid w:val="000B210E"/>
    <w:rsid w:val="000B3370"/>
    <w:rsid w:val="000B45A0"/>
    <w:rsid w:val="000B4709"/>
    <w:rsid w:val="000B4776"/>
    <w:rsid w:val="000B7E44"/>
    <w:rsid w:val="000C0F7F"/>
    <w:rsid w:val="000C1C0B"/>
    <w:rsid w:val="000C2248"/>
    <w:rsid w:val="000C767C"/>
    <w:rsid w:val="000D08C7"/>
    <w:rsid w:val="000D3DEB"/>
    <w:rsid w:val="000D55CC"/>
    <w:rsid w:val="000D5F16"/>
    <w:rsid w:val="000D70F8"/>
    <w:rsid w:val="000E056E"/>
    <w:rsid w:val="000E47C0"/>
    <w:rsid w:val="000F1B4D"/>
    <w:rsid w:val="000F2666"/>
    <w:rsid w:val="001006A9"/>
    <w:rsid w:val="0010126D"/>
    <w:rsid w:val="00101378"/>
    <w:rsid w:val="001072D3"/>
    <w:rsid w:val="00110EAA"/>
    <w:rsid w:val="001153E4"/>
    <w:rsid w:val="0012155B"/>
    <w:rsid w:val="0012264F"/>
    <w:rsid w:val="00122A34"/>
    <w:rsid w:val="001305E8"/>
    <w:rsid w:val="001305F2"/>
    <w:rsid w:val="00130795"/>
    <w:rsid w:val="001309A6"/>
    <w:rsid w:val="00130AD0"/>
    <w:rsid w:val="00132AD6"/>
    <w:rsid w:val="0014079B"/>
    <w:rsid w:val="00150E71"/>
    <w:rsid w:val="00155A8D"/>
    <w:rsid w:val="00157D16"/>
    <w:rsid w:val="00161863"/>
    <w:rsid w:val="0016464D"/>
    <w:rsid w:val="00167D94"/>
    <w:rsid w:val="001757E0"/>
    <w:rsid w:val="0018442D"/>
    <w:rsid w:val="001918ED"/>
    <w:rsid w:val="001939CA"/>
    <w:rsid w:val="001A09B7"/>
    <w:rsid w:val="001A242D"/>
    <w:rsid w:val="001A26A1"/>
    <w:rsid w:val="001A29E7"/>
    <w:rsid w:val="001A41E3"/>
    <w:rsid w:val="001A6381"/>
    <w:rsid w:val="001A725F"/>
    <w:rsid w:val="001B5AAA"/>
    <w:rsid w:val="001B7B22"/>
    <w:rsid w:val="001C0865"/>
    <w:rsid w:val="001C42D7"/>
    <w:rsid w:val="001D4CF0"/>
    <w:rsid w:val="001D7F69"/>
    <w:rsid w:val="001E076C"/>
    <w:rsid w:val="001E26C9"/>
    <w:rsid w:val="001E4EC1"/>
    <w:rsid w:val="001E7C7B"/>
    <w:rsid w:val="001E7E01"/>
    <w:rsid w:val="001F1CF4"/>
    <w:rsid w:val="00200273"/>
    <w:rsid w:val="0020099D"/>
    <w:rsid w:val="00200A76"/>
    <w:rsid w:val="0020152E"/>
    <w:rsid w:val="002016E5"/>
    <w:rsid w:val="00202204"/>
    <w:rsid w:val="00204034"/>
    <w:rsid w:val="00211A7F"/>
    <w:rsid w:val="002218D5"/>
    <w:rsid w:val="0023093D"/>
    <w:rsid w:val="0023484D"/>
    <w:rsid w:val="00236284"/>
    <w:rsid w:val="00240C80"/>
    <w:rsid w:val="0024466C"/>
    <w:rsid w:val="00255AC2"/>
    <w:rsid w:val="00255D33"/>
    <w:rsid w:val="00256C0D"/>
    <w:rsid w:val="00256FF5"/>
    <w:rsid w:val="0026458B"/>
    <w:rsid w:val="00264CB3"/>
    <w:rsid w:val="00265536"/>
    <w:rsid w:val="00270352"/>
    <w:rsid w:val="00275B3B"/>
    <w:rsid w:val="00285811"/>
    <w:rsid w:val="00287DEC"/>
    <w:rsid w:val="00290B05"/>
    <w:rsid w:val="002933DA"/>
    <w:rsid w:val="002A32BF"/>
    <w:rsid w:val="002A6721"/>
    <w:rsid w:val="002B44B8"/>
    <w:rsid w:val="002B4620"/>
    <w:rsid w:val="002B6995"/>
    <w:rsid w:val="002C00F6"/>
    <w:rsid w:val="002C3928"/>
    <w:rsid w:val="002C5951"/>
    <w:rsid w:val="002D32AC"/>
    <w:rsid w:val="002D35D1"/>
    <w:rsid w:val="002D417A"/>
    <w:rsid w:val="002D51F0"/>
    <w:rsid w:val="002E10AC"/>
    <w:rsid w:val="002E4DC9"/>
    <w:rsid w:val="002E6103"/>
    <w:rsid w:val="002F06DE"/>
    <w:rsid w:val="002F0CDE"/>
    <w:rsid w:val="002F4FB7"/>
    <w:rsid w:val="002F58D3"/>
    <w:rsid w:val="0030302E"/>
    <w:rsid w:val="00313494"/>
    <w:rsid w:val="00320143"/>
    <w:rsid w:val="00323A88"/>
    <w:rsid w:val="00330854"/>
    <w:rsid w:val="003314B4"/>
    <w:rsid w:val="0033246F"/>
    <w:rsid w:val="00340608"/>
    <w:rsid w:val="0034551A"/>
    <w:rsid w:val="0034613C"/>
    <w:rsid w:val="00347CF0"/>
    <w:rsid w:val="00352CD4"/>
    <w:rsid w:val="00357DC5"/>
    <w:rsid w:val="00364439"/>
    <w:rsid w:val="00377E75"/>
    <w:rsid w:val="00380383"/>
    <w:rsid w:val="00392065"/>
    <w:rsid w:val="00396DAF"/>
    <w:rsid w:val="003973E4"/>
    <w:rsid w:val="003A27B4"/>
    <w:rsid w:val="003A29FA"/>
    <w:rsid w:val="003A39B5"/>
    <w:rsid w:val="003A5891"/>
    <w:rsid w:val="003A5944"/>
    <w:rsid w:val="003A75D7"/>
    <w:rsid w:val="003B4BC6"/>
    <w:rsid w:val="003B6D93"/>
    <w:rsid w:val="003C1785"/>
    <w:rsid w:val="003C4C4C"/>
    <w:rsid w:val="003C54BC"/>
    <w:rsid w:val="003C5775"/>
    <w:rsid w:val="003C716A"/>
    <w:rsid w:val="003D220C"/>
    <w:rsid w:val="003D2A5F"/>
    <w:rsid w:val="003D73F8"/>
    <w:rsid w:val="003E0065"/>
    <w:rsid w:val="003E27C7"/>
    <w:rsid w:val="003E550E"/>
    <w:rsid w:val="003F2918"/>
    <w:rsid w:val="003F3F01"/>
    <w:rsid w:val="003F63F7"/>
    <w:rsid w:val="004005DE"/>
    <w:rsid w:val="004028D1"/>
    <w:rsid w:val="0040459D"/>
    <w:rsid w:val="004136E7"/>
    <w:rsid w:val="0042630F"/>
    <w:rsid w:val="004267B0"/>
    <w:rsid w:val="00441BF2"/>
    <w:rsid w:val="00442A16"/>
    <w:rsid w:val="004433D8"/>
    <w:rsid w:val="00444E57"/>
    <w:rsid w:val="00447487"/>
    <w:rsid w:val="00454A47"/>
    <w:rsid w:val="00457723"/>
    <w:rsid w:val="004641C5"/>
    <w:rsid w:val="0046657C"/>
    <w:rsid w:val="004675CE"/>
    <w:rsid w:val="004675F0"/>
    <w:rsid w:val="00472D15"/>
    <w:rsid w:val="00473C39"/>
    <w:rsid w:val="00475E2F"/>
    <w:rsid w:val="00482370"/>
    <w:rsid w:val="004825EF"/>
    <w:rsid w:val="00483AB0"/>
    <w:rsid w:val="004903A3"/>
    <w:rsid w:val="00497B13"/>
    <w:rsid w:val="004A4D26"/>
    <w:rsid w:val="004B1134"/>
    <w:rsid w:val="004B6E47"/>
    <w:rsid w:val="004C23EC"/>
    <w:rsid w:val="004C30EB"/>
    <w:rsid w:val="004C76B8"/>
    <w:rsid w:val="004D04AB"/>
    <w:rsid w:val="004E1CCC"/>
    <w:rsid w:val="004E1D9D"/>
    <w:rsid w:val="004E2C58"/>
    <w:rsid w:val="004E35FB"/>
    <w:rsid w:val="004E38BB"/>
    <w:rsid w:val="004E3AFE"/>
    <w:rsid w:val="004E6024"/>
    <w:rsid w:val="004F156C"/>
    <w:rsid w:val="00501B98"/>
    <w:rsid w:val="0050406A"/>
    <w:rsid w:val="005065B0"/>
    <w:rsid w:val="00511423"/>
    <w:rsid w:val="00512EAE"/>
    <w:rsid w:val="00515EAA"/>
    <w:rsid w:val="005221CC"/>
    <w:rsid w:val="005246D4"/>
    <w:rsid w:val="0054077D"/>
    <w:rsid w:val="00541E65"/>
    <w:rsid w:val="00542EB1"/>
    <w:rsid w:val="00544F74"/>
    <w:rsid w:val="0055016D"/>
    <w:rsid w:val="00556EB9"/>
    <w:rsid w:val="0056123B"/>
    <w:rsid w:val="005968DD"/>
    <w:rsid w:val="005A088F"/>
    <w:rsid w:val="005A2174"/>
    <w:rsid w:val="005A2D73"/>
    <w:rsid w:val="005A3818"/>
    <w:rsid w:val="005A3F8C"/>
    <w:rsid w:val="005B5053"/>
    <w:rsid w:val="005B7F4A"/>
    <w:rsid w:val="005C6233"/>
    <w:rsid w:val="005D1CB8"/>
    <w:rsid w:val="005D4749"/>
    <w:rsid w:val="005D4998"/>
    <w:rsid w:val="005D774B"/>
    <w:rsid w:val="005E0218"/>
    <w:rsid w:val="005E264A"/>
    <w:rsid w:val="005E3B56"/>
    <w:rsid w:val="005E44CC"/>
    <w:rsid w:val="005E6ECA"/>
    <w:rsid w:val="006010C5"/>
    <w:rsid w:val="00602308"/>
    <w:rsid w:val="00604DB3"/>
    <w:rsid w:val="00606AA1"/>
    <w:rsid w:val="00612C3A"/>
    <w:rsid w:val="00613440"/>
    <w:rsid w:val="006147D1"/>
    <w:rsid w:val="00616276"/>
    <w:rsid w:val="00620447"/>
    <w:rsid w:val="006319DC"/>
    <w:rsid w:val="00634FB5"/>
    <w:rsid w:val="00650272"/>
    <w:rsid w:val="00654F3E"/>
    <w:rsid w:val="006604DC"/>
    <w:rsid w:val="006626FE"/>
    <w:rsid w:val="00663619"/>
    <w:rsid w:val="0066449E"/>
    <w:rsid w:val="00664C9E"/>
    <w:rsid w:val="006659FA"/>
    <w:rsid w:val="00665ECB"/>
    <w:rsid w:val="006705FE"/>
    <w:rsid w:val="00670C44"/>
    <w:rsid w:val="00670DD6"/>
    <w:rsid w:val="00670E19"/>
    <w:rsid w:val="006728FA"/>
    <w:rsid w:val="00682704"/>
    <w:rsid w:val="006915A8"/>
    <w:rsid w:val="00693439"/>
    <w:rsid w:val="00694724"/>
    <w:rsid w:val="00696830"/>
    <w:rsid w:val="006B0041"/>
    <w:rsid w:val="006B30A2"/>
    <w:rsid w:val="006B629C"/>
    <w:rsid w:val="006B7A55"/>
    <w:rsid w:val="006C3B26"/>
    <w:rsid w:val="006C6A02"/>
    <w:rsid w:val="006D05FC"/>
    <w:rsid w:val="006D50B8"/>
    <w:rsid w:val="006D60CE"/>
    <w:rsid w:val="006D7343"/>
    <w:rsid w:val="006D7434"/>
    <w:rsid w:val="006E0E79"/>
    <w:rsid w:val="006E1977"/>
    <w:rsid w:val="006E198D"/>
    <w:rsid w:val="006E3079"/>
    <w:rsid w:val="006F101F"/>
    <w:rsid w:val="006F12D7"/>
    <w:rsid w:val="006F1517"/>
    <w:rsid w:val="006F383C"/>
    <w:rsid w:val="006F7FEB"/>
    <w:rsid w:val="00701360"/>
    <w:rsid w:val="00706DA3"/>
    <w:rsid w:val="00711B3B"/>
    <w:rsid w:val="00712727"/>
    <w:rsid w:val="0071453A"/>
    <w:rsid w:val="00714846"/>
    <w:rsid w:val="0071573D"/>
    <w:rsid w:val="00722DB1"/>
    <w:rsid w:val="00725605"/>
    <w:rsid w:val="0073072B"/>
    <w:rsid w:val="0073205A"/>
    <w:rsid w:val="00732DCF"/>
    <w:rsid w:val="00735658"/>
    <w:rsid w:val="00742460"/>
    <w:rsid w:val="00751AC8"/>
    <w:rsid w:val="007538CF"/>
    <w:rsid w:val="007631E3"/>
    <w:rsid w:val="00766018"/>
    <w:rsid w:val="00766DD0"/>
    <w:rsid w:val="00767A78"/>
    <w:rsid w:val="00770284"/>
    <w:rsid w:val="00773D9B"/>
    <w:rsid w:val="00786807"/>
    <w:rsid w:val="00793187"/>
    <w:rsid w:val="00793D6A"/>
    <w:rsid w:val="00793F3C"/>
    <w:rsid w:val="0079405C"/>
    <w:rsid w:val="0079429C"/>
    <w:rsid w:val="00795B74"/>
    <w:rsid w:val="00796A25"/>
    <w:rsid w:val="00797EBE"/>
    <w:rsid w:val="007A2C46"/>
    <w:rsid w:val="007A3215"/>
    <w:rsid w:val="007B1F9C"/>
    <w:rsid w:val="007C05E8"/>
    <w:rsid w:val="007C06D7"/>
    <w:rsid w:val="007D14B7"/>
    <w:rsid w:val="007E0B65"/>
    <w:rsid w:val="007E11F7"/>
    <w:rsid w:val="007E4037"/>
    <w:rsid w:val="007E5DC2"/>
    <w:rsid w:val="007F1135"/>
    <w:rsid w:val="007F363B"/>
    <w:rsid w:val="007F3979"/>
    <w:rsid w:val="007F6065"/>
    <w:rsid w:val="007F6730"/>
    <w:rsid w:val="007F731B"/>
    <w:rsid w:val="00801EE6"/>
    <w:rsid w:val="008037B5"/>
    <w:rsid w:val="008041E1"/>
    <w:rsid w:val="008062B3"/>
    <w:rsid w:val="00807B67"/>
    <w:rsid w:val="00814FF2"/>
    <w:rsid w:val="008166F3"/>
    <w:rsid w:val="00816BC2"/>
    <w:rsid w:val="00817921"/>
    <w:rsid w:val="00821D3B"/>
    <w:rsid w:val="0082279E"/>
    <w:rsid w:val="008264DB"/>
    <w:rsid w:val="008268DC"/>
    <w:rsid w:val="00833336"/>
    <w:rsid w:val="00836890"/>
    <w:rsid w:val="008428D9"/>
    <w:rsid w:val="00845A80"/>
    <w:rsid w:val="00845B98"/>
    <w:rsid w:val="00857312"/>
    <w:rsid w:val="00860053"/>
    <w:rsid w:val="0086167F"/>
    <w:rsid w:val="008620FA"/>
    <w:rsid w:val="00863C0B"/>
    <w:rsid w:val="00864BDC"/>
    <w:rsid w:val="0087173C"/>
    <w:rsid w:val="008730C1"/>
    <w:rsid w:val="0089118B"/>
    <w:rsid w:val="00892283"/>
    <w:rsid w:val="008A0F6E"/>
    <w:rsid w:val="008A3AC3"/>
    <w:rsid w:val="008A4122"/>
    <w:rsid w:val="008A730C"/>
    <w:rsid w:val="008C0908"/>
    <w:rsid w:val="008C0CAE"/>
    <w:rsid w:val="008C33E4"/>
    <w:rsid w:val="008C7858"/>
    <w:rsid w:val="008E136F"/>
    <w:rsid w:val="008E3094"/>
    <w:rsid w:val="008E355A"/>
    <w:rsid w:val="008F1112"/>
    <w:rsid w:val="008F3333"/>
    <w:rsid w:val="008F5651"/>
    <w:rsid w:val="008F63E8"/>
    <w:rsid w:val="0090246B"/>
    <w:rsid w:val="00911C0E"/>
    <w:rsid w:val="009155FE"/>
    <w:rsid w:val="00920387"/>
    <w:rsid w:val="009214DD"/>
    <w:rsid w:val="00924307"/>
    <w:rsid w:val="00924F44"/>
    <w:rsid w:val="00933D13"/>
    <w:rsid w:val="009351CE"/>
    <w:rsid w:val="00940A5E"/>
    <w:rsid w:val="009512CD"/>
    <w:rsid w:val="009526B4"/>
    <w:rsid w:val="00966738"/>
    <w:rsid w:val="009764BB"/>
    <w:rsid w:val="00976D3D"/>
    <w:rsid w:val="00980199"/>
    <w:rsid w:val="0098243F"/>
    <w:rsid w:val="00982D9A"/>
    <w:rsid w:val="00986B23"/>
    <w:rsid w:val="00991432"/>
    <w:rsid w:val="00991BA7"/>
    <w:rsid w:val="009A5487"/>
    <w:rsid w:val="009C24D4"/>
    <w:rsid w:val="009C2F25"/>
    <w:rsid w:val="009D50C9"/>
    <w:rsid w:val="009D6325"/>
    <w:rsid w:val="009E2465"/>
    <w:rsid w:val="009E3860"/>
    <w:rsid w:val="00A032EB"/>
    <w:rsid w:val="00A07E97"/>
    <w:rsid w:val="00A12459"/>
    <w:rsid w:val="00A1311A"/>
    <w:rsid w:val="00A16511"/>
    <w:rsid w:val="00A23B67"/>
    <w:rsid w:val="00A30C36"/>
    <w:rsid w:val="00A30C9A"/>
    <w:rsid w:val="00A31B87"/>
    <w:rsid w:val="00A33960"/>
    <w:rsid w:val="00A37A29"/>
    <w:rsid w:val="00A41438"/>
    <w:rsid w:val="00A41806"/>
    <w:rsid w:val="00A42916"/>
    <w:rsid w:val="00A53186"/>
    <w:rsid w:val="00A53EEE"/>
    <w:rsid w:val="00A602A3"/>
    <w:rsid w:val="00A64254"/>
    <w:rsid w:val="00A6595E"/>
    <w:rsid w:val="00A750CA"/>
    <w:rsid w:val="00A77CD8"/>
    <w:rsid w:val="00A81AFF"/>
    <w:rsid w:val="00A869C0"/>
    <w:rsid w:val="00A933F1"/>
    <w:rsid w:val="00A935CB"/>
    <w:rsid w:val="00A9468C"/>
    <w:rsid w:val="00AA0687"/>
    <w:rsid w:val="00AA1342"/>
    <w:rsid w:val="00AA15F1"/>
    <w:rsid w:val="00AA2526"/>
    <w:rsid w:val="00AA354B"/>
    <w:rsid w:val="00AB0EEF"/>
    <w:rsid w:val="00AB39FB"/>
    <w:rsid w:val="00AB5F98"/>
    <w:rsid w:val="00AB7792"/>
    <w:rsid w:val="00AB7D8C"/>
    <w:rsid w:val="00AC14EA"/>
    <w:rsid w:val="00AC2E83"/>
    <w:rsid w:val="00AD5DD7"/>
    <w:rsid w:val="00AE77BE"/>
    <w:rsid w:val="00AF10DD"/>
    <w:rsid w:val="00AF7706"/>
    <w:rsid w:val="00B110F3"/>
    <w:rsid w:val="00B1269F"/>
    <w:rsid w:val="00B15F8F"/>
    <w:rsid w:val="00B21F47"/>
    <w:rsid w:val="00B22FB1"/>
    <w:rsid w:val="00B379E3"/>
    <w:rsid w:val="00B408D5"/>
    <w:rsid w:val="00B432C1"/>
    <w:rsid w:val="00B438C8"/>
    <w:rsid w:val="00B43DD2"/>
    <w:rsid w:val="00B4438A"/>
    <w:rsid w:val="00B4451E"/>
    <w:rsid w:val="00B447F4"/>
    <w:rsid w:val="00B51263"/>
    <w:rsid w:val="00B51C84"/>
    <w:rsid w:val="00B52ACB"/>
    <w:rsid w:val="00B536F5"/>
    <w:rsid w:val="00B54B7E"/>
    <w:rsid w:val="00B647C1"/>
    <w:rsid w:val="00B6575F"/>
    <w:rsid w:val="00B70C05"/>
    <w:rsid w:val="00B80149"/>
    <w:rsid w:val="00B83198"/>
    <w:rsid w:val="00B84847"/>
    <w:rsid w:val="00B869A3"/>
    <w:rsid w:val="00B93CE7"/>
    <w:rsid w:val="00B9645C"/>
    <w:rsid w:val="00BA1CCB"/>
    <w:rsid w:val="00BA3AFA"/>
    <w:rsid w:val="00BA4E85"/>
    <w:rsid w:val="00BB4F59"/>
    <w:rsid w:val="00BB69A5"/>
    <w:rsid w:val="00BC4542"/>
    <w:rsid w:val="00BD0382"/>
    <w:rsid w:val="00BE4D44"/>
    <w:rsid w:val="00BE5CB3"/>
    <w:rsid w:val="00BE5EAD"/>
    <w:rsid w:val="00BE72EB"/>
    <w:rsid w:val="00BF0043"/>
    <w:rsid w:val="00BF1D5E"/>
    <w:rsid w:val="00BF7B70"/>
    <w:rsid w:val="00C031E4"/>
    <w:rsid w:val="00C079A0"/>
    <w:rsid w:val="00C11382"/>
    <w:rsid w:val="00C155AC"/>
    <w:rsid w:val="00C17EF1"/>
    <w:rsid w:val="00C206B6"/>
    <w:rsid w:val="00C20921"/>
    <w:rsid w:val="00C270ED"/>
    <w:rsid w:val="00C31311"/>
    <w:rsid w:val="00C33C23"/>
    <w:rsid w:val="00C34913"/>
    <w:rsid w:val="00C35AA3"/>
    <w:rsid w:val="00C36FFC"/>
    <w:rsid w:val="00C41F10"/>
    <w:rsid w:val="00C5283D"/>
    <w:rsid w:val="00C561B5"/>
    <w:rsid w:val="00C64B77"/>
    <w:rsid w:val="00C70D51"/>
    <w:rsid w:val="00C72CA4"/>
    <w:rsid w:val="00C73A01"/>
    <w:rsid w:val="00C73D55"/>
    <w:rsid w:val="00C74468"/>
    <w:rsid w:val="00C778A1"/>
    <w:rsid w:val="00C9051C"/>
    <w:rsid w:val="00C91F49"/>
    <w:rsid w:val="00C9796E"/>
    <w:rsid w:val="00CA0679"/>
    <w:rsid w:val="00CA50C6"/>
    <w:rsid w:val="00CA66F0"/>
    <w:rsid w:val="00CB060B"/>
    <w:rsid w:val="00CB191B"/>
    <w:rsid w:val="00CB2F62"/>
    <w:rsid w:val="00CB3EF7"/>
    <w:rsid w:val="00CB4022"/>
    <w:rsid w:val="00CC0187"/>
    <w:rsid w:val="00CC3A57"/>
    <w:rsid w:val="00CC3FF5"/>
    <w:rsid w:val="00CD3938"/>
    <w:rsid w:val="00CD44B2"/>
    <w:rsid w:val="00CD490C"/>
    <w:rsid w:val="00CE0AE9"/>
    <w:rsid w:val="00CE457F"/>
    <w:rsid w:val="00CF08F3"/>
    <w:rsid w:val="00CF36E1"/>
    <w:rsid w:val="00CF57EB"/>
    <w:rsid w:val="00CF6AF9"/>
    <w:rsid w:val="00CF78E5"/>
    <w:rsid w:val="00D0123C"/>
    <w:rsid w:val="00D0269E"/>
    <w:rsid w:val="00D12658"/>
    <w:rsid w:val="00D20C4E"/>
    <w:rsid w:val="00D2296C"/>
    <w:rsid w:val="00D2362A"/>
    <w:rsid w:val="00D257F3"/>
    <w:rsid w:val="00D3209C"/>
    <w:rsid w:val="00D324A1"/>
    <w:rsid w:val="00D328DD"/>
    <w:rsid w:val="00D33F9F"/>
    <w:rsid w:val="00D3569A"/>
    <w:rsid w:val="00D42171"/>
    <w:rsid w:val="00D505D2"/>
    <w:rsid w:val="00D542A6"/>
    <w:rsid w:val="00D570BC"/>
    <w:rsid w:val="00D63F2C"/>
    <w:rsid w:val="00D64E58"/>
    <w:rsid w:val="00D8236E"/>
    <w:rsid w:val="00D83744"/>
    <w:rsid w:val="00D907CE"/>
    <w:rsid w:val="00D921F4"/>
    <w:rsid w:val="00D934B5"/>
    <w:rsid w:val="00D93847"/>
    <w:rsid w:val="00D9585A"/>
    <w:rsid w:val="00D95D5E"/>
    <w:rsid w:val="00D97A37"/>
    <w:rsid w:val="00DA37DA"/>
    <w:rsid w:val="00DA46B0"/>
    <w:rsid w:val="00DB7232"/>
    <w:rsid w:val="00DD00B5"/>
    <w:rsid w:val="00DD0614"/>
    <w:rsid w:val="00DD2D01"/>
    <w:rsid w:val="00DE09C9"/>
    <w:rsid w:val="00DE164F"/>
    <w:rsid w:val="00DE26EF"/>
    <w:rsid w:val="00DE54F0"/>
    <w:rsid w:val="00DE7212"/>
    <w:rsid w:val="00DF0574"/>
    <w:rsid w:val="00DF0810"/>
    <w:rsid w:val="00DF25E5"/>
    <w:rsid w:val="00DF5B20"/>
    <w:rsid w:val="00DF6439"/>
    <w:rsid w:val="00E135E3"/>
    <w:rsid w:val="00E16460"/>
    <w:rsid w:val="00E21A5C"/>
    <w:rsid w:val="00E22161"/>
    <w:rsid w:val="00E23EEC"/>
    <w:rsid w:val="00E24A1E"/>
    <w:rsid w:val="00E3227B"/>
    <w:rsid w:val="00E3570B"/>
    <w:rsid w:val="00E36183"/>
    <w:rsid w:val="00E422B2"/>
    <w:rsid w:val="00E424BF"/>
    <w:rsid w:val="00E442C9"/>
    <w:rsid w:val="00E44A66"/>
    <w:rsid w:val="00E46252"/>
    <w:rsid w:val="00E47070"/>
    <w:rsid w:val="00E5022B"/>
    <w:rsid w:val="00E5749A"/>
    <w:rsid w:val="00E60B62"/>
    <w:rsid w:val="00E6519B"/>
    <w:rsid w:val="00E66008"/>
    <w:rsid w:val="00E66804"/>
    <w:rsid w:val="00E70C66"/>
    <w:rsid w:val="00E70CED"/>
    <w:rsid w:val="00E730D9"/>
    <w:rsid w:val="00E7362B"/>
    <w:rsid w:val="00E755D9"/>
    <w:rsid w:val="00E80054"/>
    <w:rsid w:val="00E8084D"/>
    <w:rsid w:val="00E86987"/>
    <w:rsid w:val="00E87699"/>
    <w:rsid w:val="00E913E5"/>
    <w:rsid w:val="00E958D8"/>
    <w:rsid w:val="00E95FA0"/>
    <w:rsid w:val="00E96887"/>
    <w:rsid w:val="00E9720C"/>
    <w:rsid w:val="00EA6437"/>
    <w:rsid w:val="00EA674F"/>
    <w:rsid w:val="00EB3A75"/>
    <w:rsid w:val="00EB7D71"/>
    <w:rsid w:val="00EC004E"/>
    <w:rsid w:val="00EC1D49"/>
    <w:rsid w:val="00ED3B8F"/>
    <w:rsid w:val="00EE20BE"/>
    <w:rsid w:val="00EE3710"/>
    <w:rsid w:val="00EF0254"/>
    <w:rsid w:val="00EF1D1D"/>
    <w:rsid w:val="00EF2F9D"/>
    <w:rsid w:val="00EF4596"/>
    <w:rsid w:val="00EF5670"/>
    <w:rsid w:val="00EF7B2D"/>
    <w:rsid w:val="00F01510"/>
    <w:rsid w:val="00F03BF8"/>
    <w:rsid w:val="00F03F0E"/>
    <w:rsid w:val="00F04F9E"/>
    <w:rsid w:val="00F11144"/>
    <w:rsid w:val="00F12B84"/>
    <w:rsid w:val="00F143F3"/>
    <w:rsid w:val="00F147FF"/>
    <w:rsid w:val="00F14BBE"/>
    <w:rsid w:val="00F20A1A"/>
    <w:rsid w:val="00F26907"/>
    <w:rsid w:val="00F306DB"/>
    <w:rsid w:val="00F318C3"/>
    <w:rsid w:val="00F36033"/>
    <w:rsid w:val="00F465B2"/>
    <w:rsid w:val="00F47AD4"/>
    <w:rsid w:val="00F532EA"/>
    <w:rsid w:val="00F62814"/>
    <w:rsid w:val="00F66B8C"/>
    <w:rsid w:val="00F72DE5"/>
    <w:rsid w:val="00F824AF"/>
    <w:rsid w:val="00F82DBF"/>
    <w:rsid w:val="00F84521"/>
    <w:rsid w:val="00F86E9F"/>
    <w:rsid w:val="00F91F48"/>
    <w:rsid w:val="00F92918"/>
    <w:rsid w:val="00F9388C"/>
    <w:rsid w:val="00F95873"/>
    <w:rsid w:val="00F95F95"/>
    <w:rsid w:val="00FA17E0"/>
    <w:rsid w:val="00FB3B42"/>
    <w:rsid w:val="00FB73AE"/>
    <w:rsid w:val="00FC178D"/>
    <w:rsid w:val="00FC264A"/>
    <w:rsid w:val="00FC4425"/>
    <w:rsid w:val="00FC68BF"/>
    <w:rsid w:val="00FC6B56"/>
    <w:rsid w:val="00FC73BB"/>
    <w:rsid w:val="00FD1B23"/>
    <w:rsid w:val="00FD2F85"/>
    <w:rsid w:val="00FD336A"/>
    <w:rsid w:val="00FD70EB"/>
    <w:rsid w:val="00FE262A"/>
    <w:rsid w:val="00FE3110"/>
    <w:rsid w:val="00FE6159"/>
    <w:rsid w:val="00FE6DC5"/>
    <w:rsid w:val="00FF1EC3"/>
    <w:rsid w:val="00FF2D78"/>
    <w:rsid w:val="00FF3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Outline List 2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3"/>
      <w:szCs w:val="23"/>
      <w:lang w:eastAsia="en-AU"/>
    </w:rPr>
  </w:style>
  <w:style w:type="paragraph" w:styleId="Heading1">
    <w:name w:val="heading 1"/>
    <w:basedOn w:val="Default"/>
    <w:next w:val="Normal"/>
    <w:link w:val="Heading1Char"/>
    <w:uiPriority w:val="9"/>
    <w:qFormat/>
    <w:rsid w:val="00454A47"/>
    <w:pPr>
      <w:jc w:val="center"/>
      <w:outlineLvl w:val="0"/>
    </w:pPr>
    <w:rPr>
      <w:rFonts w:ascii="Arial" w:hAnsi="Arial" w:cs="Arial"/>
      <w:b/>
      <w:bCs/>
      <w:sz w:val="25"/>
      <w:szCs w:val="25"/>
    </w:rPr>
  </w:style>
  <w:style w:type="paragraph" w:styleId="Heading2">
    <w:name w:val="heading 2"/>
    <w:basedOn w:val="Default"/>
    <w:next w:val="Normal"/>
    <w:link w:val="Heading2Char"/>
    <w:uiPriority w:val="9"/>
    <w:unhideWhenUsed/>
    <w:qFormat/>
    <w:rsid w:val="00454A47"/>
    <w:pPr>
      <w:outlineLvl w:val="1"/>
    </w:pPr>
    <w:rPr>
      <w:rFonts w:ascii="Arial" w:hAnsi="Arial" w:cs="Arial"/>
      <w:b/>
      <w:sz w:val="25"/>
      <w:szCs w:val="25"/>
    </w:rPr>
  </w:style>
  <w:style w:type="paragraph" w:styleId="Heading3">
    <w:name w:val="heading 3"/>
    <w:basedOn w:val="Default"/>
    <w:next w:val="Normal"/>
    <w:link w:val="Heading3Char"/>
    <w:uiPriority w:val="9"/>
    <w:qFormat/>
    <w:rsid w:val="00454A47"/>
    <w:pPr>
      <w:outlineLvl w:val="2"/>
    </w:pPr>
    <w:rPr>
      <w:i/>
      <w:sz w:val="23"/>
      <w:szCs w:val="2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4D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Default"/>
    <w:next w:val="Normal"/>
    <w:link w:val="Heading5Char"/>
    <w:uiPriority w:val="9"/>
    <w:unhideWhenUsed/>
    <w:qFormat/>
    <w:rsid w:val="00454A47"/>
    <w:pPr>
      <w:jc w:val="center"/>
      <w:outlineLvl w:val="4"/>
    </w:pPr>
    <w:rPr>
      <w:sz w:val="23"/>
      <w:szCs w:val="2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D9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54A47"/>
    <w:rPr>
      <w:rFonts w:ascii="Arial" w:hAnsi="Arial" w:cs="Arial"/>
      <w:b/>
      <w:bCs/>
      <w:color w:val="000000"/>
      <w:sz w:val="25"/>
      <w:szCs w:val="25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454A47"/>
    <w:rPr>
      <w:rFonts w:ascii="Arial" w:hAnsi="Arial" w:cs="Arial"/>
      <w:b/>
      <w:color w:val="000000"/>
      <w:sz w:val="25"/>
      <w:szCs w:val="25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454A47"/>
    <w:rPr>
      <w:rFonts w:ascii="Times New Roman" w:hAnsi="Times New Roman" w:cs="Times New Roman"/>
      <w:i/>
      <w:color w:val="000000"/>
      <w:sz w:val="23"/>
      <w:szCs w:val="23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604DB3"/>
    <w:rPr>
      <w:rFonts w:asciiTheme="majorHAnsi" w:eastAsiaTheme="majorEastAsia" w:hAnsiTheme="majorHAnsi" w:cstheme="majorBidi"/>
      <w:b/>
      <w:bCs/>
      <w:i/>
      <w:iCs/>
      <w:color w:val="4F81BD" w:themeColor="accent1"/>
      <w:sz w:val="23"/>
      <w:szCs w:val="23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454A47"/>
    <w:rPr>
      <w:rFonts w:ascii="Times New Roman" w:hAnsi="Times New Roman" w:cs="Times New Roman"/>
      <w:color w:val="000000"/>
      <w:sz w:val="23"/>
      <w:szCs w:val="23"/>
      <w:lang w:eastAsia="en-AU"/>
    </w:rPr>
  </w:style>
  <w:style w:type="paragraph" w:customStyle="1" w:styleId="Default">
    <w:name w:val="Default"/>
    <w:link w:val="DefaultChar"/>
    <w:rsid w:val="00454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454A4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454A4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54A47"/>
    <w:rPr>
      <w:rFonts w:ascii="Times New Roman" w:hAnsi="Times New Roman" w:cs="Times New Roman"/>
      <w:color w:val="000000"/>
      <w:sz w:val="23"/>
      <w:szCs w:val="23"/>
      <w:lang w:eastAsia="en-AU"/>
    </w:rPr>
  </w:style>
  <w:style w:type="character" w:styleId="FootnoteReference">
    <w:name w:val="footnote reference"/>
    <w:basedOn w:val="DefaultParagraphFont"/>
    <w:uiPriority w:val="99"/>
    <w:rsid w:val="00454A47"/>
    <w:rPr>
      <w:rFonts w:cs="Times New Roman"/>
      <w:vertAlign w:val="superscript"/>
    </w:rPr>
  </w:style>
  <w:style w:type="paragraph" w:styleId="List">
    <w:name w:val="List"/>
    <w:basedOn w:val="Default"/>
    <w:link w:val="ListChar"/>
    <w:uiPriority w:val="99"/>
    <w:rsid w:val="00454A47"/>
    <w:pPr>
      <w:numPr>
        <w:numId w:val="1"/>
      </w:numPr>
    </w:pPr>
    <w:rPr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4A47"/>
    <w:rPr>
      <w:rFonts w:ascii="Tahoma" w:hAnsi="Tahoma" w:cs="Tahoma"/>
      <w:color w:val="000000"/>
      <w:sz w:val="16"/>
      <w:szCs w:val="16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54A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4A47"/>
    <w:rPr>
      <w:rFonts w:ascii="Times New Roman" w:hAnsi="Times New Roman" w:cs="Times New Roman"/>
      <w:color w:val="000000"/>
      <w:sz w:val="23"/>
      <w:szCs w:val="23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54A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54A47"/>
    <w:rPr>
      <w:rFonts w:ascii="Times New Roman" w:hAnsi="Times New Roman" w:cs="Times New Roman"/>
      <w:color w:val="000000"/>
      <w:sz w:val="23"/>
      <w:szCs w:val="23"/>
      <w:lang w:eastAsia="en-AU"/>
    </w:rPr>
  </w:style>
  <w:style w:type="paragraph" w:customStyle="1" w:styleId="HR">
    <w:name w:val="HR"/>
    <w:aliases w:val="Regulation Heading"/>
    <w:basedOn w:val="Normal"/>
    <w:next w:val="R1"/>
    <w:uiPriority w:val="99"/>
    <w:rsid w:val="00A64254"/>
    <w:pPr>
      <w:keepNext/>
      <w:adjustRightInd/>
      <w:spacing w:before="480" w:line="240" w:lineRule="atLeast"/>
      <w:ind w:left="851" w:hanging="851"/>
      <w:jc w:val="both"/>
    </w:pPr>
    <w:rPr>
      <w:rFonts w:ascii="Times" w:hAnsi="Times" w:cs="Times"/>
      <w:b/>
      <w:bCs/>
      <w:color w:val="auto"/>
      <w:sz w:val="26"/>
      <w:szCs w:val="26"/>
    </w:rPr>
  </w:style>
  <w:style w:type="paragraph" w:customStyle="1" w:styleId="R1">
    <w:name w:val="R1"/>
    <w:aliases w:val="1. or 1.(1)"/>
    <w:basedOn w:val="Normal"/>
    <w:next w:val="Normal"/>
    <w:rsid w:val="00A64254"/>
    <w:pPr>
      <w:tabs>
        <w:tab w:val="right" w:pos="1134"/>
      </w:tabs>
      <w:adjustRightInd/>
      <w:spacing w:before="240"/>
      <w:ind w:left="851"/>
      <w:jc w:val="both"/>
    </w:pPr>
    <w:rPr>
      <w:rFonts w:ascii="Times" w:hAnsi="Times" w:cs="Times"/>
      <w:color w:val="auto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A64254"/>
    <w:pPr>
      <w:adjustRightInd/>
      <w:spacing w:before="480"/>
      <w:jc w:val="center"/>
    </w:pPr>
    <w:rPr>
      <w:rFonts w:ascii="Times" w:hAnsi="Times" w:cs="Times"/>
      <w:b/>
      <w:bCs/>
      <w:color w:val="auto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locked/>
    <w:rsid w:val="00A64254"/>
    <w:rPr>
      <w:rFonts w:ascii="Times" w:hAnsi="Times" w:cs="Times"/>
      <w:b/>
      <w:bCs/>
      <w:sz w:val="36"/>
      <w:szCs w:val="36"/>
      <w:lang w:eastAsia="en-AU"/>
    </w:rPr>
  </w:style>
  <w:style w:type="paragraph" w:customStyle="1" w:styleId="citation">
    <w:name w:val="citation"/>
    <w:basedOn w:val="Normal"/>
    <w:rsid w:val="00A64254"/>
    <w:pPr>
      <w:adjustRightInd/>
      <w:spacing w:before="240" w:line="300" w:lineRule="atLeast"/>
      <w:jc w:val="center"/>
    </w:pPr>
    <w:rPr>
      <w:rFonts w:ascii="Times" w:hAnsi="Times" w:cs="Times"/>
      <w:i/>
      <w:iCs/>
      <w:color w:val="auto"/>
      <w:sz w:val="26"/>
      <w:szCs w:val="26"/>
    </w:rPr>
  </w:style>
  <w:style w:type="paragraph" w:customStyle="1" w:styleId="definition">
    <w:name w:val="definition"/>
    <w:basedOn w:val="Normal"/>
    <w:rsid w:val="00A64254"/>
    <w:pPr>
      <w:tabs>
        <w:tab w:val="right" w:pos="1134"/>
      </w:tabs>
      <w:adjustRightInd/>
      <w:spacing w:before="240" w:line="260" w:lineRule="atLeast"/>
      <w:ind w:left="851"/>
      <w:jc w:val="both"/>
    </w:pPr>
    <w:rPr>
      <w:rFonts w:ascii="Times" w:hAnsi="Times" w:cs="Times"/>
      <w:sz w:val="26"/>
      <w:szCs w:val="26"/>
    </w:rPr>
  </w:style>
  <w:style w:type="paragraph" w:customStyle="1" w:styleId="NoteBody2">
    <w:name w:val="Note Body 2"/>
    <w:basedOn w:val="Normal"/>
    <w:rsid w:val="00A64254"/>
    <w:pPr>
      <w:adjustRightInd/>
      <w:spacing w:before="120" w:after="120" w:line="260" w:lineRule="atLeast"/>
      <w:jc w:val="both"/>
    </w:pPr>
    <w:rPr>
      <w:rFonts w:ascii="Times" w:hAnsi="Times" w:cs="Times"/>
      <w:color w:val="auto"/>
      <w:sz w:val="22"/>
      <w:szCs w:val="22"/>
    </w:rPr>
  </w:style>
  <w:style w:type="character" w:customStyle="1" w:styleId="CharSchPTNo">
    <w:name w:val="CharSchPTNo"/>
    <w:basedOn w:val="DefaultParagraphFont"/>
    <w:rsid w:val="00A64254"/>
    <w:rPr>
      <w:rFonts w:cs="Times New Roman"/>
    </w:rPr>
  </w:style>
  <w:style w:type="character" w:customStyle="1" w:styleId="CharSchPTText">
    <w:name w:val="CharSchPTText"/>
    <w:basedOn w:val="DefaultParagraphFont"/>
    <w:rsid w:val="00A64254"/>
    <w:rPr>
      <w:rFonts w:cs="Times New Roman"/>
    </w:rPr>
  </w:style>
  <w:style w:type="paragraph" w:customStyle="1" w:styleId="Schedulepart">
    <w:name w:val="Schedule part"/>
    <w:basedOn w:val="Normal"/>
    <w:rsid w:val="00A64254"/>
    <w:pPr>
      <w:keepNext/>
      <w:keepLines/>
      <w:adjustRightInd/>
      <w:spacing w:before="360"/>
      <w:ind w:left="1559" w:hanging="1559"/>
    </w:pPr>
    <w:rPr>
      <w:rFonts w:ascii="Arial" w:hAnsi="Arial" w:cs="Arial"/>
      <w:b/>
      <w:bCs/>
      <w:noProof/>
      <w:color w:val="auto"/>
      <w:sz w:val="28"/>
      <w:szCs w:val="28"/>
      <w:lang w:val="en-US"/>
    </w:rPr>
  </w:style>
  <w:style w:type="paragraph" w:customStyle="1" w:styleId="TableColHead">
    <w:name w:val="TableColHead"/>
    <w:basedOn w:val="Normal"/>
    <w:rsid w:val="00A64254"/>
    <w:pPr>
      <w:keepNext/>
      <w:adjustRightInd/>
      <w:spacing w:before="120" w:after="60" w:line="200" w:lineRule="exact"/>
    </w:pPr>
    <w:rPr>
      <w:rFonts w:ascii="Arial" w:hAnsi="Arial" w:cs="Arial"/>
      <w:b/>
      <w:bCs/>
      <w:noProof/>
      <w:color w:val="auto"/>
      <w:sz w:val="18"/>
      <w:szCs w:val="18"/>
      <w:lang w:val="en-US"/>
    </w:rPr>
  </w:style>
  <w:style w:type="paragraph" w:customStyle="1" w:styleId="TableText">
    <w:name w:val="TableText"/>
    <w:basedOn w:val="Normal"/>
    <w:uiPriority w:val="99"/>
    <w:rsid w:val="00A64254"/>
    <w:pPr>
      <w:adjustRightInd/>
      <w:spacing w:before="60" w:after="60" w:line="240" w:lineRule="exact"/>
    </w:pPr>
    <w:rPr>
      <w:noProof/>
      <w:color w:val="auto"/>
      <w:sz w:val="22"/>
      <w:szCs w:val="22"/>
      <w:lang w:val="en-US"/>
    </w:rPr>
  </w:style>
  <w:style w:type="paragraph" w:customStyle="1" w:styleId="FooterDraft">
    <w:name w:val="FooterDraft"/>
    <w:basedOn w:val="Normal"/>
    <w:rsid w:val="00A64254"/>
    <w:pPr>
      <w:autoSpaceDE/>
      <w:autoSpaceDN/>
      <w:adjustRightInd/>
      <w:jc w:val="center"/>
    </w:pPr>
    <w:rPr>
      <w:rFonts w:ascii="Arial" w:hAnsi="Arial"/>
      <w:b/>
      <w:color w:val="auto"/>
      <w:sz w:val="40"/>
      <w:szCs w:val="24"/>
      <w:lang w:eastAsia="en-US"/>
    </w:rPr>
  </w:style>
  <w:style w:type="paragraph" w:customStyle="1" w:styleId="FooterInfo">
    <w:name w:val="FooterInfo"/>
    <w:basedOn w:val="Normal"/>
    <w:rsid w:val="00A64254"/>
    <w:pPr>
      <w:autoSpaceDE/>
      <w:autoSpaceDN/>
      <w:adjustRightInd/>
    </w:pPr>
    <w:rPr>
      <w:rFonts w:ascii="Arial" w:hAnsi="Arial"/>
      <w:color w:val="auto"/>
      <w:sz w:val="12"/>
      <w:szCs w:val="24"/>
      <w:lang w:eastAsia="en-US"/>
    </w:rPr>
  </w:style>
  <w:style w:type="paragraph" w:customStyle="1" w:styleId="HeaderBoldEven">
    <w:name w:val="HeaderBoldEven"/>
    <w:basedOn w:val="Normal"/>
    <w:rsid w:val="00A64254"/>
    <w:pPr>
      <w:autoSpaceDE/>
      <w:autoSpaceDN/>
      <w:adjustRightInd/>
      <w:spacing w:before="120" w:after="60"/>
    </w:pPr>
    <w:rPr>
      <w:rFonts w:ascii="Arial" w:hAnsi="Arial"/>
      <w:b/>
      <w:color w:val="auto"/>
      <w:sz w:val="20"/>
      <w:szCs w:val="24"/>
      <w:lang w:eastAsia="en-US"/>
    </w:rPr>
  </w:style>
  <w:style w:type="paragraph" w:customStyle="1" w:styleId="HeaderBoldOdd">
    <w:name w:val="HeaderBoldOdd"/>
    <w:basedOn w:val="Normal"/>
    <w:rsid w:val="00A64254"/>
    <w:pPr>
      <w:autoSpaceDE/>
      <w:autoSpaceDN/>
      <w:adjustRightInd/>
      <w:spacing w:before="120" w:after="60"/>
      <w:jc w:val="right"/>
    </w:pPr>
    <w:rPr>
      <w:rFonts w:ascii="Arial" w:hAnsi="Arial"/>
      <w:b/>
      <w:color w:val="auto"/>
      <w:sz w:val="20"/>
      <w:szCs w:val="24"/>
      <w:lang w:eastAsia="en-US"/>
    </w:rPr>
  </w:style>
  <w:style w:type="paragraph" w:customStyle="1" w:styleId="HeaderLiteEven">
    <w:name w:val="HeaderLiteEven"/>
    <w:basedOn w:val="Normal"/>
    <w:rsid w:val="00A64254"/>
    <w:pPr>
      <w:tabs>
        <w:tab w:val="center" w:pos="3969"/>
        <w:tab w:val="right" w:pos="8505"/>
      </w:tabs>
      <w:autoSpaceDE/>
      <w:autoSpaceDN/>
      <w:adjustRightInd/>
      <w:spacing w:before="60"/>
    </w:pPr>
    <w:rPr>
      <w:rFonts w:ascii="Arial" w:hAnsi="Arial"/>
      <w:color w:val="auto"/>
      <w:sz w:val="18"/>
      <w:szCs w:val="24"/>
      <w:lang w:eastAsia="en-US"/>
    </w:rPr>
  </w:style>
  <w:style w:type="paragraph" w:customStyle="1" w:styleId="HeaderLiteOdd">
    <w:name w:val="HeaderLiteOdd"/>
    <w:basedOn w:val="Normal"/>
    <w:rsid w:val="00A64254"/>
    <w:pPr>
      <w:tabs>
        <w:tab w:val="center" w:pos="3969"/>
        <w:tab w:val="right" w:pos="8505"/>
      </w:tabs>
      <w:autoSpaceDE/>
      <w:autoSpaceDN/>
      <w:adjustRightInd/>
      <w:spacing w:before="60"/>
      <w:jc w:val="right"/>
    </w:pPr>
    <w:rPr>
      <w:rFonts w:ascii="Arial" w:hAnsi="Arial"/>
      <w:color w:val="auto"/>
      <w:sz w:val="18"/>
      <w:szCs w:val="24"/>
      <w:lang w:eastAsia="en-US"/>
    </w:rPr>
  </w:style>
  <w:style w:type="paragraph" w:customStyle="1" w:styleId="MainBodySectionBreak">
    <w:name w:val="MainBody Section Break"/>
    <w:basedOn w:val="Normal"/>
    <w:next w:val="Normal"/>
    <w:rsid w:val="00A64254"/>
    <w:pPr>
      <w:autoSpaceDE/>
      <w:autoSpaceDN/>
      <w:adjustRightInd/>
    </w:pPr>
    <w:rPr>
      <w:color w:val="auto"/>
      <w:sz w:val="24"/>
      <w:szCs w:val="24"/>
      <w:lang w:eastAsia="en-US"/>
    </w:rPr>
  </w:style>
  <w:style w:type="paragraph" w:customStyle="1" w:styleId="NotesSectionBreak">
    <w:name w:val="NotesSectionBreak"/>
    <w:basedOn w:val="Normal"/>
    <w:next w:val="Normal"/>
    <w:rsid w:val="00A64254"/>
    <w:pPr>
      <w:autoSpaceDE/>
      <w:autoSpaceDN/>
      <w:adjustRightInd/>
    </w:pPr>
    <w:rPr>
      <w:color w:val="auto"/>
      <w:sz w:val="24"/>
      <w:szCs w:val="24"/>
      <w:lang w:eastAsia="en-US"/>
    </w:rPr>
  </w:style>
  <w:style w:type="paragraph" w:customStyle="1" w:styleId="SchedSectionBreak">
    <w:name w:val="SchedSectionBreak"/>
    <w:basedOn w:val="Normal"/>
    <w:next w:val="Normal"/>
    <w:rsid w:val="00A64254"/>
    <w:pPr>
      <w:autoSpaceDE/>
      <w:autoSpaceDN/>
      <w:adjustRightInd/>
    </w:pPr>
    <w:rPr>
      <w:color w:val="auto"/>
      <w:sz w:val="24"/>
      <w:szCs w:val="24"/>
      <w:lang w:eastAsia="en-US"/>
    </w:rPr>
  </w:style>
  <w:style w:type="paragraph" w:customStyle="1" w:styleId="SigningPageBreak">
    <w:name w:val="SigningPageBreak"/>
    <w:basedOn w:val="Normal"/>
    <w:next w:val="Normal"/>
    <w:rsid w:val="00A64254"/>
    <w:pPr>
      <w:autoSpaceDE/>
      <w:autoSpaceDN/>
      <w:adjustRightInd/>
    </w:pPr>
    <w:rPr>
      <w:color w:val="auto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A64254"/>
    <w:rPr>
      <w:rFonts w:ascii="Arial" w:hAnsi="Arial" w:cs="Times New Roman"/>
      <w:sz w:val="22"/>
    </w:rPr>
  </w:style>
  <w:style w:type="character" w:customStyle="1" w:styleId="CharSectno">
    <w:name w:val="CharSectno"/>
    <w:basedOn w:val="DefaultParagraphFont"/>
    <w:rsid w:val="00A64254"/>
    <w:rPr>
      <w:rFonts w:cs="Times New Roman"/>
    </w:rPr>
  </w:style>
  <w:style w:type="paragraph" w:customStyle="1" w:styleId="A1">
    <w:name w:val="A1"/>
    <w:aliases w:val="Heading Amendment,1. Amendment"/>
    <w:basedOn w:val="Normal"/>
    <w:next w:val="Normal"/>
    <w:rsid w:val="00A64254"/>
    <w:pPr>
      <w:keepNext/>
      <w:keepLines/>
      <w:autoSpaceDE/>
      <w:autoSpaceDN/>
      <w:adjustRightInd/>
      <w:spacing w:before="480" w:line="260" w:lineRule="exact"/>
      <w:ind w:left="964" w:hanging="964"/>
    </w:pPr>
    <w:rPr>
      <w:rFonts w:ascii="Arial" w:hAnsi="Arial"/>
      <w:b/>
      <w:color w:val="auto"/>
      <w:sz w:val="24"/>
      <w:szCs w:val="24"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A64254"/>
    <w:pPr>
      <w:keepNext/>
      <w:autoSpaceDE/>
      <w:autoSpaceDN/>
      <w:adjustRightInd/>
      <w:spacing w:before="480" w:line="260" w:lineRule="exact"/>
      <w:ind w:left="964" w:hanging="964"/>
    </w:pPr>
    <w:rPr>
      <w:rFonts w:ascii="Arial" w:hAnsi="Arial"/>
      <w:b/>
      <w:color w:val="auto"/>
      <w:sz w:val="24"/>
      <w:szCs w:val="24"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A64254"/>
    <w:pPr>
      <w:tabs>
        <w:tab w:val="right" w:pos="794"/>
      </w:tabs>
      <w:autoSpaceDE/>
      <w:autoSpaceDN/>
      <w:adjustRightInd/>
      <w:spacing w:before="120" w:line="260" w:lineRule="exact"/>
      <w:ind w:left="964" w:hanging="964"/>
      <w:jc w:val="both"/>
    </w:pPr>
    <w:rPr>
      <w:color w:val="auto"/>
      <w:sz w:val="24"/>
      <w:szCs w:val="24"/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A64254"/>
    <w:pPr>
      <w:keepNext/>
      <w:autoSpaceDE/>
      <w:autoSpaceDN/>
      <w:adjustRightInd/>
      <w:spacing w:before="120" w:line="260" w:lineRule="exact"/>
      <w:ind w:left="964"/>
    </w:pPr>
    <w:rPr>
      <w:i/>
      <w:color w:val="auto"/>
      <w:sz w:val="24"/>
      <w:szCs w:val="24"/>
      <w:lang w:eastAsia="en-US"/>
    </w:rPr>
  </w:style>
  <w:style w:type="paragraph" w:customStyle="1" w:styleId="ASref">
    <w:name w:val="AS ref"/>
    <w:basedOn w:val="Normal"/>
    <w:next w:val="A1S"/>
    <w:rsid w:val="00A64254"/>
    <w:pPr>
      <w:keepNext/>
      <w:autoSpaceDE/>
      <w:autoSpaceDN/>
      <w:adjustRightInd/>
      <w:spacing w:before="60" w:line="200" w:lineRule="exact"/>
      <w:ind w:left="2410"/>
    </w:pPr>
    <w:rPr>
      <w:rFonts w:ascii="Arial" w:hAnsi="Arial"/>
      <w:color w:val="auto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64254"/>
    <w:pPr>
      <w:keepNext/>
      <w:keepLines/>
      <w:autoSpaceDE/>
      <w:autoSpaceDN/>
      <w:adjustRightInd/>
      <w:spacing w:before="480"/>
      <w:ind w:left="2410" w:hanging="2410"/>
    </w:pPr>
    <w:rPr>
      <w:rFonts w:ascii="Arial" w:hAnsi="Arial"/>
      <w:b/>
      <w:color w:val="auto"/>
      <w:sz w:val="32"/>
      <w:szCs w:val="24"/>
      <w:lang w:eastAsia="en-US"/>
    </w:rPr>
  </w:style>
  <w:style w:type="paragraph" w:customStyle="1" w:styleId="NoteEnd">
    <w:name w:val="Note End"/>
    <w:basedOn w:val="Normal"/>
    <w:rsid w:val="00A64254"/>
    <w:pPr>
      <w:autoSpaceDE/>
      <w:autoSpaceDN/>
      <w:adjustRightInd/>
      <w:spacing w:before="120" w:line="240" w:lineRule="exact"/>
      <w:ind w:left="567" w:hanging="567"/>
      <w:jc w:val="both"/>
    </w:pPr>
    <w:rPr>
      <w:color w:val="auto"/>
      <w:sz w:val="22"/>
      <w:szCs w:val="24"/>
      <w:lang w:eastAsia="en-US"/>
    </w:rPr>
  </w:style>
  <w:style w:type="paragraph" w:customStyle="1" w:styleId="SRNo">
    <w:name w:val="SRNo"/>
    <w:basedOn w:val="Normal"/>
    <w:next w:val="Normal"/>
    <w:rsid w:val="00A64254"/>
    <w:pPr>
      <w:pBdr>
        <w:bottom w:val="single" w:sz="4" w:space="3" w:color="auto"/>
      </w:pBdr>
      <w:autoSpaceDE/>
      <w:autoSpaceDN/>
      <w:adjustRightInd/>
      <w:spacing w:before="480"/>
    </w:pPr>
    <w:rPr>
      <w:rFonts w:ascii="Arial" w:hAnsi="Arial"/>
      <w:b/>
      <w:color w:val="auto"/>
      <w:sz w:val="24"/>
      <w:szCs w:val="24"/>
      <w:lang w:eastAsia="en-US"/>
    </w:rPr>
  </w:style>
  <w:style w:type="paragraph" w:customStyle="1" w:styleId="FooterCitation">
    <w:name w:val="FooterCitation"/>
    <w:basedOn w:val="Footer"/>
    <w:rsid w:val="00A64254"/>
    <w:pPr>
      <w:tabs>
        <w:tab w:val="clear" w:pos="4513"/>
        <w:tab w:val="clear" w:pos="9026"/>
        <w:tab w:val="center" w:pos="4153"/>
        <w:tab w:val="right" w:pos="8306"/>
      </w:tabs>
      <w:autoSpaceDE/>
      <w:autoSpaceDN/>
      <w:adjustRightInd/>
      <w:spacing w:before="20"/>
      <w:jc w:val="center"/>
    </w:pPr>
    <w:rPr>
      <w:rFonts w:ascii="Arial" w:hAnsi="Arial"/>
      <w:i/>
      <w:color w:val="auto"/>
      <w:sz w:val="18"/>
      <w:szCs w:val="24"/>
    </w:rPr>
  </w:style>
  <w:style w:type="paragraph" w:styleId="ListParagraph">
    <w:name w:val="List Paragraph"/>
    <w:basedOn w:val="List"/>
    <w:uiPriority w:val="34"/>
    <w:qFormat/>
    <w:rsid w:val="00330854"/>
    <w:pPr>
      <w:spacing w:after="120"/>
      <w:ind w:left="357" w:hanging="357"/>
    </w:pPr>
  </w:style>
  <w:style w:type="paragraph" w:styleId="PlainText">
    <w:name w:val="Plain Text"/>
    <w:basedOn w:val="Normal"/>
    <w:link w:val="PlainTextChar"/>
    <w:uiPriority w:val="99"/>
    <w:unhideWhenUsed/>
    <w:rsid w:val="00604DB3"/>
    <w:pPr>
      <w:autoSpaceDE/>
      <w:autoSpaceDN/>
      <w:adjustRightInd/>
    </w:pPr>
    <w:rPr>
      <w:rFonts w:ascii="Consolas" w:hAnsi="Consolas" w:cstheme="minorBidi"/>
      <w:color w:val="auto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04DB3"/>
    <w:rPr>
      <w:rFonts w:ascii="Consolas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unhideWhenUsed/>
    <w:rsid w:val="00CC01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C0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CC0187"/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C0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CC0187"/>
    <w:rPr>
      <w:b/>
      <w:bCs/>
    </w:rPr>
  </w:style>
  <w:style w:type="paragraph" w:customStyle="1" w:styleId="Listlevel2">
    <w:name w:val="List level 2"/>
    <w:basedOn w:val="List"/>
    <w:link w:val="Listlevel2Char"/>
    <w:qFormat/>
    <w:rsid w:val="003F2918"/>
    <w:pPr>
      <w:numPr>
        <w:numId w:val="4"/>
      </w:numPr>
      <w:spacing w:after="120"/>
    </w:pPr>
  </w:style>
  <w:style w:type="paragraph" w:customStyle="1" w:styleId="Style1">
    <w:name w:val="Style1"/>
    <w:basedOn w:val="Heading5"/>
    <w:link w:val="Style1Char"/>
    <w:qFormat/>
    <w:rsid w:val="00C36FFC"/>
    <w:pPr>
      <w:autoSpaceDE/>
      <w:autoSpaceDN/>
      <w:spacing w:after="240"/>
      <w:jc w:val="left"/>
    </w:pPr>
    <w:rPr>
      <w:rFonts w:ascii="Arial" w:hAnsi="Arial" w:cs="Arial"/>
      <w:b/>
      <w:sz w:val="28"/>
    </w:rPr>
  </w:style>
  <w:style w:type="character" w:customStyle="1" w:styleId="DefaultChar">
    <w:name w:val="Default Char"/>
    <w:basedOn w:val="DefaultParagraphFont"/>
    <w:link w:val="Default"/>
    <w:locked/>
    <w:rsid w:val="003F2918"/>
    <w:rPr>
      <w:rFonts w:ascii="Times New Roman" w:hAnsi="Times New Roman" w:cs="Times New Roman"/>
      <w:color w:val="000000"/>
      <w:sz w:val="24"/>
      <w:szCs w:val="24"/>
      <w:lang w:eastAsia="en-AU"/>
    </w:rPr>
  </w:style>
  <w:style w:type="character" w:customStyle="1" w:styleId="ListChar">
    <w:name w:val="List Char"/>
    <w:basedOn w:val="DefaultChar"/>
    <w:link w:val="List"/>
    <w:uiPriority w:val="99"/>
    <w:locked/>
    <w:rsid w:val="003F2918"/>
    <w:rPr>
      <w:sz w:val="23"/>
      <w:szCs w:val="23"/>
    </w:rPr>
  </w:style>
  <w:style w:type="character" w:customStyle="1" w:styleId="Listlevel2Char">
    <w:name w:val="List level 2 Char"/>
    <w:basedOn w:val="ListChar"/>
    <w:link w:val="Listlevel2"/>
    <w:locked/>
    <w:rsid w:val="003F2918"/>
  </w:style>
  <w:style w:type="character" w:customStyle="1" w:styleId="Style1Char">
    <w:name w:val="Style1 Char"/>
    <w:basedOn w:val="Heading5Char"/>
    <w:link w:val="Style1"/>
    <w:locked/>
    <w:rsid w:val="00C36FFC"/>
    <w:rPr>
      <w:rFonts w:ascii="Arial" w:hAnsi="Arial" w:cs="Arial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AF10DD"/>
    <w:rPr>
      <w:rFonts w:cs="Times New Roman"/>
      <w:color w:val="800080" w:themeColor="followedHyperlink"/>
      <w:u w:val="single"/>
    </w:rPr>
  </w:style>
  <w:style w:type="numbering" w:styleId="111111">
    <w:name w:val="Outline List 2"/>
    <w:basedOn w:val="NoList"/>
    <w:uiPriority w:val="99"/>
    <w:semiHidden/>
    <w:unhideWhenUsed/>
    <w:rsid w:val="007631E3"/>
    <w:pPr>
      <w:numPr>
        <w:numId w:val="3"/>
      </w:numPr>
    </w:pPr>
  </w:style>
  <w:style w:type="paragraph" w:customStyle="1" w:styleId="P1">
    <w:name w:val="P1"/>
    <w:aliases w:val="(a)"/>
    <w:basedOn w:val="Normal"/>
    <w:uiPriority w:val="99"/>
    <w:rsid w:val="00CD44B2"/>
    <w:pPr>
      <w:tabs>
        <w:tab w:val="left" w:pos="851"/>
        <w:tab w:val="left" w:pos="1418"/>
      </w:tabs>
      <w:adjustRightInd/>
      <w:spacing w:before="60" w:line="260" w:lineRule="atLeast"/>
      <w:ind w:left="1418" w:hanging="1418"/>
      <w:jc w:val="both"/>
    </w:pPr>
    <w:rPr>
      <w:rFonts w:ascii="Times" w:eastAsiaTheme="minorEastAsia" w:hAnsi="Times" w:cs="Times"/>
      <w:color w:val="auto"/>
      <w:sz w:val="26"/>
      <w:szCs w:val="26"/>
    </w:rPr>
  </w:style>
  <w:style w:type="paragraph" w:customStyle="1" w:styleId="R2">
    <w:name w:val="R2"/>
    <w:aliases w:val="(2)"/>
    <w:basedOn w:val="R1"/>
    <w:next w:val="P1"/>
    <w:uiPriority w:val="99"/>
    <w:rsid w:val="00CD44B2"/>
    <w:pPr>
      <w:tabs>
        <w:tab w:val="left" w:pos="851"/>
      </w:tabs>
      <w:ind w:hanging="851"/>
    </w:pPr>
    <w:rPr>
      <w:rFonts w:eastAsiaTheme="minorEastAsia"/>
    </w:rPr>
  </w:style>
  <w:style w:type="table" w:styleId="TableGrid">
    <w:name w:val="Table Grid"/>
    <w:basedOn w:val="TableNormal"/>
    <w:uiPriority w:val="59"/>
    <w:rsid w:val="00F8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380383"/>
    <w:pPr>
      <w:spacing w:after="0" w:line="240" w:lineRule="auto"/>
    </w:pPr>
    <w:rPr>
      <w:rFonts w:ascii="Times New Roman" w:hAnsi="Times New Roman" w:cs="Times New Roman"/>
      <w:color w:val="000000"/>
      <w:sz w:val="23"/>
      <w:szCs w:val="23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D9D"/>
    <w:rPr>
      <w:rFonts w:asciiTheme="majorHAnsi" w:eastAsiaTheme="majorEastAsia" w:hAnsiTheme="majorHAnsi" w:cstheme="majorBidi"/>
      <w:i/>
      <w:iCs/>
      <w:color w:val="243F60" w:themeColor="accent1" w:themeShade="7F"/>
      <w:sz w:val="23"/>
      <w:szCs w:val="23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99FD4-EC6D-43CC-AFCF-03164802E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3060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2012-06-20T06:07:00Z</dcterms:created>
  <dcterms:modified xsi:type="dcterms:W3CDTF">2012-06-20T06:07:00Z</dcterms:modified>
</cp:coreProperties>
</file>