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9FB" w:rsidRDefault="00060EB7">
      <w:pPr>
        <w:spacing w:after="0" w:line="240" w:lineRule="auto"/>
        <w:jc w:val="center"/>
        <w:rPr>
          <w:rFonts w:ascii="Times New Roman" w:eastAsia="Times New Roman" w:hAnsi="Times New Roman" w:cs="Times New Roman"/>
          <w:b/>
          <w:sz w:val="24"/>
          <w:szCs w:val="24"/>
          <w:u w:val="single"/>
          <w:lang w:eastAsia="en-AU"/>
        </w:rPr>
      </w:pPr>
      <w:r>
        <w:rPr>
          <w:rFonts w:ascii="Times New Roman" w:eastAsia="Times New Roman" w:hAnsi="Times New Roman" w:cs="Times New Roman"/>
          <w:b/>
          <w:sz w:val="24"/>
          <w:szCs w:val="24"/>
          <w:u w:val="single"/>
          <w:lang w:eastAsia="en-AU"/>
        </w:rPr>
        <w:t>EXPLANATORY STATEMENT</w:t>
      </w:r>
    </w:p>
    <w:p w:rsidR="001949FB" w:rsidRDefault="001949FB">
      <w:pPr>
        <w:spacing w:after="0" w:line="240" w:lineRule="auto"/>
        <w:jc w:val="center"/>
        <w:rPr>
          <w:rFonts w:ascii="Times New Roman" w:hAnsi="Times New Roman" w:cs="Times New Roman"/>
          <w:u w:val="single"/>
        </w:rPr>
      </w:pPr>
    </w:p>
    <w:p w:rsidR="001949FB" w:rsidRPr="003B0671" w:rsidRDefault="00060EB7">
      <w:pPr>
        <w:spacing w:after="0" w:line="240" w:lineRule="auto"/>
        <w:jc w:val="center"/>
        <w:rPr>
          <w:rFonts w:ascii="Times New Roman" w:eastAsia="Times New Roman" w:hAnsi="Times New Roman" w:cs="Times New Roman"/>
          <w:b/>
          <w:sz w:val="24"/>
          <w:szCs w:val="24"/>
          <w:u w:val="single"/>
          <w:lang w:eastAsia="en-AU"/>
        </w:rPr>
      </w:pPr>
      <w:r w:rsidRPr="003B0671">
        <w:rPr>
          <w:rFonts w:ascii="Times New Roman" w:hAnsi="Times New Roman" w:cs="Times New Roman"/>
          <w:sz w:val="24"/>
          <w:szCs w:val="24"/>
          <w:u w:val="single"/>
        </w:rPr>
        <w:t xml:space="preserve">Issued by the </w:t>
      </w:r>
      <w:r w:rsidR="003B0671" w:rsidRPr="003B0671">
        <w:rPr>
          <w:rFonts w:ascii="Times New Roman" w:hAnsi="Times New Roman" w:cs="Times New Roman"/>
          <w:sz w:val="24"/>
          <w:szCs w:val="24"/>
          <w:u w:val="single"/>
        </w:rPr>
        <w:t>A</w:t>
      </w:r>
      <w:r w:rsidRPr="003B0671">
        <w:rPr>
          <w:rFonts w:ascii="Times New Roman" w:hAnsi="Times New Roman" w:cs="Times New Roman"/>
          <w:sz w:val="24"/>
          <w:szCs w:val="24"/>
          <w:u w:val="single"/>
        </w:rPr>
        <w:t xml:space="preserve">uthority of the </w:t>
      </w:r>
      <w:r w:rsidR="003B0671" w:rsidRPr="003B0671">
        <w:rPr>
          <w:rFonts w:ascii="Times New Roman" w:hAnsi="Times New Roman" w:cs="Times New Roman"/>
          <w:sz w:val="24"/>
          <w:szCs w:val="24"/>
          <w:u w:val="single"/>
        </w:rPr>
        <w:t>Parliamentary</w:t>
      </w:r>
      <w:r w:rsidR="00455E62">
        <w:rPr>
          <w:rFonts w:ascii="Times New Roman" w:hAnsi="Times New Roman" w:cs="Times New Roman"/>
          <w:sz w:val="24"/>
          <w:szCs w:val="24"/>
          <w:u w:val="single"/>
        </w:rPr>
        <w:t xml:space="preserve"> </w:t>
      </w:r>
      <w:r w:rsidR="003B0671" w:rsidRPr="003B0671">
        <w:rPr>
          <w:rFonts w:ascii="Times New Roman" w:hAnsi="Times New Roman" w:cs="Times New Roman"/>
          <w:sz w:val="24"/>
          <w:szCs w:val="24"/>
          <w:u w:val="single"/>
        </w:rPr>
        <w:t>Secretary</w:t>
      </w:r>
      <w:r w:rsidRPr="003B0671">
        <w:rPr>
          <w:rFonts w:ascii="Times New Roman" w:hAnsi="Times New Roman" w:cs="Times New Roman"/>
          <w:sz w:val="24"/>
          <w:szCs w:val="24"/>
          <w:u w:val="single"/>
        </w:rPr>
        <w:t xml:space="preserve"> for Agriculture, Fisheries and Forestry</w:t>
      </w:r>
    </w:p>
    <w:p w:rsidR="001949FB" w:rsidRDefault="001949FB">
      <w:pPr>
        <w:spacing w:after="0" w:line="240" w:lineRule="auto"/>
        <w:jc w:val="center"/>
        <w:rPr>
          <w:rFonts w:ascii="Times New Roman" w:eastAsia="Times New Roman" w:hAnsi="Times New Roman" w:cs="Times New Roman"/>
          <w:b/>
          <w:sz w:val="24"/>
          <w:szCs w:val="24"/>
          <w:u w:val="single"/>
          <w:lang w:eastAsia="en-AU"/>
        </w:rPr>
      </w:pPr>
    </w:p>
    <w:p w:rsidR="001949FB" w:rsidRDefault="00060EB7">
      <w:pPr>
        <w:spacing w:after="0" w:line="240" w:lineRule="auto"/>
        <w:jc w:val="center"/>
        <w:rPr>
          <w:rFonts w:ascii="Times New Roman" w:eastAsia="Times New Roman" w:hAnsi="Times New Roman" w:cs="Times New Roman"/>
          <w:b/>
          <w:sz w:val="24"/>
          <w:szCs w:val="24"/>
          <w:u w:val="single"/>
          <w:lang w:eastAsia="en-AU"/>
        </w:rPr>
      </w:pPr>
      <w:r>
        <w:rPr>
          <w:rFonts w:ascii="Times New Roman" w:hAnsi="Times New Roman" w:cs="Times New Roman"/>
          <w:i/>
          <w:color w:val="000000"/>
          <w:sz w:val="24"/>
          <w:szCs w:val="24"/>
        </w:rPr>
        <w:t>Export Control (Fish and Fish Products) Amendment Order 2012 (No. 1)</w:t>
      </w:r>
      <w:r>
        <w:rPr>
          <w:rFonts w:ascii="Times New Roman" w:eastAsia="Times New Roman" w:hAnsi="Times New Roman" w:cs="Times New Roman"/>
          <w:sz w:val="24"/>
          <w:szCs w:val="24"/>
          <w:lang w:eastAsia="en-AU"/>
        </w:rPr>
        <w:t xml:space="preserve"> </w:t>
      </w:r>
    </w:p>
    <w:p w:rsidR="001949FB" w:rsidRDefault="00060EB7">
      <w:pPr>
        <w:spacing w:after="0" w:line="240" w:lineRule="auto"/>
        <w:jc w:val="center"/>
        <w:rPr>
          <w:rFonts w:ascii="Times New Roman" w:eastAsia="Times New Roman" w:hAnsi="Times New Roman" w:cs="Times New Roman"/>
          <w:i/>
          <w:sz w:val="24"/>
          <w:szCs w:val="24"/>
          <w:lang w:eastAsia="en-AU"/>
        </w:rPr>
      </w:pPr>
      <w:r>
        <w:rPr>
          <w:rFonts w:ascii="Times New Roman" w:eastAsia="Times New Roman" w:hAnsi="Times New Roman" w:cs="Times New Roman"/>
          <w:sz w:val="24"/>
          <w:szCs w:val="24"/>
          <w:lang w:eastAsia="en-AU"/>
        </w:rPr>
        <w:t xml:space="preserve">made under the </w:t>
      </w:r>
      <w:r>
        <w:rPr>
          <w:rFonts w:ascii="Times New Roman" w:eastAsia="Times New Roman" w:hAnsi="Times New Roman" w:cs="Times New Roman"/>
          <w:i/>
          <w:sz w:val="24"/>
          <w:szCs w:val="24"/>
          <w:lang w:eastAsia="en-AU"/>
        </w:rPr>
        <w:t xml:space="preserve">Export Control (Orders) Regulations 1982 </w:t>
      </w:r>
      <w:r>
        <w:rPr>
          <w:rFonts w:ascii="Times New Roman" w:eastAsia="Times New Roman" w:hAnsi="Times New Roman" w:cs="Times New Roman"/>
          <w:sz w:val="24"/>
          <w:szCs w:val="24"/>
          <w:lang w:eastAsia="en-AU"/>
        </w:rPr>
        <w:t xml:space="preserve">and </w:t>
      </w:r>
      <w:r>
        <w:rPr>
          <w:rFonts w:ascii="Times New Roman" w:eastAsia="Times New Roman" w:hAnsi="Times New Roman" w:cs="Times New Roman"/>
          <w:i/>
          <w:sz w:val="24"/>
          <w:szCs w:val="24"/>
          <w:lang w:eastAsia="en-AU"/>
        </w:rPr>
        <w:br/>
      </w:r>
      <w:r>
        <w:rPr>
          <w:rFonts w:ascii="Times New Roman" w:eastAsia="Times New Roman" w:hAnsi="Times New Roman" w:cs="Times New Roman"/>
          <w:i/>
          <w:iCs/>
          <w:sz w:val="24"/>
          <w:szCs w:val="24"/>
          <w:lang w:eastAsia="en-AU"/>
        </w:rPr>
        <w:t>Export Control Act 1982</w:t>
      </w:r>
    </w:p>
    <w:p w:rsidR="001949FB" w:rsidRDefault="00060EB7">
      <w:pPr>
        <w:spacing w:before="100" w:beforeAutospacing="1" w:after="100" w:afterAutospacing="1"/>
        <w:rPr>
          <w:rFonts w:ascii="Times New Roman" w:eastAsia="Times New Roman" w:hAnsi="Times New Roman" w:cs="Times New Roman"/>
          <w:b/>
          <w:sz w:val="24"/>
          <w:szCs w:val="24"/>
          <w:lang w:eastAsia="en-AU"/>
        </w:rPr>
      </w:pPr>
      <w:bookmarkStart w:id="0" w:name="para9"/>
      <w:bookmarkEnd w:id="0"/>
      <w:r>
        <w:rPr>
          <w:rFonts w:ascii="Times New Roman" w:eastAsia="Times New Roman" w:hAnsi="Times New Roman" w:cs="Times New Roman"/>
          <w:b/>
          <w:sz w:val="24"/>
          <w:szCs w:val="24"/>
          <w:lang w:eastAsia="en-AU"/>
        </w:rPr>
        <w:t>Legislative Authority</w:t>
      </w:r>
    </w:p>
    <w:p w:rsidR="001949FB" w:rsidRDefault="00060EB7">
      <w:pPr>
        <w:spacing w:before="100" w:beforeAutospacing="1" w:after="100" w:afterAutospacing="1"/>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Section 7 of the </w:t>
      </w:r>
      <w:r>
        <w:rPr>
          <w:rFonts w:ascii="Times New Roman" w:eastAsia="Times New Roman" w:hAnsi="Times New Roman" w:cs="Times New Roman"/>
          <w:i/>
          <w:iCs/>
          <w:sz w:val="24"/>
          <w:szCs w:val="24"/>
          <w:lang w:eastAsia="en-AU"/>
        </w:rPr>
        <w:t>Export Control Act 1982</w:t>
      </w:r>
      <w:r>
        <w:rPr>
          <w:rFonts w:ascii="Times New Roman" w:eastAsia="Times New Roman" w:hAnsi="Times New Roman" w:cs="Times New Roman"/>
          <w:sz w:val="24"/>
          <w:szCs w:val="24"/>
          <w:lang w:eastAsia="en-AU"/>
        </w:rPr>
        <w:t xml:space="preserve"> (Act) provides that the regulations may prohibit the export of prescribed goods from Australia. Section 25(1) of the Act provides that the Governor-General may make regulations. Regulation 3 of the </w:t>
      </w:r>
      <w:r>
        <w:rPr>
          <w:rFonts w:ascii="Times New Roman" w:eastAsia="Times New Roman" w:hAnsi="Times New Roman" w:cs="Times New Roman"/>
          <w:i/>
          <w:iCs/>
          <w:sz w:val="24"/>
          <w:szCs w:val="24"/>
          <w:lang w:eastAsia="en-AU"/>
        </w:rPr>
        <w:t>Export Control (Orders) Regulations 1982</w:t>
      </w:r>
      <w:r>
        <w:rPr>
          <w:rFonts w:ascii="Times New Roman" w:eastAsia="Times New Roman" w:hAnsi="Times New Roman" w:cs="Times New Roman"/>
          <w:sz w:val="24"/>
          <w:szCs w:val="24"/>
          <w:lang w:eastAsia="en-AU"/>
        </w:rPr>
        <w:t xml:space="preserve"> (Regulations) provides that the Minister may by instrument in writing, make orders in respect to any matter for or in relation to which provision may be made by the Regulation.</w:t>
      </w:r>
    </w:p>
    <w:p w:rsidR="001949FB" w:rsidRDefault="00060EB7">
      <w:pPr>
        <w:spacing w:before="100" w:beforeAutospacing="1" w:after="100" w:afterAutospacing="1"/>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Under section 3 of the Act, prescribed goods can be declared by regulation. Section 3 defines “prescribed goods” to mean goods, or goods included in a class of goods, that are declared by the Regulation to be prescribed goods for the purposes of the Act.  </w:t>
      </w:r>
    </w:p>
    <w:p w:rsidR="001949FB" w:rsidRDefault="00060EB7">
      <w:pPr>
        <w:spacing w:before="100" w:beforeAutospacing="1" w:after="100" w:afterAutospacing="1"/>
        <w:rPr>
          <w:rFonts w:ascii="Times New Roman" w:eastAsia="Times New Roman" w:hAnsi="Times New Roman" w:cs="Times New Roman"/>
          <w:sz w:val="24"/>
          <w:szCs w:val="24"/>
          <w:lang w:eastAsia="en-AU"/>
        </w:rPr>
      </w:pPr>
      <w:r>
        <w:rPr>
          <w:rFonts w:ascii="Times New Roman" w:hAnsi="Times New Roman" w:cs="Times New Roman"/>
          <w:color w:val="000000"/>
          <w:sz w:val="24"/>
          <w:szCs w:val="24"/>
        </w:rPr>
        <w:t xml:space="preserve">The </w:t>
      </w:r>
      <w:r>
        <w:rPr>
          <w:rFonts w:ascii="Times New Roman" w:hAnsi="Times New Roman" w:cs="Times New Roman"/>
          <w:i/>
          <w:color w:val="000000"/>
          <w:sz w:val="24"/>
          <w:szCs w:val="24"/>
        </w:rPr>
        <w:t xml:space="preserve">Export Control (Fish and Fish Products) Orders 2005 </w:t>
      </w:r>
      <w:r>
        <w:rPr>
          <w:rFonts w:ascii="Times New Roman" w:hAnsi="Times New Roman" w:cs="Times New Roman"/>
          <w:color w:val="000000"/>
          <w:sz w:val="24"/>
          <w:szCs w:val="24"/>
        </w:rPr>
        <w:t>(Principal Order) regulate the export of fish and fish products from Australia and Order 9 declares fish and fish products to be prescribed goods.</w:t>
      </w:r>
    </w:p>
    <w:p w:rsidR="001949FB" w:rsidRDefault="00060EB7">
      <w:pPr>
        <w:rPr>
          <w:rFonts w:ascii="Times New Roman" w:hAnsi="Times New Roman" w:cs="Times New Roman"/>
          <w:b/>
          <w:color w:val="000000"/>
          <w:sz w:val="24"/>
          <w:szCs w:val="24"/>
        </w:rPr>
      </w:pPr>
      <w:r>
        <w:rPr>
          <w:rFonts w:ascii="Times New Roman" w:hAnsi="Times New Roman" w:cs="Times New Roman"/>
          <w:b/>
          <w:color w:val="000000"/>
          <w:sz w:val="24"/>
          <w:szCs w:val="24"/>
        </w:rPr>
        <w:t>Purpose</w:t>
      </w:r>
    </w:p>
    <w:p w:rsidR="001949FB" w:rsidRDefault="00060EB7">
      <w:pPr>
        <w:tabs>
          <w:tab w:val="left" w:pos="426"/>
          <w:tab w:val="left" w:pos="851"/>
        </w:tabs>
        <w:rPr>
          <w:rFonts w:ascii="Times New Roman" w:hAnsi="Times New Roman" w:cs="Times New Roman"/>
          <w:color w:val="000000"/>
          <w:sz w:val="24"/>
          <w:szCs w:val="24"/>
        </w:rPr>
      </w:pPr>
      <w:r>
        <w:rPr>
          <w:rFonts w:ascii="Times New Roman" w:hAnsi="Times New Roman" w:cs="Times New Roman"/>
          <w:color w:val="000000"/>
          <w:sz w:val="24"/>
          <w:szCs w:val="24"/>
        </w:rPr>
        <w:t xml:space="preserve">The purpose of the </w:t>
      </w:r>
      <w:r>
        <w:rPr>
          <w:rFonts w:ascii="Times New Roman" w:hAnsi="Times New Roman" w:cs="Times New Roman"/>
          <w:i/>
          <w:color w:val="000000"/>
          <w:sz w:val="24"/>
          <w:szCs w:val="24"/>
        </w:rPr>
        <w:t xml:space="preserve">Export Control (Fish and Fish Products) Amendment Order 2012 (No. 1) </w:t>
      </w:r>
      <w:r>
        <w:rPr>
          <w:rFonts w:ascii="Times New Roman" w:hAnsi="Times New Roman" w:cs="Times New Roman"/>
          <w:color w:val="000000"/>
          <w:sz w:val="24"/>
          <w:szCs w:val="24"/>
        </w:rPr>
        <w:t xml:space="preserve">(Amendment Order) is to make various minor amendments to the Principal Order. These amendments include clarification and definitions within the Principal Order. </w:t>
      </w:r>
    </w:p>
    <w:p w:rsidR="001949FB" w:rsidRDefault="00060EB7">
      <w:pPr>
        <w:spacing w:before="100" w:beforeAutospacing="1" w:after="100" w:afterAutospacing="1"/>
        <w:rPr>
          <w:rFonts w:ascii="Times New Roman" w:eastAsia="Times New Roman" w:hAnsi="Times New Roman" w:cs="Times New Roman"/>
          <w:b/>
          <w:sz w:val="24"/>
          <w:szCs w:val="24"/>
          <w:lang w:eastAsia="en-AU"/>
        </w:rPr>
      </w:pPr>
      <w:r>
        <w:rPr>
          <w:rFonts w:ascii="Times New Roman" w:eastAsia="Times New Roman" w:hAnsi="Times New Roman" w:cs="Times New Roman"/>
          <w:b/>
          <w:sz w:val="24"/>
          <w:szCs w:val="24"/>
          <w:lang w:eastAsia="en-AU"/>
        </w:rPr>
        <w:t>Consultation</w:t>
      </w:r>
    </w:p>
    <w:p w:rsidR="001949FB" w:rsidRDefault="00060EB7">
      <w:pPr>
        <w:rPr>
          <w:rFonts w:ascii="Times New Roman" w:hAnsi="Times New Roman" w:cs="Times New Roman"/>
          <w:sz w:val="24"/>
          <w:szCs w:val="24"/>
        </w:rPr>
      </w:pPr>
      <w:r>
        <w:rPr>
          <w:rFonts w:ascii="Times New Roman" w:eastAsia="Times New Roman" w:hAnsi="Times New Roman" w:cs="Times New Roman"/>
          <w:sz w:val="24"/>
          <w:szCs w:val="24"/>
          <w:lang w:eastAsia="en-AU"/>
        </w:rPr>
        <w:t xml:space="preserve">The department consulted with the Seafood Export Consultative Committee (SECC) in the identification of these amendments.  SECC consists of the seafood peak industry bodies including </w:t>
      </w:r>
      <w:r>
        <w:rPr>
          <w:rFonts w:ascii="Times New Roman" w:hAnsi="Times New Roman" w:cs="Times New Roman"/>
          <w:sz w:val="24"/>
          <w:szCs w:val="24"/>
        </w:rPr>
        <w:t xml:space="preserve">the Commonwealth Fisheries Association and </w:t>
      </w:r>
      <w:r>
        <w:rPr>
          <w:rFonts w:ascii="Times New Roman" w:eastAsia="Times New Roman" w:hAnsi="Times New Roman" w:cs="Times New Roman"/>
          <w:sz w:val="24"/>
          <w:szCs w:val="24"/>
          <w:lang w:eastAsia="en-AU"/>
        </w:rPr>
        <w:t>the National Aquaculture Council.</w:t>
      </w:r>
      <w:r>
        <w:rPr>
          <w:rFonts w:ascii="Times New Roman" w:hAnsi="Times New Roman" w:cs="Times New Roman"/>
          <w:sz w:val="24"/>
          <w:szCs w:val="24"/>
        </w:rPr>
        <w:t xml:space="preserve"> Industry representation on SECC also includes a number of individual participants representing specific sectors of the seafood export industry such as the prawn, lobster, abalone and scallops industry</w:t>
      </w:r>
      <w:r>
        <w:rPr>
          <w:rFonts w:ascii="Times New Roman" w:eastAsia="Times New Roman" w:hAnsi="Times New Roman" w:cs="Times New Roman"/>
          <w:sz w:val="24"/>
          <w:szCs w:val="24"/>
          <w:lang w:eastAsia="en-AU"/>
        </w:rPr>
        <w:t>. SECC support the amendments.</w:t>
      </w:r>
    </w:p>
    <w:p w:rsidR="001949FB" w:rsidRDefault="00060EB7">
      <w:pPr>
        <w:spacing w:before="100" w:beforeAutospacing="1" w:after="100" w:afterAutospacing="1"/>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The Office of Best Practice Regulation (OBPR) determined that the amendments are of a minor or machinery nature and do not substantially al</w:t>
      </w:r>
      <w:r w:rsidR="005E14A4">
        <w:rPr>
          <w:rFonts w:ascii="Times New Roman" w:eastAsia="Times New Roman" w:hAnsi="Times New Roman" w:cs="Times New Roman"/>
          <w:sz w:val="24"/>
          <w:szCs w:val="24"/>
          <w:lang w:eastAsia="en-AU"/>
        </w:rPr>
        <w:t>ter existing arrangements (OBPR 13772).</w:t>
      </w:r>
    </w:p>
    <w:p w:rsidR="001235C1" w:rsidRDefault="001235C1">
      <w:pPr>
        <w:rPr>
          <w:rFonts w:ascii="Times New Roman" w:eastAsia="Times New Roman" w:hAnsi="Times New Roman" w:cs="Times New Roman"/>
          <w:b/>
          <w:sz w:val="24"/>
          <w:szCs w:val="24"/>
          <w:lang w:eastAsia="en-AU"/>
        </w:rPr>
      </w:pPr>
      <w:r>
        <w:rPr>
          <w:rFonts w:ascii="Times New Roman" w:eastAsia="Times New Roman" w:hAnsi="Times New Roman" w:cs="Times New Roman"/>
          <w:b/>
          <w:sz w:val="24"/>
          <w:szCs w:val="24"/>
          <w:lang w:eastAsia="en-AU"/>
        </w:rPr>
        <w:br w:type="page"/>
      </w:r>
    </w:p>
    <w:p w:rsidR="001949FB" w:rsidRDefault="00060EB7">
      <w:pPr>
        <w:spacing w:before="100" w:beforeAutospacing="1" w:after="100" w:afterAutospacing="1"/>
        <w:rPr>
          <w:rFonts w:ascii="Times New Roman" w:eastAsia="Times New Roman" w:hAnsi="Times New Roman" w:cs="Times New Roman"/>
          <w:b/>
          <w:sz w:val="24"/>
          <w:szCs w:val="24"/>
          <w:lang w:eastAsia="en-AU"/>
        </w:rPr>
      </w:pPr>
      <w:r>
        <w:rPr>
          <w:rFonts w:ascii="Times New Roman" w:eastAsia="Times New Roman" w:hAnsi="Times New Roman" w:cs="Times New Roman"/>
          <w:b/>
          <w:sz w:val="24"/>
          <w:szCs w:val="24"/>
          <w:lang w:eastAsia="en-AU"/>
        </w:rPr>
        <w:t>Details</w:t>
      </w:r>
    </w:p>
    <w:p w:rsidR="001949FB" w:rsidRDefault="00060EB7">
      <w:pPr>
        <w:spacing w:before="100" w:beforeAutospacing="1" w:after="100" w:afterAutospacing="1"/>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Details of the </w:t>
      </w:r>
      <w:r>
        <w:rPr>
          <w:rFonts w:ascii="Times New Roman" w:eastAsia="Times New Roman" w:hAnsi="Times New Roman" w:cs="Times New Roman"/>
          <w:iCs/>
          <w:sz w:val="24"/>
          <w:szCs w:val="24"/>
          <w:lang w:eastAsia="en-AU"/>
        </w:rPr>
        <w:t xml:space="preserve">Amendment Order </w:t>
      </w:r>
      <w:r>
        <w:rPr>
          <w:rFonts w:ascii="Times New Roman" w:eastAsia="Times New Roman" w:hAnsi="Times New Roman" w:cs="Times New Roman"/>
          <w:sz w:val="24"/>
          <w:szCs w:val="24"/>
          <w:lang w:eastAsia="en-AU"/>
        </w:rPr>
        <w:t>are set out below:</w:t>
      </w:r>
    </w:p>
    <w:p w:rsidR="001949FB" w:rsidRDefault="00060EB7">
      <w:pPr>
        <w:spacing w:before="100" w:beforeAutospacing="1" w:after="100" w:afterAutospacing="1"/>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u w:val="single"/>
          <w:lang w:eastAsia="en-AU"/>
        </w:rPr>
        <w:t>Section 1</w:t>
      </w:r>
      <w:r>
        <w:rPr>
          <w:rFonts w:ascii="Times New Roman" w:eastAsia="Times New Roman" w:hAnsi="Times New Roman" w:cs="Times New Roman"/>
          <w:sz w:val="24"/>
          <w:szCs w:val="24"/>
          <w:lang w:eastAsia="en-AU"/>
        </w:rPr>
        <w:t xml:space="preserve"> provides that the name of the Amendment Order is the </w:t>
      </w:r>
      <w:r>
        <w:rPr>
          <w:rFonts w:ascii="Times New Roman" w:eastAsia="Times New Roman" w:hAnsi="Times New Roman" w:cs="Times New Roman"/>
          <w:i/>
          <w:sz w:val="24"/>
          <w:szCs w:val="24"/>
          <w:lang w:eastAsia="en-AU"/>
        </w:rPr>
        <w:t>Export Control (Fish and Fish Produ</w:t>
      </w:r>
      <w:r w:rsidR="00D51E6D">
        <w:rPr>
          <w:rFonts w:ascii="Times New Roman" w:eastAsia="Times New Roman" w:hAnsi="Times New Roman" w:cs="Times New Roman"/>
          <w:i/>
          <w:sz w:val="24"/>
          <w:szCs w:val="24"/>
          <w:lang w:eastAsia="en-AU"/>
        </w:rPr>
        <w:t>cts) Amendment Order 2012 (No.</w:t>
      </w:r>
      <w:r>
        <w:rPr>
          <w:rFonts w:ascii="Times New Roman" w:eastAsia="Times New Roman" w:hAnsi="Times New Roman" w:cs="Times New Roman"/>
          <w:i/>
          <w:sz w:val="24"/>
          <w:szCs w:val="24"/>
          <w:lang w:eastAsia="en-AU"/>
        </w:rPr>
        <w:t>1)</w:t>
      </w:r>
      <w:r>
        <w:rPr>
          <w:rFonts w:ascii="Times New Roman" w:eastAsia="Times New Roman" w:hAnsi="Times New Roman" w:cs="Times New Roman"/>
          <w:sz w:val="24"/>
          <w:szCs w:val="24"/>
          <w:lang w:eastAsia="en-AU"/>
        </w:rPr>
        <w:t xml:space="preserve">. </w:t>
      </w:r>
    </w:p>
    <w:p w:rsidR="001949FB" w:rsidRDefault="00060EB7">
      <w:pPr>
        <w:spacing w:before="100" w:beforeAutospacing="1" w:after="100" w:afterAutospacing="1"/>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u w:val="single"/>
          <w:lang w:eastAsia="en-AU"/>
        </w:rPr>
        <w:t>Section 2</w:t>
      </w:r>
      <w:r>
        <w:rPr>
          <w:rFonts w:ascii="Times New Roman" w:eastAsia="Times New Roman" w:hAnsi="Times New Roman" w:cs="Times New Roman"/>
          <w:sz w:val="24"/>
          <w:szCs w:val="24"/>
          <w:lang w:eastAsia="en-AU"/>
        </w:rPr>
        <w:t xml:space="preserve"> provides that the Amendment Order commences on the day after it is registered.  </w:t>
      </w:r>
    </w:p>
    <w:p w:rsidR="001949FB" w:rsidRDefault="00060EB7">
      <w:pPr>
        <w:spacing w:before="100" w:beforeAutospacing="1" w:after="100" w:afterAutospacing="1"/>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u w:val="single"/>
          <w:lang w:eastAsia="en-AU"/>
        </w:rPr>
        <w:t>Section 3</w:t>
      </w:r>
      <w:r>
        <w:rPr>
          <w:rFonts w:ascii="Times New Roman" w:eastAsia="Times New Roman" w:hAnsi="Times New Roman" w:cs="Times New Roman"/>
          <w:sz w:val="24"/>
          <w:szCs w:val="24"/>
          <w:lang w:eastAsia="en-AU"/>
        </w:rPr>
        <w:t xml:space="preserve"> provides that Schedule 1 amends the </w:t>
      </w:r>
      <w:r>
        <w:rPr>
          <w:rFonts w:ascii="Times New Roman" w:eastAsia="Times New Roman" w:hAnsi="Times New Roman" w:cs="Times New Roman"/>
          <w:i/>
          <w:sz w:val="24"/>
          <w:szCs w:val="24"/>
          <w:lang w:eastAsia="en-AU"/>
        </w:rPr>
        <w:t>Export Control (Fish and Fish Products) Order 2005</w:t>
      </w:r>
      <w:r>
        <w:rPr>
          <w:rFonts w:ascii="Times New Roman" w:eastAsia="Times New Roman" w:hAnsi="Times New Roman" w:cs="Times New Roman"/>
          <w:sz w:val="24"/>
          <w:szCs w:val="24"/>
          <w:lang w:eastAsia="en-AU"/>
        </w:rPr>
        <w:t>.</w:t>
      </w:r>
    </w:p>
    <w:p w:rsidR="001949FB" w:rsidRDefault="00060EB7">
      <w:pPr>
        <w:spacing w:before="100" w:beforeAutospacing="1" w:after="100" w:afterAutospacing="1"/>
        <w:rPr>
          <w:rFonts w:ascii="Times New Roman" w:eastAsia="Times New Roman" w:hAnsi="Times New Roman" w:cs="Times New Roman"/>
          <w:b/>
          <w:sz w:val="24"/>
          <w:szCs w:val="24"/>
          <w:lang w:eastAsia="en-AU"/>
        </w:rPr>
      </w:pPr>
      <w:r>
        <w:rPr>
          <w:rFonts w:ascii="Times New Roman" w:eastAsia="Times New Roman" w:hAnsi="Times New Roman" w:cs="Times New Roman"/>
          <w:b/>
          <w:sz w:val="24"/>
          <w:szCs w:val="24"/>
          <w:lang w:eastAsia="en-AU"/>
        </w:rPr>
        <w:t>Schedule 1</w:t>
      </w:r>
      <w:r>
        <w:rPr>
          <w:rFonts w:ascii="Times New Roman" w:eastAsia="Times New Roman" w:hAnsi="Times New Roman" w:cs="Times New Roman"/>
          <w:b/>
          <w:sz w:val="24"/>
          <w:szCs w:val="24"/>
          <w:lang w:eastAsia="en-AU"/>
        </w:rPr>
        <w:tab/>
        <w:t>Amendments</w:t>
      </w:r>
    </w:p>
    <w:p w:rsidR="001949FB" w:rsidRDefault="00060EB7">
      <w:pPr>
        <w:spacing w:before="100" w:beforeAutospacing="1" w:after="100" w:afterAutospacing="1"/>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u w:val="single"/>
          <w:lang w:eastAsia="en-AU"/>
        </w:rPr>
        <w:t>Item 1</w:t>
      </w:r>
      <w:r>
        <w:rPr>
          <w:rFonts w:ascii="Times New Roman" w:eastAsia="Times New Roman" w:hAnsi="Times New Roman" w:cs="Times New Roman"/>
          <w:sz w:val="24"/>
          <w:szCs w:val="24"/>
          <w:lang w:eastAsia="en-AU"/>
        </w:rPr>
        <w:t xml:space="preserve"> amends the definition of </w:t>
      </w:r>
      <w:r>
        <w:rPr>
          <w:rFonts w:ascii="Times New Roman" w:eastAsia="Times New Roman" w:hAnsi="Times New Roman" w:cs="Times New Roman"/>
          <w:i/>
          <w:sz w:val="24"/>
          <w:szCs w:val="24"/>
          <w:lang w:eastAsia="en-AU"/>
        </w:rPr>
        <w:t>Australian Fish Names Standard</w:t>
      </w:r>
      <w:r>
        <w:rPr>
          <w:rFonts w:ascii="Times New Roman" w:eastAsia="Times New Roman" w:hAnsi="Times New Roman" w:cs="Times New Roman"/>
          <w:sz w:val="24"/>
          <w:szCs w:val="24"/>
          <w:lang w:eastAsia="en-AU"/>
        </w:rPr>
        <w:t xml:space="preserve"> </w:t>
      </w:r>
      <w:r>
        <w:rPr>
          <w:rFonts w:ascii="Times New Roman" w:hAnsi="Times New Roman" w:cs="Times New Roman"/>
          <w:i/>
          <w:caps/>
          <w:sz w:val="24"/>
          <w:szCs w:val="24"/>
        </w:rPr>
        <w:t>AS SSA 5300-2009</w:t>
      </w:r>
      <w:r>
        <w:rPr>
          <w:rFonts w:ascii="Times New Roman" w:hAnsi="Times New Roman" w:cs="Times New Roman"/>
          <w:caps/>
          <w:sz w:val="24"/>
          <w:szCs w:val="24"/>
        </w:rPr>
        <w:t xml:space="preserve"> </w:t>
      </w:r>
      <w:r>
        <w:rPr>
          <w:rFonts w:ascii="Times New Roman" w:eastAsia="Times New Roman" w:hAnsi="Times New Roman" w:cs="Times New Roman"/>
          <w:sz w:val="24"/>
          <w:szCs w:val="24"/>
          <w:lang w:eastAsia="en-AU"/>
        </w:rPr>
        <w:t xml:space="preserve">in Order 8 of the Principal Order by replacing the definition with: </w:t>
      </w:r>
    </w:p>
    <w:p w:rsidR="001949FB" w:rsidRDefault="00060EB7">
      <w:pPr>
        <w:pStyle w:val="Default"/>
        <w:numPr>
          <w:ilvl w:val="0"/>
          <w:numId w:val="10"/>
        </w:numPr>
        <w:rPr>
          <w:sz w:val="23"/>
          <w:szCs w:val="23"/>
        </w:rPr>
      </w:pPr>
      <w:r>
        <w:rPr>
          <w:bCs/>
          <w:i/>
          <w:iCs/>
          <w:sz w:val="23"/>
          <w:szCs w:val="23"/>
        </w:rPr>
        <w:t>Australian Fish Names Standard</w:t>
      </w:r>
      <w:r>
        <w:rPr>
          <w:b/>
          <w:bCs/>
          <w:i/>
          <w:iCs/>
          <w:sz w:val="23"/>
          <w:szCs w:val="23"/>
        </w:rPr>
        <w:t xml:space="preserve"> </w:t>
      </w:r>
      <w:r>
        <w:rPr>
          <w:sz w:val="23"/>
          <w:szCs w:val="23"/>
        </w:rPr>
        <w:t xml:space="preserve">means the Australian Standard known as ‘AS SSA 5300-2011’. </w:t>
      </w:r>
    </w:p>
    <w:p w:rsidR="001949FB" w:rsidRDefault="00060EB7">
      <w:pPr>
        <w:pStyle w:val="Default"/>
        <w:ind w:left="720"/>
        <w:rPr>
          <w:sz w:val="23"/>
          <w:szCs w:val="23"/>
        </w:rPr>
      </w:pPr>
      <w:r>
        <w:rPr>
          <w:i/>
          <w:iCs/>
          <w:sz w:val="20"/>
          <w:szCs w:val="20"/>
        </w:rPr>
        <w:t xml:space="preserve">Note </w:t>
      </w:r>
      <w:r>
        <w:rPr>
          <w:sz w:val="20"/>
          <w:szCs w:val="20"/>
        </w:rPr>
        <w:t>The Australian Standard known as AS SSA 5300-2011 is available for purchase from the Standards Australia website—see www.standards.org.au.</w:t>
      </w:r>
    </w:p>
    <w:p w:rsidR="001949FB" w:rsidRDefault="001949FB">
      <w:pPr>
        <w:tabs>
          <w:tab w:val="left" w:pos="426"/>
          <w:tab w:val="left" w:pos="851"/>
        </w:tabs>
        <w:rPr>
          <w:rFonts w:ascii="Times New Roman" w:eastAsia="Times New Roman" w:hAnsi="Times New Roman" w:cs="Times New Roman"/>
          <w:sz w:val="24"/>
          <w:szCs w:val="24"/>
          <w:lang w:eastAsia="en-AU"/>
        </w:rPr>
      </w:pPr>
    </w:p>
    <w:p w:rsidR="001949FB" w:rsidRDefault="00060EB7">
      <w:pPr>
        <w:tabs>
          <w:tab w:val="left" w:pos="426"/>
          <w:tab w:val="left" w:pos="851"/>
        </w:tabs>
        <w:rPr>
          <w:rFonts w:ascii="Times New Roman" w:hAnsi="Times New Roman" w:cs="Times New Roman"/>
          <w:sz w:val="24"/>
          <w:szCs w:val="24"/>
        </w:rPr>
      </w:pPr>
      <w:r>
        <w:rPr>
          <w:rFonts w:ascii="Times New Roman" w:eastAsia="Times New Roman" w:hAnsi="Times New Roman" w:cs="Times New Roman"/>
          <w:sz w:val="24"/>
          <w:szCs w:val="24"/>
          <w:lang w:eastAsia="en-AU"/>
        </w:rPr>
        <w:t xml:space="preserve">The new definition of </w:t>
      </w:r>
      <w:r>
        <w:rPr>
          <w:rFonts w:ascii="Times New Roman" w:eastAsia="Times New Roman" w:hAnsi="Times New Roman" w:cs="Times New Roman"/>
          <w:i/>
          <w:sz w:val="24"/>
          <w:szCs w:val="24"/>
          <w:lang w:eastAsia="en-AU"/>
        </w:rPr>
        <w:t>Australian Fish Names Standard</w:t>
      </w:r>
      <w:r>
        <w:rPr>
          <w:rFonts w:ascii="Times New Roman" w:eastAsia="Times New Roman" w:hAnsi="Times New Roman" w:cs="Times New Roman"/>
          <w:sz w:val="24"/>
          <w:szCs w:val="24"/>
          <w:lang w:eastAsia="en-AU"/>
        </w:rPr>
        <w:t xml:space="preserve"> reflects the updated version of the</w:t>
      </w:r>
      <w:r>
        <w:rPr>
          <w:rFonts w:ascii="Times New Roman" w:hAnsi="Times New Roman" w:cs="Times New Roman"/>
          <w:i/>
          <w:sz w:val="24"/>
          <w:szCs w:val="24"/>
        </w:rPr>
        <w:t xml:space="preserve"> </w:t>
      </w:r>
      <w:r>
        <w:rPr>
          <w:rFonts w:ascii="Times New Roman" w:hAnsi="Times New Roman" w:cs="Times New Roman"/>
          <w:sz w:val="24"/>
          <w:szCs w:val="24"/>
        </w:rPr>
        <w:t xml:space="preserve">standard, currently available. </w:t>
      </w:r>
      <w:r>
        <w:rPr>
          <w:rFonts w:ascii="Times New Roman" w:eastAsia="Times New Roman" w:hAnsi="Times New Roman" w:cs="Times New Roman"/>
          <w:sz w:val="24"/>
          <w:szCs w:val="24"/>
          <w:lang w:eastAsia="en-AU"/>
        </w:rPr>
        <w:t>This provides that a reference to the</w:t>
      </w:r>
      <w:r>
        <w:rPr>
          <w:rFonts w:ascii="Times New Roman" w:eastAsia="Times New Roman" w:hAnsi="Times New Roman" w:cs="Times New Roman"/>
          <w:i/>
          <w:sz w:val="24"/>
          <w:szCs w:val="24"/>
          <w:lang w:eastAsia="en-AU"/>
        </w:rPr>
        <w:t xml:space="preserve"> Australian Fish Names Standard</w:t>
      </w:r>
      <w:r>
        <w:rPr>
          <w:rFonts w:ascii="Times New Roman" w:eastAsia="Times New Roman" w:hAnsi="Times New Roman" w:cs="Times New Roman"/>
          <w:sz w:val="24"/>
          <w:szCs w:val="24"/>
          <w:lang w:eastAsia="en-AU"/>
        </w:rPr>
        <w:t xml:space="preserve"> in this Order is a reference to the publication titled the Australian Standard AS SSA 5300-2011.  The fish names standard is produced by Seafood Service Australia, Fish Names Committee, which is available for purchase on the Standards Australia website. </w:t>
      </w:r>
    </w:p>
    <w:p w:rsidR="001949FB" w:rsidRDefault="00060EB7">
      <w:pPr>
        <w:autoSpaceDE w:val="0"/>
        <w:autoSpaceDN w:val="0"/>
        <w:adjustRightInd w:val="0"/>
        <w:spacing w:after="0"/>
        <w:rPr>
          <w:rFonts w:ascii="Times New Roman" w:hAnsi="Times New Roman" w:cs="Times New Roman"/>
          <w:sz w:val="24"/>
          <w:szCs w:val="24"/>
        </w:rPr>
      </w:pPr>
      <w:r>
        <w:rPr>
          <w:rFonts w:ascii="Times New Roman" w:hAnsi="Times New Roman" w:cs="Times New Roman"/>
          <w:color w:val="000000"/>
          <w:sz w:val="24"/>
          <w:szCs w:val="24"/>
          <w:u w:val="single"/>
        </w:rPr>
        <w:t>Item 2</w:t>
      </w:r>
      <w:r>
        <w:rPr>
          <w:rFonts w:ascii="Times New Roman" w:hAnsi="Times New Roman" w:cs="Times New Roman"/>
          <w:color w:val="000000"/>
          <w:sz w:val="24"/>
          <w:szCs w:val="24"/>
        </w:rPr>
        <w:t xml:space="preserve"> amends the definition of </w:t>
      </w:r>
      <w:r>
        <w:rPr>
          <w:rFonts w:ascii="Times New Roman" w:hAnsi="Times New Roman" w:cs="Times New Roman"/>
          <w:i/>
          <w:color w:val="000000"/>
          <w:sz w:val="24"/>
          <w:szCs w:val="24"/>
        </w:rPr>
        <w:t>catcher boat</w:t>
      </w:r>
      <w:r>
        <w:rPr>
          <w:rFonts w:ascii="Times New Roman" w:hAnsi="Times New Roman" w:cs="Times New Roman"/>
          <w:color w:val="000000"/>
          <w:sz w:val="24"/>
          <w:szCs w:val="24"/>
        </w:rPr>
        <w:t xml:space="preserve"> in Order 8, paragraph (b) of the Principal Order.  The item omits the words ‘(other than shucking molluscs)’ and inserts in its place the words ‘(other than shucking shellfish)’.  The purpose of this amendment is to amend t</w:t>
      </w:r>
      <w:r>
        <w:rPr>
          <w:rFonts w:ascii="Times New Roman" w:hAnsi="Times New Roman" w:cs="Times New Roman"/>
          <w:sz w:val="24"/>
          <w:szCs w:val="24"/>
        </w:rPr>
        <w:t>he definition of catcher boat</w:t>
      </w:r>
      <w:r>
        <w:rPr>
          <w:rFonts w:ascii="Times New Roman" w:hAnsi="Times New Roman" w:cs="Times New Roman"/>
          <w:color w:val="000000"/>
          <w:sz w:val="24"/>
          <w:szCs w:val="24"/>
        </w:rPr>
        <w:t xml:space="preserve"> and to correct the drafting inconsistency between Order 8 and </w:t>
      </w:r>
      <w:r>
        <w:rPr>
          <w:rFonts w:ascii="Times New Roman" w:hAnsi="Times New Roman" w:cs="Times New Roman"/>
          <w:sz w:val="24"/>
          <w:szCs w:val="24"/>
        </w:rPr>
        <w:t>Order 23.</w:t>
      </w:r>
    </w:p>
    <w:p w:rsidR="001949FB" w:rsidRDefault="001949FB">
      <w:pPr>
        <w:autoSpaceDE w:val="0"/>
        <w:autoSpaceDN w:val="0"/>
        <w:adjustRightInd w:val="0"/>
        <w:spacing w:after="0"/>
        <w:rPr>
          <w:rFonts w:ascii="Times New Roman" w:hAnsi="Times New Roman" w:cs="Times New Roman"/>
          <w:sz w:val="24"/>
          <w:szCs w:val="24"/>
        </w:rPr>
      </w:pPr>
    </w:p>
    <w:p w:rsidR="001949FB" w:rsidRDefault="00060EB7">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Order 8 contains a reference to </w:t>
      </w:r>
      <w:r>
        <w:rPr>
          <w:rFonts w:ascii="Times New Roman" w:hAnsi="Times New Roman" w:cs="Times New Roman"/>
          <w:i/>
          <w:sz w:val="24"/>
          <w:szCs w:val="24"/>
        </w:rPr>
        <w:t>molluscs,</w:t>
      </w:r>
      <w:r>
        <w:rPr>
          <w:rFonts w:ascii="Times New Roman" w:hAnsi="Times New Roman" w:cs="Times New Roman"/>
          <w:sz w:val="24"/>
          <w:szCs w:val="24"/>
        </w:rPr>
        <w:t xml:space="preserve"> referring to abalone and shellfish. All other references in the Order are to </w:t>
      </w:r>
      <w:r>
        <w:rPr>
          <w:rFonts w:ascii="Times New Roman" w:hAnsi="Times New Roman" w:cs="Times New Roman"/>
          <w:i/>
          <w:sz w:val="24"/>
          <w:szCs w:val="24"/>
        </w:rPr>
        <w:t>shellfish,</w:t>
      </w:r>
      <w:r>
        <w:rPr>
          <w:rFonts w:ascii="Times New Roman" w:hAnsi="Times New Roman" w:cs="Times New Roman"/>
          <w:sz w:val="24"/>
          <w:szCs w:val="24"/>
        </w:rPr>
        <w:t xml:space="preserve"> which by definition excludes abalone. Due to this difference in wording, abalone has been expressly excluded from the definition of catcher boat. </w:t>
      </w:r>
    </w:p>
    <w:p w:rsidR="001949FB" w:rsidRDefault="001949FB">
      <w:pPr>
        <w:autoSpaceDE w:val="0"/>
        <w:autoSpaceDN w:val="0"/>
        <w:adjustRightInd w:val="0"/>
        <w:spacing w:after="0"/>
        <w:rPr>
          <w:rFonts w:ascii="Times New Roman" w:hAnsi="Times New Roman" w:cs="Times New Roman"/>
          <w:sz w:val="24"/>
          <w:szCs w:val="24"/>
        </w:rPr>
      </w:pPr>
    </w:p>
    <w:p w:rsidR="001949FB" w:rsidRDefault="00060EB7">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sz w:val="24"/>
          <w:szCs w:val="24"/>
          <w:u w:val="single"/>
        </w:rPr>
        <w:t xml:space="preserve">Item 3 </w:t>
      </w:r>
      <w:r>
        <w:rPr>
          <w:rFonts w:ascii="Times New Roman" w:hAnsi="Times New Roman" w:cs="Times New Roman"/>
          <w:color w:val="000000"/>
          <w:sz w:val="24"/>
          <w:szCs w:val="24"/>
        </w:rPr>
        <w:t xml:space="preserve">amends the definition of </w:t>
      </w:r>
      <w:r>
        <w:rPr>
          <w:rFonts w:ascii="Times New Roman" w:hAnsi="Times New Roman" w:cs="Times New Roman"/>
          <w:i/>
          <w:color w:val="000000"/>
          <w:sz w:val="24"/>
          <w:szCs w:val="24"/>
        </w:rPr>
        <w:t>catcher boat</w:t>
      </w:r>
      <w:r>
        <w:rPr>
          <w:rFonts w:ascii="Times New Roman" w:hAnsi="Times New Roman" w:cs="Times New Roman"/>
          <w:color w:val="000000"/>
          <w:sz w:val="24"/>
          <w:szCs w:val="24"/>
        </w:rPr>
        <w:t xml:space="preserve"> in Order 8, at the foot of the Principal Order.  The item inserts ‘Note: For the definition of preparation, see section 3 of the Act.’ </w:t>
      </w:r>
    </w:p>
    <w:p w:rsidR="001949FB" w:rsidRDefault="001949FB">
      <w:pPr>
        <w:autoSpaceDE w:val="0"/>
        <w:autoSpaceDN w:val="0"/>
        <w:adjustRightInd w:val="0"/>
        <w:spacing w:after="0"/>
        <w:rPr>
          <w:rFonts w:ascii="Times New Roman" w:hAnsi="Times New Roman" w:cs="Times New Roman"/>
          <w:color w:val="000000"/>
          <w:sz w:val="24"/>
          <w:szCs w:val="24"/>
        </w:rPr>
      </w:pPr>
    </w:p>
    <w:p w:rsidR="001949FB" w:rsidRDefault="00060EB7">
      <w:pPr>
        <w:rPr>
          <w:rFonts w:ascii="Times New Roman" w:hAnsi="Times New Roman" w:cs="Times New Roman"/>
          <w:color w:val="000000"/>
          <w:sz w:val="24"/>
          <w:szCs w:val="24"/>
        </w:rPr>
      </w:pPr>
      <w:r>
        <w:rPr>
          <w:rFonts w:ascii="Times New Roman" w:hAnsi="Times New Roman" w:cs="Times New Roman"/>
          <w:color w:val="000000"/>
          <w:sz w:val="24"/>
          <w:szCs w:val="24"/>
        </w:rPr>
        <w:t xml:space="preserve">The purpose of this amendment is for consistency between Order 8 and Order 23, </w:t>
      </w:r>
      <w:r>
        <w:rPr>
          <w:rFonts w:ascii="Times New Roman" w:hAnsi="Times New Roman" w:cs="Times New Roman"/>
          <w:sz w:val="24"/>
          <w:szCs w:val="24"/>
        </w:rPr>
        <w:t>to identify which activities are preparations.</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A note similar to the note below Order 23 will be included in Order 8 that provides a signpost to the reader of the definition of that term in section 3 of the </w:t>
      </w:r>
      <w:r>
        <w:rPr>
          <w:rFonts w:ascii="Times New Roman" w:hAnsi="Times New Roman" w:cs="Times New Roman"/>
          <w:i/>
          <w:iCs/>
          <w:sz w:val="24"/>
          <w:szCs w:val="24"/>
        </w:rPr>
        <w:t>Export Control Act 1982</w:t>
      </w:r>
      <w:r>
        <w:rPr>
          <w:rFonts w:ascii="Times New Roman" w:hAnsi="Times New Roman" w:cs="Times New Roman"/>
          <w:sz w:val="24"/>
          <w:szCs w:val="24"/>
        </w:rPr>
        <w:t xml:space="preserve"> (the Act).</w:t>
      </w:r>
      <w:r>
        <w:t xml:space="preserve"> </w:t>
      </w:r>
    </w:p>
    <w:p w:rsidR="001949FB" w:rsidRDefault="001949FB">
      <w:pPr>
        <w:autoSpaceDE w:val="0"/>
        <w:autoSpaceDN w:val="0"/>
        <w:adjustRightInd w:val="0"/>
        <w:spacing w:after="0"/>
        <w:rPr>
          <w:rFonts w:ascii="Times New Roman" w:hAnsi="Times New Roman" w:cs="Times New Roman"/>
          <w:color w:val="000000"/>
          <w:sz w:val="24"/>
          <w:szCs w:val="24"/>
        </w:rPr>
      </w:pPr>
    </w:p>
    <w:p w:rsidR="001949FB" w:rsidRDefault="00060EB7">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u w:val="single"/>
        </w:rPr>
        <w:t>Item 4</w:t>
      </w:r>
      <w:r>
        <w:rPr>
          <w:rFonts w:ascii="Times New Roman" w:hAnsi="Times New Roman" w:cs="Times New Roman"/>
          <w:color w:val="000000"/>
          <w:sz w:val="24"/>
          <w:szCs w:val="24"/>
        </w:rPr>
        <w:t xml:space="preserve"> amends Suborder 17.1 (b) by replacing with ‘(b) they are for export in small consignments; or’ and inserting a new paragraph ‘(c) they are for export to New Zealand.’ </w:t>
      </w:r>
    </w:p>
    <w:p w:rsidR="001949FB" w:rsidRDefault="001949FB">
      <w:pPr>
        <w:autoSpaceDE w:val="0"/>
        <w:autoSpaceDN w:val="0"/>
        <w:adjustRightInd w:val="0"/>
        <w:spacing w:after="0"/>
        <w:rPr>
          <w:rFonts w:ascii="Times New Roman" w:hAnsi="Times New Roman" w:cs="Times New Roman"/>
          <w:color w:val="000000"/>
          <w:sz w:val="24"/>
          <w:szCs w:val="24"/>
        </w:rPr>
      </w:pPr>
    </w:p>
    <w:p w:rsidR="001949FB" w:rsidRDefault="00060EB7">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The purpose of the amendment is to </w:t>
      </w:r>
      <w:r>
        <w:rPr>
          <w:rFonts w:ascii="Times New Roman" w:hAnsi="Times New Roman" w:cs="Times New Roman"/>
          <w:sz w:val="24"/>
          <w:szCs w:val="24"/>
        </w:rPr>
        <w:t>refer to, in a separate Suborder, consignments of fish and fish products for exports that are destined for international countries other than New Zealand from those exports destined for New Zealand. This amendment intends the latter to be referred to in a separate Suborder “(c)”. This change does not amend the intent of the Order but serves to clarify it.</w:t>
      </w:r>
    </w:p>
    <w:p w:rsidR="001949FB" w:rsidRDefault="001949FB">
      <w:pPr>
        <w:autoSpaceDE w:val="0"/>
        <w:autoSpaceDN w:val="0"/>
        <w:adjustRightInd w:val="0"/>
        <w:spacing w:after="0"/>
        <w:rPr>
          <w:rFonts w:ascii="Times New Roman" w:hAnsi="Times New Roman" w:cs="Times New Roman"/>
          <w:color w:val="000000"/>
          <w:sz w:val="24"/>
          <w:szCs w:val="24"/>
        </w:rPr>
      </w:pPr>
    </w:p>
    <w:p w:rsidR="001949FB" w:rsidRDefault="00060EB7">
      <w:pPr>
        <w:rPr>
          <w:rFonts w:ascii="Times New Roman" w:hAnsi="Times New Roman" w:cs="Times New Roman"/>
          <w:sz w:val="24"/>
          <w:szCs w:val="24"/>
        </w:rPr>
      </w:pPr>
      <w:r>
        <w:rPr>
          <w:rFonts w:ascii="Times New Roman" w:hAnsi="Times New Roman" w:cs="Times New Roman"/>
          <w:sz w:val="24"/>
          <w:szCs w:val="24"/>
          <w:u w:val="single"/>
        </w:rPr>
        <w:t>Item 5</w:t>
      </w:r>
      <w:r>
        <w:rPr>
          <w:rFonts w:ascii="Times New Roman" w:hAnsi="Times New Roman" w:cs="Times New Roman"/>
          <w:sz w:val="24"/>
          <w:szCs w:val="24"/>
        </w:rPr>
        <w:t xml:space="preserve"> substitutes the current heading of Order 23 with ‘Establishments that engage in particular activities related to fish’.</w:t>
      </w:r>
    </w:p>
    <w:p w:rsidR="001949FB" w:rsidRDefault="00060EB7">
      <w:pPr>
        <w:tabs>
          <w:tab w:val="left" w:pos="567"/>
        </w:tabs>
        <w:jc w:val="both"/>
        <w:rPr>
          <w:rFonts w:ascii="Times New Roman" w:hAnsi="Times New Roman" w:cs="Times New Roman"/>
          <w:sz w:val="24"/>
          <w:szCs w:val="24"/>
        </w:rPr>
      </w:pPr>
      <w:r>
        <w:rPr>
          <w:rFonts w:ascii="Times New Roman" w:hAnsi="Times New Roman" w:cs="Times New Roman"/>
          <w:sz w:val="24"/>
          <w:szCs w:val="24"/>
        </w:rPr>
        <w:t>The purpose of this amendment is to remove the reference to “Etc”. This change does not amend the intent of the Order but serves to clarify it.</w:t>
      </w:r>
    </w:p>
    <w:p w:rsidR="001949FB" w:rsidRDefault="00060EB7">
      <w:pPr>
        <w:rPr>
          <w:rFonts w:ascii="Times New Roman" w:hAnsi="Times New Roman" w:cs="Times New Roman"/>
          <w:sz w:val="24"/>
          <w:szCs w:val="24"/>
        </w:rPr>
      </w:pPr>
      <w:r>
        <w:rPr>
          <w:rFonts w:ascii="Times New Roman" w:hAnsi="Times New Roman" w:cs="Times New Roman"/>
          <w:sz w:val="24"/>
          <w:szCs w:val="24"/>
          <w:u w:val="single"/>
        </w:rPr>
        <w:t>Item 6</w:t>
      </w:r>
      <w:r>
        <w:rPr>
          <w:rFonts w:ascii="Times New Roman" w:hAnsi="Times New Roman" w:cs="Times New Roman"/>
          <w:sz w:val="24"/>
          <w:szCs w:val="24"/>
        </w:rPr>
        <w:t xml:space="preserve"> amends Order 23, paragraph (c) of the current Suborder by removing ‘killing’ and replacing it with ‘killing (other than shucking shellfish)’.</w:t>
      </w:r>
    </w:p>
    <w:p w:rsidR="001949FB" w:rsidRDefault="00060EB7">
      <w:pPr>
        <w:tabs>
          <w:tab w:val="left" w:pos="0"/>
        </w:tabs>
        <w:spacing w:after="0"/>
        <w:jc w:val="both"/>
        <w:rPr>
          <w:rFonts w:ascii="Times New Roman" w:hAnsi="Times New Roman" w:cs="Times New Roman"/>
          <w:sz w:val="24"/>
          <w:szCs w:val="24"/>
        </w:rPr>
      </w:pPr>
      <w:r>
        <w:rPr>
          <w:rFonts w:ascii="Times New Roman" w:hAnsi="Times New Roman" w:cs="Times New Roman"/>
          <w:sz w:val="24"/>
          <w:szCs w:val="24"/>
        </w:rPr>
        <w:t>This amendment is required to make the definition of a catcher boat in Order 8 and 23 consistent in relation to the references to shellfish.</w:t>
      </w:r>
    </w:p>
    <w:p w:rsidR="005E14A4" w:rsidRDefault="005E14A4">
      <w:pPr>
        <w:tabs>
          <w:tab w:val="left" w:pos="0"/>
        </w:tabs>
        <w:spacing w:after="0"/>
        <w:jc w:val="both"/>
        <w:rPr>
          <w:rFonts w:ascii="Times New Roman" w:hAnsi="Times New Roman" w:cs="Times New Roman"/>
          <w:sz w:val="24"/>
          <w:szCs w:val="24"/>
        </w:rPr>
      </w:pPr>
    </w:p>
    <w:p w:rsidR="005E14A4" w:rsidRDefault="005E14A4">
      <w:pPr>
        <w:rPr>
          <w:rFonts w:ascii="Times New Roman" w:hAnsi="Times New Roman" w:cs="Times New Roman"/>
          <w:b/>
          <w:sz w:val="24"/>
          <w:szCs w:val="24"/>
        </w:rPr>
      </w:pPr>
      <w:r>
        <w:rPr>
          <w:rFonts w:ascii="Times New Roman" w:hAnsi="Times New Roman" w:cs="Times New Roman"/>
          <w:b/>
          <w:sz w:val="24"/>
          <w:szCs w:val="24"/>
        </w:rPr>
        <w:br w:type="page"/>
      </w:r>
    </w:p>
    <w:p w:rsidR="001949FB" w:rsidRDefault="00060EB7">
      <w:pPr>
        <w:spacing w:before="360" w:after="120"/>
        <w:jc w:val="center"/>
        <w:rPr>
          <w:rFonts w:ascii="Times New Roman" w:hAnsi="Times New Roman" w:cs="Times New Roman"/>
          <w:b/>
          <w:sz w:val="24"/>
          <w:szCs w:val="24"/>
        </w:rPr>
      </w:pPr>
      <w:r>
        <w:rPr>
          <w:rFonts w:ascii="Times New Roman" w:hAnsi="Times New Roman" w:cs="Times New Roman"/>
          <w:b/>
          <w:sz w:val="24"/>
          <w:szCs w:val="24"/>
        </w:rPr>
        <w:t>Statement of Compatibility with Human Rights</w:t>
      </w:r>
    </w:p>
    <w:p w:rsidR="001949FB" w:rsidRDefault="00060EB7">
      <w:pPr>
        <w:spacing w:before="120" w:after="120"/>
        <w:jc w:val="center"/>
        <w:rPr>
          <w:rFonts w:ascii="Times New Roman" w:hAnsi="Times New Roman" w:cs="Times New Roman"/>
          <w:sz w:val="24"/>
          <w:szCs w:val="24"/>
        </w:rPr>
      </w:pPr>
      <w:r>
        <w:rPr>
          <w:rFonts w:ascii="Times New Roman" w:hAnsi="Times New Roman" w:cs="Times New Roman"/>
          <w:i/>
          <w:sz w:val="24"/>
          <w:szCs w:val="24"/>
        </w:rPr>
        <w:t>Prepared in accordance with Part 3 of the Human Rights (Parliamentary Scrutiny) Act 2011</w:t>
      </w:r>
    </w:p>
    <w:p w:rsidR="001949FB" w:rsidRDefault="001949FB">
      <w:pPr>
        <w:jc w:val="center"/>
        <w:rPr>
          <w:rFonts w:ascii="Times New Roman" w:hAnsi="Times New Roman" w:cs="Times New Roman"/>
          <w:sz w:val="24"/>
          <w:szCs w:val="24"/>
        </w:rPr>
      </w:pPr>
    </w:p>
    <w:p w:rsidR="001949FB" w:rsidRDefault="00060EB7">
      <w:pPr>
        <w:spacing w:before="100" w:beforeAutospacing="1" w:after="100" w:afterAutospacing="1"/>
        <w:jc w:val="center"/>
        <w:rPr>
          <w:rFonts w:ascii="Times New Roman" w:eastAsia="Times New Roman" w:hAnsi="Times New Roman" w:cs="Times New Roman"/>
          <w:b/>
          <w:sz w:val="24"/>
          <w:szCs w:val="24"/>
          <w:lang w:eastAsia="en-AU"/>
        </w:rPr>
      </w:pPr>
      <w:r>
        <w:rPr>
          <w:rFonts w:ascii="Times New Roman" w:hAnsi="Times New Roman" w:cs="Times New Roman"/>
          <w:b/>
          <w:i/>
          <w:color w:val="000000"/>
          <w:sz w:val="24"/>
          <w:szCs w:val="24"/>
        </w:rPr>
        <w:t>Export Control (Fish and Fish Products) Amendment Order 2012 (No. 1)</w:t>
      </w:r>
      <w:r>
        <w:rPr>
          <w:rFonts w:ascii="Times New Roman" w:eastAsia="Times New Roman" w:hAnsi="Times New Roman" w:cs="Times New Roman"/>
          <w:b/>
          <w:sz w:val="24"/>
          <w:szCs w:val="24"/>
          <w:lang w:eastAsia="en-AU"/>
        </w:rPr>
        <w:t xml:space="preserve"> </w:t>
      </w:r>
    </w:p>
    <w:p w:rsidR="001949FB" w:rsidRDefault="00060EB7">
      <w:pPr>
        <w:spacing w:before="120" w:after="120"/>
        <w:rPr>
          <w:rFonts w:ascii="Times New Roman" w:hAnsi="Times New Roman" w:cs="Times New Roman"/>
          <w:sz w:val="24"/>
          <w:szCs w:val="24"/>
        </w:rPr>
      </w:pPr>
      <w:r>
        <w:rPr>
          <w:rFonts w:ascii="Times New Roman" w:hAnsi="Times New Roman" w:cs="Times New Roman"/>
          <w:sz w:val="24"/>
          <w:szCs w:val="24"/>
        </w:rPr>
        <w:t xml:space="preserve">This Legislative Instrument is compatible with the human rights and freedoms recognised or declared in the international instruments listed in section 3 of the </w:t>
      </w:r>
      <w:r>
        <w:rPr>
          <w:rFonts w:ascii="Times New Roman" w:hAnsi="Times New Roman" w:cs="Times New Roman"/>
          <w:i/>
          <w:sz w:val="24"/>
          <w:szCs w:val="24"/>
        </w:rPr>
        <w:t>Human Rights (Parliamentary Scrutiny) Act 2011</w:t>
      </w:r>
      <w:r>
        <w:rPr>
          <w:rFonts w:ascii="Times New Roman" w:hAnsi="Times New Roman" w:cs="Times New Roman"/>
          <w:sz w:val="24"/>
          <w:szCs w:val="24"/>
        </w:rPr>
        <w:t>.</w:t>
      </w:r>
    </w:p>
    <w:p w:rsidR="001949FB" w:rsidRDefault="001949FB">
      <w:pPr>
        <w:rPr>
          <w:rFonts w:ascii="Times New Roman" w:hAnsi="Times New Roman" w:cs="Times New Roman"/>
          <w:sz w:val="24"/>
          <w:szCs w:val="24"/>
        </w:rPr>
      </w:pPr>
    </w:p>
    <w:p w:rsidR="001949FB" w:rsidRDefault="00060EB7">
      <w:pPr>
        <w:spacing w:before="120" w:after="120"/>
        <w:jc w:val="both"/>
        <w:rPr>
          <w:rFonts w:ascii="Times New Roman" w:hAnsi="Times New Roman" w:cs="Times New Roman"/>
          <w:b/>
          <w:sz w:val="24"/>
          <w:szCs w:val="24"/>
        </w:rPr>
      </w:pPr>
      <w:r>
        <w:rPr>
          <w:rFonts w:ascii="Times New Roman" w:hAnsi="Times New Roman" w:cs="Times New Roman"/>
          <w:b/>
          <w:sz w:val="24"/>
          <w:szCs w:val="24"/>
        </w:rPr>
        <w:t>Overview of the Legislative Instrument</w:t>
      </w:r>
    </w:p>
    <w:p w:rsidR="001949FB" w:rsidRDefault="00060EB7">
      <w:pPr>
        <w:spacing w:before="100" w:beforeAutospacing="1" w:after="100" w:afterAutospacing="1"/>
        <w:rPr>
          <w:rFonts w:ascii="Times New Roman" w:eastAsia="Times New Roman" w:hAnsi="Times New Roman" w:cs="Times New Roman"/>
          <w:b/>
          <w:sz w:val="24"/>
          <w:szCs w:val="24"/>
          <w:lang w:eastAsia="en-AU"/>
        </w:rPr>
      </w:pPr>
      <w:r>
        <w:rPr>
          <w:rFonts w:ascii="Times New Roman" w:hAnsi="Times New Roman" w:cs="Times New Roman"/>
          <w:color w:val="000000"/>
          <w:sz w:val="24"/>
          <w:szCs w:val="24"/>
        </w:rPr>
        <w:t xml:space="preserve">The purpose of the Amendment Order is to make various minor amendments to the Principal Order. These amendments clarify definitions within the </w:t>
      </w:r>
      <w:r>
        <w:rPr>
          <w:rFonts w:ascii="Times New Roman" w:hAnsi="Times New Roman" w:cs="Times New Roman"/>
          <w:i/>
          <w:color w:val="000000"/>
          <w:sz w:val="24"/>
          <w:szCs w:val="24"/>
        </w:rPr>
        <w:t>Export Control (Fish and Fish Products) Amendment Order 2012 (No. 1).</w:t>
      </w:r>
      <w:r>
        <w:rPr>
          <w:rFonts w:ascii="Times New Roman" w:eastAsia="Times New Roman" w:hAnsi="Times New Roman" w:cs="Times New Roman"/>
          <w:sz w:val="24"/>
          <w:szCs w:val="24"/>
          <w:lang w:eastAsia="en-AU"/>
        </w:rPr>
        <w:t xml:space="preserve"> </w:t>
      </w:r>
    </w:p>
    <w:p w:rsidR="001949FB" w:rsidRDefault="001949FB">
      <w:pPr>
        <w:tabs>
          <w:tab w:val="left" w:pos="426"/>
          <w:tab w:val="left" w:pos="851"/>
        </w:tabs>
        <w:rPr>
          <w:rFonts w:ascii="Times New Roman" w:hAnsi="Times New Roman" w:cs="Times New Roman"/>
          <w:color w:val="000000"/>
          <w:sz w:val="24"/>
          <w:szCs w:val="24"/>
        </w:rPr>
      </w:pPr>
    </w:p>
    <w:p w:rsidR="001949FB" w:rsidRDefault="00060EB7">
      <w:pPr>
        <w:spacing w:before="120" w:after="120"/>
        <w:rPr>
          <w:rFonts w:ascii="Times New Roman" w:hAnsi="Times New Roman" w:cs="Times New Roman"/>
          <w:b/>
          <w:sz w:val="24"/>
          <w:szCs w:val="24"/>
        </w:rPr>
      </w:pPr>
      <w:r>
        <w:rPr>
          <w:rFonts w:ascii="Times New Roman" w:hAnsi="Times New Roman" w:cs="Times New Roman"/>
          <w:b/>
          <w:sz w:val="24"/>
          <w:szCs w:val="24"/>
        </w:rPr>
        <w:t>Human rights implications</w:t>
      </w:r>
    </w:p>
    <w:p w:rsidR="001949FB" w:rsidRDefault="00060EB7">
      <w:pPr>
        <w:spacing w:before="120" w:after="120"/>
        <w:rPr>
          <w:rFonts w:ascii="Times New Roman" w:hAnsi="Times New Roman" w:cs="Times New Roman"/>
          <w:sz w:val="24"/>
          <w:szCs w:val="24"/>
        </w:rPr>
      </w:pPr>
      <w:r>
        <w:rPr>
          <w:rFonts w:ascii="Times New Roman" w:hAnsi="Times New Roman" w:cs="Times New Roman"/>
          <w:sz w:val="24"/>
          <w:szCs w:val="24"/>
        </w:rPr>
        <w:t>This Legislative Instrument does not engage any of the applicable rights or freedoms.</w:t>
      </w:r>
    </w:p>
    <w:p w:rsidR="001949FB" w:rsidRDefault="001949FB">
      <w:pPr>
        <w:rPr>
          <w:rFonts w:ascii="Times New Roman" w:hAnsi="Times New Roman" w:cs="Times New Roman"/>
          <w:sz w:val="24"/>
          <w:szCs w:val="24"/>
        </w:rPr>
      </w:pPr>
    </w:p>
    <w:p w:rsidR="001949FB" w:rsidRDefault="00060EB7">
      <w:pPr>
        <w:spacing w:before="120" w:after="120"/>
        <w:rPr>
          <w:rFonts w:ascii="Times New Roman" w:hAnsi="Times New Roman" w:cs="Times New Roman"/>
          <w:b/>
          <w:sz w:val="24"/>
          <w:szCs w:val="24"/>
        </w:rPr>
      </w:pPr>
      <w:r>
        <w:rPr>
          <w:rFonts w:ascii="Times New Roman" w:hAnsi="Times New Roman" w:cs="Times New Roman"/>
          <w:b/>
          <w:sz w:val="24"/>
          <w:szCs w:val="24"/>
        </w:rPr>
        <w:t>Conclusion</w:t>
      </w:r>
    </w:p>
    <w:p w:rsidR="001949FB" w:rsidRDefault="00060EB7">
      <w:pPr>
        <w:spacing w:before="120" w:after="120"/>
        <w:rPr>
          <w:rFonts w:ascii="Times New Roman" w:hAnsi="Times New Roman" w:cs="Times New Roman"/>
          <w:sz w:val="24"/>
          <w:szCs w:val="24"/>
        </w:rPr>
      </w:pPr>
      <w:r>
        <w:rPr>
          <w:rFonts w:ascii="Times New Roman" w:hAnsi="Times New Roman" w:cs="Times New Roman"/>
          <w:sz w:val="24"/>
          <w:szCs w:val="24"/>
        </w:rPr>
        <w:t>This Legislative Instrument is compatible with human rights as it does not raise any human rights issues.</w:t>
      </w:r>
    </w:p>
    <w:p w:rsidR="001949FB" w:rsidRDefault="001949FB">
      <w:pPr>
        <w:rPr>
          <w:rFonts w:ascii="Times New Roman" w:hAnsi="Times New Roman" w:cs="Times New Roman"/>
          <w:sz w:val="24"/>
          <w:szCs w:val="24"/>
        </w:rPr>
      </w:pPr>
    </w:p>
    <w:p w:rsidR="001949FB" w:rsidRDefault="00060EB7">
      <w:pPr>
        <w:spacing w:before="120" w:after="120"/>
        <w:jc w:val="center"/>
        <w:rPr>
          <w:rFonts w:ascii="Times New Roman" w:hAnsi="Times New Roman" w:cs="Times New Roman"/>
          <w:sz w:val="24"/>
          <w:szCs w:val="24"/>
        </w:rPr>
      </w:pPr>
      <w:r>
        <w:rPr>
          <w:rFonts w:ascii="Times New Roman" w:hAnsi="Times New Roman" w:cs="Times New Roman"/>
          <w:b/>
          <w:sz w:val="24"/>
          <w:szCs w:val="24"/>
        </w:rPr>
        <w:t>The Hon. Peter Douglas Sidebottom MP, Parliamentary Secretary for Agriculture, Fisheries and Forestry</w:t>
      </w:r>
    </w:p>
    <w:p w:rsidR="001949FB" w:rsidRDefault="001949FB">
      <w:pPr>
        <w:rPr>
          <w:rFonts w:ascii="Times New Roman" w:hAnsi="Times New Roman" w:cs="Times New Roman"/>
          <w:sz w:val="24"/>
          <w:szCs w:val="24"/>
        </w:rPr>
      </w:pPr>
    </w:p>
    <w:p w:rsidR="001949FB" w:rsidRDefault="001949FB">
      <w:pPr>
        <w:rPr>
          <w:rFonts w:ascii="Times New Roman" w:hAnsi="Times New Roman" w:cs="Times New Roman"/>
          <w:sz w:val="24"/>
          <w:szCs w:val="24"/>
        </w:rPr>
      </w:pPr>
    </w:p>
    <w:sectPr w:rsidR="001949FB" w:rsidSect="001949F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543495"/>
    <w:multiLevelType w:val="hybridMultilevel"/>
    <w:tmpl w:val="FC0E57CE"/>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
    <w:nsid w:val="2B910D74"/>
    <w:multiLevelType w:val="hybridMultilevel"/>
    <w:tmpl w:val="E082A0FA"/>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nsid w:val="30185056"/>
    <w:multiLevelType w:val="hybridMultilevel"/>
    <w:tmpl w:val="C6EE36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35577D19"/>
    <w:multiLevelType w:val="hybridMultilevel"/>
    <w:tmpl w:val="DE4A3AB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4">
    <w:nsid w:val="40286D3E"/>
    <w:multiLevelType w:val="hybridMultilevel"/>
    <w:tmpl w:val="6F56C1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424639CC"/>
    <w:multiLevelType w:val="hybridMultilevel"/>
    <w:tmpl w:val="00E83C22"/>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nsid w:val="4FBC3722"/>
    <w:multiLevelType w:val="hybridMultilevel"/>
    <w:tmpl w:val="624436FA"/>
    <w:lvl w:ilvl="0" w:tplc="68DE753E">
      <w:numFmt w:val="bullet"/>
      <w:lvlText w:val=""/>
      <w:lvlJc w:val="left"/>
      <w:pPr>
        <w:ind w:left="717" w:hanging="360"/>
      </w:pPr>
      <w:rPr>
        <w:rFonts w:ascii="Times New Roman" w:eastAsia="Times New Roman" w:hAnsi="Times New Roman" w:cs="Times New Roman"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7">
    <w:nsid w:val="5364648D"/>
    <w:multiLevelType w:val="hybridMultilevel"/>
    <w:tmpl w:val="6074C4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5C295CFC"/>
    <w:multiLevelType w:val="hybridMultilevel"/>
    <w:tmpl w:val="0282A5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69715D56"/>
    <w:multiLevelType w:val="hybridMultilevel"/>
    <w:tmpl w:val="29D2D24E"/>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num w:numId="1">
    <w:abstractNumId w:val="7"/>
  </w:num>
  <w:num w:numId="2">
    <w:abstractNumId w:val="2"/>
  </w:num>
  <w:num w:numId="3">
    <w:abstractNumId w:val="9"/>
  </w:num>
  <w:num w:numId="4">
    <w:abstractNumId w:val="6"/>
  </w:num>
  <w:num w:numId="5">
    <w:abstractNumId w:val="3"/>
  </w:num>
  <w:num w:numId="6">
    <w:abstractNumId w:val="0"/>
  </w:num>
  <w:num w:numId="7">
    <w:abstractNumId w:val="1"/>
  </w:num>
  <w:num w:numId="8">
    <w:abstractNumId w:val="8"/>
  </w:num>
  <w:num w:numId="9">
    <w:abstractNumId w:val="5"/>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949FB"/>
    <w:rsid w:val="00060EB7"/>
    <w:rsid w:val="001235C1"/>
    <w:rsid w:val="001949FB"/>
    <w:rsid w:val="003B0671"/>
    <w:rsid w:val="003C6121"/>
    <w:rsid w:val="00455E62"/>
    <w:rsid w:val="005E14A4"/>
    <w:rsid w:val="006020B7"/>
    <w:rsid w:val="009D0E49"/>
    <w:rsid w:val="00D51E6D"/>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9FB"/>
  </w:style>
  <w:style w:type="paragraph" w:styleId="Heading1">
    <w:name w:val="heading 1"/>
    <w:basedOn w:val="Normal"/>
    <w:link w:val="Heading1Char"/>
    <w:uiPriority w:val="9"/>
    <w:qFormat/>
    <w:rsid w:val="001949FB"/>
    <w:pPr>
      <w:spacing w:before="100" w:beforeAutospacing="1" w:after="100" w:afterAutospacing="1" w:line="240" w:lineRule="auto"/>
      <w:outlineLvl w:val="0"/>
    </w:pPr>
    <w:rPr>
      <w:rFonts w:ascii="Verdana" w:eastAsia="Times New Roman" w:hAnsi="Verdana" w:cs="Times New Roman"/>
      <w:b/>
      <w:bCs/>
      <w:color w:val="FF9966"/>
      <w:kern w:val="36"/>
      <w:sz w:val="26"/>
      <w:szCs w:val="2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949FB"/>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1949FB"/>
    <w:pPr>
      <w:ind w:left="720"/>
      <w:contextualSpacing/>
    </w:pPr>
  </w:style>
  <w:style w:type="paragraph" w:styleId="BalloonText">
    <w:name w:val="Balloon Text"/>
    <w:basedOn w:val="Normal"/>
    <w:link w:val="BalloonTextChar"/>
    <w:uiPriority w:val="99"/>
    <w:semiHidden/>
    <w:unhideWhenUsed/>
    <w:rsid w:val="001949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49FB"/>
    <w:rPr>
      <w:rFonts w:ascii="Tahoma" w:hAnsi="Tahoma" w:cs="Tahoma"/>
      <w:sz w:val="16"/>
      <w:szCs w:val="16"/>
    </w:rPr>
  </w:style>
  <w:style w:type="character" w:styleId="CommentReference">
    <w:name w:val="annotation reference"/>
    <w:basedOn w:val="DefaultParagraphFont"/>
    <w:uiPriority w:val="99"/>
    <w:semiHidden/>
    <w:unhideWhenUsed/>
    <w:rsid w:val="001949FB"/>
    <w:rPr>
      <w:sz w:val="16"/>
      <w:szCs w:val="16"/>
    </w:rPr>
  </w:style>
  <w:style w:type="paragraph" w:styleId="CommentText">
    <w:name w:val="annotation text"/>
    <w:basedOn w:val="Normal"/>
    <w:link w:val="CommentTextChar"/>
    <w:uiPriority w:val="99"/>
    <w:unhideWhenUsed/>
    <w:rsid w:val="001949FB"/>
    <w:pPr>
      <w:spacing w:line="240" w:lineRule="auto"/>
    </w:pPr>
    <w:rPr>
      <w:sz w:val="20"/>
      <w:szCs w:val="20"/>
    </w:rPr>
  </w:style>
  <w:style w:type="character" w:customStyle="1" w:styleId="CommentTextChar">
    <w:name w:val="Comment Text Char"/>
    <w:basedOn w:val="DefaultParagraphFont"/>
    <w:link w:val="CommentText"/>
    <w:uiPriority w:val="99"/>
    <w:rsid w:val="001949FB"/>
    <w:rPr>
      <w:sz w:val="20"/>
      <w:szCs w:val="20"/>
    </w:rPr>
  </w:style>
  <w:style w:type="paragraph" w:styleId="CommentSubject">
    <w:name w:val="annotation subject"/>
    <w:basedOn w:val="CommentText"/>
    <w:next w:val="CommentText"/>
    <w:link w:val="CommentSubjectChar"/>
    <w:uiPriority w:val="99"/>
    <w:semiHidden/>
    <w:unhideWhenUsed/>
    <w:rsid w:val="001949FB"/>
    <w:rPr>
      <w:b/>
      <w:bCs/>
    </w:rPr>
  </w:style>
  <w:style w:type="character" w:customStyle="1" w:styleId="CommentSubjectChar">
    <w:name w:val="Comment Subject Char"/>
    <w:basedOn w:val="CommentTextChar"/>
    <w:link w:val="CommentSubject"/>
    <w:uiPriority w:val="99"/>
    <w:semiHidden/>
    <w:rsid w:val="001949FB"/>
    <w:rPr>
      <w:b/>
      <w:bCs/>
    </w:rPr>
  </w:style>
  <w:style w:type="character" w:customStyle="1" w:styleId="Heading1Char">
    <w:name w:val="Heading 1 Char"/>
    <w:basedOn w:val="DefaultParagraphFont"/>
    <w:link w:val="Heading1"/>
    <w:uiPriority w:val="9"/>
    <w:rsid w:val="001949FB"/>
    <w:rPr>
      <w:rFonts w:ascii="Verdana" w:eastAsia="Times New Roman" w:hAnsi="Verdana" w:cs="Times New Roman"/>
      <w:b/>
      <w:bCs/>
      <w:color w:val="FF9966"/>
      <w:kern w:val="36"/>
      <w:sz w:val="26"/>
      <w:szCs w:val="26"/>
      <w:lang w:eastAsia="en-AU"/>
    </w:rPr>
  </w:style>
</w:styles>
</file>

<file path=word/webSettings.xml><?xml version="1.0" encoding="utf-8"?>
<w:webSettings xmlns:r="http://schemas.openxmlformats.org/officeDocument/2006/relationships" xmlns:w="http://schemas.openxmlformats.org/wordprocessingml/2006/main">
  <w:divs>
    <w:div w:id="1152795630">
      <w:bodyDiv w:val="1"/>
      <w:marLeft w:val="0"/>
      <w:marRight w:val="0"/>
      <w:marTop w:val="0"/>
      <w:marBottom w:val="0"/>
      <w:divBdr>
        <w:top w:val="none" w:sz="0" w:space="0" w:color="auto"/>
        <w:left w:val="none" w:sz="0" w:space="0" w:color="auto"/>
        <w:bottom w:val="none" w:sz="0" w:space="0" w:color="auto"/>
        <w:right w:val="none" w:sz="0" w:space="0" w:color="auto"/>
      </w:divBdr>
    </w:div>
    <w:div w:id="1314335859">
      <w:bodyDiv w:val="1"/>
      <w:marLeft w:val="0"/>
      <w:marRight w:val="0"/>
      <w:marTop w:val="0"/>
      <w:marBottom w:val="0"/>
      <w:divBdr>
        <w:top w:val="none" w:sz="0" w:space="0" w:color="auto"/>
        <w:left w:val="none" w:sz="0" w:space="0" w:color="auto"/>
        <w:bottom w:val="none" w:sz="0" w:space="0" w:color="auto"/>
        <w:right w:val="none" w:sz="0" w:space="0" w:color="auto"/>
      </w:divBdr>
    </w:div>
    <w:div w:id="1454708883">
      <w:bodyDiv w:val="1"/>
      <w:marLeft w:val="0"/>
      <w:marRight w:val="0"/>
      <w:marTop w:val="0"/>
      <w:marBottom w:val="0"/>
      <w:divBdr>
        <w:top w:val="none" w:sz="0" w:space="0" w:color="auto"/>
        <w:left w:val="none" w:sz="0" w:space="0" w:color="auto"/>
        <w:bottom w:val="none" w:sz="0" w:space="0" w:color="auto"/>
        <w:right w:val="none" w:sz="0" w:space="0" w:color="auto"/>
      </w:divBdr>
    </w:div>
    <w:div w:id="1750540885">
      <w:bodyDiv w:val="1"/>
      <w:marLeft w:val="0"/>
      <w:marRight w:val="0"/>
      <w:marTop w:val="0"/>
      <w:marBottom w:val="0"/>
      <w:divBdr>
        <w:top w:val="none" w:sz="0" w:space="0" w:color="auto"/>
        <w:left w:val="none" w:sz="0" w:space="0" w:color="auto"/>
        <w:bottom w:val="none" w:sz="0" w:space="0" w:color="auto"/>
        <w:right w:val="none" w:sz="0" w:space="0" w:color="auto"/>
      </w:divBdr>
      <w:divsChild>
        <w:div w:id="1192374228">
          <w:marLeft w:val="0"/>
          <w:marRight w:val="0"/>
          <w:marTop w:val="0"/>
          <w:marBottom w:val="0"/>
          <w:divBdr>
            <w:top w:val="none" w:sz="0" w:space="0" w:color="auto"/>
            <w:left w:val="none" w:sz="0" w:space="0" w:color="auto"/>
            <w:bottom w:val="none" w:sz="0" w:space="0" w:color="auto"/>
            <w:right w:val="none" w:sz="0" w:space="0" w:color="auto"/>
          </w:divBdr>
        </w:div>
      </w:divsChild>
    </w:div>
    <w:div w:id="2067609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932E6-08F9-4C5C-8118-78751F9F2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996</Words>
  <Characters>5682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Department of Agriculture Fisheries &amp; Forestry</Company>
  <LinksUpToDate>false</LinksUpToDate>
  <CharactersWithSpaces>6665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Jadd Sanson-Fisher</dc:creator>
  <cp:lastModifiedBy>Amy Tang</cp:lastModifiedBy>
  <cp:revision>8</cp:revision>
  <cp:lastPrinted>2012-06-07T06:17:00Z</cp:lastPrinted>
  <dcterms:created xsi:type="dcterms:W3CDTF">2012-06-08T04:18:00Z</dcterms:created>
  <dcterms:modified xsi:type="dcterms:W3CDTF">2012-06-18T03:39:00Z</dcterms:modified>
</cp:coreProperties>
</file>