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474" w:rsidRPr="002967E1" w:rsidRDefault="00E30474">
      <w:pPr>
        <w:pStyle w:val="Title"/>
        <w:rPr>
          <w:b/>
          <w:bCs/>
          <w:szCs w:val="24"/>
        </w:rPr>
      </w:pPr>
      <w:r w:rsidRPr="002967E1">
        <w:rPr>
          <w:b/>
          <w:bCs/>
          <w:szCs w:val="24"/>
        </w:rPr>
        <w:t>EXPLANATORY STATEMENT</w:t>
      </w:r>
    </w:p>
    <w:p w:rsidR="00E30474" w:rsidRPr="002967E1" w:rsidRDefault="00E30474">
      <w:pPr>
        <w:tabs>
          <w:tab w:val="left" w:pos="567"/>
          <w:tab w:val="left" w:pos="1134"/>
          <w:tab w:val="left" w:pos="1701"/>
          <w:tab w:val="left" w:pos="2268"/>
          <w:tab w:val="left" w:pos="2835"/>
          <w:tab w:val="left" w:pos="3402"/>
          <w:tab w:val="left" w:pos="3969"/>
        </w:tabs>
        <w:rPr>
          <w:szCs w:val="24"/>
        </w:rPr>
      </w:pPr>
    </w:p>
    <w:p w:rsidR="00E30474" w:rsidRPr="002967E1" w:rsidRDefault="003057C2">
      <w:pPr>
        <w:tabs>
          <w:tab w:val="left" w:pos="567"/>
          <w:tab w:val="left" w:pos="1134"/>
          <w:tab w:val="left" w:pos="1701"/>
          <w:tab w:val="left" w:pos="2268"/>
          <w:tab w:val="left" w:pos="2835"/>
          <w:tab w:val="left" w:pos="3402"/>
          <w:tab w:val="left" w:pos="3969"/>
        </w:tabs>
        <w:jc w:val="center"/>
        <w:rPr>
          <w:szCs w:val="24"/>
          <w:u w:val="single"/>
        </w:rPr>
      </w:pPr>
      <w:r w:rsidRPr="003057C2">
        <w:rPr>
          <w:szCs w:val="24"/>
          <w:u w:val="single"/>
        </w:rPr>
        <w:t xml:space="preserve">Issued by Authority of the </w:t>
      </w:r>
      <w:r w:rsidR="004276FE">
        <w:rPr>
          <w:szCs w:val="24"/>
          <w:u w:val="single"/>
        </w:rPr>
        <w:t>Minister</w:t>
      </w:r>
      <w:r w:rsidRPr="003057C2">
        <w:rPr>
          <w:szCs w:val="24"/>
          <w:u w:val="single"/>
        </w:rPr>
        <w:t xml:space="preserve"> for Agriculture, Fisheries and Forestry</w:t>
      </w:r>
    </w:p>
    <w:p w:rsidR="00E30474" w:rsidRPr="002967E1" w:rsidRDefault="00E30474">
      <w:pPr>
        <w:tabs>
          <w:tab w:val="left" w:pos="567"/>
          <w:tab w:val="left" w:pos="1134"/>
          <w:tab w:val="left" w:pos="1701"/>
          <w:tab w:val="left" w:pos="2268"/>
          <w:tab w:val="left" w:pos="2835"/>
          <w:tab w:val="left" w:pos="3402"/>
          <w:tab w:val="left" w:pos="3969"/>
        </w:tabs>
        <w:jc w:val="center"/>
        <w:rPr>
          <w:szCs w:val="24"/>
        </w:rPr>
      </w:pPr>
    </w:p>
    <w:p w:rsidR="00A32DB0" w:rsidRPr="002967E1" w:rsidRDefault="003057C2">
      <w:pPr>
        <w:tabs>
          <w:tab w:val="left" w:pos="567"/>
          <w:tab w:val="left" w:pos="1134"/>
          <w:tab w:val="left" w:pos="1701"/>
          <w:tab w:val="left" w:pos="2268"/>
          <w:tab w:val="left" w:pos="2835"/>
          <w:tab w:val="left" w:pos="3402"/>
          <w:tab w:val="left" w:pos="3969"/>
        </w:tabs>
        <w:jc w:val="center"/>
        <w:rPr>
          <w:szCs w:val="24"/>
        </w:rPr>
      </w:pPr>
      <w:r w:rsidRPr="003057C2">
        <w:rPr>
          <w:i/>
          <w:szCs w:val="24"/>
        </w:rPr>
        <w:t xml:space="preserve">Export Control (Orders) Regulations 1982 </w:t>
      </w:r>
      <w:r w:rsidRPr="003057C2">
        <w:rPr>
          <w:szCs w:val="24"/>
        </w:rPr>
        <w:t xml:space="preserve">and </w:t>
      </w:r>
      <w:r w:rsidRPr="003057C2">
        <w:rPr>
          <w:i/>
          <w:szCs w:val="24"/>
        </w:rPr>
        <w:t>Export Control Act 1982</w:t>
      </w:r>
    </w:p>
    <w:p w:rsidR="00A32DB0" w:rsidRPr="002967E1" w:rsidRDefault="00A32DB0">
      <w:pPr>
        <w:tabs>
          <w:tab w:val="left" w:pos="567"/>
          <w:tab w:val="left" w:pos="1134"/>
          <w:tab w:val="left" w:pos="1701"/>
          <w:tab w:val="left" w:pos="2268"/>
          <w:tab w:val="left" w:pos="2835"/>
          <w:tab w:val="left" w:pos="3402"/>
          <w:tab w:val="left" w:pos="3969"/>
        </w:tabs>
        <w:jc w:val="center"/>
        <w:rPr>
          <w:szCs w:val="24"/>
        </w:rPr>
      </w:pPr>
    </w:p>
    <w:p w:rsidR="00E30474" w:rsidRPr="002967E1" w:rsidRDefault="003057C2">
      <w:pPr>
        <w:tabs>
          <w:tab w:val="left" w:pos="567"/>
          <w:tab w:val="left" w:pos="1134"/>
          <w:tab w:val="left" w:pos="1701"/>
          <w:tab w:val="left" w:pos="2268"/>
          <w:tab w:val="left" w:pos="2835"/>
          <w:tab w:val="left" w:pos="3402"/>
          <w:tab w:val="left" w:pos="3969"/>
        </w:tabs>
        <w:jc w:val="center"/>
        <w:rPr>
          <w:i/>
          <w:szCs w:val="24"/>
        </w:rPr>
      </w:pPr>
      <w:r w:rsidRPr="003057C2">
        <w:rPr>
          <w:i/>
          <w:szCs w:val="24"/>
        </w:rPr>
        <w:t>Export Control (Fees) Amendment Order 2012 (No. 1)</w:t>
      </w:r>
    </w:p>
    <w:p w:rsidR="00063532" w:rsidRDefault="00063532" w:rsidP="00063532">
      <w:pPr>
        <w:tabs>
          <w:tab w:val="left" w:pos="567"/>
          <w:tab w:val="left" w:pos="1134"/>
          <w:tab w:val="left" w:pos="1701"/>
          <w:tab w:val="left" w:pos="2268"/>
          <w:tab w:val="left" w:pos="2835"/>
          <w:tab w:val="left" w:pos="3402"/>
          <w:tab w:val="left" w:pos="3969"/>
        </w:tabs>
        <w:rPr>
          <w:szCs w:val="24"/>
        </w:rPr>
      </w:pPr>
    </w:p>
    <w:p w:rsidR="00E30474" w:rsidRPr="002967E1" w:rsidRDefault="00E30474">
      <w:pPr>
        <w:tabs>
          <w:tab w:val="left" w:pos="567"/>
          <w:tab w:val="left" w:pos="1134"/>
          <w:tab w:val="left" w:pos="1701"/>
          <w:tab w:val="left" w:pos="2268"/>
          <w:tab w:val="left" w:pos="2835"/>
          <w:tab w:val="left" w:pos="3402"/>
          <w:tab w:val="left" w:pos="3969"/>
        </w:tabs>
        <w:rPr>
          <w:szCs w:val="24"/>
        </w:rPr>
      </w:pPr>
    </w:p>
    <w:p w:rsidR="00E30474" w:rsidRPr="002967E1" w:rsidRDefault="003057C2">
      <w:pPr>
        <w:rPr>
          <w:b/>
          <w:szCs w:val="24"/>
        </w:rPr>
      </w:pPr>
      <w:r w:rsidRPr="003057C2">
        <w:rPr>
          <w:b/>
          <w:szCs w:val="24"/>
        </w:rPr>
        <w:t>Legislative Authority</w:t>
      </w:r>
    </w:p>
    <w:p w:rsidR="00E30474" w:rsidRPr="002967E1" w:rsidRDefault="00E30474">
      <w:pPr>
        <w:rPr>
          <w:szCs w:val="24"/>
        </w:rPr>
      </w:pPr>
    </w:p>
    <w:p w:rsidR="00E30474" w:rsidRPr="002967E1" w:rsidRDefault="003057C2">
      <w:pPr>
        <w:rPr>
          <w:szCs w:val="24"/>
          <w:lang w:eastAsia="en-AU"/>
        </w:rPr>
      </w:pPr>
      <w:r w:rsidRPr="003057C2">
        <w:rPr>
          <w:szCs w:val="24"/>
        </w:rPr>
        <w:t xml:space="preserve">Pursuant to section 25 of the </w:t>
      </w:r>
      <w:r w:rsidRPr="003057C2">
        <w:rPr>
          <w:i/>
          <w:szCs w:val="24"/>
        </w:rPr>
        <w:t xml:space="preserve">Export Control Act 1982 </w:t>
      </w:r>
      <w:r w:rsidRPr="003057C2">
        <w:rPr>
          <w:szCs w:val="24"/>
        </w:rPr>
        <w:t xml:space="preserve">(Act) and regulation 3 of the </w:t>
      </w:r>
      <w:r w:rsidRPr="003057C2">
        <w:rPr>
          <w:i/>
          <w:szCs w:val="24"/>
        </w:rPr>
        <w:t xml:space="preserve">Export Control (Orders) Regulations 1982 </w:t>
      </w:r>
      <w:r w:rsidRPr="003057C2">
        <w:rPr>
          <w:szCs w:val="24"/>
        </w:rPr>
        <w:t xml:space="preserve">(Regulations), the </w:t>
      </w:r>
      <w:r w:rsidRPr="003057C2">
        <w:rPr>
          <w:i/>
          <w:szCs w:val="24"/>
        </w:rPr>
        <w:t xml:space="preserve">Export Control (Fees) Orders 2001 </w:t>
      </w:r>
      <w:r w:rsidRPr="003057C2">
        <w:rPr>
          <w:szCs w:val="24"/>
        </w:rPr>
        <w:t xml:space="preserve">(Orders) impose fees in connection with the performance of services by the Secretary, delegates of the Secretary and authorised officers </w:t>
      </w:r>
      <w:r>
        <w:rPr>
          <w:szCs w:val="24"/>
          <w:lang w:eastAsia="en-AU"/>
        </w:rPr>
        <w:t>in connection with the provision of export certification. The fees are applied to a number of commodities, including plants and plant products.</w:t>
      </w:r>
    </w:p>
    <w:p w:rsidR="00E30474" w:rsidRPr="002967E1" w:rsidRDefault="00E30474">
      <w:pPr>
        <w:rPr>
          <w:szCs w:val="24"/>
        </w:rPr>
      </w:pPr>
    </w:p>
    <w:p w:rsidR="00E30474" w:rsidRPr="002967E1" w:rsidRDefault="003057C2">
      <w:pPr>
        <w:rPr>
          <w:szCs w:val="24"/>
        </w:rPr>
      </w:pPr>
      <w:r w:rsidRPr="003057C2">
        <w:rPr>
          <w:b/>
          <w:szCs w:val="24"/>
        </w:rPr>
        <w:t>Purpose</w:t>
      </w:r>
    </w:p>
    <w:p w:rsidR="00E30474" w:rsidRPr="002967E1" w:rsidRDefault="00E30474">
      <w:pPr>
        <w:rPr>
          <w:szCs w:val="24"/>
        </w:rPr>
      </w:pPr>
    </w:p>
    <w:p w:rsidR="00E30474" w:rsidRPr="002967E1" w:rsidRDefault="003057C2">
      <w:pPr>
        <w:tabs>
          <w:tab w:val="left" w:pos="567"/>
          <w:tab w:val="left" w:pos="1134"/>
          <w:tab w:val="left" w:pos="1701"/>
          <w:tab w:val="left" w:pos="2268"/>
          <w:tab w:val="left" w:pos="2835"/>
          <w:tab w:val="left" w:pos="3402"/>
          <w:tab w:val="left" w:pos="3969"/>
        </w:tabs>
        <w:rPr>
          <w:szCs w:val="24"/>
          <w:lang w:eastAsia="en-AU"/>
        </w:rPr>
      </w:pPr>
      <w:r w:rsidRPr="003057C2">
        <w:rPr>
          <w:szCs w:val="24"/>
        </w:rPr>
        <w:t xml:space="preserve">The purpose of the </w:t>
      </w:r>
      <w:r w:rsidRPr="003057C2">
        <w:rPr>
          <w:i/>
          <w:szCs w:val="24"/>
        </w:rPr>
        <w:t xml:space="preserve">Export Control (Fees) Amendment Order 2012 (No. 1) </w:t>
      </w:r>
      <w:r w:rsidRPr="003057C2">
        <w:rPr>
          <w:szCs w:val="24"/>
        </w:rPr>
        <w:t xml:space="preserve">(Amendment Order) is to implement a revised charging regime for the export of </w:t>
      </w:r>
      <w:r>
        <w:rPr>
          <w:szCs w:val="24"/>
          <w:lang w:eastAsia="en-AU"/>
        </w:rPr>
        <w:t>horticultural products. This revised regime is based on a new service delivery arrangement. The proposed Amendment Order amends the Orders to:</w:t>
      </w:r>
    </w:p>
    <w:p w:rsidR="00E30474" w:rsidRPr="002967E1" w:rsidRDefault="00E30474">
      <w:pPr>
        <w:tabs>
          <w:tab w:val="left" w:pos="567"/>
          <w:tab w:val="left" w:pos="1134"/>
          <w:tab w:val="left" w:pos="1701"/>
          <w:tab w:val="left" w:pos="2268"/>
          <w:tab w:val="left" w:pos="2835"/>
          <w:tab w:val="left" w:pos="3402"/>
          <w:tab w:val="left" w:pos="3969"/>
        </w:tabs>
        <w:rPr>
          <w:szCs w:val="24"/>
          <w:lang w:eastAsia="en-AU"/>
        </w:rPr>
      </w:pPr>
    </w:p>
    <w:p w:rsidR="00E30474" w:rsidRPr="002967E1" w:rsidRDefault="003057C2" w:rsidP="00E55AEC">
      <w:pPr>
        <w:numPr>
          <w:ilvl w:val="0"/>
          <w:numId w:val="20"/>
        </w:numPr>
        <w:rPr>
          <w:szCs w:val="24"/>
        </w:rPr>
      </w:pPr>
      <w:r>
        <w:rPr>
          <w:szCs w:val="24"/>
        </w:rPr>
        <w:t>provide a new structure and rates for the collection of fees for audit, inspection and general services;</w:t>
      </w:r>
    </w:p>
    <w:p w:rsidR="00E30474" w:rsidRPr="002967E1" w:rsidRDefault="003057C2">
      <w:pPr>
        <w:numPr>
          <w:ilvl w:val="0"/>
          <w:numId w:val="20"/>
        </w:numPr>
        <w:rPr>
          <w:szCs w:val="24"/>
        </w:rPr>
      </w:pPr>
      <w:r>
        <w:rPr>
          <w:szCs w:val="24"/>
        </w:rPr>
        <w:t>provide new rates for the collection of overtime loading fees; and</w:t>
      </w:r>
    </w:p>
    <w:p w:rsidR="00E30474" w:rsidRPr="002967E1" w:rsidRDefault="003057C2">
      <w:pPr>
        <w:numPr>
          <w:ilvl w:val="0"/>
          <w:numId w:val="20"/>
        </w:numPr>
        <w:rPr>
          <w:b/>
          <w:szCs w:val="24"/>
        </w:rPr>
      </w:pPr>
      <w:proofErr w:type="gramStart"/>
      <w:r>
        <w:rPr>
          <w:szCs w:val="24"/>
        </w:rPr>
        <w:t>provide</w:t>
      </w:r>
      <w:proofErr w:type="gramEnd"/>
      <w:r>
        <w:rPr>
          <w:szCs w:val="24"/>
        </w:rPr>
        <w:t xml:space="preserve"> a new structure and rates for the collection of export certification fees.</w:t>
      </w:r>
    </w:p>
    <w:p w:rsidR="00CF3C45" w:rsidRDefault="00CF3C45">
      <w:pPr>
        <w:rPr>
          <w:szCs w:val="24"/>
        </w:rPr>
      </w:pPr>
    </w:p>
    <w:p w:rsidR="00E30474" w:rsidRPr="002967E1" w:rsidRDefault="003057C2">
      <w:pPr>
        <w:rPr>
          <w:b/>
          <w:szCs w:val="24"/>
        </w:rPr>
      </w:pPr>
      <w:r w:rsidRPr="003057C2">
        <w:rPr>
          <w:b/>
          <w:szCs w:val="24"/>
        </w:rPr>
        <w:t xml:space="preserve">Consultation </w:t>
      </w:r>
    </w:p>
    <w:p w:rsidR="00E30474" w:rsidRPr="002967E1" w:rsidRDefault="00E30474">
      <w:pPr>
        <w:rPr>
          <w:szCs w:val="24"/>
        </w:rPr>
      </w:pPr>
    </w:p>
    <w:p w:rsidR="00CF3C45" w:rsidRDefault="003057C2">
      <w:pPr>
        <w:tabs>
          <w:tab w:val="left" w:pos="0"/>
        </w:tabs>
        <w:overflowPunct/>
        <w:textAlignment w:val="auto"/>
        <w:rPr>
          <w:szCs w:val="24"/>
        </w:rPr>
      </w:pPr>
      <w:r>
        <w:rPr>
          <w:szCs w:val="24"/>
        </w:rPr>
        <w:t>Regular consultation with the horticulture export industry on cost recovery and regulatory activity occurred through the Horticulture Exports Consultative Committee (HECC). The HECC is the principal advisory forum for</w:t>
      </w:r>
      <w:r w:rsidR="00846569">
        <w:rPr>
          <w:szCs w:val="24"/>
        </w:rPr>
        <w:t xml:space="preserve"> the Department of Agriculture, Fisheries and Forestry (DAFF)</w:t>
      </w:r>
      <w:r>
        <w:rPr>
          <w:szCs w:val="24"/>
        </w:rPr>
        <w:t xml:space="preserve"> and the horticulture export industry to consult on all issues relating to Australian horticulture exports. </w:t>
      </w:r>
    </w:p>
    <w:p w:rsidR="00CF3C45" w:rsidRDefault="00CF3C45">
      <w:pPr>
        <w:tabs>
          <w:tab w:val="left" w:pos="0"/>
        </w:tabs>
        <w:overflowPunct/>
        <w:textAlignment w:val="auto"/>
        <w:rPr>
          <w:szCs w:val="24"/>
        </w:rPr>
      </w:pPr>
    </w:p>
    <w:p w:rsidR="00CF3C45" w:rsidRDefault="003057C2">
      <w:pPr>
        <w:pStyle w:val="BodyText"/>
        <w:tabs>
          <w:tab w:val="left" w:pos="0"/>
        </w:tabs>
        <w:rPr>
          <w:i/>
          <w:szCs w:val="24"/>
        </w:rPr>
      </w:pPr>
      <w:r w:rsidRPr="003057C2">
        <w:rPr>
          <w:szCs w:val="24"/>
        </w:rPr>
        <w:t>This consultation provides a process for monitoring of fees charged on an on-going basis and provides information on the changing dynamics of the industry that may need consideration in the review of fees and charging structures. It allows DAFF to work in partnership with the industry to:</w:t>
      </w:r>
    </w:p>
    <w:p w:rsidR="00CF3C45" w:rsidRDefault="003057C2">
      <w:pPr>
        <w:pStyle w:val="BodyText"/>
        <w:numPr>
          <w:ilvl w:val="0"/>
          <w:numId w:val="24"/>
        </w:numPr>
        <w:overflowPunct/>
        <w:autoSpaceDE/>
        <w:autoSpaceDN/>
        <w:adjustRightInd/>
        <w:spacing w:after="0"/>
        <w:textAlignment w:val="auto"/>
        <w:rPr>
          <w:i/>
          <w:szCs w:val="24"/>
        </w:rPr>
      </w:pPr>
      <w:r w:rsidRPr="003057C2">
        <w:rPr>
          <w:szCs w:val="24"/>
        </w:rPr>
        <w:t>review DAFF activities and resources supporting export inspection and certification services for the industry,</w:t>
      </w:r>
    </w:p>
    <w:p w:rsidR="00CF3C45" w:rsidRDefault="003057C2">
      <w:pPr>
        <w:pStyle w:val="BodyText"/>
        <w:numPr>
          <w:ilvl w:val="0"/>
          <w:numId w:val="24"/>
        </w:numPr>
        <w:overflowPunct/>
        <w:autoSpaceDE/>
        <w:autoSpaceDN/>
        <w:adjustRightInd/>
        <w:spacing w:after="0"/>
        <w:textAlignment w:val="auto"/>
        <w:rPr>
          <w:i/>
          <w:szCs w:val="24"/>
        </w:rPr>
      </w:pPr>
      <w:r w:rsidRPr="003057C2">
        <w:rPr>
          <w:szCs w:val="24"/>
        </w:rPr>
        <w:t>identify improved service delivery arrangements,</w:t>
      </w:r>
    </w:p>
    <w:p w:rsidR="00CF3C45" w:rsidRDefault="003057C2">
      <w:pPr>
        <w:pStyle w:val="BodyText"/>
        <w:numPr>
          <w:ilvl w:val="0"/>
          <w:numId w:val="24"/>
        </w:numPr>
        <w:overflowPunct/>
        <w:autoSpaceDE/>
        <w:autoSpaceDN/>
        <w:adjustRightInd/>
        <w:spacing w:after="0"/>
        <w:textAlignment w:val="auto"/>
        <w:rPr>
          <w:i/>
          <w:szCs w:val="24"/>
        </w:rPr>
      </w:pPr>
      <w:proofErr w:type="gramStart"/>
      <w:r w:rsidRPr="003057C2">
        <w:rPr>
          <w:szCs w:val="24"/>
        </w:rPr>
        <w:t>ensure</w:t>
      </w:r>
      <w:proofErr w:type="gramEnd"/>
      <w:r w:rsidRPr="003057C2">
        <w:rPr>
          <w:szCs w:val="24"/>
        </w:rPr>
        <w:t xml:space="preserve"> that risk is appropriately managed within the industry to the benefit of all stakeholders.</w:t>
      </w:r>
    </w:p>
    <w:p w:rsidR="002967E1" w:rsidRPr="002967E1" w:rsidRDefault="003057C2">
      <w:pPr>
        <w:overflowPunct/>
        <w:autoSpaceDE/>
        <w:autoSpaceDN/>
        <w:adjustRightInd/>
        <w:textAlignment w:val="auto"/>
        <w:rPr>
          <w:szCs w:val="24"/>
        </w:rPr>
      </w:pPr>
      <w:r>
        <w:rPr>
          <w:szCs w:val="24"/>
        </w:rPr>
        <w:br w:type="page"/>
      </w:r>
    </w:p>
    <w:p w:rsidR="00CF3C45" w:rsidRDefault="00CF3C45">
      <w:pPr>
        <w:tabs>
          <w:tab w:val="left" w:pos="426"/>
          <w:tab w:val="left" w:pos="851"/>
        </w:tabs>
        <w:overflowPunct/>
        <w:textAlignment w:val="auto"/>
        <w:rPr>
          <w:szCs w:val="24"/>
        </w:rPr>
      </w:pPr>
    </w:p>
    <w:p w:rsidR="000E0D5F" w:rsidRPr="002967E1" w:rsidRDefault="003057C2" w:rsidP="00CF3C45">
      <w:pPr>
        <w:pStyle w:val="BodyText"/>
        <w:spacing w:after="0"/>
      </w:pPr>
      <w:r w:rsidRPr="003057C2">
        <w:rPr>
          <w:szCs w:val="24"/>
        </w:rPr>
        <w:t xml:space="preserve">During the implementation of the Export Reform Certification Program the role of HECC was subsumed within the Joint DAFF Biosecurity Horticulture Ministerial Taskforce (MTF). Consultation to develop the new fees and charges model, and the associated service delivery model, occurred through this task force. </w:t>
      </w:r>
    </w:p>
    <w:p w:rsidR="000E0D5F" w:rsidRPr="002967E1" w:rsidRDefault="000E0D5F" w:rsidP="000E0D5F">
      <w:pPr>
        <w:tabs>
          <w:tab w:val="left" w:pos="426"/>
          <w:tab w:val="left" w:pos="851"/>
        </w:tabs>
        <w:overflowPunct/>
        <w:ind w:left="425"/>
        <w:textAlignment w:val="auto"/>
        <w:rPr>
          <w:szCs w:val="24"/>
        </w:rPr>
      </w:pPr>
    </w:p>
    <w:p w:rsidR="00CF3C45" w:rsidRDefault="003057C2" w:rsidP="00CF3C45">
      <w:pPr>
        <w:overflowPunct/>
        <w:textAlignment w:val="auto"/>
      </w:pPr>
      <w:r>
        <w:rPr>
          <w:szCs w:val="24"/>
        </w:rPr>
        <w:t xml:space="preserve">In order to achieve broader consultation with industry the Horticulture Exports Senior Advisory Group (HESAG) was formed and met on 14 December 2011. The current status on the fees and charges was discussed and feedback sought from this group. </w:t>
      </w:r>
    </w:p>
    <w:p w:rsidR="000E0D5F" w:rsidRPr="002967E1" w:rsidRDefault="000E0D5F">
      <w:pPr>
        <w:rPr>
          <w:szCs w:val="24"/>
        </w:rPr>
      </w:pPr>
    </w:p>
    <w:p w:rsidR="00CF3C45" w:rsidRDefault="003057C2">
      <w:pPr>
        <w:overflowPunct/>
        <w:textAlignment w:val="auto"/>
        <w:rPr>
          <w:szCs w:val="24"/>
        </w:rPr>
      </w:pPr>
      <w:r>
        <w:rPr>
          <w:szCs w:val="24"/>
        </w:rPr>
        <w:t xml:space="preserve">The Office of Best Practice Regulation (OBPR) was consulted in relation to the proposed amendment to the </w:t>
      </w:r>
      <w:r>
        <w:rPr>
          <w:i/>
          <w:szCs w:val="24"/>
        </w:rPr>
        <w:t>Export Control (Fees) Orders 2001</w:t>
      </w:r>
      <w:r>
        <w:rPr>
          <w:szCs w:val="24"/>
        </w:rPr>
        <w:t xml:space="preserve"> (ID 13667).</w:t>
      </w:r>
      <w:r>
        <w:rPr>
          <w:b/>
          <w:szCs w:val="24"/>
        </w:rPr>
        <w:t xml:space="preserve"> </w:t>
      </w:r>
      <w:r>
        <w:rPr>
          <w:szCs w:val="24"/>
        </w:rPr>
        <w:t>A Cost Recovery Impact Statement was prepared by DAFF and approved by the Department of Finance and Deregulation.</w:t>
      </w:r>
    </w:p>
    <w:p w:rsidR="00A80A9D" w:rsidRPr="002967E1" w:rsidRDefault="00A80A9D">
      <w:pPr>
        <w:rPr>
          <w:szCs w:val="24"/>
        </w:rPr>
      </w:pPr>
    </w:p>
    <w:p w:rsidR="00515845" w:rsidRDefault="00515845">
      <w:pPr>
        <w:overflowPunct/>
        <w:autoSpaceDE/>
        <w:autoSpaceDN/>
        <w:adjustRightInd/>
        <w:textAlignment w:val="auto"/>
        <w:rPr>
          <w:szCs w:val="24"/>
        </w:rPr>
      </w:pPr>
      <w:r>
        <w:rPr>
          <w:szCs w:val="24"/>
        </w:rPr>
        <w:br w:type="page"/>
      </w:r>
    </w:p>
    <w:p w:rsidR="00E30474" w:rsidRPr="002967E1" w:rsidRDefault="00E30474">
      <w:pPr>
        <w:rPr>
          <w:szCs w:val="24"/>
        </w:rPr>
      </w:pPr>
    </w:p>
    <w:p w:rsidR="00E30474" w:rsidRPr="002967E1" w:rsidRDefault="00063532">
      <w:pPr>
        <w:rPr>
          <w:szCs w:val="24"/>
        </w:rPr>
      </w:pPr>
      <w:r w:rsidRPr="00063532">
        <w:rPr>
          <w:b/>
          <w:szCs w:val="24"/>
          <w:u w:val="single"/>
        </w:rPr>
        <w:t xml:space="preserve">Details of the </w:t>
      </w:r>
      <w:r w:rsidR="003057C2" w:rsidRPr="003057C2">
        <w:rPr>
          <w:b/>
          <w:i/>
          <w:szCs w:val="24"/>
          <w:u w:val="single"/>
        </w:rPr>
        <w:t>Export Control (Fees) Amendment Order 2012 (No.1)</w:t>
      </w:r>
    </w:p>
    <w:p w:rsidR="00E30474" w:rsidRPr="002967E1" w:rsidRDefault="00E30474">
      <w:pPr>
        <w:rPr>
          <w:b/>
          <w:szCs w:val="24"/>
        </w:rPr>
      </w:pPr>
    </w:p>
    <w:p w:rsidR="00E30474" w:rsidRPr="002967E1" w:rsidRDefault="003057C2">
      <w:pPr>
        <w:rPr>
          <w:szCs w:val="24"/>
        </w:rPr>
      </w:pPr>
      <w:r w:rsidRPr="003057C2">
        <w:rPr>
          <w:szCs w:val="24"/>
          <w:u w:val="single"/>
        </w:rPr>
        <w:t>Section 1</w:t>
      </w:r>
      <w:r w:rsidR="00063532" w:rsidRPr="00063532">
        <w:rPr>
          <w:szCs w:val="24"/>
          <w:u w:val="single"/>
        </w:rPr>
        <w:t xml:space="preserve"> – Name of Order</w:t>
      </w:r>
    </w:p>
    <w:p w:rsidR="00E30474" w:rsidRPr="002967E1" w:rsidRDefault="00E30474">
      <w:pPr>
        <w:rPr>
          <w:szCs w:val="24"/>
        </w:rPr>
      </w:pPr>
    </w:p>
    <w:p w:rsidR="00E30474" w:rsidRPr="002967E1" w:rsidRDefault="003057C2">
      <w:pPr>
        <w:keepNext/>
        <w:keepLines/>
        <w:jc w:val="both"/>
        <w:rPr>
          <w:i/>
          <w:szCs w:val="24"/>
        </w:rPr>
      </w:pPr>
      <w:r w:rsidRPr="003057C2">
        <w:rPr>
          <w:szCs w:val="24"/>
        </w:rPr>
        <w:t xml:space="preserve">This order provides that the name of the Order is the </w:t>
      </w:r>
      <w:r w:rsidRPr="003057C2">
        <w:rPr>
          <w:i/>
          <w:szCs w:val="24"/>
        </w:rPr>
        <w:t>Export Control (Fees) Amendment Order 2012 (No. 1).</w:t>
      </w:r>
    </w:p>
    <w:p w:rsidR="00E30474" w:rsidRPr="002967E1" w:rsidRDefault="00E30474">
      <w:pPr>
        <w:rPr>
          <w:szCs w:val="24"/>
        </w:rPr>
      </w:pPr>
    </w:p>
    <w:p w:rsidR="00E30474" w:rsidRPr="002967E1" w:rsidRDefault="003057C2">
      <w:pPr>
        <w:rPr>
          <w:szCs w:val="24"/>
          <w:u w:val="single"/>
        </w:rPr>
      </w:pPr>
      <w:r w:rsidRPr="003057C2">
        <w:rPr>
          <w:szCs w:val="24"/>
          <w:u w:val="single"/>
        </w:rPr>
        <w:t>Section 2 –</w:t>
      </w:r>
      <w:r w:rsidR="00063532" w:rsidRPr="00063532">
        <w:rPr>
          <w:szCs w:val="24"/>
          <w:u w:val="single"/>
        </w:rPr>
        <w:t xml:space="preserve"> Commencement</w:t>
      </w:r>
    </w:p>
    <w:p w:rsidR="00E30474" w:rsidRPr="002967E1" w:rsidRDefault="00E30474">
      <w:pPr>
        <w:rPr>
          <w:szCs w:val="24"/>
        </w:rPr>
      </w:pPr>
    </w:p>
    <w:p w:rsidR="00E30474" w:rsidRPr="002967E1" w:rsidRDefault="003057C2">
      <w:pPr>
        <w:rPr>
          <w:szCs w:val="24"/>
        </w:rPr>
      </w:pPr>
      <w:r w:rsidRPr="003057C2">
        <w:rPr>
          <w:szCs w:val="24"/>
        </w:rPr>
        <w:t>This order provides that the Order commences on 1 July 2012.</w:t>
      </w:r>
    </w:p>
    <w:p w:rsidR="00E30474" w:rsidRPr="002967E1" w:rsidRDefault="00E30474">
      <w:pPr>
        <w:rPr>
          <w:szCs w:val="24"/>
        </w:rPr>
      </w:pPr>
    </w:p>
    <w:p w:rsidR="00E30474" w:rsidRPr="002967E1" w:rsidRDefault="003057C2">
      <w:pPr>
        <w:rPr>
          <w:szCs w:val="24"/>
          <w:u w:val="single"/>
        </w:rPr>
      </w:pPr>
      <w:r w:rsidRPr="003057C2">
        <w:rPr>
          <w:szCs w:val="24"/>
          <w:u w:val="single"/>
        </w:rPr>
        <w:t>Section 3</w:t>
      </w:r>
      <w:r w:rsidR="00063532" w:rsidRPr="00063532">
        <w:rPr>
          <w:szCs w:val="24"/>
          <w:u w:val="single"/>
        </w:rPr>
        <w:t xml:space="preserve"> – Amendment to </w:t>
      </w:r>
      <w:r w:rsidR="00063532" w:rsidRPr="00063532">
        <w:rPr>
          <w:i/>
          <w:szCs w:val="24"/>
          <w:u w:val="single"/>
        </w:rPr>
        <w:t>Export Control (Fees) Orders 2001</w:t>
      </w:r>
    </w:p>
    <w:p w:rsidR="00E30474" w:rsidRPr="002967E1" w:rsidRDefault="00E30474">
      <w:pPr>
        <w:rPr>
          <w:szCs w:val="24"/>
        </w:rPr>
      </w:pPr>
    </w:p>
    <w:p w:rsidR="00E30474" w:rsidRPr="002967E1" w:rsidRDefault="003057C2">
      <w:pPr>
        <w:rPr>
          <w:szCs w:val="24"/>
        </w:rPr>
      </w:pPr>
      <w:r w:rsidRPr="003057C2">
        <w:rPr>
          <w:szCs w:val="24"/>
        </w:rPr>
        <w:t xml:space="preserve">This order provides that Schedule 1 amends the </w:t>
      </w:r>
      <w:r w:rsidRPr="003057C2">
        <w:rPr>
          <w:i/>
          <w:szCs w:val="24"/>
        </w:rPr>
        <w:t>Export Control (Fees) Orders 2001.</w:t>
      </w:r>
    </w:p>
    <w:p w:rsidR="00E30474" w:rsidRPr="002967E1" w:rsidRDefault="00E30474">
      <w:pPr>
        <w:rPr>
          <w:b/>
          <w:szCs w:val="24"/>
        </w:rPr>
      </w:pPr>
    </w:p>
    <w:p w:rsidR="00E30474" w:rsidRPr="002967E1" w:rsidRDefault="003057C2">
      <w:pPr>
        <w:rPr>
          <w:szCs w:val="24"/>
          <w:u w:val="single"/>
        </w:rPr>
      </w:pPr>
      <w:r w:rsidRPr="003057C2">
        <w:rPr>
          <w:szCs w:val="24"/>
          <w:u w:val="single"/>
        </w:rPr>
        <w:t>Schedule 1 – Amendments</w:t>
      </w:r>
    </w:p>
    <w:p w:rsidR="00E30474" w:rsidRPr="002967E1" w:rsidRDefault="00E30474">
      <w:pPr>
        <w:rPr>
          <w:b/>
          <w:szCs w:val="24"/>
        </w:rPr>
      </w:pPr>
    </w:p>
    <w:p w:rsidR="00BB0A36" w:rsidRPr="002967E1" w:rsidRDefault="003057C2">
      <w:pPr>
        <w:rPr>
          <w:szCs w:val="24"/>
        </w:rPr>
      </w:pPr>
      <w:r w:rsidRPr="003057C2">
        <w:rPr>
          <w:b/>
          <w:szCs w:val="24"/>
        </w:rPr>
        <w:t>Item 1</w:t>
      </w:r>
      <w:r w:rsidRPr="003057C2">
        <w:rPr>
          <w:szCs w:val="24"/>
        </w:rPr>
        <w:t xml:space="preserve"> omits the definition of </w:t>
      </w:r>
      <w:r w:rsidR="00CF3C45">
        <w:rPr>
          <w:szCs w:val="24"/>
        </w:rPr>
        <w:t>‘</w:t>
      </w:r>
      <w:r w:rsidRPr="003057C2">
        <w:rPr>
          <w:szCs w:val="24"/>
        </w:rPr>
        <w:t>AQIS</w:t>
      </w:r>
      <w:r w:rsidR="00CF3C45">
        <w:rPr>
          <w:szCs w:val="24"/>
        </w:rPr>
        <w:t>’</w:t>
      </w:r>
      <w:r w:rsidRPr="003057C2">
        <w:rPr>
          <w:szCs w:val="24"/>
        </w:rPr>
        <w:t xml:space="preserve"> from suborder 4(1) of the Orders. This reference has become obsolete. All subsequent references to </w:t>
      </w:r>
      <w:r w:rsidR="00CF3C45">
        <w:rPr>
          <w:szCs w:val="24"/>
        </w:rPr>
        <w:t>‘</w:t>
      </w:r>
      <w:r w:rsidRPr="003057C2">
        <w:rPr>
          <w:szCs w:val="24"/>
        </w:rPr>
        <w:t>AQIS</w:t>
      </w:r>
      <w:r w:rsidR="00CF3C45">
        <w:rPr>
          <w:szCs w:val="24"/>
        </w:rPr>
        <w:t>’</w:t>
      </w:r>
      <w:r w:rsidRPr="003057C2">
        <w:rPr>
          <w:szCs w:val="24"/>
        </w:rPr>
        <w:t xml:space="preserve"> have also been removed from the Orders.</w:t>
      </w:r>
    </w:p>
    <w:p w:rsidR="005E09A4" w:rsidRPr="002967E1" w:rsidRDefault="005E09A4">
      <w:pPr>
        <w:rPr>
          <w:szCs w:val="24"/>
        </w:rPr>
      </w:pPr>
    </w:p>
    <w:p w:rsidR="00E91B31" w:rsidRPr="002967E1" w:rsidRDefault="003057C2">
      <w:pPr>
        <w:rPr>
          <w:szCs w:val="24"/>
        </w:rPr>
      </w:pPr>
      <w:r w:rsidRPr="003057C2">
        <w:rPr>
          <w:b/>
          <w:szCs w:val="24"/>
        </w:rPr>
        <w:t>Item 2</w:t>
      </w:r>
      <w:r w:rsidRPr="003057C2">
        <w:rPr>
          <w:szCs w:val="24"/>
        </w:rPr>
        <w:t xml:space="preserve"> omits the definition of </w:t>
      </w:r>
      <w:r w:rsidR="00CF3C45">
        <w:rPr>
          <w:szCs w:val="24"/>
        </w:rPr>
        <w:t>‘</w:t>
      </w:r>
      <w:r w:rsidRPr="003057C2">
        <w:rPr>
          <w:szCs w:val="24"/>
        </w:rPr>
        <w:t>cut flowers</w:t>
      </w:r>
      <w:r w:rsidR="00CF3C45">
        <w:rPr>
          <w:szCs w:val="24"/>
        </w:rPr>
        <w:t>’</w:t>
      </w:r>
      <w:r w:rsidRPr="003057C2">
        <w:rPr>
          <w:szCs w:val="24"/>
        </w:rPr>
        <w:t xml:space="preserve"> from suborder 4(1) of the Orders.</w:t>
      </w:r>
    </w:p>
    <w:p w:rsidR="00E91B31" w:rsidRPr="002967E1" w:rsidRDefault="00E91B31">
      <w:pPr>
        <w:rPr>
          <w:szCs w:val="24"/>
        </w:rPr>
      </w:pPr>
    </w:p>
    <w:p w:rsidR="004F351A" w:rsidRPr="002967E1" w:rsidRDefault="003057C2" w:rsidP="00E452C1">
      <w:pPr>
        <w:rPr>
          <w:szCs w:val="24"/>
        </w:rPr>
      </w:pPr>
      <w:r w:rsidRPr="003057C2">
        <w:rPr>
          <w:szCs w:val="24"/>
        </w:rPr>
        <w:t xml:space="preserve">Horticultural products such as fresh fruit, fresh vegetables, cut flowers, nursery stock, unprocessed nuts and dried fruit will now be covered under the definition of </w:t>
      </w:r>
      <w:r w:rsidR="00CF3C45">
        <w:rPr>
          <w:szCs w:val="24"/>
        </w:rPr>
        <w:t>‘</w:t>
      </w:r>
      <w:r w:rsidRPr="003057C2">
        <w:rPr>
          <w:szCs w:val="24"/>
        </w:rPr>
        <w:t>plant</w:t>
      </w:r>
      <w:r w:rsidR="00CF3C45">
        <w:rPr>
          <w:szCs w:val="24"/>
        </w:rPr>
        <w:t>’</w:t>
      </w:r>
      <w:r w:rsidRPr="003057C2">
        <w:rPr>
          <w:szCs w:val="24"/>
        </w:rPr>
        <w:t xml:space="preserve"> and </w:t>
      </w:r>
      <w:r w:rsidR="00CF3C45">
        <w:rPr>
          <w:szCs w:val="24"/>
        </w:rPr>
        <w:t>‘</w:t>
      </w:r>
      <w:r w:rsidRPr="003057C2">
        <w:rPr>
          <w:szCs w:val="24"/>
        </w:rPr>
        <w:t>plant products</w:t>
      </w:r>
      <w:r w:rsidR="00CF3C45">
        <w:rPr>
          <w:szCs w:val="24"/>
        </w:rPr>
        <w:t>’</w:t>
      </w:r>
      <w:r w:rsidRPr="003057C2">
        <w:rPr>
          <w:szCs w:val="24"/>
        </w:rPr>
        <w:t xml:space="preserve"> within the meaning of the </w:t>
      </w:r>
      <w:r w:rsidRPr="003057C2">
        <w:rPr>
          <w:i/>
          <w:szCs w:val="24"/>
        </w:rPr>
        <w:t>Export Control (Plants and Plant Products) Order 2011</w:t>
      </w:r>
      <w:r w:rsidRPr="003057C2">
        <w:rPr>
          <w:szCs w:val="24"/>
        </w:rPr>
        <w:t>.</w:t>
      </w:r>
    </w:p>
    <w:p w:rsidR="004F351A" w:rsidRPr="002967E1" w:rsidRDefault="004F351A" w:rsidP="00E452C1">
      <w:pPr>
        <w:rPr>
          <w:szCs w:val="24"/>
        </w:rPr>
      </w:pPr>
    </w:p>
    <w:p w:rsidR="004F351A" w:rsidRPr="002967E1" w:rsidRDefault="003057C2" w:rsidP="004F351A">
      <w:pPr>
        <w:rPr>
          <w:szCs w:val="24"/>
        </w:rPr>
      </w:pPr>
      <w:r w:rsidRPr="003057C2">
        <w:rPr>
          <w:szCs w:val="24"/>
        </w:rPr>
        <w:t xml:space="preserve">The purpose of the amendment is to maintain consistency between the </w:t>
      </w:r>
      <w:r w:rsidRPr="003057C2">
        <w:rPr>
          <w:i/>
          <w:szCs w:val="24"/>
        </w:rPr>
        <w:t>Export Control (Plants and Plant Products) Order 2011</w:t>
      </w:r>
      <w:r w:rsidRPr="003057C2">
        <w:rPr>
          <w:szCs w:val="24"/>
        </w:rPr>
        <w:t xml:space="preserve"> and the Orders when defining such products. </w:t>
      </w:r>
    </w:p>
    <w:p w:rsidR="00E91B31" w:rsidRPr="002967E1" w:rsidRDefault="00E91B31">
      <w:pPr>
        <w:rPr>
          <w:szCs w:val="24"/>
        </w:rPr>
      </w:pPr>
    </w:p>
    <w:p w:rsidR="00AA4890" w:rsidRPr="002967E1" w:rsidRDefault="003057C2">
      <w:pPr>
        <w:rPr>
          <w:szCs w:val="24"/>
        </w:rPr>
      </w:pPr>
      <w:r w:rsidRPr="003057C2">
        <w:rPr>
          <w:b/>
          <w:szCs w:val="24"/>
        </w:rPr>
        <w:t>Item 3</w:t>
      </w:r>
      <w:r w:rsidRPr="003057C2">
        <w:rPr>
          <w:szCs w:val="24"/>
        </w:rPr>
        <w:t xml:space="preserve"> omits the definition of </w:t>
      </w:r>
      <w:r w:rsidR="00CF3C45">
        <w:rPr>
          <w:szCs w:val="24"/>
        </w:rPr>
        <w:t>‘</w:t>
      </w:r>
      <w:r w:rsidRPr="003057C2">
        <w:rPr>
          <w:szCs w:val="24"/>
        </w:rPr>
        <w:t>dried fruit</w:t>
      </w:r>
      <w:r w:rsidR="00CF3C45">
        <w:rPr>
          <w:szCs w:val="24"/>
        </w:rPr>
        <w:t>’</w:t>
      </w:r>
      <w:r w:rsidRPr="003057C2">
        <w:rPr>
          <w:szCs w:val="24"/>
        </w:rPr>
        <w:t xml:space="preserve"> from suborder 4(1) of the Orders.</w:t>
      </w:r>
      <w:r w:rsidR="00384152">
        <w:rPr>
          <w:szCs w:val="24"/>
        </w:rPr>
        <w:t xml:space="preserve"> </w:t>
      </w:r>
      <w:r w:rsidRPr="003057C2">
        <w:rPr>
          <w:szCs w:val="24"/>
        </w:rPr>
        <w:t xml:space="preserve">The purpose of this amendment is the same as above at item 2. </w:t>
      </w:r>
    </w:p>
    <w:p w:rsidR="00C82014" w:rsidRPr="002967E1" w:rsidRDefault="00C82014">
      <w:pPr>
        <w:rPr>
          <w:szCs w:val="24"/>
        </w:rPr>
      </w:pPr>
    </w:p>
    <w:p w:rsidR="000853B0" w:rsidRPr="002967E1" w:rsidRDefault="003057C2">
      <w:pPr>
        <w:rPr>
          <w:szCs w:val="24"/>
        </w:rPr>
      </w:pPr>
      <w:r w:rsidRPr="003057C2">
        <w:rPr>
          <w:b/>
          <w:szCs w:val="24"/>
        </w:rPr>
        <w:t>Item 4</w:t>
      </w:r>
      <w:r w:rsidRPr="003057C2">
        <w:rPr>
          <w:szCs w:val="24"/>
        </w:rPr>
        <w:t xml:space="preserve"> substitutes an amended definition for </w:t>
      </w:r>
      <w:r w:rsidR="00CF3C45">
        <w:rPr>
          <w:szCs w:val="24"/>
        </w:rPr>
        <w:t>‘‘</w:t>
      </w:r>
      <w:r w:rsidRPr="003057C2">
        <w:rPr>
          <w:szCs w:val="24"/>
        </w:rPr>
        <w:t>EXDOC</w:t>
      </w:r>
      <w:r w:rsidR="00CF3C45">
        <w:rPr>
          <w:szCs w:val="24"/>
        </w:rPr>
        <w:t>’’</w:t>
      </w:r>
      <w:r w:rsidRPr="003057C2">
        <w:rPr>
          <w:szCs w:val="24"/>
        </w:rPr>
        <w:t xml:space="preserve"> in suborder 4(1) of the Orders. The purpose of this amendment is to remove the term </w:t>
      </w:r>
      <w:r w:rsidR="00CF3C45">
        <w:rPr>
          <w:szCs w:val="24"/>
        </w:rPr>
        <w:t>‘‘</w:t>
      </w:r>
      <w:r w:rsidRPr="003057C2">
        <w:rPr>
          <w:szCs w:val="24"/>
        </w:rPr>
        <w:t>AQIS</w:t>
      </w:r>
      <w:r w:rsidR="00CF3C45">
        <w:rPr>
          <w:szCs w:val="24"/>
        </w:rPr>
        <w:t>’’</w:t>
      </w:r>
      <w:r w:rsidRPr="003057C2">
        <w:rPr>
          <w:szCs w:val="24"/>
        </w:rPr>
        <w:t xml:space="preserve"> from the definition of EXDOC. </w:t>
      </w:r>
    </w:p>
    <w:p w:rsidR="00525AC7" w:rsidRPr="002967E1" w:rsidRDefault="00525AC7">
      <w:pPr>
        <w:rPr>
          <w:szCs w:val="24"/>
        </w:rPr>
      </w:pPr>
    </w:p>
    <w:p w:rsidR="000853B0" w:rsidRPr="002967E1" w:rsidRDefault="003057C2">
      <w:pPr>
        <w:rPr>
          <w:szCs w:val="24"/>
        </w:rPr>
      </w:pPr>
      <w:r w:rsidRPr="003057C2">
        <w:rPr>
          <w:b/>
          <w:szCs w:val="24"/>
        </w:rPr>
        <w:t>Item 5</w:t>
      </w:r>
      <w:r w:rsidRPr="003057C2">
        <w:rPr>
          <w:szCs w:val="24"/>
        </w:rPr>
        <w:t xml:space="preserve"> omits the definition of </w:t>
      </w:r>
      <w:r w:rsidR="00CF3C45">
        <w:rPr>
          <w:szCs w:val="24"/>
        </w:rPr>
        <w:t>‘</w:t>
      </w:r>
      <w:r w:rsidRPr="003057C2">
        <w:rPr>
          <w:szCs w:val="24"/>
        </w:rPr>
        <w:t>fresh fruit</w:t>
      </w:r>
      <w:r w:rsidR="00CF3C45">
        <w:rPr>
          <w:szCs w:val="24"/>
        </w:rPr>
        <w:t>’</w:t>
      </w:r>
      <w:r w:rsidRPr="003057C2">
        <w:rPr>
          <w:szCs w:val="24"/>
        </w:rPr>
        <w:t xml:space="preserve"> from suborder 4(1) of the Orders.</w:t>
      </w:r>
      <w:r w:rsidR="00384152">
        <w:rPr>
          <w:szCs w:val="24"/>
        </w:rPr>
        <w:t xml:space="preserve"> </w:t>
      </w:r>
      <w:r w:rsidRPr="003057C2">
        <w:rPr>
          <w:szCs w:val="24"/>
        </w:rPr>
        <w:t>The purpose of this amendment is the same as above at item 2.</w:t>
      </w:r>
    </w:p>
    <w:p w:rsidR="00737FCC" w:rsidRPr="002967E1" w:rsidRDefault="00737FCC">
      <w:pPr>
        <w:rPr>
          <w:szCs w:val="24"/>
        </w:rPr>
      </w:pPr>
    </w:p>
    <w:p w:rsidR="009E0BE0" w:rsidRPr="002967E1" w:rsidRDefault="003057C2">
      <w:pPr>
        <w:rPr>
          <w:szCs w:val="24"/>
        </w:rPr>
      </w:pPr>
      <w:r w:rsidRPr="003057C2">
        <w:rPr>
          <w:b/>
          <w:szCs w:val="24"/>
        </w:rPr>
        <w:t>Item 6</w:t>
      </w:r>
      <w:r w:rsidRPr="003057C2">
        <w:rPr>
          <w:szCs w:val="24"/>
        </w:rPr>
        <w:t xml:space="preserve"> omits the definition of </w:t>
      </w:r>
      <w:r w:rsidR="00CF3C45">
        <w:rPr>
          <w:szCs w:val="24"/>
        </w:rPr>
        <w:t>‘</w:t>
      </w:r>
      <w:r w:rsidRPr="003057C2">
        <w:rPr>
          <w:szCs w:val="24"/>
        </w:rPr>
        <w:t>horticulture products</w:t>
      </w:r>
      <w:r w:rsidR="00CF3C45">
        <w:rPr>
          <w:szCs w:val="24"/>
        </w:rPr>
        <w:t>’</w:t>
      </w:r>
      <w:r w:rsidRPr="003057C2">
        <w:rPr>
          <w:szCs w:val="24"/>
        </w:rPr>
        <w:t xml:space="preserve"> in suborder 4(1) of the Orders. The purpose of this amendment is the same as above at item 2.</w:t>
      </w:r>
    </w:p>
    <w:p w:rsidR="000853B0" w:rsidRPr="002967E1" w:rsidRDefault="000853B0">
      <w:pPr>
        <w:rPr>
          <w:szCs w:val="24"/>
        </w:rPr>
      </w:pPr>
    </w:p>
    <w:p w:rsidR="009D2628" w:rsidRPr="002967E1" w:rsidRDefault="003057C2" w:rsidP="009D2628">
      <w:pPr>
        <w:rPr>
          <w:szCs w:val="24"/>
        </w:rPr>
      </w:pPr>
      <w:r w:rsidRPr="003057C2">
        <w:rPr>
          <w:b/>
          <w:szCs w:val="24"/>
        </w:rPr>
        <w:t>Item 7</w:t>
      </w:r>
      <w:r w:rsidRPr="003057C2">
        <w:rPr>
          <w:szCs w:val="24"/>
        </w:rPr>
        <w:t xml:space="preserve"> omits the definition of </w:t>
      </w:r>
      <w:r w:rsidR="00CF3C45">
        <w:rPr>
          <w:szCs w:val="24"/>
        </w:rPr>
        <w:t>‘</w:t>
      </w:r>
      <w:r w:rsidRPr="003057C2">
        <w:rPr>
          <w:szCs w:val="24"/>
        </w:rPr>
        <w:t>nursery stock</w:t>
      </w:r>
      <w:r w:rsidR="00CF3C45">
        <w:rPr>
          <w:szCs w:val="24"/>
        </w:rPr>
        <w:t>’</w:t>
      </w:r>
      <w:r w:rsidRPr="003057C2">
        <w:rPr>
          <w:szCs w:val="24"/>
        </w:rPr>
        <w:t xml:space="preserve"> in suborder 4(1) of the Orders. The purpose of this amendment is the same as above at item 2.</w:t>
      </w:r>
    </w:p>
    <w:p w:rsidR="005100B0" w:rsidRPr="002967E1" w:rsidRDefault="005100B0" w:rsidP="009D2628">
      <w:pPr>
        <w:rPr>
          <w:szCs w:val="24"/>
        </w:rPr>
      </w:pPr>
    </w:p>
    <w:p w:rsidR="005100B0" w:rsidRPr="002967E1" w:rsidRDefault="003057C2" w:rsidP="009D2628">
      <w:pPr>
        <w:rPr>
          <w:szCs w:val="24"/>
        </w:rPr>
      </w:pPr>
      <w:r w:rsidRPr="003057C2">
        <w:rPr>
          <w:b/>
          <w:szCs w:val="24"/>
        </w:rPr>
        <w:t>Item 8</w:t>
      </w:r>
      <w:r w:rsidRPr="003057C2">
        <w:rPr>
          <w:szCs w:val="24"/>
        </w:rPr>
        <w:t xml:space="preserve"> omits the definition of </w:t>
      </w:r>
      <w:r w:rsidR="00CF3C45">
        <w:rPr>
          <w:szCs w:val="24"/>
        </w:rPr>
        <w:t>‘</w:t>
      </w:r>
      <w:r w:rsidRPr="003057C2">
        <w:rPr>
          <w:szCs w:val="24"/>
        </w:rPr>
        <w:t>plants</w:t>
      </w:r>
      <w:r w:rsidR="00CF3C45">
        <w:rPr>
          <w:szCs w:val="24"/>
        </w:rPr>
        <w:t>’</w:t>
      </w:r>
      <w:r w:rsidRPr="003057C2">
        <w:rPr>
          <w:szCs w:val="24"/>
        </w:rPr>
        <w:t xml:space="preserve"> in suborder 4(1) of the Orders. The purpose of this amendment is the same as above at item 2.</w:t>
      </w:r>
    </w:p>
    <w:p w:rsidR="005100B0" w:rsidRPr="002967E1" w:rsidRDefault="005100B0" w:rsidP="009D2628">
      <w:pPr>
        <w:rPr>
          <w:szCs w:val="24"/>
        </w:rPr>
      </w:pPr>
    </w:p>
    <w:p w:rsidR="009E0BE0" w:rsidRPr="002967E1" w:rsidRDefault="003057C2" w:rsidP="009D2628">
      <w:pPr>
        <w:rPr>
          <w:szCs w:val="24"/>
        </w:rPr>
      </w:pPr>
      <w:r w:rsidRPr="003057C2">
        <w:rPr>
          <w:b/>
          <w:szCs w:val="24"/>
        </w:rPr>
        <w:t>Item 9</w:t>
      </w:r>
      <w:r w:rsidRPr="003057C2">
        <w:rPr>
          <w:szCs w:val="24"/>
        </w:rPr>
        <w:t xml:space="preserve"> substitutes an amended definition of </w:t>
      </w:r>
      <w:r w:rsidR="00CF3C45">
        <w:rPr>
          <w:szCs w:val="24"/>
        </w:rPr>
        <w:t>‘</w:t>
      </w:r>
      <w:r w:rsidRPr="003057C2">
        <w:rPr>
          <w:szCs w:val="24"/>
        </w:rPr>
        <w:t>plant products</w:t>
      </w:r>
      <w:r w:rsidR="00CF3C45">
        <w:rPr>
          <w:szCs w:val="24"/>
        </w:rPr>
        <w:t>’</w:t>
      </w:r>
      <w:r w:rsidRPr="003057C2">
        <w:rPr>
          <w:szCs w:val="24"/>
        </w:rPr>
        <w:t xml:space="preserve"> which deletes the words </w:t>
      </w:r>
      <w:r w:rsidR="00CF3C45">
        <w:rPr>
          <w:szCs w:val="24"/>
        </w:rPr>
        <w:t>‘</w:t>
      </w:r>
      <w:r w:rsidRPr="003057C2">
        <w:rPr>
          <w:szCs w:val="24"/>
        </w:rPr>
        <w:t>but not horticultural products</w:t>
      </w:r>
      <w:r w:rsidR="00CF3C45">
        <w:rPr>
          <w:szCs w:val="24"/>
        </w:rPr>
        <w:t>’</w:t>
      </w:r>
      <w:r w:rsidRPr="003057C2">
        <w:rPr>
          <w:szCs w:val="24"/>
        </w:rPr>
        <w:t xml:space="preserve"> from the definition. Products were previously defined as horticultural products will now be covered under the meaning of plants and plant products in the </w:t>
      </w:r>
      <w:r w:rsidRPr="003057C2">
        <w:rPr>
          <w:i/>
          <w:szCs w:val="24"/>
        </w:rPr>
        <w:t>Export Control (Plants and Plant Products) Order 2011</w:t>
      </w:r>
      <w:r w:rsidRPr="003057C2">
        <w:rPr>
          <w:szCs w:val="24"/>
        </w:rPr>
        <w:t>.</w:t>
      </w:r>
    </w:p>
    <w:p w:rsidR="009E0BE0" w:rsidRPr="002967E1" w:rsidRDefault="009E0BE0" w:rsidP="009D2628">
      <w:pPr>
        <w:rPr>
          <w:szCs w:val="24"/>
        </w:rPr>
      </w:pPr>
    </w:p>
    <w:p w:rsidR="009E0BE0" w:rsidRPr="002967E1" w:rsidRDefault="003057C2" w:rsidP="009E0BE0">
      <w:pPr>
        <w:rPr>
          <w:szCs w:val="24"/>
        </w:rPr>
      </w:pPr>
      <w:r w:rsidRPr="003057C2">
        <w:rPr>
          <w:b/>
          <w:szCs w:val="24"/>
        </w:rPr>
        <w:t>Item 10</w:t>
      </w:r>
      <w:r w:rsidRPr="003057C2">
        <w:rPr>
          <w:szCs w:val="24"/>
        </w:rPr>
        <w:t xml:space="preserve"> inserts an amended definition of </w:t>
      </w:r>
      <w:r w:rsidR="00CF3C45">
        <w:rPr>
          <w:szCs w:val="24"/>
        </w:rPr>
        <w:t>‘</w:t>
      </w:r>
      <w:r w:rsidRPr="003057C2">
        <w:rPr>
          <w:szCs w:val="24"/>
        </w:rPr>
        <w:t>plants</w:t>
      </w:r>
      <w:r w:rsidR="00CF3C45">
        <w:rPr>
          <w:szCs w:val="24"/>
        </w:rPr>
        <w:t>’</w:t>
      </w:r>
      <w:r w:rsidRPr="003057C2">
        <w:rPr>
          <w:szCs w:val="24"/>
        </w:rPr>
        <w:t xml:space="preserve"> which deletes the words </w:t>
      </w:r>
      <w:r w:rsidR="00CF3C45">
        <w:rPr>
          <w:szCs w:val="24"/>
        </w:rPr>
        <w:t>‘</w:t>
      </w:r>
      <w:r w:rsidRPr="003057C2">
        <w:rPr>
          <w:szCs w:val="24"/>
        </w:rPr>
        <w:t>but not horticultural products</w:t>
      </w:r>
      <w:r w:rsidR="00CF3C45">
        <w:rPr>
          <w:szCs w:val="24"/>
        </w:rPr>
        <w:t>’</w:t>
      </w:r>
      <w:r w:rsidRPr="003057C2">
        <w:rPr>
          <w:szCs w:val="24"/>
        </w:rPr>
        <w:t xml:space="preserve"> from the definition. Products were previously defined as horticultural products will now be covered under the meaning of plants and plant products in the </w:t>
      </w:r>
      <w:r w:rsidRPr="003057C2">
        <w:rPr>
          <w:i/>
          <w:szCs w:val="24"/>
        </w:rPr>
        <w:t>Export Control (Plants and Plant Products) Order 2011</w:t>
      </w:r>
      <w:r w:rsidRPr="003057C2">
        <w:rPr>
          <w:szCs w:val="24"/>
        </w:rPr>
        <w:t xml:space="preserve">. </w:t>
      </w:r>
    </w:p>
    <w:p w:rsidR="009E0BE0" w:rsidRPr="002967E1" w:rsidRDefault="009E0BE0" w:rsidP="009D2628">
      <w:pPr>
        <w:rPr>
          <w:szCs w:val="24"/>
        </w:rPr>
      </w:pPr>
    </w:p>
    <w:p w:rsidR="00136CC5" w:rsidRPr="002967E1" w:rsidRDefault="003057C2">
      <w:pPr>
        <w:rPr>
          <w:szCs w:val="24"/>
        </w:rPr>
      </w:pPr>
      <w:r w:rsidRPr="003057C2">
        <w:rPr>
          <w:b/>
          <w:szCs w:val="24"/>
        </w:rPr>
        <w:t>Item 11</w:t>
      </w:r>
      <w:r w:rsidRPr="003057C2">
        <w:rPr>
          <w:szCs w:val="24"/>
        </w:rPr>
        <w:t xml:space="preserve"> omits </w:t>
      </w:r>
      <w:r w:rsidR="00CF3C45">
        <w:rPr>
          <w:szCs w:val="24"/>
        </w:rPr>
        <w:t>‘</w:t>
      </w:r>
      <w:r w:rsidRPr="003057C2">
        <w:rPr>
          <w:i/>
          <w:szCs w:val="24"/>
        </w:rPr>
        <w:t>Export Control (Plants and Plant Products) Orders 2005</w:t>
      </w:r>
      <w:r w:rsidR="00CF3C45">
        <w:rPr>
          <w:szCs w:val="24"/>
        </w:rPr>
        <w:t>’</w:t>
      </w:r>
      <w:r w:rsidRPr="003057C2">
        <w:rPr>
          <w:szCs w:val="24"/>
        </w:rPr>
        <w:t xml:space="preserve"> and inserts the correct citation </w:t>
      </w:r>
      <w:r w:rsidR="00CF3C45">
        <w:rPr>
          <w:szCs w:val="24"/>
        </w:rPr>
        <w:t>‘</w:t>
      </w:r>
      <w:r w:rsidRPr="003057C2">
        <w:rPr>
          <w:i/>
          <w:szCs w:val="24"/>
        </w:rPr>
        <w:t>Export Control (Plants and Plant Products) Order 2011</w:t>
      </w:r>
      <w:r w:rsidR="00CF3C45">
        <w:rPr>
          <w:szCs w:val="24"/>
        </w:rPr>
        <w:t>’</w:t>
      </w:r>
      <w:r w:rsidRPr="003057C2">
        <w:rPr>
          <w:szCs w:val="24"/>
        </w:rPr>
        <w:t>. This corrects a typographical error within the Orders.</w:t>
      </w:r>
    </w:p>
    <w:p w:rsidR="005100B0" w:rsidRPr="002967E1" w:rsidRDefault="005100B0">
      <w:pPr>
        <w:rPr>
          <w:b/>
          <w:szCs w:val="24"/>
        </w:rPr>
      </w:pPr>
    </w:p>
    <w:p w:rsidR="0028298A" w:rsidRPr="002967E1" w:rsidRDefault="003057C2">
      <w:pPr>
        <w:rPr>
          <w:szCs w:val="24"/>
        </w:rPr>
      </w:pPr>
      <w:r w:rsidRPr="003057C2">
        <w:rPr>
          <w:b/>
          <w:szCs w:val="24"/>
        </w:rPr>
        <w:t>Item 12</w:t>
      </w:r>
      <w:r w:rsidRPr="003057C2">
        <w:rPr>
          <w:szCs w:val="24"/>
        </w:rPr>
        <w:t xml:space="preserve"> substitutes an amended section 14 which makes fees for all inspection, audit and general services payable by the person for whom the services are performed. This was previously provided for in the old section 22A of the Orders.</w:t>
      </w:r>
    </w:p>
    <w:p w:rsidR="004B128D" w:rsidRPr="002967E1" w:rsidRDefault="004B128D">
      <w:pPr>
        <w:rPr>
          <w:szCs w:val="24"/>
        </w:rPr>
      </w:pPr>
    </w:p>
    <w:p w:rsidR="0028298A" w:rsidRPr="002967E1" w:rsidRDefault="003057C2">
      <w:pPr>
        <w:rPr>
          <w:szCs w:val="24"/>
        </w:rPr>
      </w:pPr>
      <w:r w:rsidRPr="003057C2">
        <w:rPr>
          <w:szCs w:val="24"/>
        </w:rPr>
        <w:t xml:space="preserve">Item 12 also substitutes the previous section 14A with section 15 which retains the fee of $36 per quarter hour but now includes new time-based maximum fees of $1,152 per day (8 hours or 32 quarter hour units) and $5,760 per week (5 days or 160 quarter hour units). These fees do not include overtime. </w:t>
      </w:r>
    </w:p>
    <w:p w:rsidR="0028298A" w:rsidRPr="002967E1" w:rsidRDefault="0028298A">
      <w:pPr>
        <w:rPr>
          <w:szCs w:val="24"/>
        </w:rPr>
      </w:pPr>
    </w:p>
    <w:p w:rsidR="0028298A" w:rsidRPr="002967E1" w:rsidRDefault="003057C2">
      <w:pPr>
        <w:rPr>
          <w:szCs w:val="24"/>
        </w:rPr>
      </w:pPr>
      <w:r w:rsidRPr="003057C2">
        <w:rPr>
          <w:b/>
          <w:szCs w:val="24"/>
        </w:rPr>
        <w:t>Item 13</w:t>
      </w:r>
      <w:r w:rsidRPr="003057C2">
        <w:rPr>
          <w:szCs w:val="24"/>
        </w:rPr>
        <w:t xml:space="preserve"> omits Order 22A of the Orders which provided that fees for all inspection, audit and general services are payable by the person for whom the services are performed. This is now provided for in section 14 of the Orders.</w:t>
      </w:r>
    </w:p>
    <w:p w:rsidR="0028298A" w:rsidRPr="002967E1" w:rsidRDefault="0028298A">
      <w:pPr>
        <w:rPr>
          <w:b/>
          <w:szCs w:val="24"/>
        </w:rPr>
      </w:pPr>
    </w:p>
    <w:p w:rsidR="00143707" w:rsidRPr="002967E1" w:rsidRDefault="003057C2">
      <w:pPr>
        <w:rPr>
          <w:szCs w:val="24"/>
        </w:rPr>
      </w:pPr>
      <w:r w:rsidRPr="003057C2">
        <w:rPr>
          <w:b/>
          <w:szCs w:val="24"/>
        </w:rPr>
        <w:t>Item 14</w:t>
      </w:r>
      <w:r w:rsidRPr="003057C2">
        <w:rPr>
          <w:szCs w:val="24"/>
        </w:rPr>
        <w:t xml:space="preserve"> omits the reference to </w:t>
      </w:r>
      <w:r w:rsidR="00CF3C45">
        <w:rPr>
          <w:szCs w:val="24"/>
        </w:rPr>
        <w:t>‘</w:t>
      </w:r>
      <w:r w:rsidRPr="003057C2">
        <w:rPr>
          <w:szCs w:val="24"/>
        </w:rPr>
        <w:t>AQIS</w:t>
      </w:r>
      <w:r w:rsidR="00CF3C45">
        <w:rPr>
          <w:szCs w:val="24"/>
        </w:rPr>
        <w:t>’</w:t>
      </w:r>
      <w:r w:rsidRPr="003057C2">
        <w:rPr>
          <w:szCs w:val="24"/>
        </w:rPr>
        <w:t xml:space="preserve"> from subparagraph </w:t>
      </w:r>
      <w:proofErr w:type="gramStart"/>
      <w:r w:rsidRPr="003057C2">
        <w:rPr>
          <w:szCs w:val="24"/>
        </w:rPr>
        <w:t>23AA(</w:t>
      </w:r>
      <w:proofErr w:type="gramEnd"/>
      <w:r w:rsidRPr="003057C2">
        <w:rPr>
          <w:szCs w:val="24"/>
        </w:rPr>
        <w:t xml:space="preserve">5)(b)(iii) of the Orders and inserts </w:t>
      </w:r>
      <w:r w:rsidR="00CF3C45">
        <w:rPr>
          <w:szCs w:val="24"/>
        </w:rPr>
        <w:t>‘</w:t>
      </w:r>
      <w:r w:rsidRPr="003057C2">
        <w:rPr>
          <w:szCs w:val="24"/>
        </w:rPr>
        <w:t>the Department</w:t>
      </w:r>
      <w:r w:rsidR="00CF3C45">
        <w:rPr>
          <w:szCs w:val="24"/>
        </w:rPr>
        <w:t>’</w:t>
      </w:r>
      <w:r w:rsidRPr="003057C2">
        <w:rPr>
          <w:szCs w:val="24"/>
        </w:rPr>
        <w:t>.</w:t>
      </w:r>
      <w:r w:rsidR="00384152">
        <w:rPr>
          <w:szCs w:val="24"/>
        </w:rPr>
        <w:t xml:space="preserve"> </w:t>
      </w:r>
      <w:r w:rsidRPr="003057C2">
        <w:rPr>
          <w:szCs w:val="24"/>
        </w:rPr>
        <w:t>The purpose of the amendment is as outlined above at item 1.</w:t>
      </w:r>
    </w:p>
    <w:p w:rsidR="0028298A" w:rsidRPr="002967E1" w:rsidRDefault="0028298A">
      <w:pPr>
        <w:rPr>
          <w:szCs w:val="24"/>
        </w:rPr>
      </w:pPr>
    </w:p>
    <w:p w:rsidR="00143707" w:rsidRPr="002967E1" w:rsidRDefault="003057C2" w:rsidP="00143707">
      <w:pPr>
        <w:rPr>
          <w:szCs w:val="24"/>
        </w:rPr>
      </w:pPr>
      <w:r w:rsidRPr="003057C2">
        <w:rPr>
          <w:b/>
          <w:szCs w:val="24"/>
        </w:rPr>
        <w:t>Item 15</w:t>
      </w:r>
      <w:r w:rsidRPr="003057C2">
        <w:rPr>
          <w:szCs w:val="24"/>
        </w:rPr>
        <w:t xml:space="preserve"> omits the reference to </w:t>
      </w:r>
      <w:r w:rsidR="00CF3C45">
        <w:rPr>
          <w:szCs w:val="24"/>
        </w:rPr>
        <w:t>‘</w:t>
      </w:r>
      <w:r w:rsidRPr="003057C2">
        <w:rPr>
          <w:szCs w:val="24"/>
        </w:rPr>
        <w:t>AQIS</w:t>
      </w:r>
      <w:r w:rsidR="00CF3C45">
        <w:rPr>
          <w:szCs w:val="24"/>
        </w:rPr>
        <w:t>’</w:t>
      </w:r>
      <w:r w:rsidRPr="003057C2">
        <w:rPr>
          <w:szCs w:val="24"/>
        </w:rPr>
        <w:t xml:space="preserve"> from subparagraph 24(1A</w:t>
      </w:r>
      <w:proofErr w:type="gramStart"/>
      <w:r w:rsidRPr="003057C2">
        <w:rPr>
          <w:szCs w:val="24"/>
        </w:rPr>
        <w:t>)(</w:t>
      </w:r>
      <w:proofErr w:type="gramEnd"/>
      <w:r w:rsidRPr="003057C2">
        <w:rPr>
          <w:szCs w:val="24"/>
        </w:rPr>
        <w:t xml:space="preserve">b)(iii) of the Orders and inserts </w:t>
      </w:r>
      <w:r w:rsidR="00CF3C45">
        <w:rPr>
          <w:szCs w:val="24"/>
        </w:rPr>
        <w:t>‘</w:t>
      </w:r>
      <w:r w:rsidRPr="003057C2">
        <w:rPr>
          <w:szCs w:val="24"/>
        </w:rPr>
        <w:t>the Department</w:t>
      </w:r>
      <w:r w:rsidR="00CF3C45">
        <w:rPr>
          <w:szCs w:val="24"/>
        </w:rPr>
        <w:t>’</w:t>
      </w:r>
      <w:r w:rsidRPr="003057C2">
        <w:rPr>
          <w:szCs w:val="24"/>
        </w:rPr>
        <w:t>.</w:t>
      </w:r>
      <w:r w:rsidR="00F8703B">
        <w:rPr>
          <w:szCs w:val="24"/>
        </w:rPr>
        <w:t xml:space="preserve"> </w:t>
      </w:r>
      <w:r w:rsidRPr="003057C2">
        <w:rPr>
          <w:szCs w:val="24"/>
        </w:rPr>
        <w:t>The purpose of the amendment is as outlined above at item 1.</w:t>
      </w:r>
    </w:p>
    <w:p w:rsidR="00143707" w:rsidRPr="002967E1" w:rsidRDefault="00143707" w:rsidP="004B128D">
      <w:pPr>
        <w:rPr>
          <w:szCs w:val="24"/>
        </w:rPr>
      </w:pPr>
    </w:p>
    <w:p w:rsidR="004B128D" w:rsidRPr="002967E1" w:rsidRDefault="003057C2" w:rsidP="004B128D">
      <w:pPr>
        <w:rPr>
          <w:szCs w:val="24"/>
        </w:rPr>
      </w:pPr>
      <w:r w:rsidRPr="003057C2">
        <w:rPr>
          <w:b/>
          <w:szCs w:val="24"/>
        </w:rPr>
        <w:t>Item 16</w:t>
      </w:r>
      <w:r w:rsidRPr="003057C2">
        <w:rPr>
          <w:szCs w:val="24"/>
        </w:rPr>
        <w:t xml:space="preserve"> omits Part 7 from the Orders. This Part which previously dealt with fees for horticultural products has been absorbed into Part 3 of the Orders, dealing with fees for grains, plants and plant products. Fees for horticultural products will now be covered within this Part which accommodates these changes under a revised definition for plants and plant products and an amendment to remove the definition of horticultural products from the Orders. Amendments have also been made to remove Schedule 6 of the Orders, previously under Orders 34A, 34D of Part 7 of the Orders.</w:t>
      </w:r>
    </w:p>
    <w:p w:rsidR="0028298A" w:rsidRPr="002967E1" w:rsidRDefault="0028298A">
      <w:pPr>
        <w:rPr>
          <w:szCs w:val="24"/>
        </w:rPr>
      </w:pPr>
    </w:p>
    <w:p w:rsidR="0028298A" w:rsidRPr="002967E1" w:rsidRDefault="003057C2">
      <w:pPr>
        <w:rPr>
          <w:szCs w:val="24"/>
        </w:rPr>
      </w:pPr>
      <w:r w:rsidRPr="003057C2">
        <w:rPr>
          <w:szCs w:val="24"/>
        </w:rPr>
        <w:t>Under the new cost recovery arrangement, fees for horticulture products will change from the existing rates to rates which apply under the regime for grains, plants and plant products.</w:t>
      </w:r>
    </w:p>
    <w:p w:rsidR="0028109D" w:rsidRPr="002967E1" w:rsidRDefault="0028109D">
      <w:pPr>
        <w:rPr>
          <w:szCs w:val="24"/>
        </w:rPr>
      </w:pPr>
    </w:p>
    <w:p w:rsidR="004B128D" w:rsidRPr="002967E1" w:rsidRDefault="003057C2" w:rsidP="004B128D">
      <w:pPr>
        <w:rPr>
          <w:szCs w:val="24"/>
        </w:rPr>
      </w:pPr>
      <w:r w:rsidRPr="003057C2">
        <w:rPr>
          <w:szCs w:val="24"/>
        </w:rPr>
        <w:t xml:space="preserve">A fee of $36 per quarter hour and new time-based maximum fees of $1,152 per day (8 hours or 32 quarter hour units) and $5,760 per week (5 days or 160 quarter hour units) apply for all inspection, audit and general services. These maximum fees do not include overtime. </w:t>
      </w:r>
    </w:p>
    <w:p w:rsidR="004B128D" w:rsidRPr="002967E1" w:rsidRDefault="004B128D" w:rsidP="004B128D">
      <w:pPr>
        <w:rPr>
          <w:szCs w:val="24"/>
        </w:rPr>
      </w:pPr>
    </w:p>
    <w:p w:rsidR="004B128D" w:rsidRPr="002967E1" w:rsidRDefault="003057C2" w:rsidP="004B128D">
      <w:pPr>
        <w:rPr>
          <w:szCs w:val="24"/>
        </w:rPr>
      </w:pPr>
      <w:r w:rsidRPr="003057C2">
        <w:rPr>
          <w:szCs w:val="24"/>
        </w:rPr>
        <w:t>Fees for these services will be payable by the person for whom the services are performed. The fees do not apply to services that may be provided by non-government employed authorised officers.</w:t>
      </w:r>
    </w:p>
    <w:p w:rsidR="004B128D" w:rsidRPr="002967E1" w:rsidRDefault="004B128D" w:rsidP="004B128D">
      <w:pPr>
        <w:rPr>
          <w:szCs w:val="24"/>
        </w:rPr>
      </w:pPr>
    </w:p>
    <w:p w:rsidR="004B128D" w:rsidRPr="002967E1" w:rsidRDefault="003057C2" w:rsidP="004B128D">
      <w:pPr>
        <w:rPr>
          <w:szCs w:val="24"/>
        </w:rPr>
      </w:pPr>
      <w:r w:rsidRPr="003057C2">
        <w:rPr>
          <w:szCs w:val="24"/>
        </w:rPr>
        <w:t>Overtime fees apply to the provision of all services, including export certification services that are provided outside of the department’s normal working hours. </w:t>
      </w:r>
    </w:p>
    <w:p w:rsidR="004B128D" w:rsidRPr="002967E1" w:rsidRDefault="004B128D" w:rsidP="004B128D">
      <w:pPr>
        <w:rPr>
          <w:szCs w:val="24"/>
        </w:rPr>
      </w:pPr>
    </w:p>
    <w:p w:rsidR="004B128D" w:rsidRPr="002967E1" w:rsidRDefault="003057C2" w:rsidP="004B128D">
      <w:pPr>
        <w:rPr>
          <w:szCs w:val="24"/>
        </w:rPr>
      </w:pPr>
      <w:r>
        <w:rPr>
          <w:szCs w:val="24"/>
        </w:rPr>
        <w:t>Suborder 16(2) provides the overtime fees payable where the overtime period is continuous with the authorised officer’s ordinary hours of work. Suborder 16(3) provides the overtime fees payable where the overtime period is not continuous with the authorised officer’s ordinary hours of work.</w:t>
      </w:r>
    </w:p>
    <w:p w:rsidR="004B128D" w:rsidRPr="002967E1" w:rsidRDefault="004B128D" w:rsidP="004B128D">
      <w:pPr>
        <w:rPr>
          <w:szCs w:val="24"/>
        </w:rPr>
      </w:pPr>
    </w:p>
    <w:p w:rsidR="004B128D" w:rsidRPr="002967E1" w:rsidRDefault="003057C2" w:rsidP="004B128D">
      <w:pPr>
        <w:rPr>
          <w:szCs w:val="24"/>
        </w:rPr>
      </w:pPr>
      <w:r w:rsidRPr="003057C2">
        <w:rPr>
          <w:szCs w:val="24"/>
        </w:rPr>
        <w:t>The previous overtime fees for horticultural products have been recalculated against the current average salary cost and penalties payable to those staff eligible for extra duty allowances since the fees were last adjusted in December 2009.</w:t>
      </w:r>
    </w:p>
    <w:p w:rsidR="004B128D" w:rsidRPr="002967E1" w:rsidRDefault="004B128D" w:rsidP="004B128D">
      <w:pPr>
        <w:rPr>
          <w:szCs w:val="24"/>
        </w:rPr>
      </w:pPr>
    </w:p>
    <w:p w:rsidR="004B128D" w:rsidRPr="002967E1" w:rsidRDefault="003057C2" w:rsidP="004B128D">
      <w:pPr>
        <w:rPr>
          <w:szCs w:val="24"/>
        </w:rPr>
      </w:pPr>
      <w:r w:rsidRPr="003057C2">
        <w:rPr>
          <w:szCs w:val="24"/>
        </w:rPr>
        <w:t>Export certification fees are provided in Schedule 5 of the Orders. A fee of $500 applies where a phytosanitary certificate, an export permit or any other certificate is issued as a replacement certificate; $100.00 where a phytosanitary certificate, an export permit or any other certificate is issued manually; and $16.00 where a phytosanitary certificate, an export permit or any other certificate is issued electronically.</w:t>
      </w:r>
    </w:p>
    <w:p w:rsidR="004B128D" w:rsidRPr="002967E1" w:rsidRDefault="004B128D" w:rsidP="004B128D">
      <w:pPr>
        <w:rPr>
          <w:szCs w:val="24"/>
        </w:rPr>
      </w:pPr>
    </w:p>
    <w:p w:rsidR="0028298A" w:rsidRPr="002967E1" w:rsidRDefault="003057C2" w:rsidP="004B128D">
      <w:pPr>
        <w:rPr>
          <w:szCs w:val="24"/>
        </w:rPr>
      </w:pPr>
      <w:r w:rsidRPr="003057C2">
        <w:rPr>
          <w:szCs w:val="24"/>
        </w:rPr>
        <w:t>These adjustments to the rates of charge reflect the cost of export certification and documentation services under the new services delivery arrangement.</w:t>
      </w:r>
    </w:p>
    <w:p w:rsidR="0028298A" w:rsidRPr="002967E1" w:rsidRDefault="0028298A">
      <w:pPr>
        <w:rPr>
          <w:szCs w:val="24"/>
        </w:rPr>
      </w:pPr>
    </w:p>
    <w:p w:rsidR="0028298A" w:rsidRPr="002967E1" w:rsidRDefault="003057C2">
      <w:pPr>
        <w:rPr>
          <w:szCs w:val="24"/>
        </w:rPr>
      </w:pPr>
      <w:r w:rsidRPr="003057C2">
        <w:rPr>
          <w:b/>
          <w:szCs w:val="24"/>
        </w:rPr>
        <w:t>Item 17</w:t>
      </w:r>
      <w:r w:rsidRPr="003057C2">
        <w:rPr>
          <w:szCs w:val="24"/>
        </w:rPr>
        <w:t xml:space="preserve"> omits the word </w:t>
      </w:r>
      <w:r w:rsidR="00CF3C45">
        <w:rPr>
          <w:szCs w:val="24"/>
        </w:rPr>
        <w:t>‘</w:t>
      </w:r>
      <w:r w:rsidRPr="003057C2">
        <w:rPr>
          <w:szCs w:val="24"/>
        </w:rPr>
        <w:t>other</w:t>
      </w:r>
      <w:r w:rsidR="00CF3C45">
        <w:rPr>
          <w:szCs w:val="24"/>
        </w:rPr>
        <w:t>’</w:t>
      </w:r>
      <w:r w:rsidRPr="003057C2">
        <w:rPr>
          <w:szCs w:val="24"/>
        </w:rPr>
        <w:t xml:space="preserve"> before </w:t>
      </w:r>
      <w:r w:rsidR="00CF3C45">
        <w:rPr>
          <w:szCs w:val="24"/>
        </w:rPr>
        <w:t>‘</w:t>
      </w:r>
      <w:r w:rsidRPr="003057C2">
        <w:rPr>
          <w:szCs w:val="24"/>
        </w:rPr>
        <w:t>plant products</w:t>
      </w:r>
      <w:r w:rsidR="00CF3C45">
        <w:rPr>
          <w:szCs w:val="24"/>
        </w:rPr>
        <w:t>’</w:t>
      </w:r>
      <w:r w:rsidRPr="003057C2">
        <w:rPr>
          <w:szCs w:val="24"/>
        </w:rPr>
        <w:t xml:space="preserve"> in the list of products relating to export documentation fees. </w:t>
      </w:r>
      <w:r w:rsidR="00CF3C45">
        <w:rPr>
          <w:szCs w:val="24"/>
        </w:rPr>
        <w:t>‘</w:t>
      </w:r>
      <w:r w:rsidRPr="003057C2">
        <w:rPr>
          <w:szCs w:val="24"/>
        </w:rPr>
        <w:t>Plant</w:t>
      </w:r>
      <w:r w:rsidR="00CF3C45">
        <w:rPr>
          <w:szCs w:val="24"/>
        </w:rPr>
        <w:t>’</w:t>
      </w:r>
      <w:r w:rsidRPr="003057C2">
        <w:rPr>
          <w:szCs w:val="24"/>
        </w:rPr>
        <w:t xml:space="preserve"> and </w:t>
      </w:r>
      <w:r w:rsidR="00CF3C45">
        <w:rPr>
          <w:szCs w:val="24"/>
        </w:rPr>
        <w:t>‘</w:t>
      </w:r>
      <w:r w:rsidRPr="003057C2">
        <w:rPr>
          <w:szCs w:val="24"/>
        </w:rPr>
        <w:t>plant products</w:t>
      </w:r>
      <w:r w:rsidR="00CF3C45">
        <w:rPr>
          <w:szCs w:val="24"/>
        </w:rPr>
        <w:t>’</w:t>
      </w:r>
      <w:r w:rsidRPr="003057C2">
        <w:rPr>
          <w:szCs w:val="24"/>
        </w:rPr>
        <w:t xml:space="preserve"> are defined separately in subsection 4(1) of the Orders.</w:t>
      </w:r>
    </w:p>
    <w:p w:rsidR="004B128D" w:rsidRPr="002967E1" w:rsidRDefault="004B128D">
      <w:pPr>
        <w:rPr>
          <w:szCs w:val="24"/>
        </w:rPr>
      </w:pPr>
    </w:p>
    <w:p w:rsidR="00CA175D" w:rsidRPr="002967E1" w:rsidRDefault="003057C2">
      <w:pPr>
        <w:rPr>
          <w:szCs w:val="24"/>
        </w:rPr>
      </w:pPr>
      <w:r w:rsidRPr="003057C2">
        <w:rPr>
          <w:b/>
          <w:szCs w:val="24"/>
        </w:rPr>
        <w:t>Item 18</w:t>
      </w:r>
      <w:r w:rsidRPr="003057C2">
        <w:rPr>
          <w:szCs w:val="24"/>
        </w:rPr>
        <w:t xml:space="preserve"> omits the words </w:t>
      </w:r>
      <w:r w:rsidR="00CF3C45">
        <w:rPr>
          <w:szCs w:val="24"/>
        </w:rPr>
        <w:t>‘</w:t>
      </w:r>
      <w:r w:rsidRPr="003057C2">
        <w:rPr>
          <w:szCs w:val="24"/>
        </w:rPr>
        <w:t>by AQIS</w:t>
      </w:r>
      <w:r w:rsidR="00CF3C45">
        <w:rPr>
          <w:szCs w:val="24"/>
        </w:rPr>
        <w:t>’</w:t>
      </w:r>
      <w:r w:rsidRPr="003057C2">
        <w:rPr>
          <w:szCs w:val="24"/>
        </w:rPr>
        <w:t xml:space="preserve"> from paragraph 41(1</w:t>
      </w:r>
      <w:proofErr w:type="gramStart"/>
      <w:r w:rsidRPr="003057C2">
        <w:rPr>
          <w:szCs w:val="24"/>
        </w:rPr>
        <w:t>)(</w:t>
      </w:r>
      <w:proofErr w:type="gramEnd"/>
      <w:r w:rsidRPr="003057C2">
        <w:rPr>
          <w:szCs w:val="24"/>
        </w:rPr>
        <w:t>b) of the Orders.</w:t>
      </w:r>
      <w:r w:rsidR="00384152">
        <w:rPr>
          <w:szCs w:val="24"/>
        </w:rPr>
        <w:t xml:space="preserve"> </w:t>
      </w:r>
      <w:r w:rsidRPr="003057C2">
        <w:rPr>
          <w:szCs w:val="24"/>
        </w:rPr>
        <w:t>The purpose of this amendment is as outlined at item 1.</w:t>
      </w:r>
    </w:p>
    <w:p w:rsidR="004B128D" w:rsidRPr="002967E1" w:rsidRDefault="004B128D">
      <w:pPr>
        <w:rPr>
          <w:szCs w:val="24"/>
        </w:rPr>
      </w:pPr>
    </w:p>
    <w:p w:rsidR="00CA175D" w:rsidRPr="002967E1" w:rsidRDefault="003057C2">
      <w:pPr>
        <w:rPr>
          <w:szCs w:val="24"/>
        </w:rPr>
      </w:pPr>
      <w:r w:rsidRPr="003057C2">
        <w:rPr>
          <w:b/>
          <w:szCs w:val="24"/>
        </w:rPr>
        <w:t>Item 19</w:t>
      </w:r>
      <w:r w:rsidRPr="003057C2">
        <w:rPr>
          <w:szCs w:val="24"/>
        </w:rPr>
        <w:t xml:space="preserve"> omits the words </w:t>
      </w:r>
      <w:r w:rsidR="00CF3C45">
        <w:rPr>
          <w:szCs w:val="24"/>
        </w:rPr>
        <w:t>‘</w:t>
      </w:r>
      <w:r w:rsidRPr="003057C2">
        <w:rPr>
          <w:szCs w:val="24"/>
        </w:rPr>
        <w:t>by AQIS</w:t>
      </w:r>
      <w:r w:rsidR="00CF3C45">
        <w:rPr>
          <w:szCs w:val="24"/>
        </w:rPr>
        <w:t>’</w:t>
      </w:r>
      <w:r w:rsidRPr="003057C2">
        <w:rPr>
          <w:szCs w:val="24"/>
        </w:rPr>
        <w:t xml:space="preserve"> from Order 42 of the Orders.</w:t>
      </w:r>
      <w:r w:rsidR="00384152">
        <w:rPr>
          <w:szCs w:val="24"/>
        </w:rPr>
        <w:t xml:space="preserve"> </w:t>
      </w:r>
      <w:r w:rsidRPr="003057C2">
        <w:rPr>
          <w:szCs w:val="24"/>
        </w:rPr>
        <w:t xml:space="preserve">The purpose of this amendment is as outlined at item 1. </w:t>
      </w:r>
    </w:p>
    <w:p w:rsidR="004B128D" w:rsidRPr="002967E1" w:rsidRDefault="004B128D">
      <w:pPr>
        <w:rPr>
          <w:szCs w:val="24"/>
        </w:rPr>
      </w:pPr>
    </w:p>
    <w:p w:rsidR="00CA175D" w:rsidRPr="002967E1" w:rsidRDefault="003057C2" w:rsidP="00CA175D">
      <w:pPr>
        <w:rPr>
          <w:szCs w:val="24"/>
        </w:rPr>
      </w:pPr>
      <w:r w:rsidRPr="003057C2">
        <w:rPr>
          <w:b/>
          <w:szCs w:val="24"/>
        </w:rPr>
        <w:t>Item 20</w:t>
      </w:r>
      <w:r w:rsidRPr="003057C2">
        <w:rPr>
          <w:szCs w:val="24"/>
        </w:rPr>
        <w:t xml:space="preserve"> omits the words </w:t>
      </w:r>
      <w:r w:rsidR="00CF3C45">
        <w:rPr>
          <w:szCs w:val="24"/>
        </w:rPr>
        <w:t>‘</w:t>
      </w:r>
      <w:r w:rsidRPr="003057C2">
        <w:rPr>
          <w:szCs w:val="24"/>
        </w:rPr>
        <w:t>an invoice for the fee issued by AQIS</w:t>
      </w:r>
      <w:r w:rsidR="00CF3C45">
        <w:rPr>
          <w:szCs w:val="24"/>
        </w:rPr>
        <w:t>’</w:t>
      </w:r>
      <w:r w:rsidRPr="003057C2">
        <w:rPr>
          <w:szCs w:val="24"/>
        </w:rPr>
        <w:t xml:space="preserve"> from paragraph 44(1</w:t>
      </w:r>
      <w:proofErr w:type="gramStart"/>
      <w:r w:rsidRPr="003057C2">
        <w:rPr>
          <w:szCs w:val="24"/>
        </w:rPr>
        <w:t>)(</w:t>
      </w:r>
      <w:proofErr w:type="gramEnd"/>
      <w:r w:rsidRPr="003057C2">
        <w:rPr>
          <w:szCs w:val="24"/>
        </w:rPr>
        <w:t xml:space="preserve">b) and in this same place inserts the words </w:t>
      </w:r>
      <w:r w:rsidR="00CF3C45">
        <w:rPr>
          <w:szCs w:val="24"/>
        </w:rPr>
        <w:t>‘</w:t>
      </w:r>
      <w:r w:rsidRPr="003057C2">
        <w:rPr>
          <w:szCs w:val="24"/>
        </w:rPr>
        <w:t>the invoice for the fee</w:t>
      </w:r>
      <w:r w:rsidR="00CF3C45">
        <w:rPr>
          <w:szCs w:val="24"/>
        </w:rPr>
        <w:t>’</w:t>
      </w:r>
      <w:r w:rsidRPr="003057C2">
        <w:rPr>
          <w:szCs w:val="24"/>
        </w:rPr>
        <w:t>.</w:t>
      </w:r>
      <w:r w:rsidR="00384152">
        <w:rPr>
          <w:szCs w:val="24"/>
        </w:rPr>
        <w:t xml:space="preserve"> </w:t>
      </w:r>
      <w:r w:rsidRPr="003057C2">
        <w:rPr>
          <w:szCs w:val="24"/>
        </w:rPr>
        <w:t>The purpose of this amendment is as outlined at item 1.</w:t>
      </w:r>
    </w:p>
    <w:p w:rsidR="00677153" w:rsidRPr="002967E1" w:rsidRDefault="00677153">
      <w:pPr>
        <w:rPr>
          <w:szCs w:val="24"/>
        </w:rPr>
      </w:pPr>
    </w:p>
    <w:p w:rsidR="004B128D" w:rsidRPr="002967E1" w:rsidRDefault="003057C2" w:rsidP="004B128D">
      <w:pPr>
        <w:rPr>
          <w:szCs w:val="24"/>
        </w:rPr>
      </w:pPr>
      <w:r w:rsidRPr="003057C2">
        <w:rPr>
          <w:b/>
          <w:szCs w:val="24"/>
        </w:rPr>
        <w:t>Item 21</w:t>
      </w:r>
      <w:r w:rsidRPr="003057C2">
        <w:rPr>
          <w:szCs w:val="24"/>
        </w:rPr>
        <w:t xml:space="preserve"> omits Schedule 6 of the Orders. Schedule 6 is no longer required, as Order 15 now covers horticultural products imposing a fee of $36 per quarter hour and new maximum daily and weekly fees in relation to an inspection service. Orders 34A, 34D which previously provided for fees for horticultural products in Schedule 6 have also been removed with Part 7 of the Orders.</w:t>
      </w:r>
    </w:p>
    <w:p w:rsidR="004B128D" w:rsidRPr="002967E1" w:rsidRDefault="004B128D">
      <w:pPr>
        <w:rPr>
          <w:szCs w:val="24"/>
        </w:rPr>
      </w:pPr>
    </w:p>
    <w:p w:rsidR="005B622C" w:rsidRDefault="005B622C">
      <w:pPr>
        <w:overflowPunct/>
        <w:autoSpaceDE/>
        <w:autoSpaceDN/>
        <w:adjustRightInd/>
        <w:textAlignment w:val="auto"/>
        <w:rPr>
          <w:szCs w:val="24"/>
        </w:rPr>
      </w:pPr>
      <w:r>
        <w:rPr>
          <w:szCs w:val="24"/>
        </w:rPr>
        <w:br w:type="page"/>
      </w:r>
    </w:p>
    <w:p w:rsidR="005B622C" w:rsidRPr="00E4135E" w:rsidRDefault="005B622C" w:rsidP="005B622C">
      <w:pPr>
        <w:spacing w:before="360" w:after="120"/>
        <w:jc w:val="center"/>
        <w:rPr>
          <w:b/>
          <w:sz w:val="28"/>
          <w:szCs w:val="28"/>
        </w:rPr>
      </w:pPr>
      <w:r w:rsidRPr="00E4135E">
        <w:rPr>
          <w:b/>
          <w:sz w:val="28"/>
          <w:szCs w:val="28"/>
        </w:rPr>
        <w:t>Statement of Compatibility with Human Rights</w:t>
      </w:r>
    </w:p>
    <w:p w:rsidR="005B622C" w:rsidRPr="00E4135E" w:rsidRDefault="005B622C" w:rsidP="005B622C">
      <w:pPr>
        <w:spacing w:before="120" w:after="120"/>
        <w:jc w:val="center"/>
      </w:pPr>
      <w:r w:rsidRPr="00E4135E">
        <w:rPr>
          <w:i/>
        </w:rPr>
        <w:t>Prepared in accordance with Part 3 of the Human Rights (Parliamentary Scrutiny) Act 2011</w:t>
      </w:r>
    </w:p>
    <w:p w:rsidR="005B622C" w:rsidRDefault="005B622C" w:rsidP="005B622C">
      <w:pPr>
        <w:jc w:val="center"/>
      </w:pPr>
    </w:p>
    <w:p w:rsidR="005B622C" w:rsidRPr="00B32AE8" w:rsidRDefault="005B622C" w:rsidP="005B622C">
      <w:pPr>
        <w:tabs>
          <w:tab w:val="left" w:pos="567"/>
          <w:tab w:val="left" w:pos="1134"/>
          <w:tab w:val="left" w:pos="1701"/>
          <w:tab w:val="left" w:pos="2268"/>
          <w:tab w:val="left" w:pos="2835"/>
          <w:tab w:val="left" w:pos="3402"/>
          <w:tab w:val="left" w:pos="3969"/>
        </w:tabs>
        <w:jc w:val="center"/>
        <w:rPr>
          <w:b/>
          <w:i/>
        </w:rPr>
      </w:pPr>
      <w:r w:rsidRPr="00B32AE8">
        <w:rPr>
          <w:b/>
          <w:i/>
        </w:rPr>
        <w:t>Export Control (Fees) Amendment Order 2012 (No. 1)</w:t>
      </w:r>
    </w:p>
    <w:p w:rsidR="005B622C" w:rsidRPr="00E4135E" w:rsidRDefault="005B622C" w:rsidP="005B622C">
      <w:pPr>
        <w:spacing w:before="120" w:after="120"/>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5B622C" w:rsidRDefault="005B622C" w:rsidP="005B622C"/>
    <w:p w:rsidR="005B622C" w:rsidRPr="00E4135E" w:rsidRDefault="005B622C" w:rsidP="005B622C">
      <w:pPr>
        <w:spacing w:before="120" w:after="120"/>
        <w:jc w:val="both"/>
        <w:rPr>
          <w:b/>
        </w:rPr>
      </w:pPr>
      <w:r w:rsidRPr="00E4135E">
        <w:rPr>
          <w:b/>
        </w:rPr>
        <w:t>Overview of the Legislative Instrument</w:t>
      </w:r>
    </w:p>
    <w:p w:rsidR="005B622C" w:rsidRDefault="005B622C" w:rsidP="005B622C">
      <w:pPr>
        <w:tabs>
          <w:tab w:val="left" w:pos="567"/>
          <w:tab w:val="left" w:pos="1134"/>
          <w:tab w:val="left" w:pos="1701"/>
          <w:tab w:val="left" w:pos="2268"/>
          <w:tab w:val="left" w:pos="2835"/>
          <w:tab w:val="left" w:pos="3402"/>
          <w:tab w:val="left" w:pos="3969"/>
        </w:tabs>
        <w:rPr>
          <w:szCs w:val="24"/>
          <w:lang w:eastAsia="en-AU"/>
        </w:rPr>
      </w:pPr>
      <w:r>
        <w:t xml:space="preserve">The purpose of the </w:t>
      </w:r>
      <w:r>
        <w:rPr>
          <w:i/>
        </w:rPr>
        <w:t xml:space="preserve">Export Control (Fees) Amendment Order 2012 (No. 1) </w:t>
      </w:r>
      <w:r>
        <w:t xml:space="preserve">is to implement a revised charging regime for the export of </w:t>
      </w:r>
      <w:r w:rsidRPr="004749C8">
        <w:rPr>
          <w:szCs w:val="24"/>
          <w:lang w:eastAsia="en-AU"/>
        </w:rPr>
        <w:t>horticultural products.</w:t>
      </w:r>
      <w:r>
        <w:rPr>
          <w:szCs w:val="24"/>
          <w:lang w:eastAsia="en-AU"/>
        </w:rPr>
        <w:t xml:space="preserve"> This revised regime is based on a new service delivery arrangement. The proposed Amendment Order amends the Orders to:</w:t>
      </w:r>
    </w:p>
    <w:p w:rsidR="005B622C" w:rsidRDefault="005B622C" w:rsidP="005B622C">
      <w:pPr>
        <w:tabs>
          <w:tab w:val="left" w:pos="567"/>
          <w:tab w:val="left" w:pos="1134"/>
          <w:tab w:val="left" w:pos="1701"/>
          <w:tab w:val="left" w:pos="2268"/>
          <w:tab w:val="left" w:pos="2835"/>
          <w:tab w:val="left" w:pos="3402"/>
          <w:tab w:val="left" w:pos="3969"/>
        </w:tabs>
        <w:rPr>
          <w:szCs w:val="24"/>
          <w:lang w:eastAsia="en-AU"/>
        </w:rPr>
      </w:pPr>
    </w:p>
    <w:p w:rsidR="005B622C" w:rsidRPr="004749C8" w:rsidRDefault="005B622C" w:rsidP="005B622C">
      <w:pPr>
        <w:numPr>
          <w:ilvl w:val="0"/>
          <w:numId w:val="20"/>
        </w:numPr>
        <w:rPr>
          <w:szCs w:val="24"/>
        </w:rPr>
      </w:pPr>
      <w:r w:rsidRPr="004749C8">
        <w:rPr>
          <w:szCs w:val="24"/>
        </w:rPr>
        <w:t>provide a new structure and rates for the collection of fees for audit, inspection and general services;</w:t>
      </w:r>
    </w:p>
    <w:p w:rsidR="005B622C" w:rsidRPr="004749C8" w:rsidRDefault="005B622C" w:rsidP="005B622C">
      <w:pPr>
        <w:numPr>
          <w:ilvl w:val="0"/>
          <w:numId w:val="20"/>
        </w:numPr>
        <w:rPr>
          <w:szCs w:val="24"/>
        </w:rPr>
      </w:pPr>
      <w:r w:rsidRPr="004749C8">
        <w:rPr>
          <w:szCs w:val="24"/>
        </w:rPr>
        <w:t>provide new rates for the collection of overtime loading fees; and</w:t>
      </w:r>
    </w:p>
    <w:p w:rsidR="005B622C" w:rsidRPr="004749C8" w:rsidRDefault="005B622C" w:rsidP="005B622C">
      <w:pPr>
        <w:numPr>
          <w:ilvl w:val="0"/>
          <w:numId w:val="20"/>
        </w:numPr>
        <w:rPr>
          <w:b/>
        </w:rPr>
      </w:pPr>
      <w:proofErr w:type="gramStart"/>
      <w:r w:rsidRPr="004749C8">
        <w:rPr>
          <w:szCs w:val="24"/>
        </w:rPr>
        <w:t>provide</w:t>
      </w:r>
      <w:proofErr w:type="gramEnd"/>
      <w:r w:rsidRPr="004749C8">
        <w:rPr>
          <w:szCs w:val="24"/>
        </w:rPr>
        <w:t xml:space="preserve"> a new structure and rates for the collection of export certification fees.</w:t>
      </w:r>
    </w:p>
    <w:p w:rsidR="005B622C" w:rsidRDefault="005B622C" w:rsidP="005B622C"/>
    <w:p w:rsidR="005B622C" w:rsidRPr="00E4135E" w:rsidRDefault="005B622C" w:rsidP="005B622C">
      <w:pPr>
        <w:spacing w:before="120" w:after="120"/>
        <w:rPr>
          <w:b/>
        </w:rPr>
      </w:pPr>
      <w:r w:rsidRPr="00E4135E">
        <w:rPr>
          <w:b/>
        </w:rPr>
        <w:t>Human rights implications</w:t>
      </w:r>
    </w:p>
    <w:p w:rsidR="005B622C" w:rsidRDefault="005B622C" w:rsidP="005B622C">
      <w:pPr>
        <w:spacing w:before="120" w:after="120"/>
      </w:pPr>
      <w:r w:rsidRPr="00E4135E">
        <w:t>This Legislative Instrument does not engage any of the applicable rights or freedoms.</w:t>
      </w:r>
    </w:p>
    <w:p w:rsidR="005B622C" w:rsidRDefault="005B622C" w:rsidP="005B622C"/>
    <w:p w:rsidR="005B622C" w:rsidRPr="00E4135E" w:rsidRDefault="005B622C" w:rsidP="005B622C">
      <w:pPr>
        <w:spacing w:before="120" w:after="120"/>
        <w:rPr>
          <w:b/>
        </w:rPr>
      </w:pPr>
      <w:r w:rsidRPr="00E4135E">
        <w:rPr>
          <w:b/>
        </w:rPr>
        <w:t>Conclusion</w:t>
      </w:r>
    </w:p>
    <w:p w:rsidR="005B622C" w:rsidRDefault="005B622C" w:rsidP="005B622C">
      <w:pPr>
        <w:spacing w:before="120" w:after="120"/>
      </w:pPr>
      <w:r w:rsidRPr="00E4135E">
        <w:t>This Legislative Instrument is compatible with human rights as it does not raise any human rights issues.</w:t>
      </w:r>
    </w:p>
    <w:p w:rsidR="005B622C" w:rsidRDefault="005B622C" w:rsidP="005B622C"/>
    <w:p w:rsidR="005B622C" w:rsidRPr="00E4135E" w:rsidRDefault="005B622C" w:rsidP="005B622C">
      <w:pPr>
        <w:spacing w:before="120" w:after="120"/>
        <w:jc w:val="center"/>
      </w:pPr>
      <w:r>
        <w:rPr>
          <w:b/>
        </w:rPr>
        <w:t xml:space="preserve">The Hon. </w:t>
      </w:r>
      <w:r w:rsidR="004276FE">
        <w:rPr>
          <w:b/>
        </w:rPr>
        <w:t>Joseph William Ludwig</w:t>
      </w:r>
      <w:r>
        <w:rPr>
          <w:b/>
        </w:rPr>
        <w:t xml:space="preserve"> MP, </w:t>
      </w:r>
      <w:r w:rsidR="004276FE">
        <w:rPr>
          <w:b/>
        </w:rPr>
        <w:t>Minister</w:t>
      </w:r>
      <w:r>
        <w:rPr>
          <w:b/>
        </w:rPr>
        <w:t xml:space="preserve"> for Agriculture, Fisheries and Forestry</w:t>
      </w:r>
    </w:p>
    <w:p w:rsidR="00C2102A" w:rsidRPr="002967E1" w:rsidRDefault="00C2102A">
      <w:pPr>
        <w:rPr>
          <w:szCs w:val="24"/>
        </w:rPr>
      </w:pPr>
    </w:p>
    <w:sectPr w:rsidR="00C2102A" w:rsidRPr="002967E1" w:rsidSect="00525364">
      <w:footerReference w:type="default" r:id="rId8"/>
      <w:type w:val="continuous"/>
      <w:pgSz w:w="11906" w:h="16838"/>
      <w:pgMar w:top="1418" w:right="1418" w:bottom="1418"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C45" w:rsidRDefault="00CF3C45">
      <w:r>
        <w:separator/>
      </w:r>
    </w:p>
  </w:endnote>
  <w:endnote w:type="continuationSeparator" w:id="0">
    <w:p w:rsidR="00CF3C45" w:rsidRDefault="00CF3C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555023"/>
      <w:docPartObj>
        <w:docPartGallery w:val="Page Numbers (Bottom of Page)"/>
        <w:docPartUnique/>
      </w:docPartObj>
    </w:sdtPr>
    <w:sdtContent>
      <w:p w:rsidR="00CF3C45" w:rsidRDefault="00B01850">
        <w:pPr>
          <w:pStyle w:val="Footer"/>
          <w:jc w:val="center"/>
        </w:pPr>
        <w:fldSimple w:instr=" PAGE   \* MERGEFORMAT ">
          <w:r w:rsidR="00D2778A">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C45" w:rsidRDefault="00CF3C45">
      <w:r>
        <w:separator/>
      </w:r>
    </w:p>
  </w:footnote>
  <w:footnote w:type="continuationSeparator" w:id="0">
    <w:p w:rsidR="00CF3C45" w:rsidRDefault="00CF3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A3D"/>
    <w:multiLevelType w:val="hybridMultilevel"/>
    <w:tmpl w:val="40F43730"/>
    <w:lvl w:ilvl="0" w:tplc="0C090001">
      <w:start w:val="1"/>
      <w:numFmt w:val="bullet"/>
      <w:lvlText w:val=""/>
      <w:lvlJc w:val="left"/>
      <w:pPr>
        <w:ind w:left="1428" w:hanging="360"/>
      </w:pPr>
      <w:rPr>
        <w:rFonts w:ascii="Symbol" w:hAnsi="Symbol" w:hint="default"/>
      </w:rPr>
    </w:lvl>
    <w:lvl w:ilvl="1" w:tplc="7E54F976">
      <w:numFmt w:val="bullet"/>
      <w:lvlText w:val="•"/>
      <w:lvlJc w:val="left"/>
      <w:pPr>
        <w:ind w:left="2508" w:hanging="720"/>
      </w:pPr>
      <w:rPr>
        <w:rFonts w:ascii="Times New Roman" w:eastAsia="Times New Roman" w:hAnsi="Times New Roman"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1">
    <w:nsid w:val="0B085C72"/>
    <w:multiLevelType w:val="hybridMultilevel"/>
    <w:tmpl w:val="99DACB88"/>
    <w:lvl w:ilvl="0" w:tplc="0DF2746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D0D6E91"/>
    <w:multiLevelType w:val="hybridMultilevel"/>
    <w:tmpl w:val="113690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192441A"/>
    <w:multiLevelType w:val="hybridMultilevel"/>
    <w:tmpl w:val="3EEE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29513D"/>
    <w:multiLevelType w:val="multilevel"/>
    <w:tmpl w:val="9DD8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F00294"/>
    <w:multiLevelType w:val="hybridMultilevel"/>
    <w:tmpl w:val="0A363E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9660E7"/>
    <w:multiLevelType w:val="hybridMultilevel"/>
    <w:tmpl w:val="7A684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CF34E9"/>
    <w:multiLevelType w:val="hybridMultilevel"/>
    <w:tmpl w:val="18EA2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076948"/>
    <w:multiLevelType w:val="hybridMultilevel"/>
    <w:tmpl w:val="EB3CF166"/>
    <w:lvl w:ilvl="0" w:tplc="0C090001">
      <w:start w:val="3"/>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9C80801"/>
    <w:multiLevelType w:val="hybridMultilevel"/>
    <w:tmpl w:val="83749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4D21A6"/>
    <w:multiLevelType w:val="hybridMultilevel"/>
    <w:tmpl w:val="1F22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3AB575D"/>
    <w:multiLevelType w:val="hybridMultilevel"/>
    <w:tmpl w:val="8E00F9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AC54701"/>
    <w:multiLevelType w:val="hybridMultilevel"/>
    <w:tmpl w:val="4A8E7E5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3">
    <w:nsid w:val="3C751196"/>
    <w:multiLevelType w:val="hybridMultilevel"/>
    <w:tmpl w:val="9C4E0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F70A65"/>
    <w:multiLevelType w:val="hybridMultilevel"/>
    <w:tmpl w:val="FADA1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E62F28"/>
    <w:multiLevelType w:val="multilevel"/>
    <w:tmpl w:val="EB8C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B8035E"/>
    <w:multiLevelType w:val="hybridMultilevel"/>
    <w:tmpl w:val="9440C798"/>
    <w:lvl w:ilvl="0" w:tplc="0DF2746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F081F61"/>
    <w:multiLevelType w:val="multilevel"/>
    <w:tmpl w:val="EB8C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E124A7"/>
    <w:multiLevelType w:val="multilevel"/>
    <w:tmpl w:val="EB8C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E4B15"/>
    <w:multiLevelType w:val="hybridMultilevel"/>
    <w:tmpl w:val="4DDECD3A"/>
    <w:lvl w:ilvl="0" w:tplc="0C090003">
      <w:start w:val="1"/>
      <w:numFmt w:val="bullet"/>
      <w:lvlText w:val="o"/>
      <w:lvlJc w:val="left"/>
      <w:pPr>
        <w:tabs>
          <w:tab w:val="num" w:pos="1146"/>
        </w:tabs>
        <w:ind w:left="1146" w:hanging="360"/>
      </w:pPr>
      <w:rPr>
        <w:rFonts w:ascii="Courier New" w:hAnsi="Courier New" w:cs="Courier New" w:hint="default"/>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20">
    <w:nsid w:val="5B366245"/>
    <w:multiLevelType w:val="multilevel"/>
    <w:tmpl w:val="767C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CAC0D58"/>
    <w:multiLevelType w:val="hybridMultilevel"/>
    <w:tmpl w:val="36BE945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nsid w:val="5E2F7A33"/>
    <w:multiLevelType w:val="hybridMultilevel"/>
    <w:tmpl w:val="87EC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EC83387"/>
    <w:multiLevelType w:val="multilevel"/>
    <w:tmpl w:val="07FC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EE43735"/>
    <w:multiLevelType w:val="hybridMultilevel"/>
    <w:tmpl w:val="46327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EFF4D92"/>
    <w:multiLevelType w:val="hybridMultilevel"/>
    <w:tmpl w:val="2F2065D8"/>
    <w:lvl w:ilvl="0" w:tplc="0C090001">
      <w:start w:val="1"/>
      <w:numFmt w:val="bullet"/>
      <w:lvlText w:val=""/>
      <w:lvlJc w:val="left"/>
      <w:pPr>
        <w:ind w:left="2148" w:hanging="360"/>
      </w:pPr>
      <w:rPr>
        <w:rFonts w:ascii="Symbol" w:hAnsi="Symbol" w:hint="default"/>
      </w:rPr>
    </w:lvl>
    <w:lvl w:ilvl="1" w:tplc="0C090003" w:tentative="1">
      <w:start w:val="1"/>
      <w:numFmt w:val="bullet"/>
      <w:lvlText w:val="o"/>
      <w:lvlJc w:val="left"/>
      <w:pPr>
        <w:ind w:left="2868" w:hanging="360"/>
      </w:pPr>
      <w:rPr>
        <w:rFonts w:ascii="Courier New" w:hAnsi="Courier New" w:cs="Courier New" w:hint="default"/>
      </w:rPr>
    </w:lvl>
    <w:lvl w:ilvl="2" w:tplc="0C090005" w:tentative="1">
      <w:start w:val="1"/>
      <w:numFmt w:val="bullet"/>
      <w:lvlText w:val=""/>
      <w:lvlJc w:val="left"/>
      <w:pPr>
        <w:ind w:left="3588" w:hanging="360"/>
      </w:pPr>
      <w:rPr>
        <w:rFonts w:ascii="Wingdings" w:hAnsi="Wingdings" w:hint="default"/>
      </w:rPr>
    </w:lvl>
    <w:lvl w:ilvl="3" w:tplc="0C090001" w:tentative="1">
      <w:start w:val="1"/>
      <w:numFmt w:val="bullet"/>
      <w:lvlText w:val=""/>
      <w:lvlJc w:val="left"/>
      <w:pPr>
        <w:ind w:left="4308" w:hanging="360"/>
      </w:pPr>
      <w:rPr>
        <w:rFonts w:ascii="Symbol" w:hAnsi="Symbol" w:hint="default"/>
      </w:rPr>
    </w:lvl>
    <w:lvl w:ilvl="4" w:tplc="0C090003" w:tentative="1">
      <w:start w:val="1"/>
      <w:numFmt w:val="bullet"/>
      <w:lvlText w:val="o"/>
      <w:lvlJc w:val="left"/>
      <w:pPr>
        <w:ind w:left="5028" w:hanging="360"/>
      </w:pPr>
      <w:rPr>
        <w:rFonts w:ascii="Courier New" w:hAnsi="Courier New" w:cs="Courier New" w:hint="default"/>
      </w:rPr>
    </w:lvl>
    <w:lvl w:ilvl="5" w:tplc="0C090005" w:tentative="1">
      <w:start w:val="1"/>
      <w:numFmt w:val="bullet"/>
      <w:lvlText w:val=""/>
      <w:lvlJc w:val="left"/>
      <w:pPr>
        <w:ind w:left="5748" w:hanging="360"/>
      </w:pPr>
      <w:rPr>
        <w:rFonts w:ascii="Wingdings" w:hAnsi="Wingdings" w:hint="default"/>
      </w:rPr>
    </w:lvl>
    <w:lvl w:ilvl="6" w:tplc="0C090001" w:tentative="1">
      <w:start w:val="1"/>
      <w:numFmt w:val="bullet"/>
      <w:lvlText w:val=""/>
      <w:lvlJc w:val="left"/>
      <w:pPr>
        <w:ind w:left="6468" w:hanging="360"/>
      </w:pPr>
      <w:rPr>
        <w:rFonts w:ascii="Symbol" w:hAnsi="Symbol" w:hint="default"/>
      </w:rPr>
    </w:lvl>
    <w:lvl w:ilvl="7" w:tplc="0C090003" w:tentative="1">
      <w:start w:val="1"/>
      <w:numFmt w:val="bullet"/>
      <w:lvlText w:val="o"/>
      <w:lvlJc w:val="left"/>
      <w:pPr>
        <w:ind w:left="7188" w:hanging="360"/>
      </w:pPr>
      <w:rPr>
        <w:rFonts w:ascii="Courier New" w:hAnsi="Courier New" w:cs="Courier New" w:hint="default"/>
      </w:rPr>
    </w:lvl>
    <w:lvl w:ilvl="8" w:tplc="0C090005" w:tentative="1">
      <w:start w:val="1"/>
      <w:numFmt w:val="bullet"/>
      <w:lvlText w:val=""/>
      <w:lvlJc w:val="left"/>
      <w:pPr>
        <w:ind w:left="7908" w:hanging="360"/>
      </w:pPr>
      <w:rPr>
        <w:rFonts w:ascii="Wingdings" w:hAnsi="Wingdings" w:hint="default"/>
      </w:rPr>
    </w:lvl>
  </w:abstractNum>
  <w:num w:numId="1">
    <w:abstractNumId w:val="2"/>
  </w:num>
  <w:num w:numId="2">
    <w:abstractNumId w:val="21"/>
  </w:num>
  <w:num w:numId="3">
    <w:abstractNumId w:val="11"/>
  </w:num>
  <w:num w:numId="4">
    <w:abstractNumId w:val="8"/>
  </w:num>
  <w:num w:numId="5">
    <w:abstractNumId w:val="19"/>
  </w:num>
  <w:num w:numId="6">
    <w:abstractNumId w:val="17"/>
  </w:num>
  <w:num w:numId="7">
    <w:abstractNumId w:val="18"/>
  </w:num>
  <w:num w:numId="8">
    <w:abstractNumId w:val="15"/>
  </w:num>
  <w:num w:numId="9">
    <w:abstractNumId w:val="14"/>
  </w:num>
  <w:num w:numId="10">
    <w:abstractNumId w:val="9"/>
  </w:num>
  <w:num w:numId="11">
    <w:abstractNumId w:val="10"/>
  </w:num>
  <w:num w:numId="12">
    <w:abstractNumId w:val="3"/>
  </w:num>
  <w:num w:numId="13">
    <w:abstractNumId w:val="1"/>
  </w:num>
  <w:num w:numId="14">
    <w:abstractNumId w:val="16"/>
  </w:num>
  <w:num w:numId="15">
    <w:abstractNumId w:val="23"/>
  </w:num>
  <w:num w:numId="16">
    <w:abstractNumId w:val="20"/>
  </w:num>
  <w:num w:numId="17">
    <w:abstractNumId w:val="4"/>
  </w:num>
  <w:num w:numId="18">
    <w:abstractNumId w:val="6"/>
  </w:num>
  <w:num w:numId="19">
    <w:abstractNumId w:val="7"/>
  </w:num>
  <w:num w:numId="20">
    <w:abstractNumId w:val="24"/>
  </w:num>
  <w:num w:numId="21">
    <w:abstractNumId w:val="0"/>
  </w:num>
  <w:num w:numId="22">
    <w:abstractNumId w:val="5"/>
  </w:num>
  <w:num w:numId="23">
    <w:abstractNumId w:val="25"/>
  </w:num>
  <w:num w:numId="24">
    <w:abstractNumId w:val="22"/>
  </w:num>
  <w:num w:numId="25">
    <w:abstractNumId w:val="12"/>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65D88"/>
    <w:rsid w:val="00063532"/>
    <w:rsid w:val="000741CD"/>
    <w:rsid w:val="000810B9"/>
    <w:rsid w:val="000853B0"/>
    <w:rsid w:val="00090AA9"/>
    <w:rsid w:val="000B3A77"/>
    <w:rsid w:val="000C01F3"/>
    <w:rsid w:val="000E0D5F"/>
    <w:rsid w:val="001074D9"/>
    <w:rsid w:val="00115AB9"/>
    <w:rsid w:val="001224EB"/>
    <w:rsid w:val="00136CC5"/>
    <w:rsid w:val="00143707"/>
    <w:rsid w:val="001716F2"/>
    <w:rsid w:val="0019187C"/>
    <w:rsid w:val="001A7E83"/>
    <w:rsid w:val="001E0B52"/>
    <w:rsid w:val="002044C7"/>
    <w:rsid w:val="00230C7D"/>
    <w:rsid w:val="002445B4"/>
    <w:rsid w:val="00250304"/>
    <w:rsid w:val="00265D88"/>
    <w:rsid w:val="0028109D"/>
    <w:rsid w:val="0028298A"/>
    <w:rsid w:val="002967E1"/>
    <w:rsid w:val="002A1F60"/>
    <w:rsid w:val="002B76C4"/>
    <w:rsid w:val="00304BC0"/>
    <w:rsid w:val="003057C2"/>
    <w:rsid w:val="00327F36"/>
    <w:rsid w:val="00334FF6"/>
    <w:rsid w:val="00350B93"/>
    <w:rsid w:val="0035181E"/>
    <w:rsid w:val="00384152"/>
    <w:rsid w:val="00387987"/>
    <w:rsid w:val="00392E0D"/>
    <w:rsid w:val="003B7988"/>
    <w:rsid w:val="0040386D"/>
    <w:rsid w:val="00425119"/>
    <w:rsid w:val="004276FE"/>
    <w:rsid w:val="004529C9"/>
    <w:rsid w:val="004749C8"/>
    <w:rsid w:val="004A10E5"/>
    <w:rsid w:val="004B128D"/>
    <w:rsid w:val="004B6961"/>
    <w:rsid w:val="004F351A"/>
    <w:rsid w:val="00507347"/>
    <w:rsid w:val="005100B0"/>
    <w:rsid w:val="00515845"/>
    <w:rsid w:val="0051758E"/>
    <w:rsid w:val="00520078"/>
    <w:rsid w:val="00525364"/>
    <w:rsid w:val="00525AC7"/>
    <w:rsid w:val="00545188"/>
    <w:rsid w:val="00575274"/>
    <w:rsid w:val="00585AF3"/>
    <w:rsid w:val="005B622C"/>
    <w:rsid w:val="005E09A4"/>
    <w:rsid w:val="00625E84"/>
    <w:rsid w:val="006431A2"/>
    <w:rsid w:val="00650E2A"/>
    <w:rsid w:val="0066164F"/>
    <w:rsid w:val="00671E5E"/>
    <w:rsid w:val="006745AC"/>
    <w:rsid w:val="00675384"/>
    <w:rsid w:val="00677153"/>
    <w:rsid w:val="00682D89"/>
    <w:rsid w:val="00694334"/>
    <w:rsid w:val="0069795C"/>
    <w:rsid w:val="006B12CE"/>
    <w:rsid w:val="00737FCC"/>
    <w:rsid w:val="007630D2"/>
    <w:rsid w:val="007921F8"/>
    <w:rsid w:val="007F25C8"/>
    <w:rsid w:val="00830AE9"/>
    <w:rsid w:val="00833DC5"/>
    <w:rsid w:val="008362DF"/>
    <w:rsid w:val="00846569"/>
    <w:rsid w:val="00885161"/>
    <w:rsid w:val="00897621"/>
    <w:rsid w:val="008F43CE"/>
    <w:rsid w:val="00900A97"/>
    <w:rsid w:val="009149F2"/>
    <w:rsid w:val="00916E2F"/>
    <w:rsid w:val="0093582E"/>
    <w:rsid w:val="009477A0"/>
    <w:rsid w:val="00953032"/>
    <w:rsid w:val="00990F42"/>
    <w:rsid w:val="00991FB6"/>
    <w:rsid w:val="009C08E3"/>
    <w:rsid w:val="009C30D5"/>
    <w:rsid w:val="009C5DD3"/>
    <w:rsid w:val="009D2628"/>
    <w:rsid w:val="009E0BE0"/>
    <w:rsid w:val="009E4FE3"/>
    <w:rsid w:val="00A10039"/>
    <w:rsid w:val="00A13905"/>
    <w:rsid w:val="00A32DB0"/>
    <w:rsid w:val="00A42EFE"/>
    <w:rsid w:val="00A52B68"/>
    <w:rsid w:val="00A64F67"/>
    <w:rsid w:val="00A80A9D"/>
    <w:rsid w:val="00AA3D82"/>
    <w:rsid w:val="00AA4890"/>
    <w:rsid w:val="00AA511A"/>
    <w:rsid w:val="00AB4CA7"/>
    <w:rsid w:val="00AC2315"/>
    <w:rsid w:val="00AF3C63"/>
    <w:rsid w:val="00AF4D97"/>
    <w:rsid w:val="00AF6FF8"/>
    <w:rsid w:val="00B01850"/>
    <w:rsid w:val="00B06865"/>
    <w:rsid w:val="00B14C2C"/>
    <w:rsid w:val="00B21E24"/>
    <w:rsid w:val="00B52343"/>
    <w:rsid w:val="00B55000"/>
    <w:rsid w:val="00B55BDB"/>
    <w:rsid w:val="00B5612E"/>
    <w:rsid w:val="00B8375D"/>
    <w:rsid w:val="00BB0A36"/>
    <w:rsid w:val="00BD4277"/>
    <w:rsid w:val="00BD65CB"/>
    <w:rsid w:val="00BF5661"/>
    <w:rsid w:val="00C07240"/>
    <w:rsid w:val="00C2102A"/>
    <w:rsid w:val="00C67287"/>
    <w:rsid w:val="00C75B11"/>
    <w:rsid w:val="00C82014"/>
    <w:rsid w:val="00CA175D"/>
    <w:rsid w:val="00CC7EE6"/>
    <w:rsid w:val="00CD4FF6"/>
    <w:rsid w:val="00CE1E5D"/>
    <w:rsid w:val="00CF3C45"/>
    <w:rsid w:val="00CF4A5A"/>
    <w:rsid w:val="00D22D71"/>
    <w:rsid w:val="00D2778A"/>
    <w:rsid w:val="00D6210A"/>
    <w:rsid w:val="00D82638"/>
    <w:rsid w:val="00DA0E88"/>
    <w:rsid w:val="00DA3D3D"/>
    <w:rsid w:val="00DA48DD"/>
    <w:rsid w:val="00DC668A"/>
    <w:rsid w:val="00DF7EFE"/>
    <w:rsid w:val="00E0272B"/>
    <w:rsid w:val="00E206DE"/>
    <w:rsid w:val="00E30474"/>
    <w:rsid w:val="00E30C25"/>
    <w:rsid w:val="00E34A2A"/>
    <w:rsid w:val="00E452C1"/>
    <w:rsid w:val="00E47C44"/>
    <w:rsid w:val="00E55AEC"/>
    <w:rsid w:val="00E80683"/>
    <w:rsid w:val="00E8172B"/>
    <w:rsid w:val="00E91B31"/>
    <w:rsid w:val="00F76A8F"/>
    <w:rsid w:val="00F8703B"/>
    <w:rsid w:val="00FA4F42"/>
    <w:rsid w:val="00FB2576"/>
    <w:rsid w:val="00FB75F8"/>
    <w:rsid w:val="00FE4F7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7A0"/>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77A0"/>
    <w:pPr>
      <w:tabs>
        <w:tab w:val="left" w:pos="567"/>
        <w:tab w:val="left" w:pos="1134"/>
        <w:tab w:val="left" w:pos="1701"/>
        <w:tab w:val="left" w:pos="2268"/>
        <w:tab w:val="left" w:pos="2835"/>
        <w:tab w:val="left" w:pos="3402"/>
        <w:tab w:val="left" w:pos="3969"/>
      </w:tabs>
      <w:overflowPunct/>
      <w:autoSpaceDE/>
      <w:autoSpaceDN/>
      <w:adjustRightInd/>
      <w:jc w:val="center"/>
      <w:textAlignment w:val="auto"/>
    </w:pPr>
    <w:rPr>
      <w:u w:val="single"/>
    </w:rPr>
  </w:style>
  <w:style w:type="paragraph" w:styleId="BodyTextIndent">
    <w:name w:val="Body Text Indent"/>
    <w:basedOn w:val="Normal"/>
    <w:rsid w:val="009477A0"/>
    <w:pPr>
      <w:spacing w:after="120"/>
      <w:ind w:left="283"/>
    </w:pPr>
  </w:style>
  <w:style w:type="paragraph" w:styleId="Header">
    <w:name w:val="header"/>
    <w:basedOn w:val="Normal"/>
    <w:rsid w:val="009477A0"/>
    <w:pPr>
      <w:tabs>
        <w:tab w:val="center" w:pos="4153"/>
        <w:tab w:val="right" w:pos="8306"/>
      </w:tabs>
    </w:pPr>
  </w:style>
  <w:style w:type="paragraph" w:styleId="Footer">
    <w:name w:val="footer"/>
    <w:basedOn w:val="Normal"/>
    <w:link w:val="FooterChar"/>
    <w:uiPriority w:val="99"/>
    <w:rsid w:val="009477A0"/>
    <w:pPr>
      <w:tabs>
        <w:tab w:val="center" w:pos="4153"/>
        <w:tab w:val="right" w:pos="8306"/>
      </w:tabs>
    </w:pPr>
  </w:style>
  <w:style w:type="character" w:styleId="PageNumber">
    <w:name w:val="page number"/>
    <w:basedOn w:val="DefaultParagraphFont"/>
    <w:rsid w:val="009477A0"/>
  </w:style>
  <w:style w:type="paragraph" w:styleId="BalloonText">
    <w:name w:val="Balloon Text"/>
    <w:basedOn w:val="Normal"/>
    <w:semiHidden/>
    <w:rsid w:val="009477A0"/>
    <w:rPr>
      <w:rFonts w:ascii="Tahoma" w:hAnsi="Tahoma" w:cs="Tahoma"/>
      <w:sz w:val="16"/>
      <w:szCs w:val="16"/>
    </w:rPr>
  </w:style>
  <w:style w:type="paragraph" w:customStyle="1" w:styleId="ceitext2">
    <w:name w:val="ceitext2"/>
    <w:basedOn w:val="Normal"/>
    <w:rsid w:val="009477A0"/>
    <w:pPr>
      <w:overflowPunct/>
      <w:autoSpaceDE/>
      <w:autoSpaceDN/>
      <w:adjustRightInd/>
      <w:spacing w:before="100" w:beforeAutospacing="1" w:after="100" w:afterAutospacing="1"/>
      <w:textAlignment w:val="auto"/>
    </w:pPr>
    <w:rPr>
      <w:szCs w:val="24"/>
      <w:lang w:eastAsia="en-AU"/>
    </w:rPr>
  </w:style>
  <w:style w:type="character" w:styleId="Emphasis">
    <w:name w:val="Emphasis"/>
    <w:basedOn w:val="DefaultParagraphFont"/>
    <w:qFormat/>
    <w:rsid w:val="009477A0"/>
    <w:rPr>
      <w:i/>
      <w:iCs/>
    </w:rPr>
  </w:style>
  <w:style w:type="paragraph" w:customStyle="1" w:styleId="CharChar1Char">
    <w:name w:val="Char Char1 Char"/>
    <w:basedOn w:val="Normal"/>
    <w:rsid w:val="009477A0"/>
    <w:rPr>
      <w:rFonts w:ascii="Arial" w:hAnsi="Arial"/>
      <w:sz w:val="22"/>
    </w:rPr>
  </w:style>
  <w:style w:type="paragraph" w:styleId="NormalWeb">
    <w:name w:val="Normal (Web)"/>
    <w:basedOn w:val="Normal"/>
    <w:rsid w:val="009477A0"/>
    <w:pPr>
      <w:overflowPunct/>
      <w:autoSpaceDE/>
      <w:autoSpaceDN/>
      <w:adjustRightInd/>
      <w:spacing w:before="100" w:beforeAutospacing="1" w:after="100" w:afterAutospacing="1"/>
      <w:textAlignment w:val="auto"/>
    </w:pPr>
    <w:rPr>
      <w:szCs w:val="24"/>
      <w:lang w:eastAsia="en-AU"/>
    </w:rPr>
  </w:style>
  <w:style w:type="paragraph" w:customStyle="1" w:styleId="P1">
    <w:name w:val="P1"/>
    <w:aliases w:val="(a)"/>
    <w:basedOn w:val="Normal"/>
    <w:rsid w:val="009477A0"/>
    <w:pPr>
      <w:tabs>
        <w:tab w:val="right" w:pos="2410"/>
      </w:tabs>
      <w:overflowPunct/>
      <w:adjustRightInd/>
      <w:spacing w:before="60" w:line="260" w:lineRule="atLeast"/>
      <w:ind w:left="2693" w:hanging="2693"/>
      <w:jc w:val="both"/>
      <w:textAlignment w:val="auto"/>
    </w:pPr>
    <w:rPr>
      <w:szCs w:val="24"/>
      <w:lang w:val="en-US"/>
    </w:rPr>
  </w:style>
  <w:style w:type="character" w:styleId="CommentReference">
    <w:name w:val="annotation reference"/>
    <w:basedOn w:val="DefaultParagraphFont"/>
    <w:semiHidden/>
    <w:rsid w:val="009477A0"/>
    <w:rPr>
      <w:sz w:val="16"/>
      <w:szCs w:val="16"/>
    </w:rPr>
  </w:style>
  <w:style w:type="paragraph" w:styleId="CommentText">
    <w:name w:val="annotation text"/>
    <w:basedOn w:val="Normal"/>
    <w:semiHidden/>
    <w:rsid w:val="009477A0"/>
    <w:rPr>
      <w:sz w:val="20"/>
    </w:rPr>
  </w:style>
  <w:style w:type="paragraph" w:styleId="CommentSubject">
    <w:name w:val="annotation subject"/>
    <w:basedOn w:val="CommentText"/>
    <w:next w:val="CommentText"/>
    <w:semiHidden/>
    <w:rsid w:val="009477A0"/>
    <w:rPr>
      <w:b/>
      <w:bCs/>
    </w:rPr>
  </w:style>
  <w:style w:type="character" w:styleId="Strong">
    <w:name w:val="Strong"/>
    <w:basedOn w:val="DefaultParagraphFont"/>
    <w:qFormat/>
    <w:rsid w:val="009477A0"/>
    <w:rPr>
      <w:b/>
      <w:bCs/>
    </w:rPr>
  </w:style>
  <w:style w:type="paragraph" w:styleId="ListParagraph">
    <w:name w:val="List Paragraph"/>
    <w:basedOn w:val="Normal"/>
    <w:uiPriority w:val="34"/>
    <w:qFormat/>
    <w:rsid w:val="009477A0"/>
    <w:pPr>
      <w:overflowPunct/>
      <w:autoSpaceDE/>
      <w:autoSpaceDN/>
      <w:adjustRightInd/>
      <w:ind w:left="720"/>
      <w:contextualSpacing/>
      <w:textAlignment w:val="auto"/>
    </w:pPr>
    <w:rPr>
      <w:szCs w:val="24"/>
    </w:rPr>
  </w:style>
  <w:style w:type="paragraph" w:customStyle="1" w:styleId="R1">
    <w:name w:val="R1"/>
    <w:aliases w:val="1. or 1.(1)"/>
    <w:basedOn w:val="Normal"/>
    <w:next w:val="Normal"/>
    <w:link w:val="R1Char"/>
    <w:rsid w:val="009477A0"/>
    <w:pPr>
      <w:keepLines/>
      <w:tabs>
        <w:tab w:val="right" w:pos="794"/>
      </w:tabs>
      <w:overflowPunct/>
      <w:autoSpaceDE/>
      <w:autoSpaceDN/>
      <w:adjustRightInd/>
      <w:spacing w:before="120" w:line="260" w:lineRule="exact"/>
      <w:ind w:left="964" w:hanging="964"/>
      <w:jc w:val="both"/>
      <w:textAlignment w:val="auto"/>
    </w:pPr>
    <w:rPr>
      <w:szCs w:val="24"/>
    </w:rPr>
  </w:style>
  <w:style w:type="character" w:customStyle="1" w:styleId="R1Char">
    <w:name w:val="R1 Char"/>
    <w:aliases w:val="1. or 1.(1) Char"/>
    <w:basedOn w:val="DefaultParagraphFont"/>
    <w:link w:val="R1"/>
    <w:rsid w:val="009477A0"/>
    <w:rPr>
      <w:sz w:val="24"/>
      <w:szCs w:val="24"/>
      <w:lang w:eastAsia="en-US"/>
    </w:rPr>
  </w:style>
  <w:style w:type="paragraph" w:customStyle="1" w:styleId="p10">
    <w:name w:val="p1"/>
    <w:basedOn w:val="Normal"/>
    <w:rsid w:val="009477A0"/>
    <w:pPr>
      <w:overflowPunct/>
      <w:autoSpaceDE/>
      <w:autoSpaceDN/>
      <w:adjustRightInd/>
      <w:spacing w:before="100" w:beforeAutospacing="1" w:after="100" w:afterAutospacing="1"/>
      <w:textAlignment w:val="auto"/>
    </w:pPr>
    <w:rPr>
      <w:szCs w:val="24"/>
      <w:lang w:eastAsia="en-AU"/>
    </w:rPr>
  </w:style>
  <w:style w:type="paragraph" w:styleId="BodyText">
    <w:name w:val="Body Text"/>
    <w:basedOn w:val="Normal"/>
    <w:link w:val="BodyTextChar"/>
    <w:rsid w:val="009477A0"/>
    <w:pPr>
      <w:spacing w:after="120"/>
    </w:pPr>
  </w:style>
  <w:style w:type="character" w:customStyle="1" w:styleId="BodyTextChar">
    <w:name w:val="Body Text Char"/>
    <w:basedOn w:val="DefaultParagraphFont"/>
    <w:link w:val="BodyText"/>
    <w:rsid w:val="009477A0"/>
    <w:rPr>
      <w:sz w:val="24"/>
      <w:lang w:eastAsia="en-US"/>
    </w:rPr>
  </w:style>
  <w:style w:type="paragraph" w:customStyle="1" w:styleId="dot">
    <w:name w:val="dot"/>
    <w:basedOn w:val="Normal"/>
    <w:rsid w:val="009477A0"/>
    <w:pPr>
      <w:tabs>
        <w:tab w:val="left" w:pos="567"/>
        <w:tab w:val="left" w:pos="1134"/>
        <w:tab w:val="left" w:pos="1702"/>
        <w:tab w:val="left" w:pos="2269"/>
        <w:tab w:val="left" w:pos="2835"/>
        <w:tab w:val="left" w:pos="3402"/>
      </w:tabs>
      <w:overflowPunct/>
      <w:autoSpaceDE/>
      <w:autoSpaceDN/>
      <w:adjustRightInd/>
      <w:ind w:left="567" w:hanging="567"/>
      <w:textAlignment w:val="auto"/>
    </w:pPr>
    <w:rPr>
      <w:rFonts w:ascii="Times" w:hAnsi="Times"/>
    </w:rPr>
  </w:style>
  <w:style w:type="paragraph" w:customStyle="1" w:styleId="Default">
    <w:name w:val="Default"/>
    <w:rsid w:val="005E09A4"/>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525364"/>
    <w:rPr>
      <w:sz w:val="24"/>
      <w:lang w:eastAsia="en-US"/>
    </w:rPr>
  </w:style>
  <w:style w:type="paragraph" w:styleId="Revision">
    <w:name w:val="Revision"/>
    <w:hidden/>
    <w:uiPriority w:val="99"/>
    <w:semiHidden/>
    <w:rsid w:val="00387987"/>
    <w:rPr>
      <w:sz w:val="24"/>
      <w:lang w:eastAsia="en-US"/>
    </w:rPr>
  </w:style>
</w:styles>
</file>

<file path=word/webSettings.xml><?xml version="1.0" encoding="utf-8"?>
<w:webSettings xmlns:r="http://schemas.openxmlformats.org/officeDocument/2006/relationships" xmlns:w="http://schemas.openxmlformats.org/wordprocessingml/2006/main">
  <w:divs>
    <w:div w:id="362443086">
      <w:bodyDiv w:val="1"/>
      <w:marLeft w:val="0"/>
      <w:marRight w:val="0"/>
      <w:marTop w:val="0"/>
      <w:marBottom w:val="0"/>
      <w:divBdr>
        <w:top w:val="none" w:sz="0" w:space="0" w:color="auto"/>
        <w:left w:val="none" w:sz="0" w:space="0" w:color="auto"/>
        <w:bottom w:val="none" w:sz="0" w:space="0" w:color="auto"/>
        <w:right w:val="none" w:sz="0" w:space="0" w:color="auto"/>
      </w:divBdr>
      <w:divsChild>
        <w:div w:id="1238900612">
          <w:marLeft w:val="0"/>
          <w:marRight w:val="0"/>
          <w:marTop w:val="0"/>
          <w:marBottom w:val="0"/>
          <w:divBdr>
            <w:top w:val="none" w:sz="0" w:space="0" w:color="auto"/>
            <w:left w:val="none" w:sz="0" w:space="0" w:color="auto"/>
            <w:bottom w:val="none" w:sz="0" w:space="0" w:color="auto"/>
            <w:right w:val="none" w:sz="0" w:space="0" w:color="auto"/>
          </w:divBdr>
        </w:div>
      </w:divsChild>
    </w:div>
    <w:div w:id="531846107">
      <w:bodyDiv w:val="1"/>
      <w:marLeft w:val="0"/>
      <w:marRight w:val="0"/>
      <w:marTop w:val="0"/>
      <w:marBottom w:val="0"/>
      <w:divBdr>
        <w:top w:val="none" w:sz="0" w:space="0" w:color="auto"/>
        <w:left w:val="none" w:sz="0" w:space="0" w:color="auto"/>
        <w:bottom w:val="none" w:sz="0" w:space="0" w:color="auto"/>
        <w:right w:val="none" w:sz="0" w:space="0" w:color="auto"/>
      </w:divBdr>
      <w:divsChild>
        <w:div w:id="183134216">
          <w:marLeft w:val="0"/>
          <w:marRight w:val="0"/>
          <w:marTop w:val="0"/>
          <w:marBottom w:val="0"/>
          <w:divBdr>
            <w:top w:val="none" w:sz="0" w:space="0" w:color="auto"/>
            <w:left w:val="none" w:sz="0" w:space="0" w:color="auto"/>
            <w:bottom w:val="none" w:sz="0" w:space="0" w:color="auto"/>
            <w:right w:val="none" w:sz="0" w:space="0" w:color="auto"/>
          </w:divBdr>
          <w:divsChild>
            <w:div w:id="642003048">
              <w:marLeft w:val="0"/>
              <w:marRight w:val="0"/>
              <w:marTop w:val="0"/>
              <w:marBottom w:val="0"/>
              <w:divBdr>
                <w:top w:val="none" w:sz="0" w:space="0" w:color="auto"/>
                <w:left w:val="none" w:sz="0" w:space="0" w:color="auto"/>
                <w:bottom w:val="none" w:sz="0" w:space="0" w:color="auto"/>
                <w:right w:val="none" w:sz="0" w:space="0" w:color="auto"/>
              </w:divBdr>
              <w:divsChild>
                <w:div w:id="21060495">
                  <w:marLeft w:val="0"/>
                  <w:marRight w:val="0"/>
                  <w:marTop w:val="0"/>
                  <w:marBottom w:val="0"/>
                  <w:divBdr>
                    <w:top w:val="none" w:sz="0" w:space="0" w:color="auto"/>
                    <w:left w:val="none" w:sz="0" w:space="0" w:color="auto"/>
                    <w:bottom w:val="none" w:sz="0" w:space="0" w:color="auto"/>
                    <w:right w:val="none" w:sz="0" w:space="0" w:color="auto"/>
                  </w:divBdr>
                  <w:divsChild>
                    <w:div w:id="1241646661">
                      <w:marLeft w:val="0"/>
                      <w:marRight w:val="0"/>
                      <w:marTop w:val="0"/>
                      <w:marBottom w:val="0"/>
                      <w:divBdr>
                        <w:top w:val="none" w:sz="0" w:space="0" w:color="auto"/>
                        <w:left w:val="none" w:sz="0" w:space="0" w:color="auto"/>
                        <w:bottom w:val="none" w:sz="0" w:space="0" w:color="auto"/>
                        <w:right w:val="none" w:sz="0" w:space="0" w:color="auto"/>
                      </w:divBdr>
                      <w:divsChild>
                        <w:div w:id="717054041">
                          <w:marLeft w:val="0"/>
                          <w:marRight w:val="0"/>
                          <w:marTop w:val="0"/>
                          <w:marBottom w:val="0"/>
                          <w:divBdr>
                            <w:top w:val="single" w:sz="6" w:space="0" w:color="828282"/>
                            <w:left w:val="single" w:sz="6" w:space="0" w:color="828282"/>
                            <w:bottom w:val="single" w:sz="6" w:space="0" w:color="828282"/>
                            <w:right w:val="single" w:sz="6" w:space="0" w:color="828282"/>
                          </w:divBdr>
                          <w:divsChild>
                            <w:div w:id="1669673011">
                              <w:marLeft w:val="0"/>
                              <w:marRight w:val="0"/>
                              <w:marTop w:val="0"/>
                              <w:marBottom w:val="0"/>
                              <w:divBdr>
                                <w:top w:val="none" w:sz="0" w:space="0" w:color="auto"/>
                                <w:left w:val="none" w:sz="0" w:space="0" w:color="auto"/>
                                <w:bottom w:val="none" w:sz="0" w:space="0" w:color="auto"/>
                                <w:right w:val="none" w:sz="0" w:space="0" w:color="auto"/>
                              </w:divBdr>
                              <w:divsChild>
                                <w:div w:id="1582524919">
                                  <w:marLeft w:val="0"/>
                                  <w:marRight w:val="0"/>
                                  <w:marTop w:val="0"/>
                                  <w:marBottom w:val="0"/>
                                  <w:divBdr>
                                    <w:top w:val="none" w:sz="0" w:space="0" w:color="auto"/>
                                    <w:left w:val="none" w:sz="0" w:space="0" w:color="auto"/>
                                    <w:bottom w:val="none" w:sz="0" w:space="0" w:color="auto"/>
                                    <w:right w:val="none" w:sz="0" w:space="0" w:color="auto"/>
                                  </w:divBdr>
                                  <w:divsChild>
                                    <w:div w:id="664286344">
                                      <w:marLeft w:val="0"/>
                                      <w:marRight w:val="0"/>
                                      <w:marTop w:val="0"/>
                                      <w:marBottom w:val="0"/>
                                      <w:divBdr>
                                        <w:top w:val="none" w:sz="0" w:space="0" w:color="auto"/>
                                        <w:left w:val="none" w:sz="0" w:space="0" w:color="auto"/>
                                        <w:bottom w:val="none" w:sz="0" w:space="0" w:color="auto"/>
                                        <w:right w:val="none" w:sz="0" w:space="0" w:color="auto"/>
                                      </w:divBdr>
                                      <w:divsChild>
                                        <w:div w:id="884487680">
                                          <w:marLeft w:val="0"/>
                                          <w:marRight w:val="0"/>
                                          <w:marTop w:val="0"/>
                                          <w:marBottom w:val="0"/>
                                          <w:divBdr>
                                            <w:top w:val="none" w:sz="0" w:space="0" w:color="auto"/>
                                            <w:left w:val="none" w:sz="0" w:space="0" w:color="auto"/>
                                            <w:bottom w:val="none" w:sz="0" w:space="0" w:color="auto"/>
                                            <w:right w:val="none" w:sz="0" w:space="0" w:color="auto"/>
                                          </w:divBdr>
                                          <w:divsChild>
                                            <w:div w:id="1649746324">
                                              <w:marLeft w:val="0"/>
                                              <w:marRight w:val="0"/>
                                              <w:marTop w:val="0"/>
                                              <w:marBottom w:val="0"/>
                                              <w:divBdr>
                                                <w:top w:val="none" w:sz="0" w:space="0" w:color="auto"/>
                                                <w:left w:val="none" w:sz="0" w:space="0" w:color="auto"/>
                                                <w:bottom w:val="none" w:sz="0" w:space="0" w:color="auto"/>
                                                <w:right w:val="none" w:sz="0" w:space="0" w:color="auto"/>
                                              </w:divBdr>
                                              <w:divsChild>
                                                <w:div w:id="44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453232">
      <w:bodyDiv w:val="1"/>
      <w:marLeft w:val="0"/>
      <w:marRight w:val="0"/>
      <w:marTop w:val="0"/>
      <w:marBottom w:val="0"/>
      <w:divBdr>
        <w:top w:val="none" w:sz="0" w:space="0" w:color="auto"/>
        <w:left w:val="none" w:sz="0" w:space="0" w:color="auto"/>
        <w:bottom w:val="none" w:sz="0" w:space="0" w:color="auto"/>
        <w:right w:val="none" w:sz="0" w:space="0" w:color="auto"/>
      </w:divBdr>
    </w:div>
    <w:div w:id="1129133519">
      <w:bodyDiv w:val="1"/>
      <w:marLeft w:val="0"/>
      <w:marRight w:val="0"/>
      <w:marTop w:val="0"/>
      <w:marBottom w:val="0"/>
      <w:divBdr>
        <w:top w:val="none" w:sz="0" w:space="0" w:color="auto"/>
        <w:left w:val="none" w:sz="0" w:space="0" w:color="auto"/>
        <w:bottom w:val="none" w:sz="0" w:space="0" w:color="auto"/>
        <w:right w:val="none" w:sz="0" w:space="0" w:color="auto"/>
      </w:divBdr>
      <w:divsChild>
        <w:div w:id="7764812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18289647">
      <w:bodyDiv w:val="1"/>
      <w:marLeft w:val="0"/>
      <w:marRight w:val="0"/>
      <w:marTop w:val="0"/>
      <w:marBottom w:val="0"/>
      <w:divBdr>
        <w:top w:val="none" w:sz="0" w:space="0" w:color="auto"/>
        <w:left w:val="none" w:sz="0" w:space="0" w:color="auto"/>
        <w:bottom w:val="none" w:sz="0" w:space="0" w:color="auto"/>
        <w:right w:val="none" w:sz="0" w:space="0" w:color="auto"/>
      </w:divBdr>
      <w:divsChild>
        <w:div w:id="5248321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94096324">
      <w:bodyDiv w:val="1"/>
      <w:marLeft w:val="0"/>
      <w:marRight w:val="0"/>
      <w:marTop w:val="0"/>
      <w:marBottom w:val="0"/>
      <w:divBdr>
        <w:top w:val="none" w:sz="0" w:space="0" w:color="auto"/>
        <w:left w:val="none" w:sz="0" w:space="0" w:color="auto"/>
        <w:bottom w:val="none" w:sz="0" w:space="0" w:color="auto"/>
        <w:right w:val="none" w:sz="0" w:space="0" w:color="auto"/>
      </w:divBdr>
      <w:divsChild>
        <w:div w:id="9518665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7142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BF8F8-6E6B-48E6-89CC-846890D7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2011-06-22T22:32:00Z</cp:lastPrinted>
  <dcterms:created xsi:type="dcterms:W3CDTF">2012-06-04T00:24:00Z</dcterms:created>
  <dcterms:modified xsi:type="dcterms:W3CDTF">2012-06-04T00:25:00Z</dcterms:modified>
</cp:coreProperties>
</file>