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4A1E" w:rsidRPr="00660C6D" w:rsidRDefault="00BE4A1E" w:rsidP="00BE4A1E">
      <w:pPr>
        <w:pStyle w:val="ACMABodyTextChar"/>
        <w:spacing w:after="0"/>
        <w:jc w:val="center"/>
        <w:rPr>
          <w:rFonts w:ascii="Arial" w:hAnsi="Arial" w:cs="Arial"/>
          <w:b/>
          <w:sz w:val="32"/>
          <w:szCs w:val="32"/>
        </w:rPr>
      </w:pPr>
      <w:r w:rsidRPr="00660C6D">
        <w:rPr>
          <w:rFonts w:ascii="Arial" w:hAnsi="Arial" w:cs="Arial"/>
          <w:b/>
          <w:sz w:val="32"/>
          <w:szCs w:val="32"/>
        </w:rPr>
        <w:t>EXPLANATORY STATEMENT</w:t>
      </w:r>
    </w:p>
    <w:p w:rsidR="00BE4A1E" w:rsidRDefault="00BE4A1E" w:rsidP="00BE4A1E">
      <w:pPr>
        <w:pStyle w:val="ACMABodyTextChar"/>
        <w:spacing w:before="0" w:after="0"/>
        <w:jc w:val="center"/>
      </w:pPr>
    </w:p>
    <w:p w:rsidR="00AA64D6" w:rsidRPr="00AB07B8" w:rsidRDefault="00AA64D6" w:rsidP="00AA64D6">
      <w:pPr>
        <w:pStyle w:val="ACMABodyTextChar"/>
        <w:jc w:val="center"/>
        <w:rPr>
          <w:b/>
          <w:i/>
        </w:rPr>
      </w:pPr>
      <w:r w:rsidRPr="00AB07B8">
        <w:rPr>
          <w:b/>
          <w:i/>
        </w:rPr>
        <w:t>Telecommunications (Carrier Licence Application Charge) Determination 20</w:t>
      </w:r>
      <w:r w:rsidR="00B00D25" w:rsidRPr="00AB07B8">
        <w:rPr>
          <w:b/>
          <w:i/>
        </w:rPr>
        <w:t>12</w:t>
      </w:r>
    </w:p>
    <w:p w:rsidR="00AA64D6" w:rsidRPr="00AB07B8" w:rsidRDefault="000541A9" w:rsidP="00AA64D6">
      <w:pPr>
        <w:pStyle w:val="ACMABodyTextChar"/>
        <w:spacing w:before="0" w:after="0" w:line="240" w:lineRule="auto"/>
        <w:jc w:val="center"/>
        <w:rPr>
          <w:b/>
          <w:i/>
        </w:rPr>
      </w:pPr>
      <w:r w:rsidRPr="00AB07B8">
        <w:rPr>
          <w:b/>
          <w:i/>
        </w:rPr>
        <w:t>Telecommunications (Carrier Licence Charges) Act 1997</w:t>
      </w:r>
    </w:p>
    <w:p w:rsidR="00AA64D6" w:rsidRPr="00EF5915" w:rsidRDefault="00AA64D6" w:rsidP="00AA64D6">
      <w:pPr>
        <w:pStyle w:val="ACMABodyTextChar"/>
        <w:spacing w:before="0" w:after="0" w:line="240" w:lineRule="auto"/>
        <w:jc w:val="center"/>
        <w:rPr>
          <w:i/>
        </w:rPr>
      </w:pPr>
    </w:p>
    <w:p w:rsidR="00AA64D6" w:rsidRPr="00AC3C29" w:rsidRDefault="00AA64D6" w:rsidP="00AA64D6">
      <w:pPr>
        <w:pStyle w:val="ACMABodyTextChar"/>
        <w:spacing w:before="0" w:after="0" w:line="240" w:lineRule="auto"/>
        <w:jc w:val="both"/>
        <w:rPr>
          <w:rFonts w:ascii="Arial" w:hAnsi="Arial" w:cs="Arial"/>
          <w:b/>
        </w:rPr>
      </w:pPr>
      <w:r w:rsidRPr="00AC3C29">
        <w:rPr>
          <w:rFonts w:ascii="Arial" w:hAnsi="Arial" w:cs="Arial"/>
          <w:b/>
        </w:rPr>
        <w:t>Legislative Provisions</w:t>
      </w:r>
    </w:p>
    <w:p w:rsidR="00AA64D6" w:rsidRDefault="00AA64D6" w:rsidP="00AA64D6">
      <w:pPr>
        <w:pStyle w:val="ACMABodyTextChar"/>
        <w:spacing w:before="0" w:after="0" w:line="240" w:lineRule="auto"/>
        <w:jc w:val="both"/>
      </w:pPr>
    </w:p>
    <w:p w:rsidR="00AA64D6" w:rsidRPr="007E5461" w:rsidRDefault="00AA64D6" w:rsidP="00052B69">
      <w:pPr>
        <w:pStyle w:val="ACMABodyTextChar"/>
        <w:jc w:val="both"/>
      </w:pPr>
      <w:bookmarkStart w:id="0" w:name="OLE_LINK3"/>
      <w:bookmarkStart w:id="1" w:name="OLE_LINK4"/>
      <w:r w:rsidRPr="00D16EC1">
        <w:t xml:space="preserve">The </w:t>
      </w:r>
      <w:r w:rsidRPr="00D16EC1">
        <w:rPr>
          <w:i/>
        </w:rPr>
        <w:t>Telecommunications (Carrier Licence Application Charge) Determination 20</w:t>
      </w:r>
      <w:r w:rsidR="00B00D25" w:rsidRPr="00D16EC1">
        <w:rPr>
          <w:i/>
        </w:rPr>
        <w:t>12</w:t>
      </w:r>
      <w:r w:rsidRPr="00D16EC1">
        <w:rPr>
          <w:i/>
        </w:rPr>
        <w:t xml:space="preserve"> </w:t>
      </w:r>
      <w:r w:rsidRPr="00D16EC1">
        <w:t>(the Determination) has been made</w:t>
      </w:r>
      <w:r w:rsidR="00AA5CCE" w:rsidRPr="00D16EC1">
        <w:t xml:space="preserve"> by the Australian Communications and</w:t>
      </w:r>
      <w:r w:rsidR="00AA5CCE">
        <w:t xml:space="preserve"> Media Authority</w:t>
      </w:r>
      <w:r>
        <w:t xml:space="preserve"> </w:t>
      </w:r>
      <w:r w:rsidR="00853750">
        <w:t>(</w:t>
      </w:r>
      <w:r w:rsidR="00B00D25">
        <w:t xml:space="preserve">the </w:t>
      </w:r>
      <w:r w:rsidR="00853750">
        <w:t xml:space="preserve">ACMA) </w:t>
      </w:r>
      <w:r>
        <w:t xml:space="preserve">to revoke and replace the </w:t>
      </w:r>
      <w:r w:rsidRPr="007E5461">
        <w:rPr>
          <w:i/>
        </w:rPr>
        <w:t>Telecommunications (</w:t>
      </w:r>
      <w:r>
        <w:rPr>
          <w:i/>
        </w:rPr>
        <w:t xml:space="preserve">Carrier Licence Application Charge) </w:t>
      </w:r>
      <w:r w:rsidRPr="007E5461">
        <w:rPr>
          <w:i/>
        </w:rPr>
        <w:t>Determination 200</w:t>
      </w:r>
      <w:r w:rsidR="00B00D25">
        <w:rPr>
          <w:i/>
        </w:rPr>
        <w:t>7</w:t>
      </w:r>
      <w:r w:rsidR="004D473D">
        <w:rPr>
          <w:i/>
        </w:rPr>
        <w:t xml:space="preserve">. </w:t>
      </w:r>
      <w:r w:rsidR="004D473D">
        <w:t xml:space="preserve">The </w:t>
      </w:r>
      <w:r w:rsidR="00911F98">
        <w:t xml:space="preserve">Determination </w:t>
      </w:r>
      <w:r w:rsidR="003E40F9">
        <w:t xml:space="preserve">specifies an </w:t>
      </w:r>
      <w:r>
        <w:t>update</w:t>
      </w:r>
      <w:r w:rsidR="004D473D">
        <w:t>d</w:t>
      </w:r>
      <w:r>
        <w:t xml:space="preserve"> </w:t>
      </w:r>
      <w:r w:rsidR="003E40F9">
        <w:t xml:space="preserve">carrier licence application </w:t>
      </w:r>
      <w:r>
        <w:t xml:space="preserve">charge arising from a review of </w:t>
      </w:r>
      <w:r w:rsidR="00313EBA">
        <w:t xml:space="preserve">the </w:t>
      </w:r>
      <w:r>
        <w:t>ACMA’s cost recovery fees and charges.</w:t>
      </w:r>
    </w:p>
    <w:bookmarkEnd w:id="0"/>
    <w:bookmarkEnd w:id="1"/>
    <w:p w:rsidR="00AA64D6" w:rsidRDefault="00853750" w:rsidP="00677E29">
      <w:pPr>
        <w:pStyle w:val="ACMABodyTextChar"/>
        <w:spacing w:before="0" w:after="0" w:line="240" w:lineRule="auto"/>
        <w:jc w:val="both"/>
      </w:pPr>
      <w:r>
        <w:t xml:space="preserve">Section 7 </w:t>
      </w:r>
      <w:r w:rsidR="00AA64D6">
        <w:t xml:space="preserve">of the </w:t>
      </w:r>
      <w:r w:rsidR="0074295D" w:rsidRPr="007E5461">
        <w:rPr>
          <w:i/>
        </w:rPr>
        <w:t>Telecommunications (</w:t>
      </w:r>
      <w:r w:rsidR="0074295D">
        <w:rPr>
          <w:i/>
        </w:rPr>
        <w:t>Carrier Licence Charges) Act 1997</w:t>
      </w:r>
      <w:r w:rsidR="00AA64D6">
        <w:rPr>
          <w:i/>
        </w:rPr>
        <w:t xml:space="preserve"> </w:t>
      </w:r>
      <w:r w:rsidR="00AA64D6">
        <w:t xml:space="preserve">provides that </w:t>
      </w:r>
      <w:r>
        <w:t xml:space="preserve">a charge is imposed on an application for a carrier licence.  Subsection 9(1) specifies that the amount of charge imposed is the amount ascertained in accordance with a written determination made by </w:t>
      </w:r>
      <w:r w:rsidR="00B00D25">
        <w:t xml:space="preserve">the </w:t>
      </w:r>
      <w:r w:rsidR="00AA64D6">
        <w:t>ACMA</w:t>
      </w:r>
      <w:r>
        <w:t>.</w:t>
      </w:r>
      <w:r w:rsidDel="00853750">
        <w:t xml:space="preserve"> </w:t>
      </w:r>
      <w:r w:rsidR="00BF66E6">
        <w:t xml:space="preserve">Subsection 9(2) provides that a determination made under subsection 9(1) is a </w:t>
      </w:r>
      <w:r w:rsidR="00AA64D6">
        <w:t xml:space="preserve">legislative instrument for the purposes of the </w:t>
      </w:r>
      <w:r w:rsidR="00AA64D6">
        <w:rPr>
          <w:i/>
        </w:rPr>
        <w:t>Legislative Instruments Act 2003</w:t>
      </w:r>
      <w:r w:rsidR="009B05A2">
        <w:rPr>
          <w:i/>
        </w:rPr>
        <w:t>.</w:t>
      </w:r>
    </w:p>
    <w:p w:rsidR="00AA64D6" w:rsidRPr="00AC3C29" w:rsidRDefault="00AA64D6" w:rsidP="00052B69">
      <w:pPr>
        <w:pStyle w:val="ACMAHeading3Char"/>
        <w:jc w:val="both"/>
        <w:rPr>
          <w:rFonts w:cs="Arial"/>
        </w:rPr>
      </w:pPr>
      <w:r w:rsidRPr="00AC3C29">
        <w:rPr>
          <w:rFonts w:cs="Arial"/>
        </w:rPr>
        <w:t>Background</w:t>
      </w:r>
    </w:p>
    <w:p w:rsidR="00AA64D6" w:rsidRDefault="00AA64D6" w:rsidP="00052B69">
      <w:pPr>
        <w:pStyle w:val="ACMABodyTextChar"/>
        <w:spacing w:before="0" w:after="0" w:line="240" w:lineRule="auto"/>
        <w:jc w:val="both"/>
        <w:rPr>
          <w:rStyle w:val="ACMAHeading3CharChar"/>
        </w:rPr>
      </w:pPr>
    </w:p>
    <w:p w:rsidR="00AA64D6" w:rsidRDefault="00B00D25" w:rsidP="00052B69">
      <w:pPr>
        <w:pStyle w:val="ACMABodyTextChar"/>
        <w:spacing w:before="0" w:after="0" w:line="240" w:lineRule="auto"/>
        <w:jc w:val="both"/>
      </w:pPr>
      <w:r>
        <w:t xml:space="preserve">The </w:t>
      </w:r>
      <w:r w:rsidR="00AA64D6">
        <w:t xml:space="preserve">ACMA reviewed its fees and charges as part of a </w:t>
      </w:r>
      <w:r>
        <w:t xml:space="preserve">periodic </w:t>
      </w:r>
      <w:r w:rsidR="00AA64D6">
        <w:t xml:space="preserve">review of its cost recovery arrangements.  </w:t>
      </w:r>
      <w:r>
        <w:t>Th</w:t>
      </w:r>
      <w:r w:rsidR="00911F98">
        <w:t>is review was conducted in accordance with</w:t>
      </w:r>
      <w:r w:rsidR="00AA64D6">
        <w:t xml:space="preserve"> </w:t>
      </w:r>
      <w:r w:rsidR="005278CA">
        <w:t xml:space="preserve">the </w:t>
      </w:r>
      <w:r w:rsidR="00AA64D6">
        <w:t xml:space="preserve">cost recovery principles outlined in the Australian Government’s </w:t>
      </w:r>
      <w:r w:rsidR="00AA64D6" w:rsidRPr="004B614D">
        <w:rPr>
          <w:i/>
        </w:rPr>
        <w:t>Cost Recovery Guidelines</w:t>
      </w:r>
      <w:r w:rsidR="00AA64D6">
        <w:t xml:space="preserve">. </w:t>
      </w:r>
    </w:p>
    <w:p w:rsidR="00AA64D6" w:rsidRDefault="00AA64D6" w:rsidP="00052B69">
      <w:pPr>
        <w:pStyle w:val="ACMABodyTextChar"/>
        <w:spacing w:before="0" w:after="0" w:line="240" w:lineRule="auto"/>
        <w:jc w:val="both"/>
      </w:pPr>
    </w:p>
    <w:p w:rsidR="00AA64D6" w:rsidRDefault="00AA64D6" w:rsidP="00052B69">
      <w:pPr>
        <w:pStyle w:val="ACMABodyTextChar"/>
        <w:spacing w:before="0" w:after="0" w:line="240" w:lineRule="auto"/>
        <w:jc w:val="both"/>
      </w:pPr>
      <w:r>
        <w:t>The review resulted in updates to a range of existing charges, including charges for</w:t>
      </w:r>
      <w:r w:rsidR="005278CA">
        <w:t xml:space="preserve"> </w:t>
      </w:r>
      <w:r>
        <w:t xml:space="preserve">services provided by </w:t>
      </w:r>
      <w:r w:rsidR="00B00D25">
        <w:t xml:space="preserve">the </w:t>
      </w:r>
      <w:r>
        <w:t xml:space="preserve">ACMA under the </w:t>
      </w:r>
      <w:r w:rsidRPr="005B6F48">
        <w:rPr>
          <w:i/>
        </w:rPr>
        <w:t>Telecommunications Act 1997</w:t>
      </w:r>
      <w:r>
        <w:t xml:space="preserve">.  </w:t>
      </w:r>
    </w:p>
    <w:p w:rsidR="00AA64D6" w:rsidRDefault="00AA64D6" w:rsidP="00052B69">
      <w:pPr>
        <w:pStyle w:val="R2"/>
        <w:tabs>
          <w:tab w:val="clear" w:pos="794"/>
        </w:tabs>
        <w:ind w:left="0" w:firstLine="0"/>
      </w:pPr>
      <w:r>
        <w:t>Th</w:t>
      </w:r>
      <w:r w:rsidR="00BF66E6">
        <w:t>e</w:t>
      </w:r>
      <w:r>
        <w:t xml:space="preserve"> </w:t>
      </w:r>
      <w:r w:rsidR="00BF66E6">
        <w:t>De</w:t>
      </w:r>
      <w:r>
        <w:t xml:space="preserve">termination specifies the charges payable to recover the expenses incurred by </w:t>
      </w:r>
      <w:r w:rsidR="00B00D25">
        <w:t xml:space="preserve">the </w:t>
      </w:r>
      <w:r>
        <w:t>ACMA in consideration of a carrier licence application</w:t>
      </w:r>
      <w:r w:rsidR="00337F24">
        <w:t xml:space="preserve"> made under section 52 of the </w:t>
      </w:r>
      <w:r w:rsidR="00337F24">
        <w:rPr>
          <w:i/>
        </w:rPr>
        <w:t>Telecommunications Act</w:t>
      </w:r>
      <w:r w:rsidR="00337F24">
        <w:t xml:space="preserve"> </w:t>
      </w:r>
      <w:r w:rsidR="00337F24">
        <w:rPr>
          <w:i/>
        </w:rPr>
        <w:t>1997.</w:t>
      </w:r>
    </w:p>
    <w:p w:rsidR="00AA64D6" w:rsidRDefault="00AA64D6" w:rsidP="00052B69">
      <w:pPr>
        <w:pStyle w:val="ACMAHeading3Char"/>
        <w:jc w:val="both"/>
      </w:pPr>
      <w:r>
        <w:t>Regulation Impact</w:t>
      </w:r>
      <w:r w:rsidRPr="00651F04">
        <w:t xml:space="preserve"> </w:t>
      </w:r>
    </w:p>
    <w:p w:rsidR="00AA64D6" w:rsidRDefault="00AA64D6" w:rsidP="00052B69">
      <w:pPr>
        <w:pStyle w:val="ACMABodyTextChar"/>
        <w:spacing w:before="0" w:after="0" w:line="240" w:lineRule="auto"/>
        <w:jc w:val="both"/>
      </w:pPr>
    </w:p>
    <w:p w:rsidR="00AA64D6" w:rsidRDefault="00B00D25" w:rsidP="00052B69">
      <w:pPr>
        <w:pStyle w:val="ACMABodyTextChar"/>
        <w:spacing w:before="0" w:after="0" w:line="240" w:lineRule="auto"/>
        <w:jc w:val="both"/>
        <w:rPr>
          <w:color w:val="000000"/>
        </w:rPr>
      </w:pPr>
      <w:r>
        <w:t xml:space="preserve">The </w:t>
      </w:r>
      <w:r w:rsidR="00AA64D6">
        <w:t xml:space="preserve">ACMA has obtained the advice of the Office of </w:t>
      </w:r>
      <w:r w:rsidR="0094507E">
        <w:t xml:space="preserve">Best Practice </w:t>
      </w:r>
      <w:r w:rsidR="00AA64D6">
        <w:t>Regulation that a Regulation Impact Statement is not required for the Determination as</w:t>
      </w:r>
      <w:r w:rsidR="00AA64D6">
        <w:rPr>
          <w:color w:val="000000"/>
        </w:rPr>
        <w:t xml:space="preserve"> the proposal does not have a significant impact on business or the economy</w:t>
      </w:r>
      <w:r w:rsidR="003434B2">
        <w:rPr>
          <w:color w:val="000000"/>
        </w:rPr>
        <w:t xml:space="preserve"> </w:t>
      </w:r>
      <w:r w:rsidR="003434B2">
        <w:t>(exemption reference ID: 2011/13142)</w:t>
      </w:r>
      <w:r w:rsidR="00AA64D6">
        <w:rPr>
          <w:color w:val="000000"/>
        </w:rPr>
        <w:t>.  A Cost Recovery Impact Statement has been prepared which outlines the basis for calculating the charges payable.</w:t>
      </w:r>
    </w:p>
    <w:p w:rsidR="00BF66E6" w:rsidRPr="00BF66E6" w:rsidRDefault="00BF66E6" w:rsidP="00052B69">
      <w:pPr>
        <w:pStyle w:val="ACMABodyTextChar"/>
        <w:jc w:val="both"/>
        <w:rPr>
          <w:lang w:val="en-US"/>
        </w:rPr>
      </w:pPr>
    </w:p>
    <w:p w:rsidR="00AA64D6" w:rsidRDefault="00AA64D6" w:rsidP="00052B69">
      <w:pPr>
        <w:pStyle w:val="ACMAHeading3Char"/>
        <w:jc w:val="both"/>
      </w:pPr>
      <w:r w:rsidRPr="00651F04">
        <w:t>Consultation</w:t>
      </w:r>
      <w:bookmarkStart w:id="2" w:name="MainBody"/>
      <w:bookmarkEnd w:id="2"/>
    </w:p>
    <w:p w:rsidR="00AA64D6" w:rsidRDefault="00AA64D6" w:rsidP="004A78D9">
      <w:pPr>
        <w:pStyle w:val="ACMABodyTextChar"/>
        <w:spacing w:before="0" w:after="0" w:line="240" w:lineRule="auto"/>
        <w:jc w:val="both"/>
      </w:pPr>
    </w:p>
    <w:p w:rsidR="0094507E" w:rsidRDefault="00AA64D6" w:rsidP="00052B69">
      <w:pPr>
        <w:pStyle w:val="ACMABodyTextChar"/>
        <w:spacing w:before="0" w:after="0" w:line="240" w:lineRule="auto"/>
        <w:jc w:val="both"/>
      </w:pPr>
      <w:r w:rsidRPr="009745FE">
        <w:t xml:space="preserve">A </w:t>
      </w:r>
      <w:r w:rsidR="0094507E">
        <w:t xml:space="preserve">consultation </w:t>
      </w:r>
      <w:r w:rsidRPr="009745FE">
        <w:t>paper</w:t>
      </w:r>
      <w:r>
        <w:t xml:space="preserve"> about</w:t>
      </w:r>
      <w:r w:rsidRPr="009745FE">
        <w:t xml:space="preserve"> </w:t>
      </w:r>
      <w:r w:rsidR="0094507E">
        <w:t xml:space="preserve">the review of </w:t>
      </w:r>
      <w:r w:rsidR="00B00D25">
        <w:t xml:space="preserve">the </w:t>
      </w:r>
      <w:r>
        <w:t xml:space="preserve">ACMA’s cost recovery fees and charges </w:t>
      </w:r>
      <w:r w:rsidRPr="009745FE">
        <w:t xml:space="preserve">was released for public comment on </w:t>
      </w:r>
      <w:r w:rsidR="00B00D25">
        <w:t>9 Nove</w:t>
      </w:r>
      <w:r w:rsidRPr="009745FE">
        <w:t>mber 20</w:t>
      </w:r>
      <w:r w:rsidR="00B00D25">
        <w:t>11</w:t>
      </w:r>
      <w:r w:rsidR="004D473D">
        <w:t xml:space="preserve">.  The paper </w:t>
      </w:r>
      <w:r w:rsidR="004D473D" w:rsidRPr="004D473D">
        <w:t xml:space="preserve">proposed the change to the carrier licence application charge </w:t>
      </w:r>
      <w:r w:rsidR="00E041B5">
        <w:t>given effect to by</w:t>
      </w:r>
      <w:r w:rsidR="00E041B5" w:rsidRPr="004D473D">
        <w:t xml:space="preserve"> </w:t>
      </w:r>
      <w:r w:rsidR="004D473D" w:rsidRPr="004D473D">
        <w:t xml:space="preserve">this </w:t>
      </w:r>
      <w:r w:rsidR="00E041B5">
        <w:t>D</w:t>
      </w:r>
      <w:r w:rsidR="00E041B5" w:rsidRPr="004D473D">
        <w:t>etermination</w:t>
      </w:r>
      <w:r w:rsidR="004D473D" w:rsidRPr="004D473D">
        <w:t>.</w:t>
      </w:r>
      <w:r w:rsidR="004D473D">
        <w:t xml:space="preserve">  </w:t>
      </w:r>
      <w:r w:rsidR="004D473D">
        <w:lastRenderedPageBreak/>
        <w:t xml:space="preserve">The consultation paper was also </w:t>
      </w:r>
      <w:r w:rsidR="004D473D" w:rsidRPr="009745FE">
        <w:t xml:space="preserve">published on </w:t>
      </w:r>
      <w:r w:rsidR="00B00D25">
        <w:t xml:space="preserve">the </w:t>
      </w:r>
      <w:r w:rsidR="004D473D" w:rsidRPr="009745FE">
        <w:t>ACMA’s website</w:t>
      </w:r>
      <w:r w:rsidR="004D473D">
        <w:t xml:space="preserve"> and was provided directly </w:t>
      </w:r>
      <w:r>
        <w:t>to telecommunications carriers</w:t>
      </w:r>
      <w:r w:rsidR="004D473D">
        <w:t>,</w:t>
      </w:r>
      <w:r>
        <w:t xml:space="preserve"> carriage service providers and to a range of </w:t>
      </w:r>
      <w:r w:rsidRPr="009745FE">
        <w:t xml:space="preserve">industry bodies </w:t>
      </w:r>
      <w:r>
        <w:t>and</w:t>
      </w:r>
      <w:r w:rsidRPr="009745FE">
        <w:t xml:space="preserve"> associations</w:t>
      </w:r>
      <w:r>
        <w:t xml:space="preserve">.  </w:t>
      </w:r>
    </w:p>
    <w:p w:rsidR="004A449C" w:rsidRDefault="004A449C" w:rsidP="00052B69">
      <w:pPr>
        <w:pStyle w:val="ACMABodyTextChar"/>
        <w:spacing w:before="0" w:after="0" w:line="240" w:lineRule="auto"/>
        <w:jc w:val="both"/>
      </w:pPr>
    </w:p>
    <w:p w:rsidR="004A449C" w:rsidRDefault="00B00D25" w:rsidP="00052B69">
      <w:pPr>
        <w:pStyle w:val="ACMABodyTextChar"/>
        <w:spacing w:before="0" w:after="0" w:line="240" w:lineRule="auto"/>
        <w:jc w:val="both"/>
      </w:pPr>
      <w:r>
        <w:t xml:space="preserve">The </w:t>
      </w:r>
      <w:r w:rsidR="004A449C">
        <w:t xml:space="preserve">ACMA received </w:t>
      </w:r>
      <w:r w:rsidR="00C04E5A">
        <w:t>f</w:t>
      </w:r>
      <w:r>
        <w:t>our</w:t>
      </w:r>
      <w:r w:rsidR="004A449C">
        <w:t xml:space="preserve"> submissions on the proposed </w:t>
      </w:r>
      <w:r w:rsidR="003434B2">
        <w:t>fees and charges</w:t>
      </w:r>
      <w:r w:rsidR="00EA0C1A">
        <w:t xml:space="preserve"> none of which addressed the </w:t>
      </w:r>
      <w:r w:rsidR="009C4DA0">
        <w:t>charge</w:t>
      </w:r>
      <w:r w:rsidR="00EA0C1A">
        <w:t xml:space="preserve"> to be </w:t>
      </w:r>
      <w:r w:rsidR="009C4DA0">
        <w:t>imposed</w:t>
      </w:r>
      <w:r w:rsidR="00EA0C1A">
        <w:t xml:space="preserve"> in relation to carrier licence applications</w:t>
      </w:r>
      <w:r w:rsidR="004A449C">
        <w:t>.</w:t>
      </w:r>
    </w:p>
    <w:p w:rsidR="004E1BD2" w:rsidRDefault="004E1BD2" w:rsidP="00052B69">
      <w:pPr>
        <w:pStyle w:val="ACMABodyTextChar"/>
        <w:spacing w:before="0" w:after="0" w:line="240" w:lineRule="auto"/>
        <w:jc w:val="both"/>
      </w:pPr>
    </w:p>
    <w:p w:rsidR="004E1BD2" w:rsidRDefault="004E1BD2" w:rsidP="004E1BD2">
      <w:pPr>
        <w:jc w:val="both"/>
      </w:pPr>
      <w:r>
        <w:t xml:space="preserve">The ACMA is satisfied that </w:t>
      </w:r>
      <w:r w:rsidR="00FE4488">
        <w:t xml:space="preserve">its </w:t>
      </w:r>
      <w:r>
        <w:t xml:space="preserve">consultation </w:t>
      </w:r>
      <w:r w:rsidR="00FE4488">
        <w:t xml:space="preserve">process in relation to the Determination </w:t>
      </w:r>
      <w:r>
        <w:t>was appropriate</w:t>
      </w:r>
      <w:r w:rsidR="00FE4488">
        <w:t xml:space="preserve"> </w:t>
      </w:r>
      <w:r>
        <w:t xml:space="preserve">for the purposes of section 17 of the </w:t>
      </w:r>
      <w:r>
        <w:rPr>
          <w:i/>
        </w:rPr>
        <w:t>Legislative Instruments Act 2003</w:t>
      </w:r>
      <w:r>
        <w:t>.</w:t>
      </w:r>
    </w:p>
    <w:p w:rsidR="0094507E" w:rsidRDefault="0094507E" w:rsidP="00052B69">
      <w:pPr>
        <w:pStyle w:val="ACMAHeading3Char"/>
        <w:jc w:val="both"/>
      </w:pPr>
      <w:r>
        <w:t>Commencement of Determination</w:t>
      </w:r>
    </w:p>
    <w:p w:rsidR="003D53DD" w:rsidRDefault="0094507E" w:rsidP="00052B69">
      <w:pPr>
        <w:pStyle w:val="ACMABodyTextChar"/>
        <w:jc w:val="both"/>
      </w:pPr>
      <w:r>
        <w:t xml:space="preserve">The </w:t>
      </w:r>
      <w:r w:rsidR="00300070">
        <w:t>D</w:t>
      </w:r>
      <w:r>
        <w:t>etermination commences on 1 July 20</w:t>
      </w:r>
      <w:r w:rsidR="00B00D25">
        <w:t>12</w:t>
      </w:r>
      <w:r w:rsidR="00E041B5">
        <w:t>.</w:t>
      </w:r>
    </w:p>
    <w:p w:rsidR="004A78D9" w:rsidRDefault="004A78D9" w:rsidP="004A78D9">
      <w:pPr>
        <w:keepNext/>
        <w:suppressAutoHyphens/>
        <w:spacing w:before="240"/>
        <w:outlineLvl w:val="3"/>
        <w:rPr>
          <w:rFonts w:ascii="Arial" w:hAnsi="Arial"/>
          <w:b/>
          <w:lang w:val="en-US"/>
        </w:rPr>
      </w:pPr>
      <w:r>
        <w:rPr>
          <w:rFonts w:ascii="Arial" w:hAnsi="Arial"/>
          <w:b/>
          <w:lang w:val="en-US"/>
        </w:rPr>
        <w:t>Notes on Sections</w:t>
      </w:r>
    </w:p>
    <w:p w:rsidR="004A78D9" w:rsidRDefault="004A78D9" w:rsidP="004A78D9">
      <w:pPr>
        <w:pStyle w:val="ACMABodyText"/>
        <w:spacing w:before="0" w:after="0"/>
      </w:pPr>
    </w:p>
    <w:p w:rsidR="004A78D9" w:rsidRPr="00AE3015" w:rsidRDefault="004A78D9" w:rsidP="004A78D9">
      <w:pPr>
        <w:pStyle w:val="ACMABodyText"/>
        <w:spacing w:before="0"/>
      </w:pPr>
      <w:r>
        <w:t xml:space="preserve">The provisions </w:t>
      </w:r>
      <w:r w:rsidRPr="00AE3015">
        <w:t xml:space="preserve">of the Determination are </w:t>
      </w:r>
      <w:r>
        <w:t>described</w:t>
      </w:r>
      <w:r w:rsidRPr="00AE3015">
        <w:t xml:space="preserve"> in Attachment 1.</w:t>
      </w:r>
    </w:p>
    <w:p w:rsidR="004A78D9" w:rsidRDefault="004A78D9" w:rsidP="004A78D9">
      <w:pPr>
        <w:pStyle w:val="ACMABodyText"/>
        <w:spacing w:before="240" w:after="0"/>
        <w:rPr>
          <w:rFonts w:ascii="Arial" w:hAnsi="Arial"/>
          <w:b/>
          <w:snapToGrid/>
          <w:lang w:val="en-US"/>
        </w:rPr>
      </w:pPr>
      <w:r>
        <w:rPr>
          <w:rFonts w:ascii="Arial" w:hAnsi="Arial"/>
          <w:b/>
          <w:snapToGrid/>
          <w:lang w:val="en-US"/>
        </w:rPr>
        <w:t>Statement of Compatibility with Human Rights</w:t>
      </w:r>
    </w:p>
    <w:p w:rsidR="004A78D9" w:rsidRDefault="004A78D9" w:rsidP="004A78D9">
      <w:pPr>
        <w:pStyle w:val="ACMABodyTextChar"/>
        <w:spacing w:before="0" w:after="0"/>
        <w:jc w:val="both"/>
      </w:pPr>
    </w:p>
    <w:p w:rsidR="0094507E" w:rsidRDefault="004A78D9" w:rsidP="004A78D9">
      <w:pPr>
        <w:pStyle w:val="ACMABodyTextChar"/>
        <w:spacing w:before="0"/>
        <w:jc w:val="both"/>
      </w:pPr>
      <w:r w:rsidRPr="00AE3015">
        <w:t xml:space="preserve">A statement of compatibility with human rights for the purposes of Part 3 of the </w:t>
      </w:r>
      <w:r w:rsidRPr="00AE3015">
        <w:rPr>
          <w:i/>
        </w:rPr>
        <w:t>Human Rights (Parliamentary Scrutiny) Act 2011</w:t>
      </w:r>
      <w:r w:rsidRPr="00AE3015">
        <w:t xml:space="preserve"> is set out in Attachment 2.</w:t>
      </w:r>
      <w:r w:rsidR="003D53DD">
        <w:br w:type="page"/>
      </w:r>
    </w:p>
    <w:p w:rsidR="007B55F0" w:rsidRPr="00C57147" w:rsidRDefault="007B55F0" w:rsidP="007B55F0">
      <w:pPr>
        <w:pStyle w:val="ACMAHeading2"/>
        <w:spacing w:before="120" w:line="260" w:lineRule="exact"/>
        <w:jc w:val="right"/>
        <w:rPr>
          <w:rFonts w:cs="Arial"/>
          <w:sz w:val="20"/>
          <w:szCs w:val="20"/>
          <w:lang w:val="en-AU"/>
        </w:rPr>
      </w:pPr>
      <w:r w:rsidRPr="00C57147">
        <w:rPr>
          <w:rFonts w:cs="Arial"/>
          <w:sz w:val="20"/>
          <w:szCs w:val="20"/>
          <w:lang w:val="en-AU"/>
        </w:rPr>
        <w:t>ATTACHMENT 1</w:t>
      </w:r>
    </w:p>
    <w:p w:rsidR="00BE4A1E" w:rsidRPr="006D70E4" w:rsidRDefault="00BE4A1E" w:rsidP="00052B69">
      <w:pPr>
        <w:pStyle w:val="ACMAHeading3Char"/>
        <w:jc w:val="both"/>
      </w:pPr>
      <w:r>
        <w:t>Notes on Sections</w:t>
      </w:r>
    </w:p>
    <w:p w:rsidR="00BE4A1E" w:rsidRDefault="00BE4A1E" w:rsidP="00052B69">
      <w:pPr>
        <w:pStyle w:val="ACMABodyText"/>
        <w:spacing w:before="0" w:after="0"/>
        <w:jc w:val="both"/>
        <w:rPr>
          <w:b/>
          <w:lang w:val="en-US"/>
        </w:rPr>
      </w:pPr>
    </w:p>
    <w:p w:rsidR="00BE4A1E" w:rsidRPr="006D70E4" w:rsidRDefault="00BE4A1E" w:rsidP="00052B69">
      <w:pPr>
        <w:pStyle w:val="ACMABodyText"/>
        <w:spacing w:before="0"/>
        <w:jc w:val="both"/>
        <w:rPr>
          <w:b/>
          <w:lang w:val="en-US"/>
        </w:rPr>
      </w:pPr>
      <w:r w:rsidRPr="006D70E4">
        <w:rPr>
          <w:b/>
          <w:lang w:val="en-US"/>
        </w:rPr>
        <w:t xml:space="preserve">Section 1 </w:t>
      </w:r>
      <w:r w:rsidR="00324F64">
        <w:rPr>
          <w:b/>
          <w:lang w:val="en-US"/>
        </w:rPr>
        <w:t>– Name of D</w:t>
      </w:r>
      <w:r w:rsidRPr="006D70E4">
        <w:rPr>
          <w:b/>
          <w:lang w:val="en-US"/>
        </w:rPr>
        <w:t>etermination</w:t>
      </w:r>
    </w:p>
    <w:p w:rsidR="00BE4A1E" w:rsidRDefault="0094507E" w:rsidP="00052B69">
      <w:pPr>
        <w:pStyle w:val="ACMABodyText"/>
        <w:spacing w:after="0"/>
        <w:jc w:val="both"/>
        <w:rPr>
          <w:i/>
          <w:lang w:val="en-US"/>
        </w:rPr>
      </w:pPr>
      <w:r w:rsidRPr="00194F1C">
        <w:rPr>
          <w:lang w:val="en-US"/>
        </w:rPr>
        <w:t xml:space="preserve">Section 1 provides for the citation of </w:t>
      </w:r>
      <w:r w:rsidR="00BE4A1E" w:rsidRPr="00194F1C">
        <w:rPr>
          <w:lang w:val="en-US"/>
        </w:rPr>
        <w:t xml:space="preserve">the </w:t>
      </w:r>
      <w:r w:rsidRPr="00194F1C">
        <w:rPr>
          <w:lang w:val="en-US"/>
        </w:rPr>
        <w:t>D</w:t>
      </w:r>
      <w:r w:rsidR="00BE4A1E" w:rsidRPr="00194F1C">
        <w:rPr>
          <w:lang w:val="en-US"/>
        </w:rPr>
        <w:t xml:space="preserve">etermination </w:t>
      </w:r>
      <w:r w:rsidRPr="00194F1C">
        <w:rPr>
          <w:lang w:val="en-US"/>
        </w:rPr>
        <w:t>as</w:t>
      </w:r>
      <w:r w:rsidR="00BE4A1E" w:rsidRPr="00194F1C">
        <w:rPr>
          <w:lang w:val="en-US"/>
        </w:rPr>
        <w:t xml:space="preserve"> the </w:t>
      </w:r>
      <w:r w:rsidR="00BE4A1E" w:rsidRPr="00194F1C">
        <w:rPr>
          <w:i/>
          <w:lang w:val="en-US"/>
        </w:rPr>
        <w:t>Telecommunications (Carrier Licence Application Charge) Determination 20</w:t>
      </w:r>
      <w:r w:rsidR="00B00D25" w:rsidRPr="00194F1C">
        <w:rPr>
          <w:i/>
          <w:lang w:val="en-US"/>
        </w:rPr>
        <w:t>12</w:t>
      </w:r>
      <w:r w:rsidR="00BE4A1E" w:rsidRPr="00194F1C">
        <w:rPr>
          <w:i/>
          <w:lang w:val="en-US"/>
        </w:rPr>
        <w:t>.</w:t>
      </w:r>
    </w:p>
    <w:p w:rsidR="00BE4A1E" w:rsidRPr="00660C6D" w:rsidRDefault="00BE4A1E" w:rsidP="00052B69">
      <w:pPr>
        <w:pStyle w:val="ACMABodyText"/>
        <w:spacing w:before="0" w:after="0"/>
        <w:jc w:val="both"/>
        <w:rPr>
          <w:lang w:val="en-US"/>
        </w:rPr>
      </w:pPr>
    </w:p>
    <w:p w:rsidR="00BE4A1E" w:rsidRPr="006D70E4" w:rsidRDefault="00BE4A1E" w:rsidP="00052B69">
      <w:pPr>
        <w:pStyle w:val="ACMABodyText"/>
        <w:spacing w:before="0"/>
        <w:jc w:val="both"/>
        <w:rPr>
          <w:b/>
          <w:lang w:val="en-US"/>
        </w:rPr>
      </w:pPr>
      <w:r w:rsidRPr="006D70E4">
        <w:rPr>
          <w:b/>
          <w:lang w:val="en-US"/>
        </w:rPr>
        <w:t>Section 2 – Commencement</w:t>
      </w:r>
    </w:p>
    <w:p w:rsidR="00BE4A1E" w:rsidRDefault="0094507E" w:rsidP="00052B69">
      <w:pPr>
        <w:pStyle w:val="ACMABodyText"/>
        <w:spacing w:after="0"/>
        <w:jc w:val="both"/>
        <w:rPr>
          <w:lang w:val="en-US"/>
        </w:rPr>
      </w:pPr>
      <w:r>
        <w:rPr>
          <w:lang w:val="en-US"/>
        </w:rPr>
        <w:t>Section 2</w:t>
      </w:r>
      <w:r w:rsidR="00BE4A1E">
        <w:rPr>
          <w:lang w:val="en-US"/>
        </w:rPr>
        <w:t xml:space="preserve"> provides </w:t>
      </w:r>
      <w:r>
        <w:rPr>
          <w:lang w:val="en-US"/>
        </w:rPr>
        <w:t>that the</w:t>
      </w:r>
      <w:r w:rsidR="00BE4A1E">
        <w:rPr>
          <w:lang w:val="en-US"/>
        </w:rPr>
        <w:t xml:space="preserve"> </w:t>
      </w:r>
      <w:r>
        <w:rPr>
          <w:lang w:val="en-US"/>
        </w:rPr>
        <w:t>D</w:t>
      </w:r>
      <w:r w:rsidR="00BE4A1E">
        <w:rPr>
          <w:lang w:val="en-US"/>
        </w:rPr>
        <w:t>etermination commence</w:t>
      </w:r>
      <w:r w:rsidR="00C42145">
        <w:rPr>
          <w:lang w:val="en-US"/>
        </w:rPr>
        <w:t>s</w:t>
      </w:r>
      <w:r w:rsidR="00BE4A1E">
        <w:rPr>
          <w:lang w:val="en-US"/>
        </w:rPr>
        <w:t xml:space="preserve"> on 1 July 20</w:t>
      </w:r>
      <w:r w:rsidR="00B00D25">
        <w:rPr>
          <w:lang w:val="en-US"/>
        </w:rPr>
        <w:t>12</w:t>
      </w:r>
      <w:r w:rsidR="00BE4A1E">
        <w:rPr>
          <w:lang w:val="en-US"/>
        </w:rPr>
        <w:t>.</w:t>
      </w:r>
    </w:p>
    <w:p w:rsidR="002C2BCE" w:rsidRPr="007D231F" w:rsidRDefault="002C2BCE" w:rsidP="00052B69">
      <w:pPr>
        <w:pStyle w:val="ACMABodyText"/>
        <w:spacing w:before="0" w:after="0"/>
        <w:jc w:val="both"/>
        <w:rPr>
          <w:b/>
        </w:rPr>
      </w:pPr>
    </w:p>
    <w:p w:rsidR="00BE4A1E" w:rsidRPr="006905C0" w:rsidRDefault="00BE4A1E" w:rsidP="00052B69">
      <w:pPr>
        <w:pStyle w:val="ACMABodyText"/>
        <w:spacing w:before="0"/>
        <w:jc w:val="both"/>
        <w:rPr>
          <w:b/>
          <w:i/>
          <w:lang w:val="en-US"/>
        </w:rPr>
      </w:pPr>
      <w:r>
        <w:rPr>
          <w:b/>
          <w:lang w:val="en-US"/>
        </w:rPr>
        <w:t>Section</w:t>
      </w:r>
      <w:r w:rsidRPr="00C1592D">
        <w:rPr>
          <w:b/>
          <w:lang w:val="en-US"/>
        </w:rPr>
        <w:t xml:space="preserve"> </w:t>
      </w:r>
      <w:r w:rsidR="006905C0">
        <w:rPr>
          <w:b/>
          <w:lang w:val="en-US"/>
        </w:rPr>
        <w:t>3</w:t>
      </w:r>
      <w:r>
        <w:rPr>
          <w:b/>
          <w:lang w:val="en-US"/>
        </w:rPr>
        <w:t xml:space="preserve"> – Revocation</w:t>
      </w:r>
      <w:r w:rsidR="006905C0">
        <w:rPr>
          <w:b/>
          <w:lang w:val="en-US"/>
        </w:rPr>
        <w:t xml:space="preserve"> of </w:t>
      </w:r>
      <w:r w:rsidR="006905C0" w:rsidRPr="006905C0">
        <w:rPr>
          <w:b/>
          <w:i/>
          <w:lang w:val="en-US"/>
        </w:rPr>
        <w:t>Telecommunications (Carrier Licence Application Charge) Determination 2007</w:t>
      </w:r>
    </w:p>
    <w:p w:rsidR="00BE4A1E" w:rsidRPr="00C1592D" w:rsidRDefault="00300070" w:rsidP="00052B69">
      <w:pPr>
        <w:pStyle w:val="ACMABodyText"/>
        <w:spacing w:after="0"/>
        <w:jc w:val="both"/>
        <w:rPr>
          <w:lang w:val="en-US"/>
        </w:rPr>
      </w:pPr>
      <w:r>
        <w:rPr>
          <w:lang w:val="en-US"/>
        </w:rPr>
        <w:t xml:space="preserve">Section </w:t>
      </w:r>
      <w:r w:rsidR="006905C0">
        <w:rPr>
          <w:lang w:val="en-US"/>
        </w:rPr>
        <w:t>3</w:t>
      </w:r>
      <w:r>
        <w:rPr>
          <w:lang w:val="en-US"/>
        </w:rPr>
        <w:t xml:space="preserve"> revokes the</w:t>
      </w:r>
      <w:r w:rsidR="0023692A">
        <w:rPr>
          <w:lang w:val="en-US"/>
        </w:rPr>
        <w:t xml:space="preserve"> </w:t>
      </w:r>
      <w:r w:rsidR="00450239">
        <w:rPr>
          <w:lang w:val="en-US"/>
        </w:rPr>
        <w:t xml:space="preserve">Determination known as the </w:t>
      </w:r>
      <w:r w:rsidR="00BE4A1E">
        <w:rPr>
          <w:i/>
        </w:rPr>
        <w:t>Telecommunications (</w:t>
      </w:r>
      <w:r w:rsidR="00BE4A1E" w:rsidRPr="007E5461">
        <w:rPr>
          <w:i/>
        </w:rPr>
        <w:t>C</w:t>
      </w:r>
      <w:r w:rsidR="00BE4A1E">
        <w:rPr>
          <w:i/>
        </w:rPr>
        <w:t>arrier Licence Application C</w:t>
      </w:r>
      <w:r w:rsidR="00BE4A1E" w:rsidRPr="007E5461">
        <w:rPr>
          <w:i/>
        </w:rPr>
        <w:t>harge</w:t>
      </w:r>
      <w:r w:rsidR="00BE4A1E">
        <w:rPr>
          <w:i/>
        </w:rPr>
        <w:t>)</w:t>
      </w:r>
      <w:r w:rsidR="00BE4A1E" w:rsidRPr="007E5461">
        <w:rPr>
          <w:i/>
        </w:rPr>
        <w:t xml:space="preserve"> Determination 20</w:t>
      </w:r>
      <w:r w:rsidR="00B00D25">
        <w:rPr>
          <w:i/>
        </w:rPr>
        <w:t>07</w:t>
      </w:r>
      <w:r w:rsidR="00BE4A1E">
        <w:rPr>
          <w:i/>
        </w:rPr>
        <w:t>.</w:t>
      </w:r>
    </w:p>
    <w:p w:rsidR="00BE4A1E" w:rsidRPr="00660C6D" w:rsidRDefault="00BE4A1E" w:rsidP="00052B69">
      <w:pPr>
        <w:pStyle w:val="ACMABodyText"/>
        <w:spacing w:before="0" w:after="0"/>
        <w:jc w:val="both"/>
        <w:rPr>
          <w:lang w:val="en-US"/>
        </w:rPr>
      </w:pPr>
    </w:p>
    <w:p w:rsidR="006905C0" w:rsidRDefault="006905C0" w:rsidP="005A23F9">
      <w:pPr>
        <w:spacing w:after="120"/>
        <w:jc w:val="both"/>
        <w:rPr>
          <w:b/>
          <w:bCs/>
        </w:rPr>
      </w:pPr>
      <w:r>
        <w:rPr>
          <w:b/>
          <w:bCs/>
        </w:rPr>
        <w:t>Section 4 – Carrier Licence Application Charge</w:t>
      </w:r>
    </w:p>
    <w:p w:rsidR="006905C0" w:rsidRDefault="006905C0" w:rsidP="006905C0">
      <w:pPr>
        <w:jc w:val="both"/>
      </w:pPr>
      <w:bookmarkStart w:id="3" w:name="OLE_LINK1"/>
      <w:bookmarkStart w:id="4" w:name="OLE_LINK2"/>
      <w:r>
        <w:t xml:space="preserve">Section 4 specifies </w:t>
      </w:r>
      <w:r w:rsidR="006166B1">
        <w:t xml:space="preserve">that </w:t>
      </w:r>
      <w:r>
        <w:t>the charge</w:t>
      </w:r>
      <w:bookmarkEnd w:id="3"/>
      <w:bookmarkEnd w:id="4"/>
      <w:r>
        <w:t xml:space="preserve"> imposed on an application for a carrier licence</w:t>
      </w:r>
      <w:r w:rsidR="006166B1">
        <w:t xml:space="preserve"> is $2 076</w:t>
      </w:r>
      <w:r>
        <w:t>.</w:t>
      </w:r>
    </w:p>
    <w:p w:rsidR="007B55F0" w:rsidRPr="00C57147" w:rsidRDefault="006905C0" w:rsidP="007B55F0">
      <w:pPr>
        <w:pStyle w:val="ACMAHeading2"/>
        <w:spacing w:before="120" w:line="260" w:lineRule="exact"/>
        <w:jc w:val="right"/>
        <w:rPr>
          <w:rFonts w:cs="Arial"/>
          <w:sz w:val="20"/>
          <w:szCs w:val="20"/>
          <w:lang w:val="en-AU"/>
        </w:rPr>
      </w:pPr>
      <w:r>
        <w:br w:type="page"/>
      </w:r>
    </w:p>
    <w:p w:rsidR="007B55F0" w:rsidRPr="00C57147" w:rsidRDefault="007B55F0" w:rsidP="007B55F0">
      <w:pPr>
        <w:pStyle w:val="ACMAHeading2"/>
        <w:spacing w:before="120" w:line="260" w:lineRule="exact"/>
        <w:jc w:val="right"/>
        <w:rPr>
          <w:rFonts w:cs="Arial"/>
          <w:sz w:val="20"/>
          <w:szCs w:val="20"/>
          <w:lang w:val="en-AU"/>
        </w:rPr>
      </w:pPr>
      <w:r w:rsidRPr="00C57147">
        <w:rPr>
          <w:rFonts w:cs="Arial"/>
          <w:sz w:val="20"/>
          <w:szCs w:val="20"/>
          <w:lang w:val="en-AU"/>
        </w:rPr>
        <w:t xml:space="preserve">ATTACHMENT </w:t>
      </w:r>
      <w:r>
        <w:rPr>
          <w:rFonts w:cs="Arial"/>
          <w:sz w:val="20"/>
          <w:szCs w:val="20"/>
          <w:lang w:val="en-AU"/>
        </w:rPr>
        <w:t>2</w:t>
      </w:r>
    </w:p>
    <w:p w:rsidR="006905C0" w:rsidRDefault="006905C0" w:rsidP="007B55F0">
      <w:pPr>
        <w:jc w:val="right"/>
      </w:pPr>
    </w:p>
    <w:p w:rsidR="006905C0" w:rsidRPr="0066349C" w:rsidRDefault="006905C0" w:rsidP="006905C0">
      <w:pPr>
        <w:jc w:val="center"/>
        <w:rPr>
          <w:rFonts w:ascii="Arial" w:hAnsi="Arial" w:cs="Arial"/>
          <w:b/>
          <w:sz w:val="28"/>
          <w:szCs w:val="28"/>
        </w:rPr>
      </w:pPr>
      <w:r w:rsidRPr="0066349C">
        <w:rPr>
          <w:rFonts w:ascii="Arial" w:hAnsi="Arial" w:cs="Arial"/>
          <w:b/>
          <w:sz w:val="28"/>
          <w:szCs w:val="28"/>
        </w:rPr>
        <w:t>Statement of Compatibility with Human Rights</w:t>
      </w:r>
    </w:p>
    <w:p w:rsidR="006905C0" w:rsidRPr="00922F62" w:rsidRDefault="006905C0" w:rsidP="006905C0">
      <w:pPr>
        <w:spacing w:before="120"/>
        <w:jc w:val="center"/>
      </w:pPr>
      <w:r w:rsidRPr="00922F62">
        <w:t>Prepared in accordance with Part 3 of the</w:t>
      </w:r>
      <w:r w:rsidRPr="00922F62">
        <w:rPr>
          <w:i/>
        </w:rPr>
        <w:t xml:space="preserve"> Human Rights (Parliamentary Scrutiny) Act 2011</w:t>
      </w:r>
    </w:p>
    <w:p w:rsidR="006905C0" w:rsidRPr="0066349C" w:rsidRDefault="006905C0" w:rsidP="006905C0">
      <w:pPr>
        <w:spacing w:before="120"/>
        <w:jc w:val="center"/>
        <w:rPr>
          <w:rFonts w:ascii="Arial" w:hAnsi="Arial" w:cs="Arial"/>
          <w:sz w:val="14"/>
        </w:rPr>
      </w:pPr>
    </w:p>
    <w:p w:rsidR="006905C0" w:rsidRPr="006905C0" w:rsidRDefault="006905C0" w:rsidP="006905C0">
      <w:pPr>
        <w:pStyle w:val="ACMABodyTextChar"/>
        <w:jc w:val="center"/>
        <w:rPr>
          <w:b/>
          <w:i/>
        </w:rPr>
      </w:pPr>
      <w:r w:rsidRPr="006905C0">
        <w:rPr>
          <w:b/>
          <w:i/>
        </w:rPr>
        <w:t>Telecommunications (Carrier Licence Application Charge) Determination 2012</w:t>
      </w:r>
    </w:p>
    <w:p w:rsidR="006905C0" w:rsidRPr="00922F62" w:rsidRDefault="006905C0" w:rsidP="00AB07B8">
      <w:pPr>
        <w:spacing w:before="120"/>
        <w:jc w:val="both"/>
      </w:pPr>
      <w:r w:rsidRPr="00922F62">
        <w:t xml:space="preserve">This Legislative Instrument is compatible with the human rights and freedoms recognised or declared in the international instruments listed in section 3 of the </w:t>
      </w:r>
      <w:r w:rsidRPr="00922F62">
        <w:rPr>
          <w:i/>
        </w:rPr>
        <w:t>Human Rights (Parliamentary Scrutiny) Act 2011</w:t>
      </w:r>
      <w:r w:rsidRPr="00922F62">
        <w:t>.</w:t>
      </w:r>
    </w:p>
    <w:p w:rsidR="006905C0" w:rsidRDefault="006905C0" w:rsidP="006905C0">
      <w:pPr>
        <w:spacing w:before="120"/>
        <w:jc w:val="both"/>
        <w:rPr>
          <w:b/>
        </w:rPr>
      </w:pPr>
    </w:p>
    <w:p w:rsidR="006905C0" w:rsidRPr="00922F62" w:rsidRDefault="006905C0" w:rsidP="006905C0">
      <w:pPr>
        <w:spacing w:before="120"/>
        <w:jc w:val="both"/>
        <w:rPr>
          <w:b/>
          <w:sz w:val="28"/>
        </w:rPr>
      </w:pPr>
      <w:r w:rsidRPr="00922F62">
        <w:rPr>
          <w:b/>
          <w:sz w:val="28"/>
        </w:rPr>
        <w:t>Overview of the Legislative Instrument</w:t>
      </w:r>
    </w:p>
    <w:p w:rsidR="00AB07B8" w:rsidRPr="007E5461" w:rsidRDefault="00AB07B8" w:rsidP="00AB07B8">
      <w:pPr>
        <w:pStyle w:val="ACMABodyTextChar"/>
        <w:jc w:val="both"/>
      </w:pPr>
      <w:r w:rsidRPr="00D16EC1">
        <w:t xml:space="preserve">The </w:t>
      </w:r>
      <w:r w:rsidRPr="00D16EC1">
        <w:rPr>
          <w:i/>
        </w:rPr>
        <w:t xml:space="preserve">Telecommunications (Carrier Licence Application Charge) Determination 2012 </w:t>
      </w:r>
      <w:r w:rsidRPr="00D16EC1">
        <w:t>(the Determination) has been made by the Australian Communications and</w:t>
      </w:r>
      <w:r>
        <w:t xml:space="preserve"> Media Authority (the ACMA) to revoke and replace the </w:t>
      </w:r>
      <w:r w:rsidRPr="007E5461">
        <w:rPr>
          <w:i/>
        </w:rPr>
        <w:t>Telecommunications (</w:t>
      </w:r>
      <w:r>
        <w:rPr>
          <w:i/>
        </w:rPr>
        <w:t xml:space="preserve">Carrier Licence Application Charge) </w:t>
      </w:r>
      <w:r w:rsidRPr="007E5461">
        <w:rPr>
          <w:i/>
        </w:rPr>
        <w:t>Determination 200</w:t>
      </w:r>
      <w:r>
        <w:rPr>
          <w:i/>
        </w:rPr>
        <w:t xml:space="preserve">7. </w:t>
      </w:r>
      <w:r>
        <w:t xml:space="preserve">The </w:t>
      </w:r>
      <w:r w:rsidR="003962B3">
        <w:t xml:space="preserve">Determination specifies an </w:t>
      </w:r>
      <w:r>
        <w:t>updated</w:t>
      </w:r>
      <w:r w:rsidR="003962B3">
        <w:t xml:space="preserve"> carrier licence application</w:t>
      </w:r>
      <w:r>
        <w:t xml:space="preserve"> charge arising from a review of the ACMA’s cost recovery fees and charges.</w:t>
      </w:r>
    </w:p>
    <w:p w:rsidR="00AB07B8" w:rsidRDefault="00AB07B8" w:rsidP="00AB07B8">
      <w:pPr>
        <w:pStyle w:val="ACMABodyTextChar"/>
        <w:spacing w:before="0" w:after="0" w:line="240" w:lineRule="auto"/>
        <w:jc w:val="both"/>
      </w:pPr>
      <w:r>
        <w:t xml:space="preserve">Section 7 of the </w:t>
      </w:r>
      <w:r w:rsidRPr="007E5461">
        <w:rPr>
          <w:i/>
        </w:rPr>
        <w:t>Telecommunications (</w:t>
      </w:r>
      <w:r>
        <w:rPr>
          <w:i/>
        </w:rPr>
        <w:t xml:space="preserve">Carrier Licence Charges) Act 1997 </w:t>
      </w:r>
      <w:r>
        <w:t>provides that a charge is imposed on an application for a carrier licence.  Subsection 9(1) specifies that the amount of charge imposed is the amount ascertained in accordance with a written determination made by the ACMA.</w:t>
      </w:r>
      <w:r w:rsidDel="00853750">
        <w:t xml:space="preserve"> </w:t>
      </w:r>
      <w:r>
        <w:t xml:space="preserve">Subsection 9(2) provides that a determination made under subsection 9(1) is a </w:t>
      </w:r>
      <w:r w:rsidR="00677E29">
        <w:t xml:space="preserve">legislative instrument for the purposes of the </w:t>
      </w:r>
      <w:r w:rsidR="00677E29">
        <w:rPr>
          <w:i/>
        </w:rPr>
        <w:t>Legislative Instruments Act 2003</w:t>
      </w:r>
      <w:r>
        <w:rPr>
          <w:i/>
        </w:rPr>
        <w:t>.</w:t>
      </w:r>
    </w:p>
    <w:p w:rsidR="006905C0" w:rsidRDefault="006905C0" w:rsidP="00AB07B8">
      <w:pPr>
        <w:pStyle w:val="ACMABodyText"/>
        <w:spacing w:before="0" w:after="0" w:line="240" w:lineRule="auto"/>
        <w:jc w:val="both"/>
      </w:pPr>
    </w:p>
    <w:p w:rsidR="006905C0" w:rsidRDefault="006905C0" w:rsidP="00AB07B8">
      <w:pPr>
        <w:pStyle w:val="ACMABodyText"/>
        <w:spacing w:before="0" w:after="0" w:line="240" w:lineRule="auto"/>
        <w:jc w:val="both"/>
      </w:pPr>
      <w:r>
        <w:t xml:space="preserve">The ACMA has reviewed its fees and charges as part of a periodic review of its cost recovery arrangements in accordance with the Australian Government’s </w:t>
      </w:r>
      <w:r w:rsidRPr="004B614D">
        <w:rPr>
          <w:i/>
        </w:rPr>
        <w:t>Cost Recovery Guidelines</w:t>
      </w:r>
      <w:r>
        <w:t xml:space="preserve">. The review resulted in updates to a range of existing charges, including charges for services provided by the ACMA under the </w:t>
      </w:r>
      <w:r w:rsidR="00AB07B8" w:rsidRPr="00AB07B8">
        <w:rPr>
          <w:i/>
        </w:rPr>
        <w:t>Telecommunications</w:t>
      </w:r>
      <w:r w:rsidRPr="00AB07B8">
        <w:rPr>
          <w:i/>
        </w:rPr>
        <w:t xml:space="preserve"> </w:t>
      </w:r>
      <w:r w:rsidRPr="00CF7DBC">
        <w:rPr>
          <w:i/>
        </w:rPr>
        <w:t>Act 199</w:t>
      </w:r>
      <w:r w:rsidR="00AB07B8">
        <w:rPr>
          <w:i/>
        </w:rPr>
        <w:t>7</w:t>
      </w:r>
      <w:r>
        <w:t xml:space="preserve">.  </w:t>
      </w:r>
    </w:p>
    <w:p w:rsidR="006905C0" w:rsidRPr="00922F62" w:rsidRDefault="006905C0" w:rsidP="006905C0">
      <w:pPr>
        <w:spacing w:before="120"/>
      </w:pPr>
    </w:p>
    <w:p w:rsidR="006905C0" w:rsidRPr="00922F62" w:rsidRDefault="006905C0" w:rsidP="006905C0">
      <w:pPr>
        <w:spacing w:before="120"/>
        <w:rPr>
          <w:b/>
          <w:sz w:val="28"/>
        </w:rPr>
      </w:pPr>
      <w:r w:rsidRPr="00922F62">
        <w:rPr>
          <w:b/>
          <w:sz w:val="28"/>
        </w:rPr>
        <w:t>Human rights implications</w:t>
      </w:r>
    </w:p>
    <w:p w:rsidR="006905C0" w:rsidRPr="00922F62" w:rsidRDefault="006905C0" w:rsidP="00AB07B8">
      <w:pPr>
        <w:spacing w:before="120"/>
        <w:jc w:val="both"/>
      </w:pPr>
      <w:r w:rsidRPr="00922F62">
        <w:t>This Legislative Instrument does not engage any of the applicable rights or freedoms.</w:t>
      </w:r>
    </w:p>
    <w:p w:rsidR="006905C0" w:rsidRPr="00922F62" w:rsidRDefault="006905C0" w:rsidP="006905C0">
      <w:pPr>
        <w:spacing w:before="120"/>
      </w:pPr>
    </w:p>
    <w:p w:rsidR="006905C0" w:rsidRPr="00922F62" w:rsidRDefault="006905C0" w:rsidP="006905C0">
      <w:pPr>
        <w:spacing w:before="120"/>
        <w:rPr>
          <w:b/>
          <w:sz w:val="28"/>
        </w:rPr>
      </w:pPr>
      <w:r w:rsidRPr="00922F62">
        <w:rPr>
          <w:b/>
          <w:sz w:val="28"/>
        </w:rPr>
        <w:t>Conclusion</w:t>
      </w:r>
    </w:p>
    <w:p w:rsidR="006905C0" w:rsidRPr="00922F62" w:rsidRDefault="006905C0" w:rsidP="00AB07B8">
      <w:pPr>
        <w:spacing w:before="120"/>
        <w:jc w:val="both"/>
      </w:pPr>
      <w:r w:rsidRPr="00922F62">
        <w:t>This Legislative Instrument is compatible with human rights as it does not raise any human rights issues.</w:t>
      </w:r>
    </w:p>
    <w:p w:rsidR="006905C0" w:rsidRPr="00922F62" w:rsidRDefault="006905C0" w:rsidP="006905C0">
      <w:pPr>
        <w:spacing w:before="120"/>
      </w:pPr>
    </w:p>
    <w:p w:rsidR="00BE4A1E" w:rsidRDefault="00BE4A1E"/>
    <w:sectPr w:rsidR="00BE4A1E" w:rsidSect="00CE4B2D">
      <w:footerReference w:type="default" r:id="rId7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E1977" w:rsidRDefault="00DE1977">
      <w:r>
        <w:separator/>
      </w:r>
    </w:p>
  </w:endnote>
  <w:endnote w:type="continuationSeparator" w:id="0">
    <w:p w:rsidR="00DE1977" w:rsidRDefault="00DE197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78CA" w:rsidRDefault="000601D2" w:rsidP="0014723E">
    <w:pPr>
      <w:pStyle w:val="Footer"/>
      <w:jc w:val="right"/>
    </w:pPr>
    <w:r>
      <w:rPr>
        <w:rStyle w:val="PageNumber"/>
      </w:rPr>
      <w:fldChar w:fldCharType="begin"/>
    </w:r>
    <w:r w:rsidR="005278CA"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486EA5">
      <w:rPr>
        <w:rStyle w:val="PageNumber"/>
        <w:noProof/>
      </w:rPr>
      <w:t>1</w:t>
    </w:r>
    <w:r>
      <w:rPr>
        <w:rStyle w:val="PageNumber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E1977" w:rsidRDefault="00DE1977">
      <w:r>
        <w:separator/>
      </w:r>
    </w:p>
  </w:footnote>
  <w:footnote w:type="continuationSeparator" w:id="0">
    <w:p w:rsidR="00DE1977" w:rsidRDefault="00DE197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97857DC"/>
    <w:multiLevelType w:val="hybridMultilevel"/>
    <w:tmpl w:val="AC34E3C0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5BB046E4"/>
    <w:multiLevelType w:val="hybridMultilevel"/>
    <w:tmpl w:val="9DD8CFAC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removePersonalInformation/>
  <w:removeDateAndTime/>
  <w:stylePaneFormatFilter w:val="3F01"/>
  <w:trackRevisions/>
  <w:doNotTrackMove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73CC0"/>
    <w:rsid w:val="00041A2B"/>
    <w:rsid w:val="00052B69"/>
    <w:rsid w:val="00053228"/>
    <w:rsid w:val="000541A9"/>
    <w:rsid w:val="000601D2"/>
    <w:rsid w:val="00060831"/>
    <w:rsid w:val="000F5293"/>
    <w:rsid w:val="001161D2"/>
    <w:rsid w:val="0014723E"/>
    <w:rsid w:val="00160043"/>
    <w:rsid w:val="001661EF"/>
    <w:rsid w:val="00173CC0"/>
    <w:rsid w:val="00194F1C"/>
    <w:rsid w:val="001B5DCD"/>
    <w:rsid w:val="00227930"/>
    <w:rsid w:val="00231A5F"/>
    <w:rsid w:val="0023692A"/>
    <w:rsid w:val="00265C88"/>
    <w:rsid w:val="002A6581"/>
    <w:rsid w:val="002C2BCE"/>
    <w:rsid w:val="00300070"/>
    <w:rsid w:val="00313EBA"/>
    <w:rsid w:val="00324F64"/>
    <w:rsid w:val="00330C11"/>
    <w:rsid w:val="0033489F"/>
    <w:rsid w:val="00337F24"/>
    <w:rsid w:val="003434B2"/>
    <w:rsid w:val="00360DCD"/>
    <w:rsid w:val="003962B3"/>
    <w:rsid w:val="003B116D"/>
    <w:rsid w:val="003D53DD"/>
    <w:rsid w:val="003E40F9"/>
    <w:rsid w:val="00450239"/>
    <w:rsid w:val="00480BED"/>
    <w:rsid w:val="00486EA5"/>
    <w:rsid w:val="004A449C"/>
    <w:rsid w:val="004A78D9"/>
    <w:rsid w:val="004D473D"/>
    <w:rsid w:val="004E1BD2"/>
    <w:rsid w:val="004E552A"/>
    <w:rsid w:val="005278CA"/>
    <w:rsid w:val="00583323"/>
    <w:rsid w:val="005A23F9"/>
    <w:rsid w:val="005F2B3F"/>
    <w:rsid w:val="006166B1"/>
    <w:rsid w:val="00640F48"/>
    <w:rsid w:val="00677E29"/>
    <w:rsid w:val="006905C0"/>
    <w:rsid w:val="006A513F"/>
    <w:rsid w:val="0074295D"/>
    <w:rsid w:val="00793699"/>
    <w:rsid w:val="007A1DF5"/>
    <w:rsid w:val="007B172C"/>
    <w:rsid w:val="007B55F0"/>
    <w:rsid w:val="007E3CC9"/>
    <w:rsid w:val="007F04BE"/>
    <w:rsid w:val="007F6546"/>
    <w:rsid w:val="008257A2"/>
    <w:rsid w:val="00844A6B"/>
    <w:rsid w:val="00853750"/>
    <w:rsid w:val="008D63A1"/>
    <w:rsid w:val="008F521E"/>
    <w:rsid w:val="00911F98"/>
    <w:rsid w:val="0094507E"/>
    <w:rsid w:val="00967558"/>
    <w:rsid w:val="009B05A2"/>
    <w:rsid w:val="009C4DA0"/>
    <w:rsid w:val="009F214F"/>
    <w:rsid w:val="00A23959"/>
    <w:rsid w:val="00A257B3"/>
    <w:rsid w:val="00A30427"/>
    <w:rsid w:val="00A37AFA"/>
    <w:rsid w:val="00A83D06"/>
    <w:rsid w:val="00AA5CCE"/>
    <w:rsid w:val="00AA64D6"/>
    <w:rsid w:val="00AB07B8"/>
    <w:rsid w:val="00B00D25"/>
    <w:rsid w:val="00B36B36"/>
    <w:rsid w:val="00B64C5B"/>
    <w:rsid w:val="00BE4A1E"/>
    <w:rsid w:val="00BE4B0A"/>
    <w:rsid w:val="00BF66E6"/>
    <w:rsid w:val="00C04E5A"/>
    <w:rsid w:val="00C338C6"/>
    <w:rsid w:val="00C42145"/>
    <w:rsid w:val="00C47604"/>
    <w:rsid w:val="00CB28C2"/>
    <w:rsid w:val="00CE4B2D"/>
    <w:rsid w:val="00D156E5"/>
    <w:rsid w:val="00D16EC1"/>
    <w:rsid w:val="00D36271"/>
    <w:rsid w:val="00D41FFD"/>
    <w:rsid w:val="00DC2D9E"/>
    <w:rsid w:val="00DD7A8A"/>
    <w:rsid w:val="00DE1977"/>
    <w:rsid w:val="00E041B5"/>
    <w:rsid w:val="00E079F5"/>
    <w:rsid w:val="00E42EA5"/>
    <w:rsid w:val="00E52ADE"/>
    <w:rsid w:val="00EA0C1A"/>
    <w:rsid w:val="00EC3653"/>
    <w:rsid w:val="00EC515F"/>
    <w:rsid w:val="00F02A47"/>
    <w:rsid w:val="00F25C53"/>
    <w:rsid w:val="00FB6DEB"/>
    <w:rsid w:val="00FE448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E4B2D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CMABodyTextChar">
    <w:name w:val="ACMA Body Text Char"/>
    <w:link w:val="ACMABodyTextCharChar"/>
    <w:rsid w:val="00AA64D6"/>
    <w:pPr>
      <w:suppressAutoHyphens/>
      <w:spacing w:before="80" w:after="120" w:line="280" w:lineRule="atLeast"/>
    </w:pPr>
    <w:rPr>
      <w:snapToGrid w:val="0"/>
      <w:sz w:val="24"/>
      <w:lang w:eastAsia="en-US"/>
    </w:rPr>
  </w:style>
  <w:style w:type="paragraph" w:customStyle="1" w:styleId="ACMAHeading3Char">
    <w:name w:val="ACMA Heading 3 Char"/>
    <w:next w:val="ACMABodyTextChar"/>
    <w:link w:val="ACMAHeading3CharChar"/>
    <w:rsid w:val="00AA64D6"/>
    <w:pPr>
      <w:keepNext/>
      <w:suppressAutoHyphens/>
      <w:spacing w:before="240"/>
      <w:outlineLvl w:val="3"/>
    </w:pPr>
    <w:rPr>
      <w:rFonts w:ascii="Arial" w:hAnsi="Arial"/>
      <w:b/>
      <w:sz w:val="24"/>
      <w:lang w:val="en-US" w:eastAsia="en-US"/>
    </w:rPr>
  </w:style>
  <w:style w:type="character" w:customStyle="1" w:styleId="ACMABodyTextCharChar">
    <w:name w:val="ACMA Body Text Char Char"/>
    <w:link w:val="ACMABodyTextChar"/>
    <w:rsid w:val="00AA64D6"/>
    <w:rPr>
      <w:snapToGrid w:val="0"/>
      <w:sz w:val="24"/>
      <w:lang w:val="en-AU" w:eastAsia="en-US" w:bidi="ar-SA"/>
    </w:rPr>
  </w:style>
  <w:style w:type="character" w:customStyle="1" w:styleId="ACMAHeading3CharChar">
    <w:name w:val="ACMA Heading 3 Char Char"/>
    <w:link w:val="ACMAHeading3Char"/>
    <w:rsid w:val="00AA64D6"/>
    <w:rPr>
      <w:rFonts w:ascii="Arial" w:hAnsi="Arial"/>
      <w:b/>
      <w:sz w:val="24"/>
      <w:lang w:val="en-US" w:eastAsia="en-US" w:bidi="ar-SA"/>
    </w:rPr>
  </w:style>
  <w:style w:type="paragraph" w:customStyle="1" w:styleId="R2">
    <w:name w:val="R2"/>
    <w:aliases w:val="(2)"/>
    <w:basedOn w:val="Normal"/>
    <w:rsid w:val="00AA64D6"/>
    <w:pPr>
      <w:keepLines/>
      <w:tabs>
        <w:tab w:val="right" w:pos="794"/>
      </w:tabs>
      <w:spacing w:before="180" w:line="260" w:lineRule="exact"/>
      <w:ind w:left="964" w:hanging="964"/>
      <w:jc w:val="both"/>
    </w:pPr>
  </w:style>
  <w:style w:type="paragraph" w:customStyle="1" w:styleId="ACMABodyText">
    <w:name w:val="ACMA Body Text"/>
    <w:link w:val="ACMABodyTextChar1"/>
    <w:rsid w:val="00BE4A1E"/>
    <w:pPr>
      <w:suppressAutoHyphens/>
      <w:spacing w:before="80" w:after="120" w:line="280" w:lineRule="atLeast"/>
    </w:pPr>
    <w:rPr>
      <w:snapToGrid w:val="0"/>
      <w:sz w:val="24"/>
      <w:lang w:eastAsia="en-US"/>
    </w:rPr>
  </w:style>
  <w:style w:type="paragraph" w:styleId="BalloonText">
    <w:name w:val="Balloon Text"/>
    <w:basedOn w:val="Normal"/>
    <w:semiHidden/>
    <w:rsid w:val="00853750"/>
    <w:rPr>
      <w:rFonts w:ascii="Tahoma" w:hAnsi="Tahoma" w:cs="Tahoma"/>
      <w:sz w:val="16"/>
      <w:szCs w:val="16"/>
    </w:rPr>
  </w:style>
  <w:style w:type="character" w:styleId="CommentReference">
    <w:name w:val="annotation reference"/>
    <w:semiHidden/>
    <w:rsid w:val="00640F48"/>
    <w:rPr>
      <w:sz w:val="16"/>
      <w:szCs w:val="16"/>
    </w:rPr>
  </w:style>
  <w:style w:type="paragraph" w:styleId="CommentText">
    <w:name w:val="annotation text"/>
    <w:basedOn w:val="Normal"/>
    <w:semiHidden/>
    <w:rsid w:val="00640F48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640F48"/>
    <w:rPr>
      <w:b/>
      <w:bCs/>
    </w:rPr>
  </w:style>
  <w:style w:type="paragraph" w:styleId="Header">
    <w:name w:val="header"/>
    <w:basedOn w:val="Normal"/>
    <w:rsid w:val="0014723E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14723E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14723E"/>
  </w:style>
  <w:style w:type="character" w:customStyle="1" w:styleId="ACMABodyTextChar1">
    <w:name w:val="ACMA Body Text Char1"/>
    <w:link w:val="ACMABodyText"/>
    <w:rsid w:val="004A78D9"/>
    <w:rPr>
      <w:snapToGrid w:val="0"/>
      <w:sz w:val="24"/>
      <w:lang w:eastAsia="en-US" w:bidi="ar-SA"/>
    </w:rPr>
  </w:style>
  <w:style w:type="paragraph" w:customStyle="1" w:styleId="ACMAHeading2">
    <w:name w:val="ACMA Heading 2"/>
    <w:next w:val="ACMABodyText"/>
    <w:link w:val="ACMAHeading2Char"/>
    <w:rsid w:val="007B55F0"/>
    <w:pPr>
      <w:keepNext/>
      <w:suppressAutoHyphens/>
      <w:spacing w:before="240"/>
      <w:outlineLvl w:val="2"/>
    </w:pPr>
    <w:rPr>
      <w:rFonts w:ascii="Arial" w:hAnsi="Arial"/>
      <w:b/>
      <w:caps/>
      <w:sz w:val="26"/>
      <w:szCs w:val="26"/>
      <w:lang w:val="en-US" w:eastAsia="en-US"/>
    </w:rPr>
  </w:style>
  <w:style w:type="character" w:customStyle="1" w:styleId="ACMAHeading2Char">
    <w:name w:val="ACMA Heading 2 Char"/>
    <w:link w:val="ACMAHeading2"/>
    <w:rsid w:val="007B55F0"/>
    <w:rPr>
      <w:rFonts w:ascii="Arial" w:hAnsi="Arial"/>
      <w:b/>
      <w:caps/>
      <w:sz w:val="26"/>
      <w:szCs w:val="26"/>
      <w:lang w:val="en-US" w:eastAsia="en-US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838</Words>
  <Characters>4979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Explanatory Statement</vt:lpstr>
    </vt:vector>
  </TitlesOfParts>
  <LinksUpToDate>false</LinksUpToDate>
  <CharactersWithSpaces>5806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Explanatory Statement</dc:title>
  <dc:creator/>
  <cp:lastModifiedBy/>
  <cp:revision>1</cp:revision>
  <dcterms:created xsi:type="dcterms:W3CDTF">2012-05-09T06:04:00Z</dcterms:created>
  <dcterms:modified xsi:type="dcterms:W3CDTF">2012-05-09T06:04:00Z</dcterms:modified>
</cp:coreProperties>
</file>