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0" w:rsidRPr="005F1388" w:rsidRDefault="007177E0" w:rsidP="007177E0">
      <w:pPr>
        <w:rPr>
          <w:sz w:val="28"/>
        </w:rPr>
      </w:pPr>
      <w:bookmarkStart w:id="0" w:name="_GoBack"/>
      <w:bookmarkEnd w:id="0"/>
      <w:r>
        <w:rPr>
          <w:noProof/>
          <w:lang w:eastAsia="en-AU"/>
        </w:rPr>
        <w:drawing>
          <wp:inline distT="0" distB="0" distL="0" distR="0" wp14:anchorId="311A2CBC" wp14:editId="5432F4A6">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E4CF2" w:rsidRDefault="00AE4CF2" w:rsidP="00493381">
      <w:pPr>
        <w:pStyle w:val="ShortT"/>
        <w:spacing w:before="240"/>
        <w:rPr>
          <w:szCs w:val="40"/>
        </w:rPr>
      </w:pPr>
      <w:r>
        <w:rPr>
          <w:szCs w:val="40"/>
        </w:rPr>
        <w:t>Instrument No QAA 2/2012</w:t>
      </w:r>
    </w:p>
    <w:p w:rsidR="001F2790" w:rsidRPr="00493381" w:rsidRDefault="00124D81" w:rsidP="00493381">
      <w:pPr>
        <w:pStyle w:val="ShortT"/>
        <w:spacing w:before="240"/>
        <w:rPr>
          <w:i/>
          <w:szCs w:val="40"/>
        </w:rPr>
      </w:pPr>
      <w:r w:rsidRPr="00EA073C">
        <w:rPr>
          <w:szCs w:val="40"/>
        </w:rPr>
        <w:t xml:space="preserve">Declaration of Quality Assurance Activity under section 124X of the </w:t>
      </w:r>
      <w:r w:rsidRPr="00EA073C">
        <w:rPr>
          <w:i/>
          <w:szCs w:val="40"/>
        </w:rPr>
        <w:t>Health Insurance Act 1973</w:t>
      </w:r>
    </w:p>
    <w:p w:rsidR="004E370A" w:rsidRDefault="004E370A" w:rsidP="004E370A">
      <w:pPr>
        <w:pStyle w:val="CompiledActNo"/>
        <w:spacing w:before="240"/>
      </w:pPr>
      <w:proofErr w:type="gramStart"/>
      <w:r>
        <w:t>as</w:t>
      </w:r>
      <w:proofErr w:type="gramEnd"/>
      <w:r>
        <w:t xml:space="preserve"> amended</w:t>
      </w:r>
    </w:p>
    <w:p w:rsidR="007177E0" w:rsidRPr="00642BE4" w:rsidRDefault="007177E0" w:rsidP="007177E0">
      <w:pPr>
        <w:spacing w:before="1000"/>
        <w:rPr>
          <w:rFonts w:cs="Arial"/>
          <w:sz w:val="24"/>
        </w:rPr>
      </w:pPr>
      <w:r w:rsidRPr="00642BE4">
        <w:rPr>
          <w:rFonts w:cs="Arial"/>
          <w:b/>
          <w:sz w:val="24"/>
        </w:rPr>
        <w:t>Compilation start date:</w:t>
      </w:r>
      <w:r>
        <w:rPr>
          <w:rFonts w:cs="Arial"/>
          <w:b/>
          <w:sz w:val="24"/>
        </w:rPr>
        <w:tab/>
      </w:r>
      <w:r>
        <w:rPr>
          <w:rFonts w:cs="Arial"/>
          <w:b/>
          <w:sz w:val="24"/>
        </w:rPr>
        <w:tab/>
      </w:r>
      <w:r w:rsidR="003A2534">
        <w:rPr>
          <w:rFonts w:cs="Arial"/>
          <w:sz w:val="24"/>
        </w:rPr>
        <w:t>3 June 2014</w:t>
      </w:r>
    </w:p>
    <w:p w:rsidR="007177E0" w:rsidRDefault="007177E0" w:rsidP="003A2534">
      <w:pPr>
        <w:spacing w:before="240"/>
        <w:ind w:left="3600" w:hanging="3600"/>
        <w:rPr>
          <w:rFonts w:cs="Arial"/>
          <w:sz w:val="24"/>
        </w:rPr>
      </w:pPr>
      <w:r w:rsidRPr="00642BE4">
        <w:rPr>
          <w:rFonts w:cs="Arial"/>
          <w:b/>
          <w:sz w:val="24"/>
        </w:rPr>
        <w:t>Includes amendments up to:</w:t>
      </w:r>
      <w:r w:rsidRPr="00642BE4">
        <w:rPr>
          <w:rFonts w:cs="Arial"/>
          <w:b/>
          <w:sz w:val="24"/>
        </w:rPr>
        <w:tab/>
      </w:r>
      <w:r w:rsidR="003A2534" w:rsidRPr="00203101">
        <w:rPr>
          <w:color w:val="000000"/>
        </w:rPr>
        <w:t>Amendment Declaration of Quality Assurance Activities under section 124X of the Health Insurance Act 1973</w:t>
      </w:r>
      <w:r w:rsidR="007D52D6">
        <w:rPr>
          <w:color w:val="000000"/>
        </w:rPr>
        <w:t>—</w:t>
      </w:r>
      <w:r w:rsidR="003A2534" w:rsidRPr="00203101">
        <w:rPr>
          <w:color w:val="000000"/>
        </w:rPr>
        <w:t xml:space="preserve">QAA 1/2014 </w:t>
      </w:r>
    </w:p>
    <w:p w:rsidR="005C0CFA" w:rsidRPr="00642BE4" w:rsidRDefault="005C0CFA" w:rsidP="007177E0">
      <w:pPr>
        <w:spacing w:before="240"/>
        <w:rPr>
          <w:rFonts w:cs="Arial"/>
          <w:sz w:val="24"/>
        </w:rPr>
      </w:pPr>
    </w:p>
    <w:p w:rsidR="00371193" w:rsidRPr="00C27148" w:rsidRDefault="00371193" w:rsidP="00371193">
      <w:pPr>
        <w:pageBreakBefore/>
        <w:rPr>
          <w:rFonts w:cs="Arial"/>
          <w:b/>
          <w:sz w:val="32"/>
          <w:szCs w:val="32"/>
        </w:rPr>
      </w:pPr>
      <w:r w:rsidRPr="00C27148">
        <w:rPr>
          <w:rFonts w:cs="Arial"/>
          <w:b/>
          <w:sz w:val="32"/>
          <w:szCs w:val="32"/>
        </w:rPr>
        <w:lastRenderedPageBreak/>
        <w:t>About this compilation</w:t>
      </w:r>
    </w:p>
    <w:p w:rsidR="009469C4" w:rsidRPr="00BC57F4" w:rsidRDefault="009469C4" w:rsidP="009469C4">
      <w:pPr>
        <w:spacing w:before="240"/>
        <w:rPr>
          <w:rFonts w:cs="Arial"/>
        </w:rPr>
      </w:pPr>
      <w:r w:rsidRPr="00BC57F4">
        <w:rPr>
          <w:rFonts w:cs="Arial"/>
          <w:b/>
          <w:szCs w:val="22"/>
        </w:rPr>
        <w:t>This compilation</w:t>
      </w:r>
    </w:p>
    <w:p w:rsidR="009469C4" w:rsidRPr="00BC57F4" w:rsidRDefault="009469C4" w:rsidP="009469C4">
      <w:pPr>
        <w:spacing w:before="120" w:after="120" w:line="240" w:lineRule="auto"/>
        <w:rPr>
          <w:rFonts w:cs="Arial"/>
          <w:szCs w:val="22"/>
        </w:rPr>
      </w:pPr>
      <w:r w:rsidRPr="00BC57F4">
        <w:rPr>
          <w:rFonts w:cs="Arial"/>
          <w:szCs w:val="22"/>
        </w:rPr>
        <w:t xml:space="preserve">This is a compilation of the </w:t>
      </w:r>
      <w:r w:rsidR="00FF3CB9" w:rsidRPr="00BF06F4">
        <w:rPr>
          <w:i/>
          <w:color w:val="000000"/>
        </w:rPr>
        <w:t>Declaration of Quality Assurance Activit</w:t>
      </w:r>
      <w:r w:rsidR="00FF3CB9">
        <w:rPr>
          <w:i/>
          <w:color w:val="000000"/>
        </w:rPr>
        <w:t>y</w:t>
      </w:r>
      <w:r w:rsidR="00FF3CB9" w:rsidRPr="00BF06F4">
        <w:rPr>
          <w:i/>
          <w:color w:val="000000"/>
        </w:rPr>
        <w:t xml:space="preserve"> under section 124X</w:t>
      </w:r>
      <w:r w:rsidR="00FF3CB9">
        <w:rPr>
          <w:i/>
          <w:color w:val="000000"/>
        </w:rPr>
        <w:t xml:space="preserve"> of the Health Insurance Act 1973</w:t>
      </w:r>
      <w:r w:rsidR="00FF3CB9" w:rsidRPr="00BF06F4">
        <w:rPr>
          <w:i/>
          <w:color w:val="000000"/>
        </w:rPr>
        <w:t xml:space="preserve"> </w:t>
      </w:r>
      <w:r w:rsidR="00FF3CB9">
        <w:rPr>
          <w:i/>
          <w:color w:val="000000"/>
        </w:rPr>
        <w:t>─ QAA 2</w:t>
      </w:r>
      <w:r w:rsidR="00FF3CB9" w:rsidRPr="00BF06F4">
        <w:rPr>
          <w:i/>
          <w:color w:val="000000"/>
        </w:rPr>
        <w:t>/201</w:t>
      </w:r>
      <w:r w:rsidR="00FF3CB9">
        <w:rPr>
          <w:i/>
          <w:color w:val="000000"/>
        </w:rPr>
        <w:t>2</w:t>
      </w:r>
      <w:r w:rsidR="00FF3CB9">
        <w:rPr>
          <w:rFonts w:cs="Arial"/>
          <w:szCs w:val="22"/>
        </w:rPr>
        <w:t xml:space="preserve"> as in force on 3 June 2014</w:t>
      </w:r>
      <w:r w:rsidRPr="00BC57F4">
        <w:rPr>
          <w:rFonts w:cs="Arial"/>
          <w:szCs w:val="22"/>
        </w:rPr>
        <w:t xml:space="preserve">. It includes any commenced amendment affecting the </w:t>
      </w:r>
      <w:r w:rsidR="009D45C2">
        <w:rPr>
          <w:rFonts w:cs="Arial"/>
          <w:szCs w:val="22"/>
        </w:rPr>
        <w:t>legislation</w:t>
      </w:r>
      <w:r w:rsidRPr="00BC57F4">
        <w:rPr>
          <w:rFonts w:cs="Arial"/>
          <w:szCs w:val="22"/>
        </w:rPr>
        <w:t xml:space="preserve"> to that date.</w:t>
      </w:r>
    </w:p>
    <w:p w:rsidR="009469C4" w:rsidRPr="00BC57F4" w:rsidRDefault="009469C4" w:rsidP="009469C4">
      <w:pPr>
        <w:spacing w:after="120" w:line="240" w:lineRule="auto"/>
        <w:rPr>
          <w:rFonts w:cs="Arial"/>
          <w:szCs w:val="22"/>
        </w:rPr>
      </w:pPr>
      <w:r w:rsidRPr="00BC57F4">
        <w:rPr>
          <w:rFonts w:cs="Arial"/>
          <w:szCs w:val="22"/>
        </w:rPr>
        <w:t>This compilation</w:t>
      </w:r>
      <w:r w:rsidR="00FF3CB9">
        <w:rPr>
          <w:rFonts w:cs="Arial"/>
          <w:szCs w:val="22"/>
        </w:rPr>
        <w:t xml:space="preserve"> was prepared on 11 September 2014</w:t>
      </w:r>
      <w:r w:rsidRPr="00BC57F4">
        <w:rPr>
          <w:rFonts w:cs="Arial"/>
          <w:szCs w:val="22"/>
        </w:rPr>
        <w:t>.</w:t>
      </w:r>
    </w:p>
    <w:p w:rsidR="009469C4" w:rsidRPr="00BC57F4" w:rsidRDefault="009469C4" w:rsidP="009469C4">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9469C4" w:rsidRPr="00BC57F4" w:rsidRDefault="009469C4" w:rsidP="009469C4">
      <w:pPr>
        <w:tabs>
          <w:tab w:val="left" w:pos="5640"/>
        </w:tabs>
        <w:spacing w:before="120" w:after="120" w:line="240" w:lineRule="auto"/>
        <w:rPr>
          <w:rFonts w:cs="Arial"/>
          <w:b/>
          <w:szCs w:val="22"/>
        </w:rPr>
      </w:pPr>
      <w:proofErr w:type="spellStart"/>
      <w:r w:rsidRPr="00BC57F4">
        <w:rPr>
          <w:rFonts w:cs="Arial"/>
          <w:b/>
          <w:szCs w:val="22"/>
        </w:rPr>
        <w:t>Uncommenced</w:t>
      </w:r>
      <w:proofErr w:type="spellEnd"/>
      <w:r w:rsidRPr="00BC57F4">
        <w:rPr>
          <w:rFonts w:cs="Arial"/>
          <w:b/>
          <w:szCs w:val="22"/>
        </w:rPr>
        <w:t xml:space="preserve"> amendments</w:t>
      </w:r>
    </w:p>
    <w:p w:rsidR="009469C4" w:rsidRPr="00BC57F4" w:rsidRDefault="009469C4" w:rsidP="009469C4">
      <w:pPr>
        <w:spacing w:after="120" w:line="240" w:lineRule="auto"/>
        <w:rPr>
          <w:rFonts w:cs="Arial"/>
          <w:szCs w:val="22"/>
        </w:rPr>
      </w:pPr>
      <w:r w:rsidRPr="00BC57F4">
        <w:rPr>
          <w:rFonts w:cs="Arial"/>
          <w:szCs w:val="22"/>
        </w:rPr>
        <w:t xml:space="preserve">The effect of </w:t>
      </w:r>
      <w:proofErr w:type="spellStart"/>
      <w:r w:rsidRPr="00BC57F4">
        <w:rPr>
          <w:rFonts w:cs="Arial"/>
          <w:szCs w:val="22"/>
        </w:rPr>
        <w:t>uncommenced</w:t>
      </w:r>
      <w:proofErr w:type="spellEnd"/>
      <w:r w:rsidRPr="00BC57F4">
        <w:rPr>
          <w:rFonts w:cs="Arial"/>
          <w:szCs w:val="22"/>
        </w:rPr>
        <w:t xml:space="preserve"> amendments is not reflected in the text of the compiled law but the text of the amendments is included in the endnotes.</w:t>
      </w:r>
    </w:p>
    <w:p w:rsidR="009469C4" w:rsidRPr="00BC57F4" w:rsidRDefault="009469C4" w:rsidP="009469C4">
      <w:pPr>
        <w:spacing w:before="120" w:after="120" w:line="240" w:lineRule="auto"/>
        <w:rPr>
          <w:rFonts w:cs="Arial"/>
          <w:b/>
          <w:szCs w:val="22"/>
        </w:rPr>
      </w:pPr>
      <w:r w:rsidRPr="00BC57F4">
        <w:rPr>
          <w:rFonts w:cs="Arial"/>
          <w:b/>
          <w:szCs w:val="22"/>
        </w:rPr>
        <w:t>Application, saving and transitional provisions for provisions and amendments</w:t>
      </w:r>
    </w:p>
    <w:p w:rsidR="009469C4" w:rsidRPr="00BC57F4" w:rsidRDefault="009469C4" w:rsidP="009469C4">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9469C4" w:rsidRPr="00BC57F4" w:rsidRDefault="009469C4" w:rsidP="009469C4">
      <w:pPr>
        <w:spacing w:before="120" w:after="120" w:line="240" w:lineRule="auto"/>
        <w:rPr>
          <w:rFonts w:cs="Arial"/>
          <w:b/>
          <w:szCs w:val="22"/>
        </w:rPr>
      </w:pPr>
      <w:r w:rsidRPr="00BC57F4">
        <w:rPr>
          <w:rFonts w:cs="Arial"/>
          <w:b/>
          <w:szCs w:val="22"/>
        </w:rPr>
        <w:t>Modifications</w:t>
      </w:r>
    </w:p>
    <w:p w:rsidR="009469C4" w:rsidRPr="00BC57F4" w:rsidRDefault="009469C4" w:rsidP="009469C4">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9469C4" w:rsidRPr="00BC57F4" w:rsidRDefault="009469C4" w:rsidP="009469C4">
      <w:pPr>
        <w:spacing w:before="80" w:after="120"/>
        <w:rPr>
          <w:rFonts w:cs="Arial"/>
          <w:b/>
          <w:szCs w:val="22"/>
        </w:rPr>
      </w:pPr>
      <w:r w:rsidRPr="00BC57F4">
        <w:rPr>
          <w:rFonts w:cs="Arial"/>
          <w:b/>
          <w:szCs w:val="22"/>
        </w:rPr>
        <w:t>Provisions ceasing to have effect</w:t>
      </w:r>
    </w:p>
    <w:p w:rsidR="009469C4" w:rsidRPr="00BC57F4" w:rsidRDefault="009469C4" w:rsidP="009469C4">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427678" w:rsidRDefault="00427678" w:rsidP="0076547B"/>
    <w:p w:rsidR="00427678" w:rsidRPr="00ED79B6" w:rsidRDefault="00427678" w:rsidP="0076547B"/>
    <w:p w:rsidR="00427678" w:rsidRPr="00ED79B6" w:rsidRDefault="00427678" w:rsidP="0076547B">
      <w:pPr>
        <w:pStyle w:val="Header"/>
        <w:tabs>
          <w:tab w:val="clear" w:pos="4150"/>
          <w:tab w:val="clear" w:pos="8307"/>
        </w:tabs>
      </w:pPr>
      <w:r w:rsidRPr="00ED79B6">
        <w:rPr>
          <w:rStyle w:val="CharChapNo"/>
        </w:rPr>
        <w:t xml:space="preserve"> </w:t>
      </w:r>
      <w:r w:rsidRPr="00ED79B6">
        <w:rPr>
          <w:rStyle w:val="CharChapText"/>
        </w:rPr>
        <w:t xml:space="preserve"> </w:t>
      </w:r>
    </w:p>
    <w:p w:rsidR="00427678" w:rsidRPr="00ED79B6" w:rsidRDefault="00427678" w:rsidP="0076547B">
      <w:pPr>
        <w:pStyle w:val="Header"/>
        <w:tabs>
          <w:tab w:val="clear" w:pos="4150"/>
          <w:tab w:val="clear" w:pos="8307"/>
        </w:tabs>
      </w:pPr>
      <w:r w:rsidRPr="00ED79B6">
        <w:rPr>
          <w:rStyle w:val="CharPartNo"/>
        </w:rPr>
        <w:t xml:space="preserve"> </w:t>
      </w:r>
      <w:r w:rsidRPr="00ED79B6">
        <w:rPr>
          <w:rStyle w:val="CharPartText"/>
        </w:rPr>
        <w:t xml:space="preserve"> </w:t>
      </w:r>
    </w:p>
    <w:p w:rsidR="00427678" w:rsidRPr="00ED79B6" w:rsidRDefault="00427678" w:rsidP="0076547B">
      <w:pPr>
        <w:pStyle w:val="Header"/>
        <w:tabs>
          <w:tab w:val="clear" w:pos="4150"/>
          <w:tab w:val="clear" w:pos="8307"/>
        </w:tabs>
      </w:pPr>
      <w:r w:rsidRPr="00ED79B6">
        <w:rPr>
          <w:rStyle w:val="CharDivNo"/>
        </w:rPr>
        <w:t xml:space="preserve"> </w:t>
      </w:r>
      <w:r w:rsidRPr="00ED79B6">
        <w:rPr>
          <w:rStyle w:val="CharDivText"/>
        </w:rPr>
        <w:t xml:space="preserve"> </w:t>
      </w:r>
    </w:p>
    <w:p w:rsidR="00AC7244" w:rsidRDefault="00AC7244" w:rsidP="00AC7244"/>
    <w:p w:rsidR="00AC7244" w:rsidRDefault="00AC7244" w:rsidP="00AC7244">
      <w:pPr>
        <w:sectPr w:rsidR="00AC7244" w:rsidSect="001A4A0C">
          <w:headerReference w:type="even" r:id="rId10"/>
          <w:headerReference w:type="default" r:id="rId11"/>
          <w:footerReference w:type="even" r:id="rId12"/>
          <w:headerReference w:type="first" r:id="rId13"/>
          <w:footerReference w:type="first" r:id="rId14"/>
          <w:pgSz w:w="11907" w:h="16839"/>
          <w:pgMar w:top="1440" w:right="1797" w:bottom="1440" w:left="1797" w:header="720" w:footer="3402" w:gutter="0"/>
          <w:cols w:space="708"/>
          <w:titlePg/>
          <w:docGrid w:linePitch="360"/>
        </w:sectPr>
      </w:pPr>
    </w:p>
    <w:p w:rsidR="00AE4CF2" w:rsidRDefault="00AE4CF2" w:rsidP="00AE4CF2">
      <w:pPr>
        <w:rPr>
          <w:i/>
        </w:rPr>
      </w:pPr>
      <w:r>
        <w:lastRenderedPageBreak/>
        <w:t xml:space="preserve">I, PROFESSOR CHRISTOPHER BAGGOLEY, Chief Medical Officer of The Department of Health and Ageing, make this instrument under section 124X of the </w:t>
      </w:r>
      <w:r>
        <w:rPr>
          <w:i/>
        </w:rPr>
        <w:t>Health Insurance Act 1973 (the Act).</w:t>
      </w:r>
    </w:p>
    <w:p w:rsidR="00AE4CF2" w:rsidRDefault="00AE4CF2" w:rsidP="00AE4CF2">
      <w:pPr>
        <w:rPr>
          <w:i/>
        </w:rPr>
      </w:pPr>
    </w:p>
    <w:p w:rsidR="00AE4CF2" w:rsidRDefault="00AE4CF2" w:rsidP="00AE4CF2">
      <w:pPr>
        <w:widowControl w:val="0"/>
        <w:numPr>
          <w:ilvl w:val="0"/>
          <w:numId w:val="15"/>
        </w:numPr>
        <w:tabs>
          <w:tab w:val="left" w:pos="0"/>
          <w:tab w:val="left" w:pos="1129"/>
          <w:tab w:val="left" w:pos="1698"/>
          <w:tab w:val="left" w:pos="2262"/>
          <w:tab w:val="left" w:pos="2828"/>
          <w:tab w:val="left" w:pos="3396"/>
          <w:tab w:val="left" w:pos="3961"/>
          <w:tab w:val="left" w:pos="4530"/>
          <w:tab w:val="left" w:pos="5094"/>
          <w:tab w:val="left" w:pos="5660"/>
          <w:tab w:val="left" w:pos="6228"/>
          <w:tab w:val="left" w:pos="6793"/>
          <w:tab w:val="left" w:pos="7362"/>
          <w:tab w:val="left" w:pos="7926"/>
          <w:tab w:val="left" w:pos="8492"/>
          <w:tab w:val="left" w:pos="9060"/>
          <w:tab w:val="left" w:pos="9625"/>
        </w:tabs>
        <w:spacing w:after="120" w:line="240" w:lineRule="auto"/>
      </w:pPr>
      <w:r>
        <w:t>DECLARE the Activities described in Schedule 1 to this declaration (the Activities) to be quality assurance activities to which Part VC of the Act applies being satisfied in relation to the Activities that:</w:t>
      </w:r>
    </w:p>
    <w:p w:rsidR="00AE4CF2" w:rsidRDefault="00AE4CF2" w:rsidP="00AE4CF2">
      <w:pPr>
        <w:widowControl w:val="0"/>
        <w:numPr>
          <w:ilvl w:val="0"/>
          <w:numId w:val="16"/>
        </w:numPr>
        <w:tabs>
          <w:tab w:val="left" w:pos="0"/>
          <w:tab w:val="left" w:pos="1134"/>
          <w:tab w:val="left" w:pos="1698"/>
          <w:tab w:val="left" w:pos="2262"/>
          <w:tab w:val="left" w:pos="2828"/>
          <w:tab w:val="left" w:pos="3396"/>
          <w:tab w:val="left" w:pos="3961"/>
          <w:tab w:val="left" w:pos="4530"/>
          <w:tab w:val="left" w:pos="5094"/>
          <w:tab w:val="left" w:pos="5660"/>
          <w:tab w:val="left" w:pos="6228"/>
          <w:tab w:val="left" w:pos="6793"/>
          <w:tab w:val="left" w:pos="7362"/>
          <w:tab w:val="left" w:pos="7926"/>
          <w:tab w:val="left" w:pos="8492"/>
          <w:tab w:val="left" w:pos="9060"/>
          <w:tab w:val="left" w:pos="9625"/>
        </w:tabs>
        <w:spacing w:after="120" w:line="240" w:lineRule="auto"/>
        <w:ind w:left="1134"/>
      </w:pPr>
      <w:r>
        <w:t>the organisations engaging in the Activities are authorised to do so by associations of health professionals, research bodies or educational institutions; and</w:t>
      </w:r>
    </w:p>
    <w:p w:rsidR="00AE4CF2" w:rsidRDefault="00AE4CF2" w:rsidP="00AE4CF2">
      <w:pPr>
        <w:widowControl w:val="0"/>
        <w:numPr>
          <w:ilvl w:val="0"/>
          <w:numId w:val="16"/>
        </w:numPr>
        <w:tabs>
          <w:tab w:val="left" w:pos="0"/>
          <w:tab w:val="left" w:pos="1134"/>
          <w:tab w:val="left" w:pos="1698"/>
          <w:tab w:val="left" w:pos="2262"/>
          <w:tab w:val="left" w:pos="2828"/>
          <w:tab w:val="left" w:pos="3396"/>
          <w:tab w:val="left" w:pos="3961"/>
          <w:tab w:val="left" w:pos="4530"/>
          <w:tab w:val="left" w:pos="5094"/>
          <w:tab w:val="left" w:pos="5660"/>
          <w:tab w:val="left" w:pos="6228"/>
          <w:tab w:val="left" w:pos="6793"/>
          <w:tab w:val="left" w:pos="7362"/>
          <w:tab w:val="left" w:pos="7926"/>
          <w:tab w:val="left" w:pos="8492"/>
          <w:tab w:val="left" w:pos="9060"/>
          <w:tab w:val="left" w:pos="9625"/>
        </w:tabs>
        <w:spacing w:after="120" w:line="240" w:lineRule="auto"/>
        <w:ind w:left="1134"/>
      </w:pPr>
      <w:proofErr w:type="gramStart"/>
      <w:r>
        <w:t>it</w:t>
      </w:r>
      <w:proofErr w:type="gramEnd"/>
      <w:r>
        <w:t xml:space="preserve"> is in the public interest that Part VC of the Act applies to the Activities having regard to the criteria prescribed in regulations 23C to 23G (inclusive) of the </w:t>
      </w:r>
      <w:r>
        <w:rPr>
          <w:i/>
        </w:rPr>
        <w:t>Health Insurance Regulations 1975.</w:t>
      </w:r>
    </w:p>
    <w:p w:rsidR="00AC7244" w:rsidRDefault="00AC7244" w:rsidP="00FF3CB9">
      <w:pPr>
        <w:pStyle w:val="ScheduleHeading"/>
        <w:ind w:left="0" w:firstLine="0"/>
        <w:rPr>
          <w:sz w:val="28"/>
          <w:szCs w:val="28"/>
        </w:rPr>
      </w:pPr>
      <w:r>
        <w:rPr>
          <w:sz w:val="28"/>
          <w:szCs w:val="28"/>
        </w:rPr>
        <w:br w:type="page"/>
      </w:r>
    </w:p>
    <w:p w:rsidR="00FF3CB9" w:rsidRPr="00240434" w:rsidRDefault="00FF3CB9" w:rsidP="00FF3CB9">
      <w:pPr>
        <w:pStyle w:val="ScheduleHeading"/>
        <w:ind w:left="0" w:firstLine="0"/>
        <w:rPr>
          <w:sz w:val="28"/>
          <w:szCs w:val="28"/>
        </w:rPr>
      </w:pPr>
      <w:r w:rsidRPr="00240434">
        <w:rPr>
          <w:sz w:val="28"/>
          <w:szCs w:val="28"/>
        </w:rPr>
        <w:lastRenderedPageBreak/>
        <w:t>Part 1</w:t>
      </w:r>
      <w:r w:rsidRPr="00240434">
        <w:rPr>
          <w:sz w:val="28"/>
          <w:szCs w:val="28"/>
        </w:rPr>
        <w:tab/>
      </w:r>
      <w:r w:rsidRPr="00240434">
        <w:rPr>
          <w:sz w:val="28"/>
          <w:szCs w:val="28"/>
        </w:rPr>
        <w:tab/>
        <w:t>Preliminary</w:t>
      </w:r>
    </w:p>
    <w:p w:rsidR="00FF3CB9" w:rsidRPr="00240434" w:rsidRDefault="00FF3CB9" w:rsidP="00FF3CB9">
      <w:pPr>
        <w:pStyle w:val="ScheduleHeading"/>
        <w:numPr>
          <w:ilvl w:val="0"/>
          <w:numId w:val="14"/>
        </w:numPr>
        <w:tabs>
          <w:tab w:val="left" w:pos="741"/>
        </w:tabs>
        <w:ind w:hanging="1080"/>
        <w:rPr>
          <w:rStyle w:val="CharPartNo"/>
          <w:rFonts w:cs="Arial"/>
          <w:szCs w:val="16"/>
        </w:rPr>
      </w:pPr>
      <w:r w:rsidRPr="00240434">
        <w:rPr>
          <w:rStyle w:val="CharPartNo"/>
          <w:rFonts w:cs="Arial"/>
          <w:szCs w:val="16"/>
        </w:rPr>
        <w:t>Name of Declaration</w:t>
      </w:r>
    </w:p>
    <w:p w:rsidR="00FF3CB9" w:rsidRDefault="00FF3CB9" w:rsidP="00FF3CB9">
      <w:pPr>
        <w:ind w:left="720"/>
        <w:rPr>
          <w:i/>
        </w:rPr>
      </w:pPr>
      <w:r>
        <w:t xml:space="preserve">This Declaration is the </w:t>
      </w:r>
      <w:r>
        <w:rPr>
          <w:i/>
        </w:rPr>
        <w:t xml:space="preserve">Declaration of Quality Assurance Activity under section 124X of the Health Insurance Act 1973 </w:t>
      </w:r>
      <w:r w:rsidRPr="0086174E">
        <w:t>also known as</w:t>
      </w:r>
      <w:r>
        <w:rPr>
          <w:i/>
        </w:rPr>
        <w:t xml:space="preserve"> QAA 2/2012.</w:t>
      </w:r>
    </w:p>
    <w:p w:rsidR="00FF3CB9" w:rsidRPr="00240434" w:rsidRDefault="00FF3CB9" w:rsidP="00FF3CB9">
      <w:pPr>
        <w:pStyle w:val="ScheduleHeading"/>
        <w:numPr>
          <w:ilvl w:val="0"/>
          <w:numId w:val="14"/>
        </w:numPr>
        <w:tabs>
          <w:tab w:val="left" w:pos="741"/>
        </w:tabs>
        <w:ind w:hanging="1080"/>
        <w:rPr>
          <w:b w:val="0"/>
        </w:rPr>
      </w:pPr>
      <w:r w:rsidRPr="00240434">
        <w:rPr>
          <w:rStyle w:val="CharPartNo"/>
          <w:rFonts w:cs="Arial"/>
          <w:szCs w:val="16"/>
        </w:rPr>
        <w:t>Commencement</w:t>
      </w:r>
    </w:p>
    <w:p w:rsidR="007500C8" w:rsidRDefault="00FF3CB9" w:rsidP="00BA0C81">
      <w:pPr>
        <w:ind w:left="709" w:firstLine="11"/>
        <w:outlineLvl w:val="0"/>
      </w:pPr>
      <w:r w:rsidRPr="00A422DC">
        <w:t xml:space="preserve">This </w:t>
      </w:r>
      <w:r>
        <w:t>Declaration commence</w:t>
      </w:r>
      <w:r w:rsidRPr="00A422DC">
        <w:t>s the day after registration</w:t>
      </w:r>
      <w:r w:rsidR="000178B0">
        <w:t xml:space="preserve"> on the Federal Register of </w:t>
      </w:r>
      <w:r>
        <w:t>Legislative Instruments</w:t>
      </w:r>
      <w:r w:rsidRPr="00A422DC">
        <w:t>.</w:t>
      </w:r>
      <w:r>
        <w:t xml:space="preserve">  Section 124X (4) of the Act prescribes that</w:t>
      </w:r>
      <w:r w:rsidR="000178B0">
        <w:t xml:space="preserve">, unless sooner </w:t>
      </w:r>
      <w:r>
        <w:t>revoked, this declaration ceases to be in force at the end of five years after the instrument of declaration was signed.</w:t>
      </w:r>
    </w:p>
    <w:p w:rsidR="002816B3" w:rsidRDefault="002816B3">
      <w:pPr>
        <w:spacing w:line="240" w:lineRule="auto"/>
      </w:pPr>
      <w:r>
        <w:br w:type="page"/>
      </w:r>
    </w:p>
    <w:p w:rsidR="002816B3" w:rsidRPr="00240434" w:rsidRDefault="002816B3" w:rsidP="002816B3">
      <w:pPr>
        <w:rPr>
          <w:rFonts w:ascii="Arial" w:hAnsi="Arial" w:cs="Arial"/>
          <w:b/>
          <w:sz w:val="28"/>
          <w:szCs w:val="28"/>
        </w:rPr>
      </w:pPr>
      <w:r w:rsidRPr="00240434">
        <w:rPr>
          <w:rFonts w:ascii="Arial" w:hAnsi="Arial" w:cs="Arial"/>
          <w:b/>
          <w:sz w:val="28"/>
          <w:szCs w:val="28"/>
        </w:rPr>
        <w:lastRenderedPageBreak/>
        <w:t xml:space="preserve">Part 2 </w:t>
      </w:r>
      <w:r w:rsidRPr="00240434">
        <w:rPr>
          <w:rFonts w:ascii="Arial" w:hAnsi="Arial" w:cs="Arial"/>
          <w:b/>
          <w:sz w:val="28"/>
          <w:szCs w:val="28"/>
        </w:rPr>
        <w:tab/>
        <w:t>Schedule 1</w:t>
      </w:r>
      <w:r w:rsidRPr="00240434">
        <w:rPr>
          <w:rFonts w:ascii="Arial" w:hAnsi="Arial" w:cs="Arial"/>
          <w:b/>
          <w:sz w:val="28"/>
          <w:szCs w:val="28"/>
        </w:rPr>
        <w:tab/>
      </w:r>
      <w:r w:rsidRPr="00240434">
        <w:rPr>
          <w:rFonts w:ascii="Arial" w:hAnsi="Arial" w:cs="Arial"/>
          <w:b/>
          <w:sz w:val="28"/>
          <w:szCs w:val="28"/>
        </w:rPr>
        <w:tab/>
      </w:r>
    </w:p>
    <w:p w:rsidR="002816B3" w:rsidRPr="00240434" w:rsidRDefault="002816B3" w:rsidP="002816B3">
      <w:pPr>
        <w:pStyle w:val="ScheduleHeading"/>
        <w:ind w:left="0" w:firstLine="0"/>
        <w:rPr>
          <w:rStyle w:val="CharPartNo"/>
          <w:rFonts w:cs="Arial"/>
          <w:szCs w:val="16"/>
        </w:rPr>
      </w:pPr>
      <w:r>
        <w:rPr>
          <w:rStyle w:val="CharPartNo"/>
          <w:rFonts w:cs="Arial"/>
          <w:szCs w:val="16"/>
        </w:rPr>
        <w:t>QAA2</w:t>
      </w:r>
      <w:r w:rsidRPr="00240434">
        <w:rPr>
          <w:rStyle w:val="CharPartNo"/>
          <w:rFonts w:cs="Arial"/>
          <w:szCs w:val="16"/>
        </w:rPr>
        <w:t>/201</w:t>
      </w:r>
      <w:r>
        <w:rPr>
          <w:rStyle w:val="CharPartNo"/>
          <w:rFonts w:cs="Arial"/>
          <w:szCs w:val="16"/>
        </w:rPr>
        <w:t>2</w:t>
      </w:r>
      <w:r w:rsidRPr="00240434">
        <w:rPr>
          <w:rStyle w:val="CharPartNo"/>
          <w:rFonts w:cs="Arial"/>
          <w:szCs w:val="16"/>
        </w:rPr>
        <w:t xml:space="preserve"> – Declared</w:t>
      </w:r>
      <w:r>
        <w:rPr>
          <w:rStyle w:val="CharPartNo"/>
          <w:rFonts w:cs="Arial"/>
          <w:szCs w:val="16"/>
        </w:rPr>
        <w:t xml:space="preserve"> </w:t>
      </w:r>
      <w:r w:rsidRPr="00240434">
        <w:rPr>
          <w:rStyle w:val="CharPartNo"/>
          <w:rFonts w:cs="Arial"/>
          <w:szCs w:val="16"/>
        </w:rPr>
        <w:t>Quality Assurance Activities</w:t>
      </w:r>
    </w:p>
    <w:p w:rsidR="002816B3" w:rsidRDefault="002816B3" w:rsidP="002816B3">
      <w:pPr>
        <w:pStyle w:val="AS"/>
        <w:keepLines/>
        <w:spacing w:before="0"/>
        <w:ind w:left="0" w:firstLine="0"/>
        <w:rPr>
          <w:rFonts w:cs="Arial"/>
          <w:sz w:val="16"/>
          <w:szCs w:val="16"/>
        </w:rPr>
      </w:pPr>
    </w:p>
    <w:p w:rsidR="002816B3" w:rsidRPr="00A265FE" w:rsidRDefault="002816B3" w:rsidP="002816B3"/>
    <w:p w:rsidR="002816B3" w:rsidRPr="00316A0B" w:rsidRDefault="002816B3" w:rsidP="002816B3">
      <w:pPr>
        <w:pStyle w:val="AS"/>
        <w:keepLines/>
        <w:tabs>
          <w:tab w:val="left" w:pos="741"/>
        </w:tabs>
        <w:spacing w:before="0"/>
        <w:ind w:left="720" w:hanging="720"/>
        <w:rPr>
          <w:rFonts w:cs="Arial"/>
          <w:b w:val="0"/>
          <w:sz w:val="24"/>
        </w:rPr>
      </w:pPr>
      <w:r w:rsidRPr="00A422DC">
        <w:rPr>
          <w:sz w:val="24"/>
        </w:rPr>
        <w:t>[1]</w:t>
      </w:r>
      <w:r w:rsidRPr="00A422DC">
        <w:rPr>
          <w:sz w:val="24"/>
        </w:rPr>
        <w:tab/>
      </w:r>
      <w:r>
        <w:rPr>
          <w:sz w:val="24"/>
        </w:rPr>
        <w:t>The</w:t>
      </w:r>
      <w:r w:rsidRPr="00636CAC">
        <w:rPr>
          <w:sz w:val="24"/>
        </w:rPr>
        <w:t xml:space="preserve"> Radiological Events Register (</w:t>
      </w:r>
      <w:proofErr w:type="spellStart"/>
      <w:r w:rsidRPr="00636CAC">
        <w:rPr>
          <w:sz w:val="24"/>
        </w:rPr>
        <w:t>RaER</w:t>
      </w:r>
      <w:proofErr w:type="spellEnd"/>
      <w:r w:rsidRPr="00636CAC">
        <w:rPr>
          <w:sz w:val="24"/>
        </w:rPr>
        <w:t>) by the Australian Patient Safety Patient Foundation (APSF)</w:t>
      </w:r>
      <w:r>
        <w:rPr>
          <w:sz w:val="24"/>
        </w:rPr>
        <w:t>.</w:t>
      </w:r>
    </w:p>
    <w:p w:rsidR="002816B3" w:rsidRPr="00FC0F78" w:rsidRDefault="002816B3" w:rsidP="002816B3">
      <w:pPr>
        <w:rPr>
          <w:sz w:val="16"/>
          <w:szCs w:val="16"/>
        </w:rPr>
      </w:pPr>
    </w:p>
    <w:p w:rsidR="002816B3" w:rsidRPr="00874472" w:rsidRDefault="002816B3" w:rsidP="002816B3">
      <w:pPr>
        <w:ind w:left="741" w:hanging="741"/>
        <w:rPr>
          <w:rFonts w:ascii="Arial" w:hAnsi="Arial" w:cs="Arial"/>
          <w:b/>
        </w:rPr>
      </w:pPr>
      <w:r w:rsidRPr="00874472">
        <w:tab/>
      </w:r>
      <w:r w:rsidRPr="00874472">
        <w:rPr>
          <w:rFonts w:ascii="Arial" w:hAnsi="Arial" w:cs="Arial"/>
          <w:b/>
        </w:rPr>
        <w:t>Description:</w:t>
      </w:r>
    </w:p>
    <w:p w:rsidR="002816B3" w:rsidRPr="00FC0F78" w:rsidRDefault="002816B3" w:rsidP="002816B3">
      <w:pPr>
        <w:ind w:left="741" w:hanging="741"/>
        <w:rPr>
          <w:sz w:val="16"/>
          <w:szCs w:val="16"/>
        </w:rPr>
      </w:pPr>
      <w:r>
        <w:tab/>
      </w:r>
    </w:p>
    <w:p w:rsidR="002816B3" w:rsidRDefault="002816B3" w:rsidP="002816B3">
      <w:pPr>
        <w:spacing w:after="120"/>
      </w:pPr>
      <w:r>
        <w:t>The Radiology Events Register (</w:t>
      </w:r>
      <w:proofErr w:type="spellStart"/>
      <w:r>
        <w:t>RaER</w:t>
      </w:r>
      <w:proofErr w:type="spellEnd"/>
      <w:r>
        <w:t xml:space="preserve">) project is an online incident reporting database utilised by radiology professionals to record adverse events that occur during their practice. </w:t>
      </w:r>
      <w:r>
        <w:rPr>
          <w:snapToGrid w:val="0"/>
        </w:rPr>
        <w:t>The project provides a website (</w:t>
      </w:r>
      <w:hyperlink r:id="rId15" w:history="1">
        <w:r>
          <w:rPr>
            <w:rStyle w:val="Hyperlink"/>
            <w:snapToGrid w:val="0"/>
          </w:rPr>
          <w:t>www.raer.org.au</w:t>
        </w:r>
      </w:hyperlink>
      <w:r>
        <w:rPr>
          <w:snapToGrid w:val="0"/>
        </w:rPr>
        <w:t xml:space="preserve">) as its incident reporting portal. Users can anonymously enter data pertaining to a near miss or adverse event in medical imaging using the website. The data collected is stored on a ‘MySQL database’, which is hosted securely. The collected data are analysed utilising the APSF’s 25 years’ expertise in patient safety data analysis, incorporating its understanding of healthcare human factors, the aetiology of error and iatrogenic harm to patients, and relevant patient safety classifications (including the patient safety classification embedded in the Advanced Incident Management System and the World Health Organisation’s International Classification for Patient Safety). </w:t>
      </w:r>
      <w:r>
        <w:t xml:space="preserve">The results are fed back to the radiology profession via the Royal Australian and New Zealand College of Radiologists (RANZCR). RANZCR utilises these results to implement quality improvements in radiology practice.  APSF aggregates data for inclusion in numerous scientific peer reviewed publications, at safety and quality related conferences and for other research projects. The system improvements in radiology practice resulting from the </w:t>
      </w:r>
      <w:proofErr w:type="spellStart"/>
      <w:r>
        <w:t>RaER</w:t>
      </w:r>
      <w:proofErr w:type="spellEnd"/>
      <w:r>
        <w:t xml:space="preserve"> project are beneficial to the public to ensure consumers continue to receive the highest quality of care in medical imaging.</w:t>
      </w:r>
    </w:p>
    <w:p w:rsidR="002816B3" w:rsidRDefault="002816B3" w:rsidP="002816B3">
      <w:pPr>
        <w:rPr>
          <w:sz w:val="16"/>
          <w:szCs w:val="16"/>
        </w:rPr>
      </w:pPr>
    </w:p>
    <w:p w:rsidR="002816B3" w:rsidRPr="00FC0F78" w:rsidRDefault="002816B3" w:rsidP="002816B3">
      <w:pPr>
        <w:rPr>
          <w:sz w:val="16"/>
          <w:szCs w:val="16"/>
        </w:rPr>
      </w:pPr>
    </w:p>
    <w:p w:rsidR="002816B3" w:rsidRPr="00316A0B" w:rsidRDefault="002816B3" w:rsidP="002816B3">
      <w:pPr>
        <w:ind w:left="741" w:hanging="741"/>
        <w:rPr>
          <w:rFonts w:ascii="Arial" w:hAnsi="Arial" w:cs="Arial"/>
          <w:b/>
        </w:rPr>
      </w:pPr>
      <w:r>
        <w:rPr>
          <w:rFonts w:ascii="Arial" w:hAnsi="Arial" w:cs="Arial"/>
          <w:b/>
        </w:rPr>
        <w:t>[2</w:t>
      </w:r>
      <w:r w:rsidRPr="00874472">
        <w:rPr>
          <w:rFonts w:ascii="Arial" w:hAnsi="Arial" w:cs="Arial"/>
          <w:b/>
        </w:rPr>
        <w:t>]</w:t>
      </w:r>
      <w:r w:rsidRPr="00874472">
        <w:rPr>
          <w:rFonts w:ascii="Arial" w:hAnsi="Arial" w:cs="Arial"/>
        </w:rPr>
        <w:tab/>
      </w:r>
      <w:r w:rsidRPr="00A265FE">
        <w:rPr>
          <w:rFonts w:ascii="Arial" w:hAnsi="Arial" w:cs="Arial"/>
          <w:b/>
        </w:rPr>
        <w:t xml:space="preserve">Breast Screen Reader Assessment Strategy (BREAST) by </w:t>
      </w:r>
      <w:proofErr w:type="gramStart"/>
      <w:r>
        <w:rPr>
          <w:rFonts w:ascii="Arial" w:hAnsi="Arial" w:cs="Arial"/>
          <w:b/>
        </w:rPr>
        <w:t>The</w:t>
      </w:r>
      <w:proofErr w:type="gramEnd"/>
      <w:r>
        <w:rPr>
          <w:rFonts w:ascii="Arial" w:hAnsi="Arial" w:cs="Arial"/>
          <w:b/>
        </w:rPr>
        <w:t xml:space="preserve"> </w:t>
      </w:r>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Sydney</w:t>
        </w:r>
      </w:smartTag>
      <w:r>
        <w:rPr>
          <w:rFonts w:ascii="Arial" w:hAnsi="Arial" w:cs="Arial"/>
          <w:b/>
        </w:rPr>
        <w:t>,</w:t>
      </w:r>
      <w:r w:rsidRPr="00A265FE">
        <w:rPr>
          <w:rFonts w:ascii="Arial" w:hAnsi="Arial" w:cs="Arial"/>
          <w:b/>
        </w:rPr>
        <w:t xml:space="preserve"> Image Optimisation and Perception, Medical Imaging and Radiation Sciences and </w:t>
      </w:r>
      <w:proofErr w:type="spellStart"/>
      <w:r w:rsidRPr="00A265FE">
        <w:rPr>
          <w:rFonts w:ascii="Arial" w:hAnsi="Arial" w:cs="Arial"/>
          <w:b/>
        </w:rPr>
        <w:t>BreastScreen</w:t>
      </w:r>
      <w:proofErr w:type="spellEnd"/>
      <w:r w:rsidRPr="00A265FE">
        <w:rPr>
          <w:rFonts w:ascii="Arial" w:hAnsi="Arial" w:cs="Arial"/>
          <w:b/>
        </w:rPr>
        <w:t xml:space="preserve"> </w:t>
      </w:r>
      <w:smartTag w:uri="urn:schemas-microsoft-com:office:smarttags" w:element="place">
        <w:smartTag w:uri="urn:schemas-microsoft-com:office:smarttags" w:element="country-region">
          <w:r w:rsidRPr="00A265FE">
            <w:rPr>
              <w:rFonts w:ascii="Arial" w:hAnsi="Arial" w:cs="Arial"/>
              <w:b/>
            </w:rPr>
            <w:t>Australia</w:t>
          </w:r>
        </w:smartTag>
      </w:smartTag>
      <w:r w:rsidRPr="00A265FE">
        <w:rPr>
          <w:rFonts w:ascii="Arial" w:hAnsi="Arial" w:cs="Arial"/>
          <w:b/>
        </w:rPr>
        <w:t>.</w:t>
      </w:r>
    </w:p>
    <w:p w:rsidR="002816B3" w:rsidRPr="00FC0F78" w:rsidRDefault="002816B3" w:rsidP="002816B3">
      <w:pPr>
        <w:rPr>
          <w:sz w:val="16"/>
          <w:szCs w:val="16"/>
        </w:rPr>
      </w:pPr>
      <w:r w:rsidRPr="00874472">
        <w:tab/>
      </w:r>
    </w:p>
    <w:p w:rsidR="002816B3" w:rsidRPr="00874472" w:rsidRDefault="002816B3" w:rsidP="002816B3">
      <w:pPr>
        <w:ind w:left="741" w:hanging="741"/>
        <w:rPr>
          <w:rFonts w:ascii="Arial" w:hAnsi="Arial" w:cs="Arial"/>
          <w:b/>
        </w:rPr>
      </w:pPr>
      <w:r w:rsidRPr="00874472">
        <w:tab/>
      </w:r>
      <w:r w:rsidRPr="00874472">
        <w:rPr>
          <w:rFonts w:ascii="Arial" w:hAnsi="Arial" w:cs="Arial"/>
          <w:b/>
        </w:rPr>
        <w:t>Description:</w:t>
      </w:r>
    </w:p>
    <w:p w:rsidR="002816B3" w:rsidRPr="00FC0F78" w:rsidRDefault="002816B3" w:rsidP="002816B3">
      <w:pPr>
        <w:ind w:left="741" w:hanging="741"/>
        <w:rPr>
          <w:sz w:val="16"/>
          <w:szCs w:val="16"/>
        </w:rPr>
      </w:pPr>
      <w:r>
        <w:tab/>
      </w:r>
    </w:p>
    <w:p w:rsidR="002816B3" w:rsidRDefault="002816B3" w:rsidP="002816B3">
      <w:pPr>
        <w:outlineLvl w:val="0"/>
        <w:rPr>
          <w:sz w:val="36"/>
        </w:rPr>
      </w:pPr>
      <w:r>
        <w:rPr>
          <w:bCs/>
        </w:rPr>
        <w:t xml:space="preserve">The BREAST activity is an assessment of the quality of service provided by screen readers as part of the </w:t>
      </w:r>
      <w:proofErr w:type="spellStart"/>
      <w:r>
        <w:rPr>
          <w:bCs/>
        </w:rPr>
        <w:t>BreastScreen</w:t>
      </w:r>
      <w:proofErr w:type="spellEnd"/>
      <w:r>
        <w:rPr>
          <w:bCs/>
        </w:rPr>
        <w:t xml:space="preserve"> Australia program. Digital test sets are utilised in this activity by participants who are assessed on their reading results of cancers detected and cancers missed. Results are analysed by the </w:t>
      </w: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Sydney</w:t>
          </w:r>
        </w:smartTag>
      </w:smartTag>
      <w:r>
        <w:rPr>
          <w:bCs/>
        </w:rPr>
        <w:t>’s Medical Image Optimisation and Perception Group (</w:t>
      </w:r>
      <w:proofErr w:type="spellStart"/>
      <w:r>
        <w:rPr>
          <w:bCs/>
        </w:rPr>
        <w:t>MIOPeG</w:t>
      </w:r>
      <w:proofErr w:type="spellEnd"/>
      <w:r>
        <w:rPr>
          <w:bCs/>
        </w:rPr>
        <w:t xml:space="preserve">). Results of reader performance are fed back to individuals and </w:t>
      </w:r>
      <w:proofErr w:type="spellStart"/>
      <w:r>
        <w:rPr>
          <w:bCs/>
        </w:rPr>
        <w:t>BreastScreen</w:t>
      </w:r>
      <w:proofErr w:type="spellEnd"/>
      <w:r>
        <w:rPr>
          <w:bCs/>
        </w:rPr>
        <w:t xml:space="preserve"> Service managers. This provides a basis to inform quality practice improvement activities and potential areas for improvements in screen reader training programs. Improvements are made based on the data derived from the BREAST activity which will enhance the quality of care consumers receive as part of </w:t>
      </w:r>
      <w:proofErr w:type="spellStart"/>
      <w:r>
        <w:rPr>
          <w:bCs/>
        </w:rPr>
        <w:t>BreastScreen</w:t>
      </w:r>
      <w:proofErr w:type="spellEnd"/>
      <w:r>
        <w:rPr>
          <w:bCs/>
        </w:rPr>
        <w:t xml:space="preserve"> services across </w:t>
      </w:r>
      <w:smartTag w:uri="urn:schemas-microsoft-com:office:smarttags" w:element="country-region">
        <w:smartTag w:uri="urn:schemas-microsoft-com:office:smarttags" w:element="place">
          <w:r>
            <w:rPr>
              <w:bCs/>
            </w:rPr>
            <w:t>Australia</w:t>
          </w:r>
        </w:smartTag>
      </w:smartTag>
      <w:r>
        <w:rPr>
          <w:bCs/>
        </w:rPr>
        <w:t>.</w:t>
      </w:r>
    </w:p>
    <w:p w:rsidR="00715914" w:rsidRPr="007A1328" w:rsidRDefault="00715914" w:rsidP="00715914"/>
    <w:p w:rsidR="00715914" w:rsidRDefault="00715914" w:rsidP="00715914">
      <w:pPr>
        <w:sectPr w:rsidR="00715914" w:rsidSect="00AC7244">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start="1"/>
          <w:cols w:space="708"/>
          <w:docGrid w:linePitch="360"/>
        </w:sectPr>
      </w:pPr>
    </w:p>
    <w:p w:rsidR="002F1C9A" w:rsidRPr="001778F8" w:rsidRDefault="002F1C9A" w:rsidP="001A0BEE">
      <w:pPr>
        <w:pStyle w:val="ENotesHeading1"/>
      </w:pPr>
      <w:r>
        <w:lastRenderedPageBreak/>
        <w:t>Endnotes</w:t>
      </w:r>
    </w:p>
    <w:p w:rsidR="002F1C9A" w:rsidRPr="00BC57F4" w:rsidRDefault="002F1C9A" w:rsidP="0095354D">
      <w:pPr>
        <w:pStyle w:val="ENotesHeading2"/>
      </w:pPr>
      <w:r w:rsidRPr="00BC57F4">
        <w:t>Endnote 1—</w:t>
      </w:r>
      <w:proofErr w:type="gramStart"/>
      <w:r w:rsidRPr="00BC57F4">
        <w:t>About</w:t>
      </w:r>
      <w:proofErr w:type="gramEnd"/>
      <w:r w:rsidRPr="00BC57F4">
        <w:t xml:space="preserve"> the endnotes</w:t>
      </w:r>
    </w:p>
    <w:p w:rsidR="002F1C9A" w:rsidRPr="00BC57F4" w:rsidRDefault="002F1C9A" w:rsidP="0095354D">
      <w:r w:rsidRPr="00BC57F4">
        <w:t>The endnotes provide details of the history of this</w:t>
      </w:r>
      <w:r>
        <w:t xml:space="preserve"> legislation</w:t>
      </w:r>
      <w:r w:rsidRPr="00BC57F4">
        <w:t xml:space="preserve"> and its provisions. The following endnotes are included in each compilation:</w:t>
      </w:r>
    </w:p>
    <w:p w:rsidR="002F1C9A" w:rsidRPr="00BC57F4" w:rsidRDefault="002F1C9A" w:rsidP="0095354D"/>
    <w:p w:rsidR="002F1C9A" w:rsidRPr="00BC57F4" w:rsidRDefault="002F1C9A" w:rsidP="0095354D">
      <w:r w:rsidRPr="00BC57F4">
        <w:t>Endnote 1—</w:t>
      </w:r>
      <w:proofErr w:type="gramStart"/>
      <w:r w:rsidRPr="00BC57F4">
        <w:t>About</w:t>
      </w:r>
      <w:proofErr w:type="gramEnd"/>
      <w:r w:rsidRPr="00BC57F4">
        <w:t xml:space="preserve"> the endnotes</w:t>
      </w:r>
    </w:p>
    <w:p w:rsidR="002F1C9A" w:rsidRPr="00BC57F4" w:rsidRDefault="002F1C9A" w:rsidP="0095354D">
      <w:r w:rsidRPr="00BC57F4">
        <w:t>Endnote 2—Abbreviation key</w:t>
      </w:r>
    </w:p>
    <w:p w:rsidR="002F1C9A" w:rsidRPr="00BC57F4" w:rsidRDefault="002F1C9A" w:rsidP="0095354D">
      <w:r w:rsidRPr="00BC57F4">
        <w:t>Endnote 3—Legislation history</w:t>
      </w:r>
    </w:p>
    <w:p w:rsidR="002F1C9A" w:rsidRPr="00BC57F4" w:rsidRDefault="002F1C9A" w:rsidP="0095354D">
      <w:r w:rsidRPr="00BC57F4">
        <w:t>Endnote 4—Amendment history</w:t>
      </w:r>
    </w:p>
    <w:p w:rsidR="002F1C9A" w:rsidRPr="00BC57F4" w:rsidRDefault="002F1C9A" w:rsidP="0095354D">
      <w:r w:rsidRPr="00BC57F4">
        <w:t>Endnote 5—</w:t>
      </w:r>
      <w:proofErr w:type="spellStart"/>
      <w:r w:rsidRPr="00BC57F4">
        <w:t>Uncommenced</w:t>
      </w:r>
      <w:proofErr w:type="spellEnd"/>
      <w:r w:rsidRPr="00BC57F4">
        <w:t xml:space="preserve"> amendments</w:t>
      </w:r>
    </w:p>
    <w:p w:rsidR="002F1C9A" w:rsidRPr="00BC57F4" w:rsidRDefault="002F1C9A" w:rsidP="0095354D">
      <w:r w:rsidRPr="00BC57F4">
        <w:t>Endnote 6—Modifications</w:t>
      </w:r>
    </w:p>
    <w:p w:rsidR="002F1C9A" w:rsidRPr="00BC57F4" w:rsidRDefault="002F1C9A" w:rsidP="0095354D">
      <w:r w:rsidRPr="00BC57F4">
        <w:t>Endnote 7—</w:t>
      </w:r>
      <w:proofErr w:type="spellStart"/>
      <w:r w:rsidRPr="00BC57F4">
        <w:t>Misdescribed</w:t>
      </w:r>
      <w:proofErr w:type="spellEnd"/>
      <w:r w:rsidRPr="00BC57F4">
        <w:t xml:space="preserve"> amendments</w:t>
      </w:r>
    </w:p>
    <w:p w:rsidR="002F1C9A" w:rsidRPr="00BC57F4" w:rsidRDefault="002F1C9A" w:rsidP="0095354D">
      <w:r w:rsidRPr="00BC57F4">
        <w:t>Endnote 8—Miscellaneous</w:t>
      </w:r>
    </w:p>
    <w:p w:rsidR="002F1C9A" w:rsidRPr="00BC57F4" w:rsidRDefault="002F1C9A" w:rsidP="0095354D">
      <w:pPr>
        <w:rPr>
          <w:b/>
        </w:rPr>
      </w:pPr>
    </w:p>
    <w:p w:rsidR="002F1C9A" w:rsidRPr="00BC57F4" w:rsidRDefault="002F1C9A" w:rsidP="0095354D">
      <w:r w:rsidRPr="00BC57F4">
        <w:t>If there is no information under a particular endnote, the word “none” will appear in square brackets after the endnote heading.</w:t>
      </w:r>
    </w:p>
    <w:p w:rsidR="002F1C9A" w:rsidRPr="00BC57F4" w:rsidRDefault="002F1C9A" w:rsidP="0095354D">
      <w:pPr>
        <w:rPr>
          <w:b/>
        </w:rPr>
      </w:pPr>
    </w:p>
    <w:p w:rsidR="002F1C9A" w:rsidRPr="00BC57F4" w:rsidRDefault="002F1C9A" w:rsidP="0095354D">
      <w:r w:rsidRPr="00BC57F4">
        <w:rPr>
          <w:b/>
        </w:rPr>
        <w:t>Abbreviation key—</w:t>
      </w:r>
      <w:r>
        <w:rPr>
          <w:b/>
        </w:rPr>
        <w:t>E</w:t>
      </w:r>
      <w:r w:rsidRPr="00BC57F4">
        <w:rPr>
          <w:b/>
        </w:rPr>
        <w:t>ndnote 2</w:t>
      </w:r>
    </w:p>
    <w:p w:rsidR="002F1C9A" w:rsidRPr="00BC57F4" w:rsidRDefault="002F1C9A" w:rsidP="0095354D">
      <w:r w:rsidRPr="00BC57F4">
        <w:t xml:space="preserve">The abbreviation key in this endnote sets out abbreviations </w:t>
      </w:r>
      <w:r>
        <w:t xml:space="preserve">that may be </w:t>
      </w:r>
      <w:r w:rsidRPr="00BC57F4">
        <w:t>used in the endnotes.</w:t>
      </w:r>
    </w:p>
    <w:p w:rsidR="002F1C9A" w:rsidRPr="00BC57F4" w:rsidRDefault="002F1C9A" w:rsidP="0095354D"/>
    <w:p w:rsidR="002F1C9A" w:rsidRPr="00BC57F4" w:rsidRDefault="002F1C9A" w:rsidP="0095354D">
      <w:pPr>
        <w:rPr>
          <w:b/>
        </w:rPr>
      </w:pPr>
      <w:r w:rsidRPr="00BC57F4">
        <w:rPr>
          <w:b/>
        </w:rPr>
        <w:t>Legislation history and amendment history—</w:t>
      </w:r>
      <w:r>
        <w:rPr>
          <w:b/>
        </w:rPr>
        <w:t>E</w:t>
      </w:r>
      <w:r w:rsidRPr="00BC57F4">
        <w:rPr>
          <w:b/>
        </w:rPr>
        <w:t>ndnotes 3 and 4</w:t>
      </w:r>
    </w:p>
    <w:p w:rsidR="002F1C9A" w:rsidRPr="00BC57F4" w:rsidRDefault="002F1C9A" w:rsidP="0095354D">
      <w:r w:rsidRPr="00BC57F4">
        <w:t>Amending laws are annotated in the legislation history and amendment history.</w:t>
      </w:r>
    </w:p>
    <w:p w:rsidR="002F1C9A" w:rsidRPr="00BC57F4" w:rsidRDefault="002F1C9A" w:rsidP="0095354D"/>
    <w:p w:rsidR="002F1C9A" w:rsidRPr="00BC57F4" w:rsidRDefault="002F1C9A" w:rsidP="0095354D">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2F1C9A" w:rsidRPr="00BC57F4" w:rsidRDefault="002F1C9A" w:rsidP="0095354D"/>
    <w:p w:rsidR="002F1C9A" w:rsidRPr="00BC57F4" w:rsidRDefault="002F1C9A" w:rsidP="0095354D">
      <w:r w:rsidRPr="00BC57F4">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2F1C9A" w:rsidRPr="00BC57F4" w:rsidRDefault="002F1C9A" w:rsidP="0095354D">
      <w:pPr>
        <w:rPr>
          <w:b/>
        </w:rPr>
      </w:pPr>
    </w:p>
    <w:p w:rsidR="002F1C9A" w:rsidRPr="00BC57F4" w:rsidRDefault="002F1C9A" w:rsidP="0095354D">
      <w:pPr>
        <w:rPr>
          <w:b/>
        </w:rPr>
      </w:pPr>
      <w:proofErr w:type="spellStart"/>
      <w:r w:rsidRPr="00BC57F4">
        <w:rPr>
          <w:b/>
        </w:rPr>
        <w:t>Uncommenced</w:t>
      </w:r>
      <w:proofErr w:type="spellEnd"/>
      <w:r w:rsidRPr="00BC57F4">
        <w:rPr>
          <w:b/>
        </w:rPr>
        <w:t xml:space="preserve"> amendments—</w:t>
      </w:r>
      <w:r>
        <w:rPr>
          <w:b/>
        </w:rPr>
        <w:t>E</w:t>
      </w:r>
      <w:r w:rsidRPr="00BC57F4">
        <w:rPr>
          <w:b/>
        </w:rPr>
        <w:t>ndnote 5</w:t>
      </w:r>
    </w:p>
    <w:p w:rsidR="002F1C9A" w:rsidRDefault="002F1C9A" w:rsidP="0095354D">
      <w:r w:rsidRPr="00BC57F4">
        <w:t xml:space="preserve">The effect of </w:t>
      </w:r>
      <w:proofErr w:type="spellStart"/>
      <w:r w:rsidRPr="00BC57F4">
        <w:t>uncommenced</w:t>
      </w:r>
      <w:proofErr w:type="spellEnd"/>
      <w:r w:rsidRPr="00BC57F4">
        <w:t xml:space="preserve"> amendments is not reflected in the text of the compiled law, but the text of the amendments </w:t>
      </w:r>
      <w:r>
        <w:t>is</w:t>
      </w:r>
      <w:r w:rsidRPr="00BC57F4">
        <w:t xml:space="preserve"> included in endnote 5.</w:t>
      </w:r>
    </w:p>
    <w:p w:rsidR="00CC0EF6" w:rsidRPr="00BC57F4" w:rsidRDefault="00CC0EF6" w:rsidP="0095354D"/>
    <w:p w:rsidR="002F1C9A" w:rsidRPr="00BC57F4" w:rsidRDefault="002F1C9A" w:rsidP="0095354D">
      <w:pPr>
        <w:keepNext/>
        <w:rPr>
          <w:b/>
        </w:rPr>
      </w:pPr>
      <w:r w:rsidRPr="00BC57F4">
        <w:rPr>
          <w:b/>
        </w:rPr>
        <w:t>Modifications—</w:t>
      </w:r>
      <w:r>
        <w:rPr>
          <w:b/>
        </w:rPr>
        <w:t>E</w:t>
      </w:r>
      <w:r w:rsidRPr="00BC57F4">
        <w:rPr>
          <w:b/>
        </w:rPr>
        <w:t>ndnote 6</w:t>
      </w:r>
    </w:p>
    <w:p w:rsidR="002F1C9A" w:rsidRPr="00BC57F4" w:rsidRDefault="002F1C9A" w:rsidP="0095354D">
      <w:r w:rsidRPr="00BC57F4">
        <w:t>If the compiled law is affected by a modification that is in force, details of the modification are included in endnote 6.</w:t>
      </w:r>
    </w:p>
    <w:p w:rsidR="002F1C9A" w:rsidRPr="00BC57F4" w:rsidRDefault="002F1C9A" w:rsidP="0095354D"/>
    <w:p w:rsidR="002F1C9A" w:rsidRPr="00BC57F4" w:rsidRDefault="002F1C9A" w:rsidP="0095354D">
      <w:pPr>
        <w:keepNext/>
      </w:pPr>
      <w:proofErr w:type="spellStart"/>
      <w:r w:rsidRPr="00BC57F4">
        <w:rPr>
          <w:b/>
        </w:rPr>
        <w:t>Misdescribed</w:t>
      </w:r>
      <w:proofErr w:type="spellEnd"/>
      <w:r w:rsidRPr="00BC57F4">
        <w:rPr>
          <w:b/>
        </w:rPr>
        <w:t xml:space="preserve"> amendments—</w:t>
      </w:r>
      <w:r>
        <w:rPr>
          <w:b/>
        </w:rPr>
        <w:t>E</w:t>
      </w:r>
      <w:r w:rsidRPr="00BC57F4">
        <w:rPr>
          <w:b/>
        </w:rPr>
        <w:t>ndnote 7</w:t>
      </w:r>
    </w:p>
    <w:p w:rsidR="002F1C9A" w:rsidRPr="00BC57F4" w:rsidRDefault="002F1C9A" w:rsidP="0095354D">
      <w:r w:rsidRPr="00BC57F4">
        <w:t xml:space="preserve">An amendment is a </w:t>
      </w:r>
      <w:proofErr w:type="spellStart"/>
      <w:r w:rsidRPr="00BC57F4">
        <w:t>misdescribed</w:t>
      </w:r>
      <w:proofErr w:type="spellEnd"/>
      <w:r w:rsidRPr="00BC57F4">
        <w:t xml:space="preserve"> amendment if the effect of the amendment cannot be incorporated into the text of the compilation</w:t>
      </w:r>
      <w:r>
        <w:t>.</w:t>
      </w:r>
      <w:r w:rsidRPr="00BC57F4">
        <w:t xml:space="preserve"> Any </w:t>
      </w:r>
      <w:proofErr w:type="spellStart"/>
      <w:r w:rsidRPr="00BC57F4">
        <w:t>misdescribed</w:t>
      </w:r>
      <w:proofErr w:type="spellEnd"/>
      <w:r w:rsidRPr="00BC57F4">
        <w:t xml:space="preserve"> amendment is included in endnote </w:t>
      </w:r>
      <w:r>
        <w:t>7</w:t>
      </w:r>
      <w:r w:rsidRPr="00BC57F4">
        <w:t>.</w:t>
      </w:r>
    </w:p>
    <w:p w:rsidR="002F1C9A" w:rsidRPr="00BC57F4" w:rsidRDefault="002F1C9A" w:rsidP="0095354D"/>
    <w:p w:rsidR="002F1C9A" w:rsidRPr="00BC57F4" w:rsidRDefault="002F1C9A" w:rsidP="0095354D">
      <w:pPr>
        <w:rPr>
          <w:b/>
        </w:rPr>
      </w:pPr>
      <w:r w:rsidRPr="00BC57F4">
        <w:rPr>
          <w:b/>
        </w:rPr>
        <w:t>Miscellaneous—</w:t>
      </w:r>
      <w:r>
        <w:rPr>
          <w:b/>
        </w:rPr>
        <w:t>E</w:t>
      </w:r>
      <w:r w:rsidRPr="00BC57F4">
        <w:rPr>
          <w:b/>
        </w:rPr>
        <w:t xml:space="preserve">ndnote </w:t>
      </w:r>
      <w:r>
        <w:rPr>
          <w:b/>
        </w:rPr>
        <w:t>8</w:t>
      </w:r>
    </w:p>
    <w:p w:rsidR="002F1C9A" w:rsidRPr="00BC57F4" w:rsidRDefault="002F1C9A" w:rsidP="0095354D">
      <w:r w:rsidRPr="00BC57F4">
        <w:t xml:space="preserve">Endnote </w:t>
      </w:r>
      <w:r>
        <w:t>8</w:t>
      </w:r>
      <w:r w:rsidRPr="00BC57F4">
        <w:t xml:space="preserve"> includes any additional information </w:t>
      </w:r>
      <w:r>
        <w:t>that may</w:t>
      </w:r>
      <w:r w:rsidRPr="00BC57F4">
        <w:t xml:space="preserve"> be helpful for a reader of the compilation.</w:t>
      </w:r>
    </w:p>
    <w:p w:rsidR="002F1C9A" w:rsidRPr="00BC57F4" w:rsidRDefault="002F1C9A" w:rsidP="0095354D">
      <w:pPr>
        <w:pStyle w:val="ENotesHeading2"/>
        <w:pageBreakBefore/>
        <w:outlineLvl w:val="9"/>
      </w:pPr>
      <w:r w:rsidRPr="00BC57F4">
        <w:lastRenderedPageBreak/>
        <w:t>Endnote 2—Abbreviation key</w:t>
      </w:r>
    </w:p>
    <w:p w:rsidR="002F1C9A" w:rsidRDefault="002F1C9A" w:rsidP="0095354D">
      <w:pPr>
        <w:pStyle w:val="Tabletext"/>
      </w:pPr>
    </w:p>
    <w:tbl>
      <w:tblPr>
        <w:tblW w:w="0" w:type="auto"/>
        <w:tblInd w:w="113" w:type="dxa"/>
        <w:tblLayout w:type="fixed"/>
        <w:tblLook w:val="0000" w:firstRow="0" w:lastRow="0" w:firstColumn="0" w:lastColumn="0" w:noHBand="0" w:noVBand="0"/>
      </w:tblPr>
      <w:tblGrid>
        <w:gridCol w:w="3543"/>
        <w:gridCol w:w="3543"/>
      </w:tblGrid>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ad = added or inserted</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pres</w:t>
            </w:r>
            <w:proofErr w:type="spellEnd"/>
            <w:r w:rsidRPr="002F1C9A">
              <w:rPr>
                <w:sz w:val="20"/>
              </w:rPr>
              <w:t xml:space="preserve"> = present</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am = amended</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prev</w:t>
            </w:r>
            <w:proofErr w:type="spellEnd"/>
            <w:r w:rsidRPr="002F1C9A">
              <w:rPr>
                <w:sz w:val="20"/>
              </w:rPr>
              <w:t xml:space="preserve"> = previous</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c = clause(s)</w:t>
            </w:r>
          </w:p>
        </w:tc>
        <w:tc>
          <w:tcPr>
            <w:tcW w:w="3543" w:type="dxa"/>
            <w:shd w:val="clear" w:color="auto" w:fill="auto"/>
          </w:tcPr>
          <w:p w:rsidR="002F1C9A" w:rsidRPr="002F1C9A" w:rsidRDefault="002F1C9A" w:rsidP="00130C08">
            <w:pPr>
              <w:pStyle w:val="ENoteTableText"/>
              <w:rPr>
                <w:sz w:val="20"/>
              </w:rPr>
            </w:pPr>
            <w:r w:rsidRPr="002F1C9A">
              <w:rPr>
                <w:sz w:val="20"/>
              </w:rPr>
              <w:t>(</w:t>
            </w:r>
            <w:proofErr w:type="spellStart"/>
            <w:r w:rsidRPr="002F1C9A">
              <w:rPr>
                <w:sz w:val="20"/>
              </w:rPr>
              <w:t>prev</w:t>
            </w:r>
            <w:proofErr w:type="spellEnd"/>
            <w:r w:rsidRPr="002F1C9A">
              <w:rPr>
                <w:sz w:val="20"/>
              </w:rPr>
              <w:t>) = previously</w:t>
            </w:r>
          </w:p>
        </w:tc>
      </w:tr>
      <w:tr w:rsidR="002F1C9A" w:rsidRPr="002F1C9A" w:rsidTr="00130C08">
        <w:tc>
          <w:tcPr>
            <w:tcW w:w="3543" w:type="dxa"/>
            <w:shd w:val="clear" w:color="auto" w:fill="auto"/>
          </w:tcPr>
          <w:p w:rsidR="002F1C9A" w:rsidRPr="002F1C9A" w:rsidRDefault="002F1C9A" w:rsidP="00130C08">
            <w:pPr>
              <w:pStyle w:val="ENoteTableText"/>
              <w:rPr>
                <w:sz w:val="20"/>
              </w:rPr>
            </w:pPr>
            <w:proofErr w:type="spellStart"/>
            <w:r w:rsidRPr="002F1C9A">
              <w:rPr>
                <w:sz w:val="20"/>
              </w:rPr>
              <w:t>Ch</w:t>
            </w:r>
            <w:proofErr w:type="spellEnd"/>
            <w:r w:rsidRPr="002F1C9A">
              <w:rPr>
                <w:sz w:val="20"/>
              </w:rPr>
              <w:t xml:space="preserve"> = Chapter(s)</w:t>
            </w:r>
          </w:p>
        </w:tc>
        <w:tc>
          <w:tcPr>
            <w:tcW w:w="3543" w:type="dxa"/>
            <w:shd w:val="clear" w:color="auto" w:fill="auto"/>
          </w:tcPr>
          <w:p w:rsidR="002F1C9A" w:rsidRPr="002F1C9A" w:rsidRDefault="002F1C9A" w:rsidP="00130C08">
            <w:pPr>
              <w:pStyle w:val="ENoteTableText"/>
              <w:rPr>
                <w:sz w:val="20"/>
              </w:rPr>
            </w:pPr>
            <w:r w:rsidRPr="002F1C9A">
              <w:rPr>
                <w:sz w:val="20"/>
              </w:rPr>
              <w:t>Pt = Part(s)</w:t>
            </w:r>
          </w:p>
        </w:tc>
      </w:tr>
      <w:tr w:rsidR="002F1C9A" w:rsidRPr="002F1C9A" w:rsidTr="00130C08">
        <w:tc>
          <w:tcPr>
            <w:tcW w:w="3543" w:type="dxa"/>
            <w:shd w:val="clear" w:color="auto" w:fill="auto"/>
          </w:tcPr>
          <w:p w:rsidR="002F1C9A" w:rsidRPr="002F1C9A" w:rsidRDefault="002F1C9A" w:rsidP="00130C08">
            <w:pPr>
              <w:pStyle w:val="ENoteTableText"/>
              <w:rPr>
                <w:sz w:val="20"/>
              </w:rPr>
            </w:pPr>
            <w:proofErr w:type="spellStart"/>
            <w:r w:rsidRPr="002F1C9A">
              <w:rPr>
                <w:sz w:val="20"/>
              </w:rPr>
              <w:t>def</w:t>
            </w:r>
            <w:proofErr w:type="spellEnd"/>
            <w:r w:rsidRPr="002F1C9A">
              <w:rPr>
                <w:sz w:val="20"/>
              </w:rPr>
              <w:t xml:space="preserve"> = definition(s)</w:t>
            </w:r>
          </w:p>
        </w:tc>
        <w:tc>
          <w:tcPr>
            <w:tcW w:w="3543" w:type="dxa"/>
            <w:shd w:val="clear" w:color="auto" w:fill="auto"/>
          </w:tcPr>
          <w:p w:rsidR="002F1C9A" w:rsidRPr="002F1C9A" w:rsidRDefault="002F1C9A" w:rsidP="00130C08">
            <w:pPr>
              <w:pStyle w:val="ENoteTableText"/>
              <w:rPr>
                <w:sz w:val="20"/>
              </w:rPr>
            </w:pPr>
            <w:r w:rsidRPr="002F1C9A">
              <w:rPr>
                <w:sz w:val="20"/>
              </w:rPr>
              <w:t>r = regulation(s)/rule(s)</w:t>
            </w:r>
          </w:p>
        </w:tc>
      </w:tr>
      <w:tr w:rsidR="002F1C9A" w:rsidRPr="002F1C9A" w:rsidTr="00130C08">
        <w:tc>
          <w:tcPr>
            <w:tcW w:w="3543" w:type="dxa"/>
            <w:shd w:val="clear" w:color="auto" w:fill="auto"/>
          </w:tcPr>
          <w:p w:rsidR="002F1C9A" w:rsidRPr="002F1C9A" w:rsidRDefault="002F1C9A" w:rsidP="00130C08">
            <w:pPr>
              <w:pStyle w:val="ENoteTableText"/>
              <w:rPr>
                <w:sz w:val="20"/>
              </w:rPr>
            </w:pPr>
            <w:proofErr w:type="spellStart"/>
            <w:r w:rsidRPr="002F1C9A">
              <w:rPr>
                <w:sz w:val="20"/>
              </w:rPr>
              <w:t>Dict</w:t>
            </w:r>
            <w:proofErr w:type="spellEnd"/>
            <w:r w:rsidRPr="002F1C9A">
              <w:rPr>
                <w:sz w:val="20"/>
              </w:rPr>
              <w:t xml:space="preserve"> = Dictionary</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Reg</w:t>
            </w:r>
            <w:proofErr w:type="spellEnd"/>
            <w:r w:rsidRPr="002F1C9A">
              <w:rPr>
                <w:sz w:val="20"/>
              </w:rPr>
              <w:t xml:space="preserve"> = Regulation/Regulations</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disallowed = disallowed by Parliament</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reloc</w:t>
            </w:r>
            <w:proofErr w:type="spellEnd"/>
            <w:r w:rsidRPr="002F1C9A">
              <w:rPr>
                <w:sz w:val="20"/>
              </w:rPr>
              <w:t xml:space="preserve"> = relocated</w:t>
            </w:r>
          </w:p>
        </w:tc>
      </w:tr>
      <w:tr w:rsidR="002F1C9A" w:rsidRPr="002F1C9A" w:rsidTr="00130C08">
        <w:tc>
          <w:tcPr>
            <w:tcW w:w="3543" w:type="dxa"/>
            <w:shd w:val="clear" w:color="auto" w:fill="auto"/>
          </w:tcPr>
          <w:p w:rsidR="002F1C9A" w:rsidRPr="002F1C9A" w:rsidRDefault="002F1C9A" w:rsidP="00130C08">
            <w:pPr>
              <w:pStyle w:val="ENoteTableText"/>
              <w:rPr>
                <w:sz w:val="20"/>
              </w:rPr>
            </w:pPr>
            <w:proofErr w:type="spellStart"/>
            <w:r w:rsidRPr="002F1C9A">
              <w:rPr>
                <w:sz w:val="20"/>
              </w:rPr>
              <w:t>Div</w:t>
            </w:r>
            <w:proofErr w:type="spellEnd"/>
            <w:r w:rsidRPr="002F1C9A">
              <w:rPr>
                <w:sz w:val="20"/>
              </w:rPr>
              <w:t xml:space="preserve"> = Division(s)</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renum</w:t>
            </w:r>
            <w:proofErr w:type="spellEnd"/>
            <w:r w:rsidRPr="002F1C9A">
              <w:rPr>
                <w:sz w:val="20"/>
              </w:rPr>
              <w:t xml:space="preserve"> = renumbered</w:t>
            </w:r>
          </w:p>
        </w:tc>
      </w:tr>
      <w:tr w:rsidR="002F1C9A" w:rsidRPr="002F1C9A" w:rsidTr="00130C08">
        <w:tc>
          <w:tcPr>
            <w:tcW w:w="3543" w:type="dxa"/>
            <w:shd w:val="clear" w:color="auto" w:fill="auto"/>
          </w:tcPr>
          <w:p w:rsidR="002F1C9A" w:rsidRPr="002F1C9A" w:rsidRDefault="002F1C9A" w:rsidP="00130C08">
            <w:pPr>
              <w:pStyle w:val="ENoteTableText"/>
              <w:rPr>
                <w:sz w:val="20"/>
              </w:rPr>
            </w:pPr>
            <w:proofErr w:type="spellStart"/>
            <w:r w:rsidRPr="002F1C9A">
              <w:rPr>
                <w:sz w:val="20"/>
              </w:rPr>
              <w:t>exp</w:t>
            </w:r>
            <w:proofErr w:type="spellEnd"/>
            <w:r w:rsidRPr="002F1C9A">
              <w:rPr>
                <w:sz w:val="20"/>
              </w:rPr>
              <w:t xml:space="preserve"> = expired or ceased to have effect</w:t>
            </w:r>
          </w:p>
        </w:tc>
        <w:tc>
          <w:tcPr>
            <w:tcW w:w="3543" w:type="dxa"/>
            <w:shd w:val="clear" w:color="auto" w:fill="auto"/>
          </w:tcPr>
          <w:p w:rsidR="002F1C9A" w:rsidRPr="002F1C9A" w:rsidRDefault="002F1C9A" w:rsidP="00130C08">
            <w:pPr>
              <w:pStyle w:val="ENoteTableText"/>
              <w:rPr>
                <w:sz w:val="20"/>
              </w:rPr>
            </w:pPr>
            <w:r w:rsidRPr="002F1C9A">
              <w:rPr>
                <w:sz w:val="20"/>
              </w:rPr>
              <w:t>rep = repealed</w:t>
            </w:r>
          </w:p>
        </w:tc>
      </w:tr>
      <w:tr w:rsidR="002F1C9A" w:rsidRPr="002F1C9A" w:rsidTr="00130C08">
        <w:tc>
          <w:tcPr>
            <w:tcW w:w="3543" w:type="dxa"/>
            <w:shd w:val="clear" w:color="auto" w:fill="auto"/>
          </w:tcPr>
          <w:p w:rsidR="002F1C9A" w:rsidRPr="002F1C9A" w:rsidRDefault="002F1C9A" w:rsidP="00130C08">
            <w:pPr>
              <w:pStyle w:val="ENoteTableText"/>
              <w:rPr>
                <w:sz w:val="20"/>
              </w:rPr>
            </w:pPr>
            <w:proofErr w:type="spellStart"/>
            <w:r w:rsidRPr="002F1C9A">
              <w:rPr>
                <w:sz w:val="20"/>
              </w:rPr>
              <w:t>hdg</w:t>
            </w:r>
            <w:proofErr w:type="spellEnd"/>
            <w:r w:rsidRPr="002F1C9A">
              <w:rPr>
                <w:sz w:val="20"/>
              </w:rPr>
              <w:t xml:space="preserve"> = heading(s)</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rs</w:t>
            </w:r>
            <w:proofErr w:type="spellEnd"/>
            <w:r w:rsidRPr="002F1C9A">
              <w:rPr>
                <w:sz w:val="20"/>
              </w:rPr>
              <w:t xml:space="preserve"> = repealed and substituted</w:t>
            </w:r>
          </w:p>
        </w:tc>
      </w:tr>
      <w:tr w:rsidR="002F1C9A" w:rsidRPr="002F1C9A" w:rsidTr="00130C08">
        <w:tc>
          <w:tcPr>
            <w:tcW w:w="3543" w:type="dxa"/>
            <w:shd w:val="clear" w:color="auto" w:fill="auto"/>
          </w:tcPr>
          <w:p w:rsidR="002F1C9A" w:rsidRPr="002F1C9A" w:rsidRDefault="002F1C9A" w:rsidP="002B7E58">
            <w:pPr>
              <w:pStyle w:val="ENoteTableText"/>
              <w:rPr>
                <w:sz w:val="20"/>
              </w:rPr>
            </w:pPr>
            <w:r w:rsidRPr="002F1C9A">
              <w:rPr>
                <w:sz w:val="20"/>
              </w:rPr>
              <w:t xml:space="preserve">LI = </w:t>
            </w:r>
            <w:r w:rsidR="002B7E58">
              <w:rPr>
                <w:sz w:val="20"/>
              </w:rPr>
              <w:t>l</w:t>
            </w:r>
            <w:r w:rsidRPr="002F1C9A">
              <w:rPr>
                <w:sz w:val="20"/>
              </w:rPr>
              <w:t xml:space="preserve">egislative </w:t>
            </w:r>
            <w:r w:rsidR="002B7E58">
              <w:rPr>
                <w:sz w:val="20"/>
              </w:rPr>
              <w:t>i</w:t>
            </w:r>
            <w:r w:rsidRPr="002F1C9A">
              <w:rPr>
                <w:sz w:val="20"/>
              </w:rPr>
              <w:t>nstrument</w:t>
            </w:r>
          </w:p>
        </w:tc>
        <w:tc>
          <w:tcPr>
            <w:tcW w:w="3543" w:type="dxa"/>
            <w:shd w:val="clear" w:color="auto" w:fill="auto"/>
          </w:tcPr>
          <w:p w:rsidR="002F1C9A" w:rsidRPr="002F1C9A" w:rsidRDefault="002F1C9A" w:rsidP="00130C08">
            <w:pPr>
              <w:pStyle w:val="ENoteTableText"/>
              <w:rPr>
                <w:sz w:val="20"/>
              </w:rPr>
            </w:pPr>
            <w:r w:rsidRPr="002F1C9A">
              <w:rPr>
                <w:sz w:val="20"/>
              </w:rPr>
              <w:t>s = section(s)</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 xml:space="preserve">LIA = </w:t>
            </w:r>
            <w:r w:rsidRPr="002F1C9A">
              <w:rPr>
                <w:i/>
                <w:sz w:val="20"/>
              </w:rPr>
              <w:t>Legislative Instruments Act 2003</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Sch</w:t>
            </w:r>
            <w:proofErr w:type="spellEnd"/>
            <w:r w:rsidRPr="002F1C9A">
              <w:rPr>
                <w:sz w:val="20"/>
              </w:rPr>
              <w:t xml:space="preserve"> = Schedule(s)</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mod = modified/modification</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Sdiv</w:t>
            </w:r>
            <w:proofErr w:type="spellEnd"/>
            <w:r w:rsidRPr="002F1C9A">
              <w:rPr>
                <w:sz w:val="20"/>
              </w:rPr>
              <w:t xml:space="preserve"> = Subdivision(s)</w:t>
            </w:r>
          </w:p>
        </w:tc>
      </w:tr>
      <w:tr w:rsidR="002F1C9A" w:rsidRPr="002F1C9A" w:rsidTr="00130C08">
        <w:tc>
          <w:tcPr>
            <w:tcW w:w="3543" w:type="dxa"/>
            <w:shd w:val="clear" w:color="auto" w:fill="auto"/>
          </w:tcPr>
          <w:p w:rsidR="002F1C9A" w:rsidRPr="002F1C9A" w:rsidRDefault="002F1C9A" w:rsidP="002F1C9A">
            <w:pPr>
              <w:pStyle w:val="ENoteTableText"/>
              <w:rPr>
                <w:sz w:val="20"/>
              </w:rPr>
            </w:pPr>
            <w:r w:rsidRPr="002F1C9A">
              <w:rPr>
                <w:sz w:val="20"/>
              </w:rPr>
              <w:t xml:space="preserve">No </w:t>
            </w:r>
            <w:r>
              <w:rPr>
                <w:sz w:val="20"/>
              </w:rPr>
              <w:t>=</w:t>
            </w:r>
            <w:r w:rsidRPr="002F1C9A">
              <w:rPr>
                <w:sz w:val="20"/>
              </w:rPr>
              <w:t xml:space="preserve"> Number(s)</w:t>
            </w:r>
          </w:p>
        </w:tc>
        <w:tc>
          <w:tcPr>
            <w:tcW w:w="3543" w:type="dxa"/>
            <w:shd w:val="clear" w:color="auto" w:fill="auto"/>
          </w:tcPr>
          <w:p w:rsidR="002F1C9A" w:rsidRPr="002F1C9A" w:rsidRDefault="002F1C9A" w:rsidP="00130C08">
            <w:pPr>
              <w:pStyle w:val="ENoteTableText"/>
              <w:rPr>
                <w:sz w:val="20"/>
              </w:rPr>
            </w:pPr>
            <w:r w:rsidRPr="002F1C9A">
              <w:rPr>
                <w:sz w:val="20"/>
              </w:rPr>
              <w:t>SLI = Select Legislative Instrument</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o = order(s)</w:t>
            </w:r>
          </w:p>
        </w:tc>
        <w:tc>
          <w:tcPr>
            <w:tcW w:w="3543" w:type="dxa"/>
            <w:shd w:val="clear" w:color="auto" w:fill="auto"/>
          </w:tcPr>
          <w:p w:rsidR="002F1C9A" w:rsidRPr="002F1C9A" w:rsidRDefault="002F1C9A" w:rsidP="00130C08">
            <w:pPr>
              <w:pStyle w:val="ENoteTableText"/>
              <w:rPr>
                <w:sz w:val="20"/>
              </w:rPr>
            </w:pPr>
            <w:r w:rsidRPr="002F1C9A">
              <w:rPr>
                <w:sz w:val="20"/>
              </w:rPr>
              <w:t>SR = Statutory Rules</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Ord = Ordinance</w:t>
            </w:r>
          </w:p>
        </w:tc>
        <w:tc>
          <w:tcPr>
            <w:tcW w:w="3543" w:type="dxa"/>
            <w:shd w:val="clear" w:color="auto" w:fill="auto"/>
          </w:tcPr>
          <w:p w:rsidR="002F1C9A" w:rsidRPr="002F1C9A" w:rsidRDefault="002F1C9A" w:rsidP="00130C08">
            <w:pPr>
              <w:pStyle w:val="ENoteTableText"/>
              <w:rPr>
                <w:sz w:val="20"/>
              </w:rPr>
            </w:pPr>
            <w:r w:rsidRPr="002F1C9A">
              <w:rPr>
                <w:sz w:val="20"/>
              </w:rPr>
              <w:t>Sub-</w:t>
            </w:r>
            <w:proofErr w:type="spellStart"/>
            <w:r w:rsidRPr="002F1C9A">
              <w:rPr>
                <w:sz w:val="20"/>
              </w:rPr>
              <w:t>Ch</w:t>
            </w:r>
            <w:proofErr w:type="spellEnd"/>
            <w:r w:rsidRPr="002F1C9A">
              <w:rPr>
                <w:sz w:val="20"/>
              </w:rPr>
              <w:t xml:space="preserve"> = Sub-Chapter(s)</w:t>
            </w:r>
          </w:p>
        </w:tc>
      </w:tr>
      <w:tr w:rsidR="002F1C9A" w:rsidRPr="002F1C9A" w:rsidTr="00130C08">
        <w:tc>
          <w:tcPr>
            <w:tcW w:w="3543" w:type="dxa"/>
            <w:shd w:val="clear" w:color="auto" w:fill="auto"/>
          </w:tcPr>
          <w:p w:rsidR="002F1C9A" w:rsidRPr="002F1C9A" w:rsidRDefault="002F1C9A" w:rsidP="00130C08">
            <w:pPr>
              <w:pStyle w:val="ENoteTableText"/>
              <w:rPr>
                <w:sz w:val="20"/>
              </w:rPr>
            </w:pPr>
            <w:proofErr w:type="spellStart"/>
            <w:r w:rsidRPr="002F1C9A">
              <w:rPr>
                <w:sz w:val="20"/>
              </w:rPr>
              <w:t>orig</w:t>
            </w:r>
            <w:proofErr w:type="spellEnd"/>
            <w:r w:rsidRPr="002F1C9A">
              <w:rPr>
                <w:sz w:val="20"/>
              </w:rPr>
              <w:t xml:space="preserve"> = original</w:t>
            </w:r>
          </w:p>
        </w:tc>
        <w:tc>
          <w:tcPr>
            <w:tcW w:w="3543" w:type="dxa"/>
            <w:shd w:val="clear" w:color="auto" w:fill="auto"/>
          </w:tcPr>
          <w:p w:rsidR="002F1C9A" w:rsidRPr="002F1C9A" w:rsidRDefault="002F1C9A" w:rsidP="00130C08">
            <w:pPr>
              <w:pStyle w:val="ENoteTableText"/>
              <w:rPr>
                <w:sz w:val="20"/>
              </w:rPr>
            </w:pPr>
            <w:proofErr w:type="spellStart"/>
            <w:r w:rsidRPr="002F1C9A">
              <w:rPr>
                <w:sz w:val="20"/>
              </w:rPr>
              <w:t>SubPt</w:t>
            </w:r>
            <w:proofErr w:type="spellEnd"/>
            <w:r w:rsidRPr="002F1C9A">
              <w:rPr>
                <w:sz w:val="20"/>
              </w:rPr>
              <w:t xml:space="preserve"> = Subpart(s)</w:t>
            </w:r>
          </w:p>
        </w:tc>
      </w:tr>
      <w:tr w:rsidR="002F1C9A" w:rsidRPr="002F1C9A" w:rsidTr="00130C08">
        <w:tc>
          <w:tcPr>
            <w:tcW w:w="3543" w:type="dxa"/>
            <w:shd w:val="clear" w:color="auto" w:fill="auto"/>
          </w:tcPr>
          <w:p w:rsidR="002F1C9A" w:rsidRPr="002F1C9A" w:rsidRDefault="002F1C9A" w:rsidP="00130C08">
            <w:pPr>
              <w:pStyle w:val="ENoteTableText"/>
              <w:rPr>
                <w:sz w:val="20"/>
              </w:rPr>
            </w:pPr>
            <w:r w:rsidRPr="002F1C9A">
              <w:rPr>
                <w:sz w:val="20"/>
              </w:rPr>
              <w:t>par = paragraph(s)/subparagraph(s)</w:t>
            </w:r>
          </w:p>
        </w:tc>
        <w:tc>
          <w:tcPr>
            <w:tcW w:w="3543" w:type="dxa"/>
            <w:shd w:val="clear" w:color="auto" w:fill="auto"/>
          </w:tcPr>
          <w:p w:rsidR="002F1C9A" w:rsidRPr="002F1C9A" w:rsidRDefault="002F1C9A" w:rsidP="00130C08">
            <w:pPr>
              <w:pStyle w:val="ENoteTableText"/>
              <w:rPr>
                <w:sz w:val="20"/>
              </w:rPr>
            </w:pPr>
          </w:p>
        </w:tc>
      </w:tr>
      <w:tr w:rsidR="002F1C9A" w:rsidRPr="002F1C9A" w:rsidTr="00130C08">
        <w:tc>
          <w:tcPr>
            <w:tcW w:w="3543" w:type="dxa"/>
            <w:shd w:val="clear" w:color="auto" w:fill="auto"/>
          </w:tcPr>
          <w:p w:rsidR="002F1C9A" w:rsidRPr="002F1C9A" w:rsidRDefault="002F1C9A" w:rsidP="002B7E58">
            <w:pPr>
              <w:pStyle w:val="ENoteTableText"/>
              <w:tabs>
                <w:tab w:val="left" w:pos="454"/>
              </w:tabs>
              <w:rPr>
                <w:sz w:val="20"/>
              </w:rPr>
            </w:pPr>
            <w:r w:rsidRPr="002F1C9A">
              <w:rPr>
                <w:sz w:val="20"/>
              </w:rPr>
              <w:tab/>
              <w:t>/sub</w:t>
            </w:r>
            <w:r w:rsidR="002B7E58">
              <w:rPr>
                <w:sz w:val="20"/>
              </w:rPr>
              <w:t>-</w:t>
            </w:r>
            <w:r w:rsidRPr="002F1C9A">
              <w:rPr>
                <w:sz w:val="20"/>
              </w:rPr>
              <w:t>subparagraph(s)</w:t>
            </w:r>
          </w:p>
        </w:tc>
        <w:tc>
          <w:tcPr>
            <w:tcW w:w="3543" w:type="dxa"/>
            <w:shd w:val="clear" w:color="auto" w:fill="auto"/>
          </w:tcPr>
          <w:p w:rsidR="002F1C9A" w:rsidRPr="002F1C9A" w:rsidRDefault="002F1C9A" w:rsidP="00130C08">
            <w:pPr>
              <w:pStyle w:val="ENoteTableText"/>
              <w:rPr>
                <w:sz w:val="20"/>
              </w:rPr>
            </w:pPr>
          </w:p>
        </w:tc>
      </w:tr>
    </w:tbl>
    <w:p w:rsidR="002F1C9A" w:rsidRPr="00BC57F4" w:rsidRDefault="002F1C9A" w:rsidP="0095354D">
      <w:pPr>
        <w:pStyle w:val="Tabletext"/>
      </w:pPr>
    </w:p>
    <w:p w:rsidR="002F1C9A" w:rsidRDefault="002F1C9A" w:rsidP="0095354D">
      <w:pPr>
        <w:pStyle w:val="ENotesHeading2"/>
        <w:pageBreakBefore/>
      </w:pPr>
      <w:r>
        <w:lastRenderedPageBreak/>
        <w:t>Endnote 3—Legislation history</w:t>
      </w:r>
    </w:p>
    <w:p w:rsidR="002B556B" w:rsidRDefault="002B556B" w:rsidP="002B556B">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87"/>
        <w:gridCol w:w="1824"/>
        <w:gridCol w:w="1824"/>
        <w:gridCol w:w="1824"/>
      </w:tblGrid>
      <w:tr w:rsidR="002B556B" w:rsidRPr="0098546F" w:rsidTr="00AC7244">
        <w:trPr>
          <w:cantSplit/>
          <w:tblHeader/>
        </w:trPr>
        <w:tc>
          <w:tcPr>
            <w:tcW w:w="2887" w:type="dxa"/>
            <w:tcBorders>
              <w:top w:val="single" w:sz="12" w:space="0" w:color="auto"/>
              <w:bottom w:val="single" w:sz="12" w:space="0" w:color="auto"/>
            </w:tcBorders>
            <w:shd w:val="clear" w:color="auto" w:fill="auto"/>
          </w:tcPr>
          <w:p w:rsidR="002B556B" w:rsidRPr="00E117A3" w:rsidRDefault="002B556B" w:rsidP="00B53602">
            <w:pPr>
              <w:pStyle w:val="ENoteTableHeading"/>
            </w:pPr>
            <w:r>
              <w:t>Name</w:t>
            </w:r>
          </w:p>
        </w:tc>
        <w:tc>
          <w:tcPr>
            <w:tcW w:w="1824" w:type="dxa"/>
            <w:tcBorders>
              <w:top w:val="single" w:sz="12" w:space="0" w:color="auto"/>
              <w:bottom w:val="single" w:sz="12" w:space="0" w:color="auto"/>
            </w:tcBorders>
            <w:shd w:val="clear" w:color="auto" w:fill="auto"/>
          </w:tcPr>
          <w:p w:rsidR="002B556B" w:rsidRPr="00E117A3" w:rsidRDefault="002B556B" w:rsidP="00B53602">
            <w:pPr>
              <w:pStyle w:val="ENoteTableHeading"/>
            </w:pPr>
            <w:r>
              <w:t xml:space="preserve">FRLI registration </w:t>
            </w:r>
          </w:p>
        </w:tc>
        <w:tc>
          <w:tcPr>
            <w:tcW w:w="1824" w:type="dxa"/>
            <w:tcBorders>
              <w:top w:val="single" w:sz="12" w:space="0" w:color="auto"/>
              <w:bottom w:val="single" w:sz="12" w:space="0" w:color="auto"/>
            </w:tcBorders>
            <w:shd w:val="clear" w:color="auto" w:fill="auto"/>
          </w:tcPr>
          <w:p w:rsidR="002B556B" w:rsidRPr="00E117A3" w:rsidRDefault="002B556B" w:rsidP="00B53602">
            <w:pPr>
              <w:pStyle w:val="ENoteTableHeading"/>
            </w:pPr>
            <w:r>
              <w:t>Commencement</w:t>
            </w:r>
          </w:p>
        </w:tc>
        <w:tc>
          <w:tcPr>
            <w:tcW w:w="1824" w:type="dxa"/>
            <w:tcBorders>
              <w:top w:val="single" w:sz="12" w:space="0" w:color="auto"/>
              <w:bottom w:val="single" w:sz="12" w:space="0" w:color="auto"/>
            </w:tcBorders>
            <w:shd w:val="clear" w:color="auto" w:fill="auto"/>
          </w:tcPr>
          <w:p w:rsidR="002B556B" w:rsidRPr="00E117A3" w:rsidRDefault="002B556B" w:rsidP="00B53602">
            <w:pPr>
              <w:pStyle w:val="ENoteTableHeading"/>
            </w:pPr>
            <w:r w:rsidRPr="00E117A3">
              <w:t>Application, saving and transitional provisions</w:t>
            </w:r>
          </w:p>
        </w:tc>
      </w:tr>
      <w:tr w:rsidR="002B556B" w:rsidRPr="009874A9" w:rsidTr="00AC7244">
        <w:trPr>
          <w:cantSplit/>
          <w:tblHeader/>
        </w:trPr>
        <w:tc>
          <w:tcPr>
            <w:tcW w:w="2887" w:type="dxa"/>
            <w:tcBorders>
              <w:top w:val="single" w:sz="12" w:space="0" w:color="auto"/>
              <w:bottom w:val="single" w:sz="4" w:space="0" w:color="auto"/>
            </w:tcBorders>
            <w:shd w:val="clear" w:color="auto" w:fill="auto"/>
          </w:tcPr>
          <w:p w:rsidR="002B556B" w:rsidRPr="009874A9" w:rsidRDefault="002B556B" w:rsidP="00B53602">
            <w:pPr>
              <w:pStyle w:val="ENoteTableHeading"/>
              <w:rPr>
                <w:rFonts w:ascii="Times New Roman" w:hAnsi="Times New Roman"/>
                <w:b w:val="0"/>
              </w:rPr>
            </w:pPr>
            <w:r w:rsidRPr="009874A9">
              <w:rPr>
                <w:rFonts w:ascii="Times New Roman" w:hAnsi="Times New Roman"/>
                <w:b w:val="0"/>
                <w:color w:val="000000"/>
                <w:szCs w:val="16"/>
              </w:rPr>
              <w:t>Declaration of Quality Assuranc</w:t>
            </w:r>
            <w:r>
              <w:rPr>
                <w:rFonts w:ascii="Times New Roman" w:hAnsi="Times New Roman"/>
                <w:b w:val="0"/>
                <w:color w:val="000000"/>
                <w:szCs w:val="16"/>
              </w:rPr>
              <w:t xml:space="preserve">e Activity under section 124X of the </w:t>
            </w:r>
            <w:r>
              <w:rPr>
                <w:rFonts w:ascii="Times New Roman" w:hAnsi="Times New Roman"/>
                <w:b w:val="0"/>
                <w:i/>
                <w:color w:val="000000"/>
                <w:szCs w:val="16"/>
              </w:rPr>
              <w:t>Health Insurance Act 1973</w:t>
            </w:r>
            <w:r>
              <w:rPr>
                <w:rFonts w:ascii="Times New Roman" w:hAnsi="Times New Roman"/>
                <w:b w:val="0"/>
                <w:color w:val="000000"/>
                <w:szCs w:val="16"/>
              </w:rPr>
              <w:t xml:space="preserve"> </w:t>
            </w:r>
            <w:r w:rsidRPr="009874A9">
              <w:rPr>
                <w:rFonts w:ascii="Times New Roman" w:hAnsi="Times New Roman"/>
                <w:b w:val="0"/>
                <w:color w:val="000000"/>
                <w:szCs w:val="16"/>
              </w:rPr>
              <w:t xml:space="preserve">─ QAA </w:t>
            </w:r>
            <w:r>
              <w:rPr>
                <w:rFonts w:ascii="Times New Roman" w:hAnsi="Times New Roman"/>
                <w:b w:val="0"/>
                <w:color w:val="000000"/>
                <w:szCs w:val="16"/>
              </w:rPr>
              <w:t>2</w:t>
            </w:r>
            <w:r w:rsidRPr="009874A9">
              <w:rPr>
                <w:rFonts w:ascii="Times New Roman" w:hAnsi="Times New Roman"/>
                <w:b w:val="0"/>
                <w:color w:val="000000"/>
                <w:szCs w:val="16"/>
              </w:rPr>
              <w:t>/201</w:t>
            </w:r>
            <w:r w:rsidR="00493381">
              <w:rPr>
                <w:rFonts w:ascii="Times New Roman" w:hAnsi="Times New Roman"/>
                <w:b w:val="0"/>
                <w:color w:val="000000"/>
                <w:szCs w:val="16"/>
              </w:rPr>
              <w:t>2</w:t>
            </w:r>
          </w:p>
        </w:tc>
        <w:tc>
          <w:tcPr>
            <w:tcW w:w="1824" w:type="dxa"/>
            <w:tcBorders>
              <w:top w:val="single" w:sz="12" w:space="0" w:color="auto"/>
              <w:bottom w:val="single" w:sz="4" w:space="0" w:color="auto"/>
            </w:tcBorders>
            <w:shd w:val="clear" w:color="auto" w:fill="auto"/>
          </w:tcPr>
          <w:p w:rsidR="002B556B" w:rsidRPr="009874A9" w:rsidRDefault="002B556B" w:rsidP="00B53602">
            <w:pPr>
              <w:pStyle w:val="ENoteTableHeading"/>
              <w:rPr>
                <w:rFonts w:ascii="Times New Roman" w:hAnsi="Times New Roman"/>
              </w:rPr>
            </w:pPr>
            <w:r>
              <w:rPr>
                <w:rFonts w:ascii="Times New Roman" w:hAnsi="Times New Roman"/>
                <w:b w:val="0"/>
              </w:rPr>
              <w:t>18 June 2012</w:t>
            </w:r>
            <w:r w:rsidRPr="009874A9">
              <w:rPr>
                <w:rFonts w:ascii="Times New Roman" w:hAnsi="Times New Roman"/>
                <w:b w:val="0"/>
              </w:rPr>
              <w:t xml:space="preserve"> (F201</w:t>
            </w:r>
            <w:r>
              <w:rPr>
                <w:rFonts w:ascii="Times New Roman" w:hAnsi="Times New Roman"/>
                <w:b w:val="0"/>
              </w:rPr>
              <w:t>2L01226</w:t>
            </w:r>
            <w:r w:rsidRPr="009874A9">
              <w:rPr>
                <w:rFonts w:ascii="Times New Roman" w:hAnsi="Times New Roman"/>
                <w:b w:val="0"/>
              </w:rPr>
              <w:t>)</w:t>
            </w:r>
          </w:p>
        </w:tc>
        <w:tc>
          <w:tcPr>
            <w:tcW w:w="1824" w:type="dxa"/>
            <w:tcBorders>
              <w:top w:val="single" w:sz="12" w:space="0" w:color="auto"/>
              <w:bottom w:val="single" w:sz="4" w:space="0" w:color="auto"/>
            </w:tcBorders>
            <w:shd w:val="clear" w:color="auto" w:fill="auto"/>
          </w:tcPr>
          <w:p w:rsidR="002B556B" w:rsidRPr="009874A9" w:rsidRDefault="002B556B" w:rsidP="00B53602">
            <w:pPr>
              <w:pStyle w:val="ENoteTableHeading"/>
              <w:rPr>
                <w:rFonts w:ascii="Times New Roman" w:hAnsi="Times New Roman"/>
              </w:rPr>
            </w:pPr>
            <w:r>
              <w:rPr>
                <w:rFonts w:ascii="Times New Roman" w:hAnsi="Times New Roman"/>
                <w:b w:val="0"/>
              </w:rPr>
              <w:t>19 June 2012</w:t>
            </w:r>
          </w:p>
        </w:tc>
        <w:tc>
          <w:tcPr>
            <w:tcW w:w="1824" w:type="dxa"/>
            <w:tcBorders>
              <w:top w:val="single" w:sz="12" w:space="0" w:color="auto"/>
              <w:bottom w:val="single" w:sz="4" w:space="0" w:color="auto"/>
            </w:tcBorders>
            <w:shd w:val="clear" w:color="auto" w:fill="auto"/>
          </w:tcPr>
          <w:p w:rsidR="002B556B" w:rsidRPr="009874A9" w:rsidRDefault="002B556B" w:rsidP="00B53602">
            <w:pPr>
              <w:pStyle w:val="ENoteTableHeading"/>
              <w:rPr>
                <w:rFonts w:ascii="Times New Roman" w:hAnsi="Times New Roman"/>
              </w:rPr>
            </w:pPr>
          </w:p>
        </w:tc>
      </w:tr>
      <w:tr w:rsidR="002B556B" w:rsidRPr="00E117A3" w:rsidTr="00AC7244">
        <w:trPr>
          <w:cantSplit/>
        </w:trPr>
        <w:tc>
          <w:tcPr>
            <w:tcW w:w="2887" w:type="dxa"/>
            <w:tcBorders>
              <w:top w:val="single" w:sz="4" w:space="0" w:color="auto"/>
              <w:bottom w:val="single" w:sz="12" w:space="0" w:color="auto"/>
            </w:tcBorders>
            <w:shd w:val="clear" w:color="auto" w:fill="auto"/>
          </w:tcPr>
          <w:p w:rsidR="002B556B" w:rsidRPr="00C749E8" w:rsidRDefault="002B556B" w:rsidP="00B53602">
            <w:pPr>
              <w:pStyle w:val="ENoteTableHeading"/>
            </w:pPr>
            <w:r w:rsidRPr="001F1488">
              <w:rPr>
                <w:rFonts w:ascii="Times New Roman" w:hAnsi="Times New Roman"/>
                <w:b w:val="0"/>
                <w:color w:val="000000"/>
                <w:szCs w:val="16"/>
              </w:rPr>
              <w:t>Amendment Declaration of Quality Assurance Activities under section 124X of the Health Insurance Act 1973─ QAA 1/2014</w:t>
            </w:r>
            <w:r w:rsidRPr="00C749E8">
              <w:rPr>
                <w:color w:val="000000"/>
                <w:szCs w:val="16"/>
              </w:rPr>
              <w:t xml:space="preserve"> </w:t>
            </w:r>
          </w:p>
        </w:tc>
        <w:tc>
          <w:tcPr>
            <w:tcW w:w="1824" w:type="dxa"/>
            <w:tcBorders>
              <w:top w:val="single" w:sz="4" w:space="0" w:color="auto"/>
              <w:bottom w:val="single" w:sz="12" w:space="0" w:color="auto"/>
            </w:tcBorders>
            <w:shd w:val="clear" w:color="auto" w:fill="auto"/>
          </w:tcPr>
          <w:p w:rsidR="002B556B" w:rsidRPr="00E117A3" w:rsidRDefault="002B556B" w:rsidP="00B53602">
            <w:pPr>
              <w:pStyle w:val="ENoteTableText"/>
            </w:pPr>
            <w:r>
              <w:t>2 June 2014 (F2014L00640)</w:t>
            </w:r>
          </w:p>
        </w:tc>
        <w:tc>
          <w:tcPr>
            <w:tcW w:w="1824" w:type="dxa"/>
            <w:tcBorders>
              <w:top w:val="single" w:sz="4" w:space="0" w:color="auto"/>
              <w:bottom w:val="single" w:sz="12" w:space="0" w:color="auto"/>
            </w:tcBorders>
            <w:shd w:val="clear" w:color="auto" w:fill="auto"/>
          </w:tcPr>
          <w:p w:rsidR="002B556B" w:rsidRPr="00E117A3" w:rsidRDefault="002B556B" w:rsidP="00B53602">
            <w:pPr>
              <w:pStyle w:val="ENoteTableText"/>
            </w:pPr>
            <w:r>
              <w:t>3 June 2014</w:t>
            </w:r>
          </w:p>
        </w:tc>
        <w:tc>
          <w:tcPr>
            <w:tcW w:w="1824" w:type="dxa"/>
            <w:tcBorders>
              <w:top w:val="single" w:sz="4" w:space="0" w:color="auto"/>
              <w:bottom w:val="single" w:sz="12" w:space="0" w:color="auto"/>
            </w:tcBorders>
            <w:shd w:val="clear" w:color="auto" w:fill="auto"/>
          </w:tcPr>
          <w:p w:rsidR="002B556B" w:rsidRPr="00E117A3" w:rsidRDefault="002B556B" w:rsidP="00B53602">
            <w:pPr>
              <w:pStyle w:val="ENoteTableText"/>
            </w:pPr>
            <w:r>
              <w:t>—</w:t>
            </w:r>
          </w:p>
        </w:tc>
      </w:tr>
    </w:tbl>
    <w:p w:rsidR="002B556B" w:rsidRDefault="002B556B" w:rsidP="002B556B"/>
    <w:p w:rsidR="002B556B" w:rsidRDefault="002B556B" w:rsidP="0095354D">
      <w:pPr>
        <w:pStyle w:val="Tabletext"/>
      </w:pPr>
    </w:p>
    <w:p w:rsidR="002F1C9A" w:rsidRDefault="002F1C9A" w:rsidP="0095354D">
      <w:pPr>
        <w:pStyle w:val="ENotesHeading2"/>
        <w:pageBreakBefore/>
      </w:pPr>
      <w:r>
        <w:lastRenderedPageBreak/>
        <w:t>Endnote 4—Amendment history</w:t>
      </w:r>
    </w:p>
    <w:p w:rsidR="002B556B" w:rsidRDefault="002B556B" w:rsidP="002B556B">
      <w:pPr>
        <w:pStyle w:val="Tabletext"/>
      </w:pPr>
    </w:p>
    <w:tbl>
      <w:tblPr>
        <w:tblW w:w="8359" w:type="dxa"/>
        <w:tblInd w:w="113" w:type="dxa"/>
        <w:tblLayout w:type="fixed"/>
        <w:tblLook w:val="0000" w:firstRow="0" w:lastRow="0" w:firstColumn="0" w:lastColumn="0" w:noHBand="0" w:noVBand="0"/>
      </w:tblPr>
      <w:tblGrid>
        <w:gridCol w:w="2139"/>
        <w:gridCol w:w="6220"/>
      </w:tblGrid>
      <w:tr w:rsidR="002B556B" w:rsidRPr="0098546F" w:rsidTr="00AC7244">
        <w:trPr>
          <w:cantSplit/>
          <w:tblHeader/>
        </w:trPr>
        <w:tc>
          <w:tcPr>
            <w:tcW w:w="2139" w:type="dxa"/>
            <w:tcBorders>
              <w:top w:val="single" w:sz="12" w:space="0" w:color="auto"/>
              <w:bottom w:val="single" w:sz="12" w:space="0" w:color="auto"/>
            </w:tcBorders>
            <w:shd w:val="clear" w:color="auto" w:fill="auto"/>
          </w:tcPr>
          <w:p w:rsidR="002B556B" w:rsidRPr="00E117A3" w:rsidRDefault="002B556B" w:rsidP="00B53602">
            <w:pPr>
              <w:pStyle w:val="ENoteTableHeading"/>
            </w:pPr>
            <w:r w:rsidRPr="00E117A3">
              <w:t>Provision affected</w:t>
            </w:r>
          </w:p>
        </w:tc>
        <w:tc>
          <w:tcPr>
            <w:tcW w:w="6220" w:type="dxa"/>
            <w:tcBorders>
              <w:top w:val="single" w:sz="12" w:space="0" w:color="auto"/>
              <w:bottom w:val="single" w:sz="12" w:space="0" w:color="auto"/>
            </w:tcBorders>
            <w:shd w:val="clear" w:color="auto" w:fill="auto"/>
          </w:tcPr>
          <w:p w:rsidR="002B556B" w:rsidRPr="00E117A3" w:rsidRDefault="002B556B" w:rsidP="00B53602">
            <w:pPr>
              <w:pStyle w:val="ENoteTableHeading"/>
            </w:pPr>
            <w:r w:rsidRPr="00E117A3">
              <w:t>How affected</w:t>
            </w:r>
          </w:p>
        </w:tc>
      </w:tr>
      <w:tr w:rsidR="002B556B" w:rsidRPr="00E117A3" w:rsidTr="00D47F63">
        <w:trPr>
          <w:cantSplit/>
          <w:trHeight w:val="382"/>
        </w:trPr>
        <w:tc>
          <w:tcPr>
            <w:tcW w:w="2139" w:type="dxa"/>
            <w:tcBorders>
              <w:top w:val="single" w:sz="12" w:space="0" w:color="auto"/>
            </w:tcBorders>
            <w:shd w:val="clear" w:color="auto" w:fill="auto"/>
          </w:tcPr>
          <w:p w:rsidR="002B556B" w:rsidRPr="00D57D49" w:rsidRDefault="002B556B" w:rsidP="00B53602">
            <w:pPr>
              <w:pStyle w:val="ENoteTableText"/>
              <w:rPr>
                <w:b/>
              </w:rPr>
            </w:pPr>
            <w:r>
              <w:rPr>
                <w:b/>
              </w:rPr>
              <w:t xml:space="preserve">Pt 2, </w:t>
            </w:r>
            <w:proofErr w:type="spellStart"/>
            <w:r w:rsidRPr="00D57D49">
              <w:rPr>
                <w:b/>
              </w:rPr>
              <w:t>Sch</w:t>
            </w:r>
            <w:proofErr w:type="spellEnd"/>
            <w:r w:rsidRPr="00D57D49">
              <w:rPr>
                <w:b/>
              </w:rPr>
              <w:t xml:space="preserve"> 1</w:t>
            </w:r>
          </w:p>
        </w:tc>
        <w:tc>
          <w:tcPr>
            <w:tcW w:w="6220" w:type="dxa"/>
            <w:tcBorders>
              <w:top w:val="single" w:sz="12" w:space="0" w:color="auto"/>
            </w:tcBorders>
            <w:shd w:val="clear" w:color="auto" w:fill="auto"/>
          </w:tcPr>
          <w:p w:rsidR="002B556B" w:rsidRPr="00E117A3" w:rsidRDefault="002B556B" w:rsidP="00B53602">
            <w:pPr>
              <w:pStyle w:val="ENoteTableText"/>
            </w:pPr>
          </w:p>
        </w:tc>
      </w:tr>
      <w:tr w:rsidR="00AC7244" w:rsidRPr="00E117A3" w:rsidTr="00D47F63">
        <w:trPr>
          <w:cantSplit/>
          <w:trHeight w:val="218"/>
        </w:trPr>
        <w:tc>
          <w:tcPr>
            <w:tcW w:w="2139" w:type="dxa"/>
            <w:tcBorders>
              <w:bottom w:val="single" w:sz="12" w:space="0" w:color="auto"/>
            </w:tcBorders>
            <w:shd w:val="clear" w:color="auto" w:fill="auto"/>
          </w:tcPr>
          <w:p w:rsidR="00AC7244" w:rsidRDefault="00AC7244" w:rsidP="00D47F63">
            <w:pPr>
              <w:pStyle w:val="ENoteTableText"/>
              <w:tabs>
                <w:tab w:val="center" w:leader="dot" w:pos="2268"/>
              </w:tabs>
              <w:rPr>
                <w:b/>
              </w:rPr>
            </w:pPr>
            <w:r>
              <w:rPr>
                <w:b/>
              </w:rPr>
              <w:t>i</w:t>
            </w:r>
            <w:r w:rsidR="00D47F63">
              <w:t xml:space="preserve">tem </w:t>
            </w:r>
            <w:r w:rsidR="007D52D6">
              <w:t>[</w:t>
            </w:r>
            <w:r w:rsidR="00D47F63">
              <w:t>1</w:t>
            </w:r>
            <w:r w:rsidR="007D52D6">
              <w:t>]</w:t>
            </w:r>
            <w:r>
              <w:tab/>
            </w:r>
          </w:p>
        </w:tc>
        <w:tc>
          <w:tcPr>
            <w:tcW w:w="6220" w:type="dxa"/>
            <w:tcBorders>
              <w:bottom w:val="single" w:sz="12" w:space="0" w:color="auto"/>
            </w:tcBorders>
            <w:shd w:val="clear" w:color="auto" w:fill="auto"/>
          </w:tcPr>
          <w:p w:rsidR="00AC7244" w:rsidRDefault="00AC7244" w:rsidP="00B53602">
            <w:pPr>
              <w:pStyle w:val="ENoteTableText"/>
            </w:pPr>
            <w:r>
              <w:t>am F2014L00640</w:t>
            </w:r>
          </w:p>
        </w:tc>
      </w:tr>
    </w:tbl>
    <w:p w:rsidR="002B556B" w:rsidRDefault="002B556B" w:rsidP="002B556B">
      <w:pPr>
        <w:pStyle w:val="Tabletext"/>
      </w:pPr>
    </w:p>
    <w:p w:rsidR="002F1C9A" w:rsidRDefault="002F1C9A" w:rsidP="0095354D">
      <w:pPr>
        <w:pStyle w:val="ENotesHeading2"/>
        <w:pageBreakBefore/>
      </w:pPr>
      <w:r>
        <w:lastRenderedPageBreak/>
        <w:t>Endnote 5—</w:t>
      </w:r>
      <w:proofErr w:type="spellStart"/>
      <w:r>
        <w:t>Uncommenced</w:t>
      </w:r>
      <w:proofErr w:type="spellEnd"/>
      <w:r>
        <w:t xml:space="preserve"> amendments</w:t>
      </w:r>
      <w:r w:rsidR="00F82964">
        <w:t xml:space="preserve"> </w:t>
      </w:r>
      <w:r w:rsidR="0044625D">
        <w:t>[none]</w:t>
      </w:r>
    </w:p>
    <w:p w:rsidR="002F1C9A" w:rsidRDefault="002F1C9A" w:rsidP="008A7932">
      <w:pPr>
        <w:pStyle w:val="ENotesHeading2"/>
      </w:pPr>
      <w:r>
        <w:t>Endn</w:t>
      </w:r>
      <w:r w:rsidRPr="00786FBC">
        <w:t xml:space="preserve">ote </w:t>
      </w:r>
      <w:r>
        <w:t>6</w:t>
      </w:r>
      <w:r w:rsidRPr="00786FBC">
        <w:t>—Modifications</w:t>
      </w:r>
      <w:r w:rsidR="0044625D">
        <w:t xml:space="preserve"> [none]</w:t>
      </w:r>
    </w:p>
    <w:p w:rsidR="002F1C9A" w:rsidRPr="00723CF8" w:rsidRDefault="002F1C9A" w:rsidP="008A7932">
      <w:pPr>
        <w:pStyle w:val="ENotesHeading2"/>
      </w:pPr>
      <w:r>
        <w:t>Endnote 7</w:t>
      </w:r>
      <w:r w:rsidRPr="00723CF8">
        <w:t>—</w:t>
      </w:r>
      <w:proofErr w:type="spellStart"/>
      <w:r w:rsidRPr="00723CF8">
        <w:t>Misdescribed</w:t>
      </w:r>
      <w:proofErr w:type="spellEnd"/>
      <w:r w:rsidRPr="00723CF8">
        <w:t xml:space="preserve"> </w:t>
      </w:r>
      <w:r>
        <w:t>a</w:t>
      </w:r>
      <w:r w:rsidRPr="00723CF8">
        <w:t>mendments</w:t>
      </w:r>
      <w:r w:rsidR="0044625D">
        <w:t xml:space="preserve"> [none]</w:t>
      </w:r>
    </w:p>
    <w:p w:rsidR="002F1C9A" w:rsidRDefault="002F1C9A" w:rsidP="008A7932">
      <w:pPr>
        <w:pStyle w:val="ENotesHeading2"/>
      </w:pPr>
      <w:r>
        <w:t>Endnote 8—Miscellaneous</w:t>
      </w:r>
      <w:r w:rsidR="0044625D">
        <w:t xml:space="preserve"> [none]</w:t>
      </w:r>
    </w:p>
    <w:p w:rsidR="002F1C9A" w:rsidRDefault="002F1C9A" w:rsidP="0095354D"/>
    <w:p w:rsidR="002F1C9A" w:rsidRDefault="002F1C9A" w:rsidP="001A0BEE"/>
    <w:p w:rsidR="002F1C9A" w:rsidRDefault="002F1C9A" w:rsidP="001A0BEE"/>
    <w:p w:rsidR="002F1C9A" w:rsidRPr="00C4473E" w:rsidRDefault="002F1C9A" w:rsidP="001A0BEE"/>
    <w:p w:rsidR="002F1C9A" w:rsidRPr="00A37893" w:rsidRDefault="002F1C9A" w:rsidP="001A0BEE"/>
    <w:p w:rsidR="002F1C9A" w:rsidRDefault="002F1C9A" w:rsidP="001A0BEE">
      <w:pPr>
        <w:sectPr w:rsidR="002F1C9A" w:rsidSect="004C79CF">
          <w:headerReference w:type="even" r:id="rId21"/>
          <w:headerReference w:type="default" r:id="rId22"/>
          <w:footerReference w:type="even" r:id="rId23"/>
          <w:footerReference w:type="default" r:id="rId24"/>
          <w:pgSz w:w="11907" w:h="16839" w:code="9"/>
          <w:pgMar w:top="1440" w:right="1797" w:bottom="1440" w:left="1797" w:header="720" w:footer="709" w:gutter="0"/>
          <w:cols w:space="708"/>
          <w:docGrid w:linePitch="360"/>
        </w:sectPr>
      </w:pPr>
    </w:p>
    <w:p w:rsidR="007177E0" w:rsidRPr="00152412" w:rsidRDefault="007177E0" w:rsidP="002F1C9A"/>
    <w:sectPr w:rsidR="007177E0" w:rsidRPr="00152412" w:rsidSect="002F1C9A">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99" w:rsidRDefault="00625899" w:rsidP="00715914">
      <w:pPr>
        <w:spacing w:line="240" w:lineRule="auto"/>
      </w:pPr>
      <w:r>
        <w:separator/>
      </w:r>
    </w:p>
  </w:endnote>
  <w:endnote w:type="continuationSeparator" w:id="0">
    <w:p w:rsidR="00625899" w:rsidRDefault="0062589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44" w:rsidRDefault="00AC7244"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44" w:rsidRDefault="00AC7244" w:rsidP="001A4A0C">
    <w:pPr>
      <w:pStyle w:val="Footer"/>
      <w:spacing w:before="120"/>
      <w:jc w:val="center"/>
    </w:pPr>
    <w:r w:rsidRPr="00CB7761">
      <w:t>Prepared by</w:t>
    </w:r>
    <w:r>
      <w:t xml:space="preserve"> Department of Health, Canberra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3"/>
    </w:tblGrid>
    <w:tr w:rsidR="007500C8" w:rsidTr="00B33709">
      <w:tc>
        <w:tcPr>
          <w:tcW w:w="709" w:type="dxa"/>
          <w:tcBorders>
            <w:top w:val="nil"/>
            <w:left w:val="nil"/>
            <w:bottom w:val="nil"/>
            <w:right w:val="nil"/>
          </w:tcBorders>
        </w:tcPr>
        <w:p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695C">
            <w:rPr>
              <w:i/>
              <w:noProof/>
              <w:sz w:val="18"/>
            </w:rPr>
            <w:t>2</w:t>
          </w:r>
          <w:r w:rsidRPr="00ED79B6">
            <w:rPr>
              <w:i/>
              <w:sz w:val="18"/>
            </w:rPr>
            <w:fldChar w:fldCharType="end"/>
          </w:r>
        </w:p>
      </w:tc>
      <w:tc>
        <w:tcPr>
          <w:tcW w:w="6379" w:type="dxa"/>
          <w:tcBorders>
            <w:top w:val="nil"/>
            <w:left w:val="nil"/>
            <w:bottom w:val="nil"/>
            <w:right w:val="nil"/>
          </w:tcBorders>
        </w:tcPr>
        <w:p w:rsidR="007500C8" w:rsidRPr="00AC7244" w:rsidRDefault="007D52D6" w:rsidP="002816B3">
          <w:pPr>
            <w:spacing w:line="0" w:lineRule="atLeast"/>
            <w:jc w:val="center"/>
            <w:rPr>
              <w:i/>
              <w:sz w:val="18"/>
              <w:szCs w:val="18"/>
            </w:rPr>
          </w:pPr>
          <w:r w:rsidRPr="00AC7244">
            <w:rPr>
              <w:i/>
              <w:color w:val="000000"/>
              <w:sz w:val="18"/>
              <w:szCs w:val="18"/>
            </w:rPr>
            <w:t>Declaration of Quality Assurance Activity under section 124X of the Health Insurance Act 1973</w:t>
          </w:r>
          <w:r>
            <w:rPr>
              <w:i/>
              <w:color w:val="000000"/>
              <w:sz w:val="18"/>
              <w:szCs w:val="18"/>
            </w:rPr>
            <w:t>—</w:t>
          </w:r>
          <w:r w:rsidRPr="00AC7244">
            <w:rPr>
              <w:i/>
              <w:color w:val="000000"/>
              <w:sz w:val="18"/>
              <w:szCs w:val="18"/>
            </w:rPr>
            <w:t>QAA 2/2012</w:t>
          </w:r>
        </w:p>
      </w:tc>
      <w:tc>
        <w:tcPr>
          <w:tcW w:w="1383" w:type="dxa"/>
          <w:tcBorders>
            <w:top w:val="nil"/>
            <w:left w:val="nil"/>
            <w:bottom w:val="nil"/>
            <w:right w:val="nil"/>
          </w:tcBorders>
        </w:tcPr>
        <w:p w:rsidR="007500C8" w:rsidRDefault="007500C8" w:rsidP="00830B62">
          <w:pPr>
            <w:spacing w:line="0" w:lineRule="atLeast"/>
            <w:jc w:val="right"/>
            <w:rPr>
              <w:sz w:val="18"/>
            </w:rPr>
          </w:pPr>
        </w:p>
      </w:tc>
    </w:tr>
  </w:tbl>
  <w:p w:rsidR="007500C8" w:rsidRPr="00ED79B6" w:rsidRDefault="007500C8"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7500C8" w:rsidTr="00B33709">
      <w:tc>
        <w:tcPr>
          <w:tcW w:w="1383" w:type="dxa"/>
          <w:tcBorders>
            <w:top w:val="nil"/>
            <w:left w:val="nil"/>
            <w:bottom w:val="nil"/>
            <w:right w:val="nil"/>
          </w:tcBorders>
        </w:tcPr>
        <w:p w:rsidR="007500C8" w:rsidRDefault="007500C8" w:rsidP="00830B62">
          <w:pPr>
            <w:spacing w:line="0" w:lineRule="atLeast"/>
            <w:rPr>
              <w:sz w:val="18"/>
            </w:rPr>
          </w:pPr>
        </w:p>
      </w:tc>
      <w:tc>
        <w:tcPr>
          <w:tcW w:w="6380" w:type="dxa"/>
          <w:tcBorders>
            <w:top w:val="nil"/>
            <w:left w:val="nil"/>
            <w:bottom w:val="nil"/>
            <w:right w:val="nil"/>
          </w:tcBorders>
        </w:tcPr>
        <w:p w:rsidR="007500C8" w:rsidRPr="00AC7244" w:rsidRDefault="007D52D6" w:rsidP="007D52D6">
          <w:pPr>
            <w:spacing w:line="0" w:lineRule="atLeast"/>
            <w:jc w:val="center"/>
            <w:rPr>
              <w:i/>
              <w:sz w:val="18"/>
              <w:szCs w:val="18"/>
            </w:rPr>
          </w:pPr>
          <w:r w:rsidRPr="00AC7244">
            <w:rPr>
              <w:i/>
              <w:color w:val="000000"/>
              <w:sz w:val="18"/>
              <w:szCs w:val="18"/>
            </w:rPr>
            <w:t>Declaration of Quality Assurance Activity under section 124X of the Health Insurance Act 1973</w:t>
          </w:r>
          <w:r>
            <w:rPr>
              <w:i/>
              <w:color w:val="000000"/>
              <w:sz w:val="18"/>
              <w:szCs w:val="18"/>
            </w:rPr>
            <w:t>—</w:t>
          </w:r>
          <w:r w:rsidRPr="00AC7244">
            <w:rPr>
              <w:i/>
              <w:color w:val="000000"/>
              <w:sz w:val="18"/>
              <w:szCs w:val="18"/>
            </w:rPr>
            <w:t>QAA 2/2012</w:t>
          </w:r>
        </w:p>
      </w:tc>
      <w:tc>
        <w:tcPr>
          <w:tcW w:w="709" w:type="dxa"/>
          <w:tcBorders>
            <w:top w:val="nil"/>
            <w:left w:val="nil"/>
            <w:bottom w:val="nil"/>
            <w:right w:val="nil"/>
          </w:tcBorders>
        </w:tcPr>
        <w:p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695C">
            <w:rPr>
              <w:i/>
              <w:noProof/>
              <w:sz w:val="18"/>
            </w:rPr>
            <w:t>3</w:t>
          </w:r>
          <w:r w:rsidRPr="00ED79B6">
            <w:rPr>
              <w:i/>
              <w:sz w:val="18"/>
            </w:rPr>
            <w:fldChar w:fldCharType="end"/>
          </w:r>
        </w:p>
      </w:tc>
    </w:tr>
  </w:tbl>
  <w:p w:rsidR="007500C8" w:rsidRPr="00ED79B6" w:rsidRDefault="007500C8"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9A" w:rsidRPr="00E33C1C" w:rsidRDefault="002F1C9A" w:rsidP="001A0BEE">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10EED" w:rsidTr="00910EED">
      <w:tc>
        <w:tcPr>
          <w:tcW w:w="709" w:type="dxa"/>
          <w:tcBorders>
            <w:top w:val="nil"/>
            <w:left w:val="nil"/>
            <w:bottom w:val="nil"/>
            <w:right w:val="nil"/>
          </w:tcBorders>
        </w:tcPr>
        <w:p w:rsidR="00910EED" w:rsidRDefault="00910EED"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695C">
            <w:rPr>
              <w:i/>
              <w:noProof/>
              <w:sz w:val="18"/>
            </w:rPr>
            <w:t>8</w:t>
          </w:r>
          <w:r w:rsidRPr="00ED79B6">
            <w:rPr>
              <w:i/>
              <w:sz w:val="18"/>
            </w:rPr>
            <w:fldChar w:fldCharType="end"/>
          </w:r>
        </w:p>
      </w:tc>
      <w:tc>
        <w:tcPr>
          <w:tcW w:w="6379" w:type="dxa"/>
          <w:tcBorders>
            <w:top w:val="nil"/>
            <w:left w:val="nil"/>
            <w:bottom w:val="nil"/>
            <w:right w:val="nil"/>
          </w:tcBorders>
        </w:tcPr>
        <w:p w:rsidR="00910EED" w:rsidRPr="00AC7244" w:rsidRDefault="002B556B" w:rsidP="0044625D">
          <w:pPr>
            <w:spacing w:line="0" w:lineRule="atLeast"/>
            <w:jc w:val="center"/>
            <w:rPr>
              <w:i/>
              <w:sz w:val="18"/>
              <w:szCs w:val="18"/>
            </w:rPr>
          </w:pPr>
          <w:r w:rsidRPr="00AC7244">
            <w:rPr>
              <w:i/>
              <w:color w:val="000000"/>
              <w:sz w:val="18"/>
              <w:szCs w:val="18"/>
            </w:rPr>
            <w:t>Declaration of Quality Assurance Activity under section 124X of the Health Insurance Act 1973 ─ QAA 2/2012</w:t>
          </w:r>
          <w:r w:rsidRPr="00AC7244">
            <w:rPr>
              <w:i/>
              <w:sz w:val="18"/>
              <w:szCs w:val="18"/>
            </w:rPr>
            <w:t xml:space="preserve"> </w:t>
          </w:r>
        </w:p>
      </w:tc>
      <w:tc>
        <w:tcPr>
          <w:tcW w:w="1384" w:type="dxa"/>
          <w:tcBorders>
            <w:top w:val="nil"/>
            <w:left w:val="nil"/>
            <w:bottom w:val="nil"/>
            <w:right w:val="nil"/>
          </w:tcBorders>
        </w:tcPr>
        <w:p w:rsidR="00910EED" w:rsidRDefault="00910EED" w:rsidP="001A0BEE">
          <w:pPr>
            <w:spacing w:line="0" w:lineRule="atLeast"/>
            <w:jc w:val="right"/>
            <w:rPr>
              <w:sz w:val="18"/>
            </w:rPr>
          </w:pPr>
        </w:p>
      </w:tc>
    </w:tr>
  </w:tbl>
  <w:p w:rsidR="002F1C9A" w:rsidRPr="00ED79B6" w:rsidRDefault="002F1C9A" w:rsidP="001A0BE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9A" w:rsidRPr="00E33C1C" w:rsidRDefault="002F1C9A"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10EED" w:rsidTr="001A0BEE">
      <w:tc>
        <w:tcPr>
          <w:tcW w:w="1384" w:type="dxa"/>
          <w:tcBorders>
            <w:top w:val="nil"/>
            <w:left w:val="nil"/>
            <w:bottom w:val="nil"/>
            <w:right w:val="nil"/>
          </w:tcBorders>
        </w:tcPr>
        <w:p w:rsidR="00910EED" w:rsidRDefault="00910EED" w:rsidP="001A0BEE">
          <w:pPr>
            <w:spacing w:line="0" w:lineRule="atLeast"/>
            <w:rPr>
              <w:sz w:val="18"/>
            </w:rPr>
          </w:pPr>
        </w:p>
      </w:tc>
      <w:tc>
        <w:tcPr>
          <w:tcW w:w="6379" w:type="dxa"/>
          <w:tcBorders>
            <w:top w:val="nil"/>
            <w:left w:val="nil"/>
            <w:bottom w:val="nil"/>
            <w:right w:val="nil"/>
          </w:tcBorders>
        </w:tcPr>
        <w:p w:rsidR="00910EED" w:rsidRPr="00AC7244" w:rsidRDefault="007D6662" w:rsidP="007D6662">
          <w:pPr>
            <w:spacing w:line="0" w:lineRule="atLeast"/>
            <w:jc w:val="center"/>
            <w:rPr>
              <w:i/>
              <w:sz w:val="18"/>
              <w:szCs w:val="18"/>
            </w:rPr>
          </w:pPr>
          <w:r w:rsidRPr="00AC7244">
            <w:rPr>
              <w:i/>
              <w:color w:val="000000"/>
              <w:sz w:val="18"/>
              <w:szCs w:val="18"/>
            </w:rPr>
            <w:t>Declaration of Quality Assurance Activity under section 124X of the Health Insurance Act 1973 ─ QAA 2/2012</w:t>
          </w:r>
          <w:r w:rsidRPr="00AC7244">
            <w:rPr>
              <w:i/>
              <w:sz w:val="18"/>
              <w:szCs w:val="18"/>
            </w:rPr>
            <w:t xml:space="preserve"> </w:t>
          </w:r>
        </w:p>
      </w:tc>
      <w:tc>
        <w:tcPr>
          <w:tcW w:w="709" w:type="dxa"/>
          <w:tcBorders>
            <w:top w:val="nil"/>
            <w:left w:val="nil"/>
            <w:bottom w:val="nil"/>
            <w:right w:val="nil"/>
          </w:tcBorders>
        </w:tcPr>
        <w:p w:rsidR="00910EED" w:rsidRDefault="00910EED" w:rsidP="001A0BE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A695C">
            <w:rPr>
              <w:i/>
              <w:noProof/>
              <w:sz w:val="18"/>
            </w:rPr>
            <w:t>7</w:t>
          </w:r>
          <w:r w:rsidRPr="00ED79B6">
            <w:rPr>
              <w:i/>
              <w:sz w:val="18"/>
            </w:rPr>
            <w:fldChar w:fldCharType="end"/>
          </w:r>
        </w:p>
      </w:tc>
    </w:tr>
  </w:tbl>
  <w:p w:rsidR="002F1C9A" w:rsidRPr="00ED79B6" w:rsidRDefault="002F1C9A"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500C8" w:rsidTr="00B33709">
      <w:tc>
        <w:tcPr>
          <w:tcW w:w="709" w:type="dxa"/>
          <w:tcBorders>
            <w:top w:val="nil"/>
            <w:left w:val="nil"/>
            <w:bottom w:val="nil"/>
            <w:right w:val="nil"/>
          </w:tcBorders>
        </w:tcPr>
        <w:p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7E58">
            <w:rPr>
              <w:i/>
              <w:noProof/>
              <w:sz w:val="18"/>
            </w:rPr>
            <w:t>8</w:t>
          </w:r>
          <w:r w:rsidRPr="00ED79B6">
            <w:rPr>
              <w:i/>
              <w:sz w:val="18"/>
            </w:rPr>
            <w:fldChar w:fldCharType="end"/>
          </w: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695C">
            <w:rPr>
              <w:i/>
              <w:sz w:val="18"/>
            </w:rPr>
            <w:t>[title] 2012</w:t>
          </w:r>
          <w:r w:rsidRPr="007A1328">
            <w:rPr>
              <w:i/>
              <w:sz w:val="18"/>
            </w:rPr>
            <w:fldChar w:fldCharType="end"/>
          </w:r>
        </w:p>
      </w:tc>
      <w:tc>
        <w:tcPr>
          <w:tcW w:w="1383" w:type="dxa"/>
          <w:tcBorders>
            <w:top w:val="nil"/>
            <w:left w:val="nil"/>
            <w:bottom w:val="nil"/>
            <w:right w:val="nil"/>
          </w:tcBorders>
        </w:tcPr>
        <w:p w:rsidR="007500C8" w:rsidRDefault="007500C8" w:rsidP="00830B62">
          <w:pPr>
            <w:spacing w:line="0" w:lineRule="atLeast"/>
            <w:jc w:val="right"/>
            <w:rPr>
              <w:sz w:val="18"/>
            </w:rPr>
          </w:pPr>
        </w:p>
      </w:tc>
    </w:tr>
    <w:tr w:rsidR="007500C8"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500C8" w:rsidRDefault="007500C8" w:rsidP="00830B62">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695C">
            <w:rPr>
              <w:i/>
              <w:noProof/>
              <w:sz w:val="18"/>
            </w:rPr>
            <w:t>D:\Users\lewise\AppData\Local\Temp\1\notesA3DCBA\138-2014 Comp - QAA 2 2012.docx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4A695C">
            <w:rPr>
              <w:i/>
              <w:noProof/>
              <w:sz w:val="18"/>
            </w:rPr>
            <w:t>30/9/2014 12:03 PM</w:t>
          </w:r>
          <w:r w:rsidRPr="00ED79B6">
            <w:rPr>
              <w:i/>
              <w:sz w:val="18"/>
            </w:rPr>
            <w:fldChar w:fldCharType="end"/>
          </w:r>
        </w:p>
      </w:tc>
    </w:tr>
  </w:tbl>
  <w:p w:rsidR="007500C8" w:rsidRPr="00ED79B6" w:rsidRDefault="007500C8"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BE" w:rsidRPr="00E33C1C" w:rsidRDefault="00472DBE"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72DBE" w:rsidTr="008067B4">
      <w:tc>
        <w:tcPr>
          <w:tcW w:w="1384" w:type="dxa"/>
          <w:tcBorders>
            <w:top w:val="nil"/>
            <w:left w:val="nil"/>
            <w:bottom w:val="nil"/>
            <w:right w:val="nil"/>
          </w:tcBorders>
        </w:tcPr>
        <w:p w:rsidR="00472DBE" w:rsidRDefault="00472DBE" w:rsidP="008067B4">
          <w:pPr>
            <w:spacing w:line="0" w:lineRule="atLeast"/>
            <w:rPr>
              <w:sz w:val="18"/>
            </w:rPr>
          </w:pPr>
        </w:p>
      </w:tc>
      <w:tc>
        <w:tcPr>
          <w:tcW w:w="6379" w:type="dxa"/>
          <w:tcBorders>
            <w:top w:val="nil"/>
            <w:left w:val="nil"/>
            <w:bottom w:val="nil"/>
            <w:right w:val="nil"/>
          </w:tcBorders>
        </w:tcPr>
        <w:p w:rsidR="00472DBE" w:rsidRDefault="00472DBE" w:rsidP="008067B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695C">
            <w:rPr>
              <w:i/>
              <w:sz w:val="18"/>
            </w:rPr>
            <w:t>[title] 2012</w:t>
          </w:r>
          <w:r w:rsidRPr="007A1328">
            <w:rPr>
              <w:i/>
              <w:sz w:val="18"/>
            </w:rPr>
            <w:fldChar w:fldCharType="end"/>
          </w:r>
        </w:p>
      </w:tc>
      <w:tc>
        <w:tcPr>
          <w:tcW w:w="709" w:type="dxa"/>
          <w:tcBorders>
            <w:top w:val="nil"/>
            <w:left w:val="nil"/>
            <w:bottom w:val="nil"/>
            <w:right w:val="nil"/>
          </w:tcBorders>
        </w:tcPr>
        <w:p w:rsidR="00472DBE" w:rsidRDefault="00472DBE"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7E58">
            <w:rPr>
              <w:i/>
              <w:noProof/>
              <w:sz w:val="18"/>
            </w:rPr>
            <w:t>9</w:t>
          </w:r>
          <w:r w:rsidRPr="00ED79B6">
            <w:rPr>
              <w:i/>
              <w:sz w:val="18"/>
            </w:rPr>
            <w:fldChar w:fldCharType="end"/>
          </w:r>
        </w:p>
      </w:tc>
    </w:tr>
    <w:tr w:rsidR="00472DBE" w:rsidTr="0080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472DBE" w:rsidRDefault="00472DBE" w:rsidP="008067B4">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695C">
            <w:rPr>
              <w:i/>
              <w:noProof/>
              <w:sz w:val="18"/>
            </w:rPr>
            <w:t>D:\Users\lewise\AppData\Local\Temp\1\notesA3DCBA\138-2014 Comp - QAA 2 2012.docx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4A695C">
            <w:rPr>
              <w:i/>
              <w:noProof/>
              <w:sz w:val="18"/>
            </w:rPr>
            <w:t>30/9/2014 12:03 PM</w:t>
          </w:r>
          <w:r w:rsidRPr="00ED79B6">
            <w:rPr>
              <w:i/>
              <w:sz w:val="18"/>
            </w:rPr>
            <w:fldChar w:fldCharType="end"/>
          </w:r>
        </w:p>
      </w:tc>
    </w:tr>
  </w:tbl>
  <w:p w:rsidR="00472DBE" w:rsidRPr="00ED79B6" w:rsidRDefault="00472DBE"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C8" w:rsidRPr="00E33C1C" w:rsidRDefault="007500C8"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500C8" w:rsidTr="00B33709">
      <w:tc>
        <w:tcPr>
          <w:tcW w:w="1384" w:type="dxa"/>
          <w:tcBorders>
            <w:top w:val="nil"/>
            <w:left w:val="nil"/>
            <w:bottom w:val="nil"/>
            <w:right w:val="nil"/>
          </w:tcBorders>
        </w:tcPr>
        <w:p w:rsidR="007500C8" w:rsidRDefault="007500C8" w:rsidP="00830B62">
          <w:pPr>
            <w:spacing w:line="0" w:lineRule="atLeast"/>
            <w:rPr>
              <w:sz w:val="18"/>
            </w:rPr>
          </w:pPr>
        </w:p>
      </w:tc>
      <w:tc>
        <w:tcPr>
          <w:tcW w:w="6379" w:type="dxa"/>
          <w:tcBorders>
            <w:top w:val="nil"/>
            <w:left w:val="nil"/>
            <w:bottom w:val="nil"/>
            <w:right w:val="nil"/>
          </w:tcBorders>
        </w:tcPr>
        <w:p w:rsidR="007500C8" w:rsidRDefault="007500C8"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A695C">
            <w:rPr>
              <w:i/>
              <w:sz w:val="18"/>
            </w:rPr>
            <w:t>[title] 2012</w:t>
          </w:r>
          <w:r w:rsidRPr="007A1328">
            <w:rPr>
              <w:i/>
              <w:sz w:val="18"/>
            </w:rPr>
            <w:fldChar w:fldCharType="end"/>
          </w:r>
        </w:p>
      </w:tc>
      <w:tc>
        <w:tcPr>
          <w:tcW w:w="709" w:type="dxa"/>
          <w:tcBorders>
            <w:top w:val="nil"/>
            <w:left w:val="nil"/>
            <w:bottom w:val="nil"/>
            <w:right w:val="nil"/>
          </w:tcBorders>
        </w:tcPr>
        <w:p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746F">
            <w:rPr>
              <w:i/>
              <w:noProof/>
              <w:sz w:val="18"/>
            </w:rPr>
            <w:t>1</w:t>
          </w:r>
          <w:r w:rsidRPr="00ED79B6">
            <w:rPr>
              <w:i/>
              <w:sz w:val="18"/>
            </w:rPr>
            <w:fldChar w:fldCharType="end"/>
          </w:r>
        </w:p>
      </w:tc>
    </w:tr>
    <w:tr w:rsidR="007500C8"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500C8" w:rsidRDefault="007500C8" w:rsidP="00830B62">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A695C">
            <w:rPr>
              <w:i/>
              <w:noProof/>
              <w:sz w:val="18"/>
            </w:rPr>
            <w:t>D:\Users\lewise\AppData\Local\Temp\1\notesA3DCBA\138-2014 Comp - QAA 2 2012.docx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4A695C">
            <w:rPr>
              <w:i/>
              <w:noProof/>
              <w:sz w:val="18"/>
            </w:rPr>
            <w:t>30/9/2014 12:03 PM</w:t>
          </w:r>
          <w:r w:rsidRPr="00ED79B6">
            <w:rPr>
              <w:i/>
              <w:sz w:val="18"/>
            </w:rPr>
            <w:fldChar w:fldCharType="end"/>
          </w:r>
        </w:p>
      </w:tc>
    </w:tr>
  </w:tbl>
  <w:p w:rsidR="007500C8" w:rsidRPr="00ED79B6" w:rsidRDefault="007500C8"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99" w:rsidRDefault="00625899" w:rsidP="00715914">
      <w:pPr>
        <w:spacing w:line="240" w:lineRule="auto"/>
      </w:pPr>
      <w:r>
        <w:separator/>
      </w:r>
    </w:p>
  </w:footnote>
  <w:footnote w:type="continuationSeparator" w:id="0">
    <w:p w:rsidR="00625899" w:rsidRDefault="0062589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44" w:rsidRDefault="00AC7244" w:rsidP="0076547B">
    <w:pPr>
      <w:pStyle w:val="Header"/>
      <w:pBdr>
        <w:bottom w:val="single" w:sz="4" w:space="1" w:color="auto"/>
      </w:pBdr>
      <w:tabs>
        <w:tab w:val="clear" w:pos="4150"/>
        <w:tab w:val="clear" w:pos="8307"/>
      </w:tabs>
    </w:pPr>
  </w:p>
  <w:p w:rsidR="00AC7244" w:rsidRDefault="00AC7244" w:rsidP="0076547B">
    <w:pPr>
      <w:pStyle w:val="Header"/>
      <w:pBdr>
        <w:bottom w:val="single" w:sz="4" w:space="1" w:color="auto"/>
      </w:pBdr>
      <w:tabs>
        <w:tab w:val="clear" w:pos="4150"/>
        <w:tab w:val="clear" w:pos="8307"/>
      </w:tabs>
    </w:pPr>
  </w:p>
  <w:p w:rsidR="00AC7244" w:rsidRPr="005F1388" w:rsidRDefault="00AC7244" w:rsidP="0076547B">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CharChapText </w:instrText>
    </w:r>
    <w:r w:rsidRPr="007A1328">
      <w:rPr>
        <w:sz w:val="20"/>
      </w:rPr>
      <w:fldChar w:fldCharType="end"/>
    </w:r>
    <w:r w:rsidR="00715914" w:rsidRPr="007A1328">
      <w:rPr>
        <w:sz w:val="20"/>
      </w:rPr>
      <w:t xml:space="preserve"> </w:t>
    </w:r>
    <w:r w:rsidR="00715914" w:rsidRPr="007A1328">
      <w:rPr>
        <w:b/>
        <w:sz w:val="20"/>
      </w:rPr>
      <w:t xml:space="preserve"> </w:t>
    </w:r>
    <w:r>
      <w:rPr>
        <w:b/>
        <w:sz w:val="20"/>
      </w:rPr>
      <w:fldChar w:fldCharType="begin"/>
    </w:r>
    <w:r w:rsidR="00715914">
      <w:rPr>
        <w:b/>
        <w:sz w:val="20"/>
      </w:rPr>
      <w:instrText xml:space="preserve"> STYLEREF CharChapNo </w:instrText>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CharPartText </w:instrText>
    </w:r>
    <w:r w:rsidRPr="007A1328">
      <w:rPr>
        <w:sz w:val="20"/>
      </w:rPr>
      <w:fldChar w:fldCharType="end"/>
    </w:r>
    <w:r w:rsidR="00715914" w:rsidRPr="007A1328">
      <w:rPr>
        <w:sz w:val="20"/>
      </w:rPr>
      <w:t xml:space="preserve"> </w:t>
    </w:r>
    <w:r w:rsidR="00715914">
      <w:rPr>
        <w:sz w:val="20"/>
      </w:rPr>
      <w:t xml:space="preserve"> </w:t>
    </w:r>
    <w:r>
      <w:rPr>
        <w:b/>
        <w:sz w:val="20"/>
      </w:rPr>
      <w:fldChar w:fldCharType="begin"/>
    </w:r>
    <w:r w:rsidR="00715914">
      <w:rPr>
        <w:b/>
        <w:sz w:val="20"/>
      </w:rPr>
      <w:instrText xml:space="preserve"> STYLEREF CharPartNo </w:instrText>
    </w:r>
    <w:r>
      <w:rPr>
        <w:b/>
        <w:sz w:val="20"/>
      </w:rPr>
      <w:fldChar w:fldCharType="separate"/>
    </w:r>
    <w:r w:rsidR="004A695C">
      <w:rPr>
        <w:b/>
        <w:noProof/>
        <w:sz w:val="20"/>
      </w:rPr>
      <w:t>QAA2/2012 – Declared Quality Assurance Activities</w:t>
    </w:r>
    <w:r w:rsidR="004A695C">
      <w:rPr>
        <w:b/>
        <w:noProof/>
        <w:sz w:val="20"/>
      </w:rPr>
      <w:cr/>
    </w:r>
    <w:r>
      <w:rPr>
        <w:b/>
        <w:sz w:val="20"/>
      </w:rPr>
      <w:fldChar w:fldCharType="end"/>
    </w:r>
  </w:p>
  <w:p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sidR="00715914" w:rsidRPr="007A1328">
      <w:rPr>
        <w:sz w:val="20"/>
      </w:rPr>
      <w:t xml:space="preserve"> </w:t>
    </w:r>
    <w:r w:rsidR="00715914">
      <w:rPr>
        <w:b/>
        <w:sz w:val="20"/>
      </w:rPr>
      <w:t xml:space="preserve"> </w:t>
    </w:r>
    <w:r>
      <w:rPr>
        <w:b/>
        <w:sz w:val="20"/>
      </w:rPr>
      <w:fldChar w:fldCharType="begin"/>
    </w:r>
    <w:r w:rsidR="00715914">
      <w:rPr>
        <w:b/>
        <w:sz w:val="20"/>
      </w:rPr>
      <w:instrText xml:space="preserve"> STYLEREF CharDivNo </w:instrText>
    </w:r>
    <w:r>
      <w:rPr>
        <w:b/>
        <w:sz w:val="20"/>
      </w:rPr>
      <w:fldChar w:fldCharType="end"/>
    </w:r>
  </w:p>
  <w:p w:rsidR="00715914" w:rsidRPr="007A1328" w:rsidRDefault="00715914" w:rsidP="00715914">
    <w:pPr>
      <w:jc w:val="right"/>
      <w:rPr>
        <w:b/>
        <w:sz w:val="24"/>
      </w:rPr>
    </w:pPr>
  </w:p>
  <w:p w:rsidR="00715914" w:rsidRPr="007A1328" w:rsidRDefault="007E163D" w:rsidP="00715914">
    <w:pPr>
      <w:pBdr>
        <w:bottom w:val="single" w:sz="6" w:space="1" w:color="auto"/>
      </w:pBdr>
      <w:jc w:val="right"/>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4A695C">
      <w:rPr>
        <w:sz w:val="24"/>
      </w:rPr>
      <w:t>Section</w:t>
    </w:r>
    <w:r>
      <w:rPr>
        <w:sz w:val="24"/>
      </w:rPr>
      <w:fldChar w:fldCharType="end"/>
    </w:r>
    <w:r w:rsidR="00715914" w:rsidRPr="007A1328">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4A695C">
      <w:rPr>
        <w:b/>
        <w:bCs/>
        <w:noProof/>
        <w:sz w:val="24"/>
        <w:lang w:val="en-US"/>
      </w:rPr>
      <w:t>Error! No text of specified style in document.</w:t>
    </w:r>
    <w:r w:rsidR="00F83989"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715914"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44" w:rsidRPr="005F1388" w:rsidRDefault="00AC7244" w:rsidP="0076547B">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44" w:rsidRPr="005F1388" w:rsidRDefault="00AC7244"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D52D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D52D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9A" w:rsidRPr="00C4473E" w:rsidRDefault="002F1C9A" w:rsidP="001A0BEE">
    <w:pPr>
      <w:rPr>
        <w:sz w:val="26"/>
        <w:szCs w:val="26"/>
      </w:rPr>
    </w:pPr>
  </w:p>
  <w:p w:rsidR="002F1C9A" w:rsidRPr="00965EE7" w:rsidRDefault="002F1C9A" w:rsidP="001A0BEE">
    <w:pPr>
      <w:rPr>
        <w:b/>
        <w:sz w:val="20"/>
      </w:rPr>
    </w:pPr>
    <w:r w:rsidRPr="00965EE7">
      <w:rPr>
        <w:b/>
        <w:sz w:val="20"/>
      </w:rPr>
      <w:t>Endnotes</w:t>
    </w:r>
  </w:p>
  <w:p w:rsidR="002F1C9A" w:rsidRPr="007A1328" w:rsidRDefault="002F1C9A" w:rsidP="001A0BEE">
    <w:pPr>
      <w:rPr>
        <w:sz w:val="20"/>
      </w:rPr>
    </w:pPr>
  </w:p>
  <w:p w:rsidR="002F1C9A" w:rsidRPr="007A1328" w:rsidRDefault="002F1C9A" w:rsidP="001A0BEE">
    <w:pPr>
      <w:rPr>
        <w:b/>
        <w:sz w:val="24"/>
      </w:rPr>
    </w:pPr>
  </w:p>
  <w:p w:rsidR="002F1C9A" w:rsidRPr="00C4473E" w:rsidRDefault="002F1C9A"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A695C">
      <w:rPr>
        <w:noProof/>
        <w:szCs w:val="22"/>
      </w:rPr>
      <w:t>Endnote 5—Uncommenced amendments [none]</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9A" w:rsidRPr="00965EE7" w:rsidRDefault="002F1C9A" w:rsidP="001A0BEE">
    <w:pPr>
      <w:jc w:val="right"/>
      <w:rPr>
        <w:b/>
        <w:sz w:val="20"/>
      </w:rPr>
    </w:pPr>
    <w:r w:rsidRPr="00965EE7">
      <w:rPr>
        <w:b/>
        <w:sz w:val="20"/>
      </w:rPr>
      <w:t>Endnotes</w:t>
    </w:r>
  </w:p>
  <w:p w:rsidR="002F1C9A" w:rsidRPr="007A1328" w:rsidRDefault="002F1C9A" w:rsidP="001A0BEE">
    <w:pPr>
      <w:jc w:val="right"/>
      <w:rPr>
        <w:b/>
        <w:sz w:val="24"/>
      </w:rPr>
    </w:pPr>
  </w:p>
  <w:p w:rsidR="002F1C9A" w:rsidRPr="00C4473E" w:rsidRDefault="002F1C9A"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A695C">
      <w:rPr>
        <w:noProof/>
        <w:szCs w:val="22"/>
      </w:rPr>
      <w:t>Endnote 4—Amendment history</w:t>
    </w:r>
    <w:r w:rsidRPr="00C4473E">
      <w:rPr>
        <w:szCs w:val="22"/>
      </w:rPr>
      <w:fldChar w:fldCharType="end"/>
    </w:r>
  </w:p>
  <w:p w:rsidR="002F1C9A" w:rsidRDefault="002F1C9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F83989" w:rsidP="00715914">
    <w:pPr>
      <w:rPr>
        <w:sz w:val="20"/>
      </w:rPr>
    </w:pPr>
    <w:r w:rsidRPr="007A1328">
      <w:rPr>
        <w:b/>
        <w:sz w:val="20"/>
      </w:rPr>
      <w:fldChar w:fldCharType="begin"/>
    </w:r>
    <w:r w:rsidR="00715914" w:rsidRPr="007A1328">
      <w:rPr>
        <w:b/>
        <w:sz w:val="20"/>
      </w:rPr>
      <w:instrText xml:space="preserve"> STYLEREF CharChapNo </w:instrText>
    </w:r>
    <w:r w:rsidRPr="007A1328">
      <w:rPr>
        <w:b/>
        <w:sz w:val="20"/>
      </w:rPr>
      <w:fldChar w:fldCharType="end"/>
    </w:r>
    <w:r w:rsidR="00715914" w:rsidRPr="007A1328">
      <w:rPr>
        <w:b/>
        <w:sz w:val="20"/>
      </w:rPr>
      <w:t xml:space="preserve"> </w:t>
    </w:r>
    <w:r w:rsidR="00715914">
      <w:rPr>
        <w:sz w:val="20"/>
      </w:rPr>
      <w:t xml:space="preserve"> </w:t>
    </w:r>
    <w:r>
      <w:rPr>
        <w:sz w:val="20"/>
      </w:rPr>
      <w:fldChar w:fldCharType="begin"/>
    </w:r>
    <w:r w:rsidR="00715914">
      <w:rPr>
        <w:sz w:val="20"/>
      </w:rPr>
      <w:instrText xml:space="preserve"> STYLEREF CharChapText </w:instrText>
    </w:r>
    <w:r>
      <w:rPr>
        <w:sz w:val="20"/>
      </w:rPr>
      <w:fldChar w:fldCharType="end"/>
    </w:r>
  </w:p>
  <w:p w:rsidR="00715914" w:rsidRDefault="00F83989" w:rsidP="00715914">
    <w:pPr>
      <w:rPr>
        <w:sz w:val="20"/>
      </w:rPr>
    </w:pPr>
    <w:r w:rsidRPr="007A1328">
      <w:rPr>
        <w:b/>
        <w:sz w:val="20"/>
      </w:rPr>
      <w:fldChar w:fldCharType="begin"/>
    </w:r>
    <w:r w:rsidR="00715914" w:rsidRPr="007A1328">
      <w:rPr>
        <w:b/>
        <w:sz w:val="20"/>
      </w:rPr>
      <w:instrText xml:space="preserve"> STYLEREF CharPartNo </w:instrText>
    </w:r>
    <w:r w:rsidRPr="007A1328">
      <w:rPr>
        <w:b/>
        <w:sz w:val="20"/>
      </w:rPr>
      <w:fldChar w:fldCharType="separate"/>
    </w:r>
    <w:r w:rsidR="004A695C">
      <w:rPr>
        <w:b/>
        <w:noProof/>
        <w:sz w:val="20"/>
      </w:rPr>
      <w:t>QAA2/2012 – Declared Quality Assurance Activities</w:t>
    </w:r>
    <w:r w:rsidR="004A695C">
      <w:rPr>
        <w:b/>
        <w:noProof/>
        <w:sz w:val="20"/>
      </w:rPr>
      <w:cr/>
    </w:r>
    <w:r w:rsidRPr="007A1328">
      <w:rPr>
        <w:b/>
        <w:sz w:val="20"/>
      </w:rPr>
      <w:fldChar w:fldCharType="end"/>
    </w:r>
    <w:r w:rsidR="00715914" w:rsidRPr="007A1328">
      <w:rPr>
        <w:b/>
        <w:sz w:val="20"/>
      </w:rPr>
      <w:t xml:space="preserve"> </w:t>
    </w:r>
    <w:r w:rsidR="00715914" w:rsidRPr="007A1328">
      <w:rPr>
        <w:sz w:val="20"/>
      </w:rPr>
      <w:t xml:space="preserve"> </w:t>
    </w:r>
    <w:r>
      <w:rPr>
        <w:sz w:val="20"/>
      </w:rPr>
      <w:fldChar w:fldCharType="begin"/>
    </w:r>
    <w:r w:rsidR="00715914">
      <w:rPr>
        <w:sz w:val="20"/>
      </w:rPr>
      <w:instrText xml:space="preserve"> STYLEREF CharPartText </w:instrText>
    </w:r>
    <w:r>
      <w:rPr>
        <w:sz w:val="20"/>
      </w:rPr>
      <w:fldChar w:fldCharType="end"/>
    </w:r>
  </w:p>
  <w:p w:rsidR="00715914" w:rsidRPr="007A1328" w:rsidRDefault="00F83989" w:rsidP="00715914">
    <w:pPr>
      <w:rPr>
        <w:sz w:val="20"/>
      </w:rPr>
    </w:pPr>
    <w:r>
      <w:rPr>
        <w:b/>
        <w:sz w:val="20"/>
      </w:rPr>
      <w:fldChar w:fldCharType="begin"/>
    </w:r>
    <w:r w:rsidR="00715914">
      <w:rPr>
        <w:b/>
        <w:sz w:val="20"/>
      </w:rPr>
      <w:instrText xml:space="preserve"> STYLEREF CharDivNo </w:instrText>
    </w:r>
    <w:r>
      <w:rPr>
        <w:b/>
        <w:sz w:val="20"/>
      </w:rPr>
      <w:fldChar w:fldCharType="end"/>
    </w:r>
    <w:r w:rsidR="00715914">
      <w:rPr>
        <w:b/>
        <w:sz w:val="20"/>
      </w:rPr>
      <w:t xml:space="preserve"> </w:t>
    </w:r>
    <w:r w:rsidR="00715914">
      <w:rPr>
        <w:sz w:val="20"/>
      </w:rPr>
      <w:t xml:space="preserve"> </w:t>
    </w:r>
    <w:r>
      <w:rPr>
        <w:sz w:val="20"/>
      </w:rPr>
      <w:fldChar w:fldCharType="begin"/>
    </w:r>
    <w:r w:rsidR="00715914">
      <w:rPr>
        <w:sz w:val="20"/>
      </w:rPr>
      <w:instrText xml:space="preserve"> STYLEREF CharDivText </w:instrText>
    </w:r>
    <w:r>
      <w:rPr>
        <w:sz w:val="20"/>
      </w:rPr>
      <w:fldChar w:fldCharType="end"/>
    </w:r>
  </w:p>
  <w:p w:rsidR="00715914" w:rsidRPr="007A1328" w:rsidRDefault="00715914" w:rsidP="00715914">
    <w:pPr>
      <w:rPr>
        <w:b/>
        <w:sz w:val="24"/>
      </w:rPr>
    </w:pPr>
  </w:p>
  <w:p w:rsidR="00715914" w:rsidRPr="007A1328" w:rsidRDefault="007E163D" w:rsidP="00715914">
    <w:pPr>
      <w:pBdr>
        <w:bottom w:val="single" w:sz="6" w:space="1" w:color="auto"/>
      </w:pBdr>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4A695C">
      <w:rPr>
        <w:sz w:val="24"/>
      </w:rPr>
      <w:t>Section</w:t>
    </w:r>
    <w:r>
      <w:rPr>
        <w:sz w:val="24"/>
      </w:rPr>
      <w:fldChar w:fldCharType="end"/>
    </w:r>
    <w:r>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4A695C">
      <w:rPr>
        <w:b/>
        <w:bCs/>
        <w:noProof/>
        <w:sz w:val="24"/>
        <w:lang w:val="en-US"/>
      </w:rPr>
      <w:t>Error! No text of specified style in document.</w:t>
    </w:r>
    <w:r w:rsidR="00F83989"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397729E"/>
    <w:multiLevelType w:val="singleLevel"/>
    <w:tmpl w:val="D67E2D1C"/>
    <w:lvl w:ilvl="0">
      <w:start w:val="1"/>
      <w:numFmt w:val="lowerRoman"/>
      <w:lvlText w:val="(%1)"/>
      <w:lvlJc w:val="left"/>
      <w:pPr>
        <w:tabs>
          <w:tab w:val="num" w:pos="720"/>
        </w:tabs>
        <w:ind w:left="567" w:hanging="567"/>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4663750F"/>
    <w:multiLevelType w:val="singleLevel"/>
    <w:tmpl w:val="3F7CC862"/>
    <w:lvl w:ilvl="0">
      <w:start w:val="1"/>
      <w:numFmt w:val="decimal"/>
      <w:lvlText w:val="%1."/>
      <w:lvlJc w:val="left"/>
      <w:pPr>
        <w:tabs>
          <w:tab w:val="num" w:pos="570"/>
        </w:tabs>
        <w:ind w:left="570" w:hanging="570"/>
      </w:pPr>
    </w:lvl>
  </w:abstractNum>
  <w:abstractNum w:abstractNumId="14">
    <w:nsid w:val="4722305B"/>
    <w:multiLevelType w:val="hybridMultilevel"/>
    <w:tmpl w:val="746CD204"/>
    <w:lvl w:ilvl="0" w:tplc="88EAE6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4E7174"/>
    <w:multiLevelType w:val="hybridMultilevel"/>
    <w:tmpl w:val="D8420EAC"/>
    <w:lvl w:ilvl="0" w:tplc="EB2ED71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14"/>
  </w:num>
  <w:num w:numId="15">
    <w:abstractNumId w:val="13"/>
    <w:lvlOverride w:ilvl="0">
      <w:startOverride w:val="1"/>
    </w:lvlOverride>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136AF"/>
    <w:rsid w:val="000178B0"/>
    <w:rsid w:val="00023112"/>
    <w:rsid w:val="0004763F"/>
    <w:rsid w:val="00051CF8"/>
    <w:rsid w:val="0005365D"/>
    <w:rsid w:val="000614BF"/>
    <w:rsid w:val="00087C19"/>
    <w:rsid w:val="000D05EF"/>
    <w:rsid w:val="000E0A5D"/>
    <w:rsid w:val="000E2261"/>
    <w:rsid w:val="000E7BB5"/>
    <w:rsid w:val="000F21C1"/>
    <w:rsid w:val="000F6EF2"/>
    <w:rsid w:val="0010745C"/>
    <w:rsid w:val="00124D81"/>
    <w:rsid w:val="00142B62"/>
    <w:rsid w:val="00152043"/>
    <w:rsid w:val="00152412"/>
    <w:rsid w:val="00157B8B"/>
    <w:rsid w:val="00166C2F"/>
    <w:rsid w:val="0017524C"/>
    <w:rsid w:val="001809D7"/>
    <w:rsid w:val="001939E1"/>
    <w:rsid w:val="00194C3E"/>
    <w:rsid w:val="00195382"/>
    <w:rsid w:val="001A4A0C"/>
    <w:rsid w:val="001C69C4"/>
    <w:rsid w:val="001D37EF"/>
    <w:rsid w:val="001E3590"/>
    <w:rsid w:val="001E7407"/>
    <w:rsid w:val="001F2790"/>
    <w:rsid w:val="001F5D5E"/>
    <w:rsid w:val="001F6219"/>
    <w:rsid w:val="00202FD4"/>
    <w:rsid w:val="00206C4D"/>
    <w:rsid w:val="00212236"/>
    <w:rsid w:val="00217783"/>
    <w:rsid w:val="0022002C"/>
    <w:rsid w:val="0024010F"/>
    <w:rsid w:val="00240749"/>
    <w:rsid w:val="002564A4"/>
    <w:rsid w:val="0026736C"/>
    <w:rsid w:val="00281308"/>
    <w:rsid w:val="002816B3"/>
    <w:rsid w:val="00297ECB"/>
    <w:rsid w:val="002A7BCF"/>
    <w:rsid w:val="002B0B63"/>
    <w:rsid w:val="002B556B"/>
    <w:rsid w:val="002B7E58"/>
    <w:rsid w:val="002D043A"/>
    <w:rsid w:val="002D6224"/>
    <w:rsid w:val="002E04D4"/>
    <w:rsid w:val="002F1C9A"/>
    <w:rsid w:val="00304F8B"/>
    <w:rsid w:val="003217A5"/>
    <w:rsid w:val="00335BC6"/>
    <w:rsid w:val="003415D3"/>
    <w:rsid w:val="0034493D"/>
    <w:rsid w:val="00346950"/>
    <w:rsid w:val="00352B0F"/>
    <w:rsid w:val="00360459"/>
    <w:rsid w:val="00371193"/>
    <w:rsid w:val="003967B9"/>
    <w:rsid w:val="003A2534"/>
    <w:rsid w:val="003C6231"/>
    <w:rsid w:val="003D0BFE"/>
    <w:rsid w:val="003D5700"/>
    <w:rsid w:val="003E341B"/>
    <w:rsid w:val="004116CD"/>
    <w:rsid w:val="00417EB9"/>
    <w:rsid w:val="00421ED5"/>
    <w:rsid w:val="00424CA9"/>
    <w:rsid w:val="00425793"/>
    <w:rsid w:val="00427678"/>
    <w:rsid w:val="00431E9B"/>
    <w:rsid w:val="004379E3"/>
    <w:rsid w:val="0044291A"/>
    <w:rsid w:val="0044625D"/>
    <w:rsid w:val="00467661"/>
    <w:rsid w:val="00472DBE"/>
    <w:rsid w:val="00493381"/>
    <w:rsid w:val="00496F97"/>
    <w:rsid w:val="004A695C"/>
    <w:rsid w:val="004C79CF"/>
    <w:rsid w:val="004D7216"/>
    <w:rsid w:val="004E370A"/>
    <w:rsid w:val="004E7BEC"/>
    <w:rsid w:val="004F702B"/>
    <w:rsid w:val="00500974"/>
    <w:rsid w:val="00500CC6"/>
    <w:rsid w:val="00505D3D"/>
    <w:rsid w:val="00506AF6"/>
    <w:rsid w:val="00510C57"/>
    <w:rsid w:val="00516B8D"/>
    <w:rsid w:val="00537FBC"/>
    <w:rsid w:val="00584811"/>
    <w:rsid w:val="00585784"/>
    <w:rsid w:val="00587031"/>
    <w:rsid w:val="00593AA6"/>
    <w:rsid w:val="00594161"/>
    <w:rsid w:val="00594749"/>
    <w:rsid w:val="005B4067"/>
    <w:rsid w:val="005C0CFA"/>
    <w:rsid w:val="005C3F41"/>
    <w:rsid w:val="005D2D09"/>
    <w:rsid w:val="005D3B89"/>
    <w:rsid w:val="00600219"/>
    <w:rsid w:val="00620076"/>
    <w:rsid w:val="00625899"/>
    <w:rsid w:val="006329DB"/>
    <w:rsid w:val="006451CF"/>
    <w:rsid w:val="00677CC2"/>
    <w:rsid w:val="006905DE"/>
    <w:rsid w:val="006912B4"/>
    <w:rsid w:val="0069207B"/>
    <w:rsid w:val="006B78FE"/>
    <w:rsid w:val="006C7F8C"/>
    <w:rsid w:val="006E2776"/>
    <w:rsid w:val="006E6246"/>
    <w:rsid w:val="006F318F"/>
    <w:rsid w:val="00700B2C"/>
    <w:rsid w:val="007050A2"/>
    <w:rsid w:val="00713084"/>
    <w:rsid w:val="00714F20"/>
    <w:rsid w:val="0071590F"/>
    <w:rsid w:val="00715914"/>
    <w:rsid w:val="007177E0"/>
    <w:rsid w:val="00731E00"/>
    <w:rsid w:val="00735CA6"/>
    <w:rsid w:val="007418AC"/>
    <w:rsid w:val="007440B7"/>
    <w:rsid w:val="007500C8"/>
    <w:rsid w:val="007715C9"/>
    <w:rsid w:val="00774EDD"/>
    <w:rsid w:val="007757EC"/>
    <w:rsid w:val="00782141"/>
    <w:rsid w:val="00793915"/>
    <w:rsid w:val="007C2253"/>
    <w:rsid w:val="007D52D6"/>
    <w:rsid w:val="007D6662"/>
    <w:rsid w:val="007E163D"/>
    <w:rsid w:val="007E667A"/>
    <w:rsid w:val="008117E9"/>
    <w:rsid w:val="00821111"/>
    <w:rsid w:val="00840B83"/>
    <w:rsid w:val="008477E0"/>
    <w:rsid w:val="00856A31"/>
    <w:rsid w:val="00867B37"/>
    <w:rsid w:val="008754D0"/>
    <w:rsid w:val="00886456"/>
    <w:rsid w:val="008A46E1"/>
    <w:rsid w:val="008A7932"/>
    <w:rsid w:val="008B2706"/>
    <w:rsid w:val="008D0EE0"/>
    <w:rsid w:val="008E2885"/>
    <w:rsid w:val="008F54E7"/>
    <w:rsid w:val="00903422"/>
    <w:rsid w:val="00910EED"/>
    <w:rsid w:val="00932377"/>
    <w:rsid w:val="00935B36"/>
    <w:rsid w:val="009469C4"/>
    <w:rsid w:val="00947D5A"/>
    <w:rsid w:val="009532A5"/>
    <w:rsid w:val="00957E53"/>
    <w:rsid w:val="00966CB9"/>
    <w:rsid w:val="00983541"/>
    <w:rsid w:val="009843DA"/>
    <w:rsid w:val="009868E9"/>
    <w:rsid w:val="009938CC"/>
    <w:rsid w:val="009B5FE1"/>
    <w:rsid w:val="009D45C2"/>
    <w:rsid w:val="00A10B7E"/>
    <w:rsid w:val="00A12128"/>
    <w:rsid w:val="00A22C98"/>
    <w:rsid w:val="00A231E2"/>
    <w:rsid w:val="00A26407"/>
    <w:rsid w:val="00A40724"/>
    <w:rsid w:val="00A64071"/>
    <w:rsid w:val="00A64912"/>
    <w:rsid w:val="00A70A74"/>
    <w:rsid w:val="00A71519"/>
    <w:rsid w:val="00AC09D2"/>
    <w:rsid w:val="00AC7244"/>
    <w:rsid w:val="00AD5641"/>
    <w:rsid w:val="00AE4CF2"/>
    <w:rsid w:val="00AE71AD"/>
    <w:rsid w:val="00AF06CF"/>
    <w:rsid w:val="00B07CDB"/>
    <w:rsid w:val="00B14AB3"/>
    <w:rsid w:val="00B16A31"/>
    <w:rsid w:val="00B17DFD"/>
    <w:rsid w:val="00B308FE"/>
    <w:rsid w:val="00B33709"/>
    <w:rsid w:val="00B33B3C"/>
    <w:rsid w:val="00B63834"/>
    <w:rsid w:val="00B75849"/>
    <w:rsid w:val="00B80199"/>
    <w:rsid w:val="00BA0C81"/>
    <w:rsid w:val="00BA220B"/>
    <w:rsid w:val="00BA3A57"/>
    <w:rsid w:val="00BA62CD"/>
    <w:rsid w:val="00BB4E1A"/>
    <w:rsid w:val="00BC015E"/>
    <w:rsid w:val="00BC3AE3"/>
    <w:rsid w:val="00BC76AC"/>
    <w:rsid w:val="00BE719A"/>
    <w:rsid w:val="00BE720A"/>
    <w:rsid w:val="00BF0D73"/>
    <w:rsid w:val="00BF2465"/>
    <w:rsid w:val="00C25E7F"/>
    <w:rsid w:val="00C2746F"/>
    <w:rsid w:val="00C324A0"/>
    <w:rsid w:val="00C343BC"/>
    <w:rsid w:val="00C42BF8"/>
    <w:rsid w:val="00C50043"/>
    <w:rsid w:val="00C7573B"/>
    <w:rsid w:val="00CA7AB1"/>
    <w:rsid w:val="00CC0EF6"/>
    <w:rsid w:val="00CC7F86"/>
    <w:rsid w:val="00CE051D"/>
    <w:rsid w:val="00CE493D"/>
    <w:rsid w:val="00CF0BB2"/>
    <w:rsid w:val="00CF3EE8"/>
    <w:rsid w:val="00D13441"/>
    <w:rsid w:val="00D150E7"/>
    <w:rsid w:val="00D351AD"/>
    <w:rsid w:val="00D43FF6"/>
    <w:rsid w:val="00D47F63"/>
    <w:rsid w:val="00D70DFB"/>
    <w:rsid w:val="00D766DF"/>
    <w:rsid w:val="00D806CE"/>
    <w:rsid w:val="00DA186E"/>
    <w:rsid w:val="00DB251C"/>
    <w:rsid w:val="00DC4F88"/>
    <w:rsid w:val="00DD1C4A"/>
    <w:rsid w:val="00DE09CF"/>
    <w:rsid w:val="00E05704"/>
    <w:rsid w:val="00E12B87"/>
    <w:rsid w:val="00E338EF"/>
    <w:rsid w:val="00E33C41"/>
    <w:rsid w:val="00E44430"/>
    <w:rsid w:val="00E700BF"/>
    <w:rsid w:val="00E74DC7"/>
    <w:rsid w:val="00E8075A"/>
    <w:rsid w:val="00E8502F"/>
    <w:rsid w:val="00E94D5E"/>
    <w:rsid w:val="00E95C79"/>
    <w:rsid w:val="00EA073C"/>
    <w:rsid w:val="00EA10AC"/>
    <w:rsid w:val="00EA7100"/>
    <w:rsid w:val="00EA7F9F"/>
    <w:rsid w:val="00EC0EC0"/>
    <w:rsid w:val="00ED2BB6"/>
    <w:rsid w:val="00EF2E3A"/>
    <w:rsid w:val="00F072A7"/>
    <w:rsid w:val="00F078DC"/>
    <w:rsid w:val="00F22885"/>
    <w:rsid w:val="00F349F1"/>
    <w:rsid w:val="00F4350D"/>
    <w:rsid w:val="00F567F7"/>
    <w:rsid w:val="00F73BD6"/>
    <w:rsid w:val="00F82964"/>
    <w:rsid w:val="00F83989"/>
    <w:rsid w:val="00F85099"/>
    <w:rsid w:val="00F90AAD"/>
    <w:rsid w:val="00F9379C"/>
    <w:rsid w:val="00F9632C"/>
    <w:rsid w:val="00FA1E52"/>
    <w:rsid w:val="00FB3581"/>
    <w:rsid w:val="00FF3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styleId="ListParagraph">
    <w:name w:val="List Paragraph"/>
    <w:basedOn w:val="Normal"/>
    <w:uiPriority w:val="34"/>
    <w:qFormat/>
    <w:rsid w:val="00DD1C4A"/>
    <w:pPr>
      <w:ind w:left="720"/>
      <w:contextualSpacing/>
    </w:pPr>
  </w:style>
  <w:style w:type="paragraph" w:customStyle="1" w:styleId="ScheduleHeading">
    <w:name w:val="Schedule Heading"/>
    <w:basedOn w:val="Normal"/>
    <w:next w:val="Normal"/>
    <w:rsid w:val="00FF3CB9"/>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AS">
    <w:name w:val="AS"/>
    <w:aliases w:val="Schedule title Amendment"/>
    <w:basedOn w:val="Normal"/>
    <w:next w:val="Normal"/>
    <w:rsid w:val="002816B3"/>
    <w:pPr>
      <w:keepNext/>
      <w:spacing w:before="480" w:line="240" w:lineRule="auto"/>
      <w:ind w:left="2410" w:hanging="2410"/>
    </w:pPr>
    <w:rPr>
      <w:rFonts w:ascii="Arial" w:eastAsia="Times New Roman" w:hAnsi="Arial" w:cs="Times New Roman"/>
      <w:b/>
      <w:sz w:val="32"/>
      <w:szCs w:val="24"/>
      <w:lang w:eastAsia="en-AU"/>
    </w:rPr>
  </w:style>
  <w:style w:type="character" w:styleId="Hyperlink">
    <w:name w:val="Hyperlink"/>
    <w:uiPriority w:val="99"/>
    <w:rsid w:val="00281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styleId="ListParagraph">
    <w:name w:val="List Paragraph"/>
    <w:basedOn w:val="Normal"/>
    <w:uiPriority w:val="34"/>
    <w:qFormat/>
    <w:rsid w:val="00DD1C4A"/>
    <w:pPr>
      <w:ind w:left="720"/>
      <w:contextualSpacing/>
    </w:pPr>
  </w:style>
  <w:style w:type="paragraph" w:customStyle="1" w:styleId="ScheduleHeading">
    <w:name w:val="Schedule Heading"/>
    <w:basedOn w:val="Normal"/>
    <w:next w:val="Normal"/>
    <w:rsid w:val="00FF3CB9"/>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AS">
    <w:name w:val="AS"/>
    <w:aliases w:val="Schedule title Amendment"/>
    <w:basedOn w:val="Normal"/>
    <w:next w:val="Normal"/>
    <w:rsid w:val="002816B3"/>
    <w:pPr>
      <w:keepNext/>
      <w:spacing w:before="480" w:line="240" w:lineRule="auto"/>
      <w:ind w:left="2410" w:hanging="2410"/>
    </w:pPr>
    <w:rPr>
      <w:rFonts w:ascii="Arial" w:eastAsia="Times New Roman" w:hAnsi="Arial" w:cs="Times New Roman"/>
      <w:b/>
      <w:sz w:val="32"/>
      <w:szCs w:val="24"/>
      <w:lang w:eastAsia="en-AU"/>
    </w:rPr>
  </w:style>
  <w:style w:type="character" w:styleId="Hyperlink">
    <w:name w:val="Hyperlink"/>
    <w:uiPriority w:val="99"/>
    <w:rsid w:val="00281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er.org.au"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6096-5049-4CC2-A5B4-7EE4A4EF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Deslyn</dc:creator>
  <cp:lastModifiedBy>Lewis Eleanor</cp:lastModifiedBy>
  <cp:revision>2</cp:revision>
  <cp:lastPrinted>2014-09-30T02:03:00Z</cp:lastPrinted>
  <dcterms:created xsi:type="dcterms:W3CDTF">2014-09-30T02:04:00Z</dcterms:created>
  <dcterms:modified xsi:type="dcterms:W3CDTF">2014-09-30T02:04:00Z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2012</vt:lpwstr>
  </property>
  <property fmtid="{D5CDD505-2E9C-101B-9397-08002B2CF9AE}" pid="3" name="ShortT">
    <vt:lpwstr>[title] 2012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ies>
</file>