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E5" w:rsidRPr="00A627E5" w:rsidRDefault="00A627E5" w:rsidP="00A627E5"/>
    <w:p w:rsidR="00A627E5" w:rsidRDefault="00A627E5" w:rsidP="00A627E5">
      <w:pPr>
        <w:jc w:val="center"/>
        <w:rPr>
          <w:b/>
          <w:bCs/>
        </w:rPr>
      </w:pPr>
      <w:r w:rsidRPr="00A627E5">
        <w:rPr>
          <w:b/>
          <w:bCs/>
        </w:rPr>
        <w:t>Australian Securities and Investments Commission</w:t>
      </w:r>
    </w:p>
    <w:p w:rsidR="00A627E5" w:rsidRPr="00A627E5" w:rsidRDefault="00A627E5" w:rsidP="00A627E5">
      <w:pPr>
        <w:jc w:val="center"/>
      </w:pPr>
      <w:r w:rsidRPr="00A627E5">
        <w:rPr>
          <w:b/>
          <w:bCs/>
        </w:rPr>
        <w:t xml:space="preserve">Corporations Act 2001 — </w:t>
      </w:r>
      <w:r w:rsidR="0096752B">
        <w:rPr>
          <w:b/>
          <w:bCs/>
        </w:rPr>
        <w:t>Subsections</w:t>
      </w:r>
      <w:r w:rsidRPr="00A627E5">
        <w:rPr>
          <w:b/>
          <w:bCs/>
        </w:rPr>
        <w:t xml:space="preserve"> </w:t>
      </w:r>
      <w:proofErr w:type="gramStart"/>
      <w:r w:rsidR="0094605D">
        <w:rPr>
          <w:b/>
          <w:bCs/>
        </w:rPr>
        <w:t>205G(</w:t>
      </w:r>
      <w:proofErr w:type="gramEnd"/>
      <w:r w:rsidR="0094605D">
        <w:rPr>
          <w:b/>
          <w:bCs/>
        </w:rPr>
        <w:t>6), 341(1), 352(1), 655A(1)</w:t>
      </w:r>
      <w:r w:rsidRPr="00A627E5">
        <w:rPr>
          <w:b/>
          <w:bCs/>
        </w:rPr>
        <w:t>,</w:t>
      </w:r>
      <w:r w:rsidR="0094605D">
        <w:rPr>
          <w:b/>
          <w:bCs/>
        </w:rPr>
        <w:t xml:space="preserve"> 669(1) and 673(1) </w:t>
      </w:r>
      <w:r w:rsidRPr="00A627E5">
        <w:rPr>
          <w:b/>
          <w:bCs/>
        </w:rPr>
        <w:t xml:space="preserve">— </w:t>
      </w:r>
      <w:r>
        <w:rPr>
          <w:b/>
          <w:bCs/>
        </w:rPr>
        <w:t>Variation</w:t>
      </w:r>
    </w:p>
    <w:p w:rsidR="00A627E5" w:rsidRDefault="00A627E5" w:rsidP="00A627E5"/>
    <w:p w:rsidR="00A627E5" w:rsidRDefault="00A627E5" w:rsidP="00A627E5">
      <w:pPr>
        <w:rPr>
          <w:b/>
          <w:bCs/>
        </w:rPr>
      </w:pPr>
      <w:r w:rsidRPr="00A627E5">
        <w:rPr>
          <w:b/>
          <w:bCs/>
        </w:rPr>
        <w:t xml:space="preserve">Enabling </w:t>
      </w:r>
      <w:r w:rsidR="00B84574">
        <w:rPr>
          <w:b/>
          <w:bCs/>
        </w:rPr>
        <w:t>legislation</w:t>
      </w:r>
    </w:p>
    <w:p w:rsidR="00E227E8" w:rsidRPr="00A627E5" w:rsidRDefault="00E227E8" w:rsidP="00A627E5"/>
    <w:p w:rsidR="00A627E5" w:rsidRPr="00A627E5" w:rsidRDefault="00A627E5" w:rsidP="00BF3DCF">
      <w:pPr>
        <w:ind w:left="567" w:hanging="578"/>
      </w:pPr>
      <w:r w:rsidRPr="00A627E5">
        <w:t>1.</w:t>
      </w:r>
      <w:r>
        <w:tab/>
      </w:r>
      <w:r w:rsidRPr="00A627E5">
        <w:t>The Australian Securities and Investments Commission makes this instrument</w:t>
      </w:r>
      <w:r w:rsidR="0094605D">
        <w:t xml:space="preserve"> under subsection</w:t>
      </w:r>
      <w:r w:rsidR="0096752B">
        <w:t>s</w:t>
      </w:r>
      <w:r w:rsidR="0094605D">
        <w:t xml:space="preserve"> 205G(6), 341(1), 352(1), 655A(1), 669(1) and 673(1)</w:t>
      </w:r>
      <w:r w:rsidRPr="00A627E5">
        <w:t xml:space="preserve"> of the </w:t>
      </w:r>
      <w:r w:rsidRPr="003300EB">
        <w:rPr>
          <w:i/>
          <w:iCs/>
        </w:rPr>
        <w:t>Corporations Act 2001</w:t>
      </w:r>
      <w:r w:rsidR="003300EB">
        <w:rPr>
          <w:iCs/>
        </w:rPr>
        <w:t>.</w:t>
      </w:r>
    </w:p>
    <w:p w:rsidR="00A627E5" w:rsidRDefault="00A627E5" w:rsidP="00A627E5">
      <w:pPr>
        <w:rPr>
          <w:b/>
          <w:bCs/>
        </w:rPr>
      </w:pPr>
    </w:p>
    <w:p w:rsidR="00A627E5" w:rsidRDefault="00A627E5" w:rsidP="00A627E5">
      <w:pPr>
        <w:rPr>
          <w:b/>
          <w:bCs/>
        </w:rPr>
      </w:pPr>
      <w:r w:rsidRPr="00A627E5">
        <w:rPr>
          <w:b/>
          <w:bCs/>
        </w:rPr>
        <w:t xml:space="preserve">Title </w:t>
      </w:r>
    </w:p>
    <w:p w:rsidR="00E227E8" w:rsidRPr="00A627E5" w:rsidRDefault="00E227E8" w:rsidP="00A627E5"/>
    <w:p w:rsidR="00A627E5" w:rsidRPr="00A627E5" w:rsidRDefault="00A627E5" w:rsidP="00BF3DCF">
      <w:pPr>
        <w:ind w:left="567" w:hanging="567"/>
      </w:pPr>
      <w:r w:rsidRPr="00A627E5">
        <w:t>2.</w:t>
      </w:r>
      <w:r>
        <w:tab/>
      </w:r>
      <w:r w:rsidRPr="00A627E5">
        <w:t>This instrument is ASIC Class Order [CO 1</w:t>
      </w:r>
      <w:r w:rsidR="000C5B38">
        <w:t>2</w:t>
      </w:r>
      <w:r w:rsidRPr="00A627E5">
        <w:t>/</w:t>
      </w:r>
      <w:r w:rsidR="00C24F1D">
        <w:t>722</w:t>
      </w:r>
      <w:r w:rsidRPr="00A627E5">
        <w:t>].</w:t>
      </w:r>
    </w:p>
    <w:p w:rsidR="00A627E5" w:rsidRDefault="00A627E5" w:rsidP="00A627E5">
      <w:pPr>
        <w:rPr>
          <w:b/>
          <w:bCs/>
        </w:rPr>
      </w:pPr>
    </w:p>
    <w:p w:rsidR="00A627E5" w:rsidRDefault="00A627E5" w:rsidP="00A627E5">
      <w:pPr>
        <w:rPr>
          <w:b/>
          <w:bCs/>
        </w:rPr>
      </w:pPr>
      <w:r w:rsidRPr="00A627E5">
        <w:rPr>
          <w:b/>
          <w:bCs/>
        </w:rPr>
        <w:t xml:space="preserve">Commencement </w:t>
      </w:r>
    </w:p>
    <w:p w:rsidR="00E227E8" w:rsidRPr="00A627E5" w:rsidRDefault="00E227E8" w:rsidP="00A627E5"/>
    <w:p w:rsidR="00A627E5" w:rsidRPr="00A627E5" w:rsidRDefault="00A627E5" w:rsidP="00AB19B7">
      <w:pPr>
        <w:ind w:left="567" w:hanging="567"/>
      </w:pPr>
      <w:r w:rsidRPr="00A627E5">
        <w:t>3.</w:t>
      </w:r>
      <w:r>
        <w:tab/>
      </w:r>
      <w:r w:rsidRPr="00A627E5">
        <w:t>This instrument commences on the da</w:t>
      </w:r>
      <w:r w:rsidR="00AB19B7">
        <w:t>y</w:t>
      </w:r>
      <w:r w:rsidRPr="00A627E5">
        <w:t xml:space="preserve"> it is registered under the </w:t>
      </w:r>
      <w:r w:rsidRPr="00A627E5">
        <w:rPr>
          <w:i/>
          <w:iCs/>
        </w:rPr>
        <w:t>Legislative Instruments Act 2003</w:t>
      </w:r>
      <w:r w:rsidRPr="00A627E5">
        <w:t>.</w:t>
      </w:r>
    </w:p>
    <w:p w:rsidR="00A627E5" w:rsidRDefault="00A627E5" w:rsidP="00A627E5">
      <w:pPr>
        <w:ind w:left="720"/>
        <w:rPr>
          <w:sz w:val="18"/>
        </w:rPr>
      </w:pPr>
    </w:p>
    <w:p w:rsidR="00A627E5" w:rsidRPr="00A627E5" w:rsidRDefault="00A627E5" w:rsidP="00BF3DCF">
      <w:pPr>
        <w:ind w:left="1134" w:hanging="567"/>
        <w:rPr>
          <w:sz w:val="18"/>
        </w:rPr>
      </w:pPr>
      <w:r w:rsidRPr="00A627E5">
        <w:rPr>
          <w:sz w:val="18"/>
        </w:rPr>
        <w:t xml:space="preserve">Note: </w:t>
      </w:r>
      <w:r w:rsidR="00E227E8">
        <w:rPr>
          <w:sz w:val="18"/>
        </w:rPr>
        <w:tab/>
      </w:r>
      <w:r w:rsidRPr="00A627E5">
        <w:rPr>
          <w:sz w:val="18"/>
        </w:rPr>
        <w:t>An instrument is registered when it is recorded on the Federal Register of Legislative Instruments (</w:t>
      </w:r>
      <w:r w:rsidRPr="00A627E5">
        <w:rPr>
          <w:b/>
          <w:bCs/>
          <w:i/>
          <w:iCs/>
          <w:sz w:val="18"/>
        </w:rPr>
        <w:t>FRLI</w:t>
      </w:r>
      <w:r w:rsidRPr="00A627E5">
        <w:rPr>
          <w:sz w:val="18"/>
        </w:rPr>
        <w:t xml:space="preserve">) in electronic form: see </w:t>
      </w:r>
      <w:r w:rsidRPr="00A627E5">
        <w:rPr>
          <w:i/>
          <w:iCs/>
          <w:sz w:val="18"/>
        </w:rPr>
        <w:t>Legislative Instruments Act 2003</w:t>
      </w:r>
      <w:r w:rsidRPr="00A627E5">
        <w:rPr>
          <w:sz w:val="18"/>
        </w:rPr>
        <w:t>, s</w:t>
      </w:r>
      <w:r w:rsidR="00BF3DCF">
        <w:rPr>
          <w:sz w:val="18"/>
        </w:rPr>
        <w:t>ection</w:t>
      </w:r>
      <w:r w:rsidRPr="00A627E5">
        <w:rPr>
          <w:sz w:val="18"/>
        </w:rPr>
        <w:t xml:space="preserve"> 4 (definition of </w:t>
      </w:r>
      <w:r w:rsidRPr="00A627E5">
        <w:rPr>
          <w:b/>
          <w:bCs/>
          <w:i/>
          <w:iCs/>
          <w:sz w:val="18"/>
        </w:rPr>
        <w:t>register</w:t>
      </w:r>
      <w:r w:rsidRPr="00A627E5">
        <w:rPr>
          <w:sz w:val="18"/>
        </w:rPr>
        <w:t xml:space="preserve">). The FRLI may be accessed at </w:t>
      </w:r>
      <w:r w:rsidRPr="00A627E5">
        <w:rPr>
          <w:sz w:val="18"/>
          <w:u w:val="single"/>
        </w:rPr>
        <w:t>http://www.frli.gov.au/</w:t>
      </w:r>
      <w:r w:rsidRPr="00A627E5">
        <w:rPr>
          <w:sz w:val="18"/>
        </w:rPr>
        <w:t>.</w:t>
      </w:r>
    </w:p>
    <w:p w:rsidR="00A627E5" w:rsidRDefault="00A627E5" w:rsidP="00A627E5">
      <w:pPr>
        <w:rPr>
          <w:b/>
          <w:bCs/>
        </w:rPr>
      </w:pPr>
    </w:p>
    <w:p w:rsidR="00A627E5" w:rsidRDefault="00A627E5" w:rsidP="00A627E5">
      <w:pPr>
        <w:rPr>
          <w:b/>
          <w:bCs/>
        </w:rPr>
      </w:pPr>
      <w:r>
        <w:rPr>
          <w:b/>
          <w:bCs/>
        </w:rPr>
        <w:t>Variation</w:t>
      </w:r>
    </w:p>
    <w:p w:rsidR="00E227E8" w:rsidRDefault="00E227E8" w:rsidP="00A627E5"/>
    <w:p w:rsidR="0071558B" w:rsidRPr="0071558B" w:rsidRDefault="0071558B" w:rsidP="00A627E5">
      <w:pPr>
        <w:rPr>
          <w:i/>
        </w:rPr>
      </w:pPr>
      <w:r w:rsidRPr="0071558B">
        <w:rPr>
          <w:i/>
        </w:rPr>
        <w:t>ASIC Class Order [CO 00/2449]</w:t>
      </w:r>
    </w:p>
    <w:p w:rsidR="0071558B" w:rsidRDefault="0071558B" w:rsidP="00A627E5"/>
    <w:p w:rsidR="0071558B" w:rsidRPr="0071558B" w:rsidRDefault="0071558B" w:rsidP="0071558B">
      <w:pPr>
        <w:ind w:left="567" w:hanging="567"/>
      </w:pPr>
      <w:r>
        <w:t>4.</w:t>
      </w:r>
      <w:r>
        <w:tab/>
      </w:r>
      <w:r w:rsidRPr="0071558B">
        <w:t>ASIC Class Order [CO 00/24</w:t>
      </w:r>
      <w:r>
        <w:t>49</w:t>
      </w:r>
      <w:r w:rsidRPr="0071558B">
        <w:t>] is varied as follows:</w:t>
      </w:r>
    </w:p>
    <w:p w:rsidR="0071558B" w:rsidRDefault="0071558B" w:rsidP="0071558B">
      <w:pPr>
        <w:ind w:left="567" w:hanging="567"/>
      </w:pPr>
    </w:p>
    <w:p w:rsidR="0071558B" w:rsidRDefault="0071558B" w:rsidP="0071558B">
      <w:pPr>
        <w:ind w:left="1134" w:hanging="567"/>
      </w:pPr>
      <w:r>
        <w:t>(a)</w:t>
      </w:r>
      <w:r>
        <w:tab/>
      </w:r>
      <w:proofErr w:type="gramStart"/>
      <w:r>
        <w:t>in</w:t>
      </w:r>
      <w:proofErr w:type="gramEnd"/>
      <w:r>
        <w:t xml:space="preserve"> Schedule A o</w:t>
      </w:r>
      <w:r w:rsidRPr="0071558B">
        <w:t>mit “Australian Stock Exchange”, substitute “ASX”;</w:t>
      </w:r>
    </w:p>
    <w:p w:rsidR="00896601" w:rsidRDefault="00896601" w:rsidP="0071558B">
      <w:pPr>
        <w:ind w:left="1134" w:hanging="567"/>
      </w:pPr>
    </w:p>
    <w:p w:rsidR="00896601" w:rsidRDefault="00896601" w:rsidP="0071558B">
      <w:pPr>
        <w:ind w:left="1134" w:hanging="567"/>
      </w:pPr>
      <w:r>
        <w:t>(b)</w:t>
      </w:r>
      <w:r>
        <w:tab/>
      </w:r>
      <w:proofErr w:type="gramStart"/>
      <w:r>
        <w:t>in</w:t>
      </w:r>
      <w:proofErr w:type="gramEnd"/>
      <w:r>
        <w:t xml:space="preserve"> Schedule B  omit “the Electronic Lodgment Facility.”, substitute “ASX Online.”;</w:t>
      </w:r>
    </w:p>
    <w:p w:rsidR="00896601" w:rsidRDefault="00896601" w:rsidP="0071558B">
      <w:pPr>
        <w:ind w:left="1134" w:hanging="567"/>
      </w:pPr>
    </w:p>
    <w:p w:rsidR="00896601" w:rsidRDefault="00896601" w:rsidP="0071558B">
      <w:pPr>
        <w:ind w:left="1134" w:hanging="567"/>
      </w:pPr>
      <w:r>
        <w:t>(c)</w:t>
      </w:r>
      <w:r>
        <w:tab/>
      </w:r>
      <w:proofErr w:type="gramStart"/>
      <w:r>
        <w:t>in</w:t>
      </w:r>
      <w:proofErr w:type="gramEnd"/>
      <w:r>
        <w:t xml:space="preserve"> Schedule C omit paragraph 6, substitute:</w:t>
      </w:r>
    </w:p>
    <w:p w:rsidR="00896601" w:rsidRDefault="00896601" w:rsidP="0071558B">
      <w:pPr>
        <w:ind w:left="1134" w:hanging="567"/>
      </w:pPr>
    </w:p>
    <w:p w:rsidR="00896601" w:rsidRDefault="00896601" w:rsidP="00896601">
      <w:pPr>
        <w:ind w:left="1701" w:hanging="567"/>
      </w:pPr>
      <w:r>
        <w:t>“6.</w:t>
      </w:r>
      <w:r>
        <w:tab/>
        <w:t>If a Body wishes or is required to lod</w:t>
      </w:r>
      <w:r w:rsidR="00AB19B7">
        <w:t>g</w:t>
      </w:r>
      <w:r>
        <w:t xml:space="preserve">e a Document electronically </w:t>
      </w:r>
      <w:r w:rsidR="00A86158">
        <w:t xml:space="preserve">the Body </w:t>
      </w:r>
      <w:r>
        <w:t>must lodge</w:t>
      </w:r>
      <w:r w:rsidR="00A86158">
        <w:t xml:space="preserve"> it</w:t>
      </w:r>
      <w:r>
        <w:t xml:space="preserve"> through ASX Online in accordance with ASX Guidance Note 20 – “ASX Online” issued on </w:t>
      </w:r>
      <w:r w:rsidR="00C24F1D">
        <w:t>12 June 2012</w:t>
      </w:r>
      <w:r>
        <w:t>.”;</w:t>
      </w:r>
    </w:p>
    <w:p w:rsidR="00896601" w:rsidRDefault="00896601" w:rsidP="00896601">
      <w:pPr>
        <w:ind w:left="1701" w:hanging="567"/>
      </w:pPr>
    </w:p>
    <w:p w:rsidR="00896601" w:rsidRDefault="00896601" w:rsidP="00896601">
      <w:pPr>
        <w:ind w:left="1134" w:hanging="567"/>
      </w:pPr>
      <w:r>
        <w:t>(d)</w:t>
      </w:r>
      <w:r>
        <w:tab/>
      </w:r>
      <w:proofErr w:type="gramStart"/>
      <w:r>
        <w:t>omit</w:t>
      </w:r>
      <w:proofErr w:type="gramEnd"/>
      <w:r>
        <w:t xml:space="preserve"> Schedule D;</w:t>
      </w:r>
    </w:p>
    <w:p w:rsidR="0071558B" w:rsidRDefault="0071558B" w:rsidP="00A627E5"/>
    <w:p w:rsidR="0071558B" w:rsidRDefault="00896601" w:rsidP="00896601">
      <w:pPr>
        <w:ind w:left="1134" w:hanging="567"/>
      </w:pPr>
      <w:r>
        <w:t>(e)</w:t>
      </w:r>
      <w:r>
        <w:tab/>
      </w:r>
      <w:proofErr w:type="gramStart"/>
      <w:r w:rsidR="00A86158">
        <w:t>under</w:t>
      </w:r>
      <w:proofErr w:type="gramEnd"/>
      <w:r w:rsidR="00A86158">
        <w:t xml:space="preserve"> the heading</w:t>
      </w:r>
      <w:r w:rsidR="00A86158" w:rsidRPr="00896601">
        <w:t xml:space="preserve"> </w:t>
      </w:r>
      <w:r w:rsidR="00C334BD">
        <w:t>“</w:t>
      </w:r>
      <w:r w:rsidRPr="00896601">
        <w:rPr>
          <w:b/>
        </w:rPr>
        <w:t>Interpretation</w:t>
      </w:r>
      <w:r w:rsidR="008B3165" w:rsidRPr="008B3165">
        <w:t>”,</w:t>
      </w:r>
      <w:r w:rsidRPr="00896601">
        <w:t xml:space="preserve"> omit all the text</w:t>
      </w:r>
      <w:r>
        <w:t>, substitute:</w:t>
      </w:r>
    </w:p>
    <w:p w:rsidR="00896601" w:rsidRDefault="00896601" w:rsidP="00896601">
      <w:pPr>
        <w:ind w:left="1134" w:hanging="567"/>
      </w:pPr>
    </w:p>
    <w:p w:rsidR="006E38A9" w:rsidRDefault="00896601" w:rsidP="00896601">
      <w:pPr>
        <w:ind w:left="1134"/>
      </w:pPr>
      <w:r>
        <w:t>“In this instrument</w:t>
      </w:r>
      <w:r w:rsidR="006E38A9">
        <w:t>:</w:t>
      </w:r>
    </w:p>
    <w:p w:rsidR="006E38A9" w:rsidRDefault="006E38A9" w:rsidP="00896601">
      <w:pPr>
        <w:ind w:left="1134"/>
      </w:pPr>
    </w:p>
    <w:p w:rsidR="00896601" w:rsidRPr="00896601" w:rsidRDefault="006E38A9" w:rsidP="00896601">
      <w:pPr>
        <w:ind w:left="1134"/>
      </w:pPr>
      <w:r w:rsidRPr="006E38A9">
        <w:rPr>
          <w:b/>
          <w:i/>
        </w:rPr>
        <w:t>ASX Online</w:t>
      </w:r>
      <w:r>
        <w:t xml:space="preserve"> means t</w:t>
      </w:r>
      <w:r w:rsidR="00896601" w:rsidRPr="00896601">
        <w:t xml:space="preserve">he electronic lodgment facility which enables bodies included in the official list of </w:t>
      </w:r>
      <w:r w:rsidR="00AB19B7">
        <w:t>A</w:t>
      </w:r>
      <w:r w:rsidR="00896601" w:rsidRPr="00896601">
        <w:t>SX to transmit documents to ASX electronically</w:t>
      </w:r>
      <w:r>
        <w:t>,</w:t>
      </w:r>
      <w:r w:rsidR="00896601" w:rsidRPr="00896601">
        <w:t xml:space="preserve"> which is available at </w:t>
      </w:r>
      <w:hyperlink r:id="rId6" w:history="1">
        <w:r w:rsidR="00896601" w:rsidRPr="00896601">
          <w:rPr>
            <w:rStyle w:val="Hyperlink"/>
          </w:rPr>
          <w:t>https://www.asxonline.com</w:t>
        </w:r>
      </w:hyperlink>
      <w:r w:rsidR="00896601" w:rsidRPr="00896601">
        <w:t>, or such other address as may be notified by ASX from time to time.</w:t>
      </w:r>
      <w:proofErr w:type="gramStart"/>
      <w:r>
        <w:t>”.</w:t>
      </w:r>
      <w:proofErr w:type="gramEnd"/>
    </w:p>
    <w:p w:rsidR="0071558B" w:rsidRDefault="0071558B" w:rsidP="00A627E5"/>
    <w:p w:rsidR="0094605D" w:rsidRPr="0094605D" w:rsidRDefault="0071558B" w:rsidP="00A627E5">
      <w:pPr>
        <w:rPr>
          <w:i/>
        </w:rPr>
      </w:pPr>
      <w:r>
        <w:rPr>
          <w:i/>
        </w:rPr>
        <w:t xml:space="preserve">ASIC </w:t>
      </w:r>
      <w:r w:rsidR="0094605D" w:rsidRPr="0094605D">
        <w:rPr>
          <w:i/>
        </w:rPr>
        <w:t>Class Order [CO 00/2451]</w:t>
      </w:r>
    </w:p>
    <w:p w:rsidR="0094605D" w:rsidRPr="00A627E5" w:rsidRDefault="0094605D" w:rsidP="00A627E5"/>
    <w:p w:rsidR="0094605D" w:rsidRDefault="0071558B" w:rsidP="0094605D">
      <w:pPr>
        <w:ind w:left="567" w:hanging="567"/>
      </w:pPr>
      <w:r>
        <w:t>5</w:t>
      </w:r>
      <w:r w:rsidR="00A627E5" w:rsidRPr="00A627E5">
        <w:t>.</w:t>
      </w:r>
      <w:r w:rsidR="00A627E5">
        <w:tab/>
      </w:r>
      <w:r w:rsidR="00A627E5" w:rsidRPr="00A627E5">
        <w:t xml:space="preserve">ASIC </w:t>
      </w:r>
      <w:r w:rsidR="00A627E5">
        <w:t xml:space="preserve">Class Order </w:t>
      </w:r>
      <w:r w:rsidR="00A84F74">
        <w:t>[</w:t>
      </w:r>
      <w:r w:rsidR="004D22C6">
        <w:t xml:space="preserve">CO </w:t>
      </w:r>
      <w:r w:rsidR="0094605D">
        <w:t>00</w:t>
      </w:r>
      <w:r w:rsidR="00A627E5">
        <w:t>/</w:t>
      </w:r>
      <w:r w:rsidR="0094605D">
        <w:t>2451</w:t>
      </w:r>
      <w:r w:rsidR="004529CF">
        <w:t>]</w:t>
      </w:r>
      <w:r w:rsidR="0094605D">
        <w:t xml:space="preserve"> is varied as follows:</w:t>
      </w:r>
    </w:p>
    <w:p w:rsidR="0094605D" w:rsidRDefault="0094605D" w:rsidP="0094605D">
      <w:pPr>
        <w:ind w:left="1134" w:hanging="567"/>
      </w:pPr>
    </w:p>
    <w:p w:rsidR="0094605D" w:rsidRDefault="0094605D" w:rsidP="0094605D">
      <w:pPr>
        <w:ind w:left="1134" w:hanging="567"/>
      </w:pPr>
      <w:r>
        <w:t>(a)</w:t>
      </w:r>
      <w:r>
        <w:tab/>
      </w:r>
      <w:proofErr w:type="gramStart"/>
      <w:r>
        <w:t>omit</w:t>
      </w:r>
      <w:proofErr w:type="gramEnd"/>
      <w:r>
        <w:t xml:space="preserve"> from the heading “</w:t>
      </w:r>
      <w:r w:rsidR="008B3165" w:rsidRPr="008B3165">
        <w:rPr>
          <w:b/>
        </w:rPr>
        <w:t>Law</w:t>
      </w:r>
      <w:r>
        <w:t>”, substitute “</w:t>
      </w:r>
      <w:r w:rsidR="008B3165" w:rsidRPr="008B3165">
        <w:rPr>
          <w:b/>
        </w:rPr>
        <w:t>Act 2001</w:t>
      </w:r>
      <w:r>
        <w:t>”;</w:t>
      </w:r>
    </w:p>
    <w:p w:rsidR="0094605D" w:rsidRDefault="0094605D" w:rsidP="0094605D">
      <w:pPr>
        <w:ind w:left="1134" w:hanging="567"/>
      </w:pPr>
    </w:p>
    <w:p w:rsidR="00292249" w:rsidRDefault="0094605D" w:rsidP="0094605D">
      <w:pPr>
        <w:ind w:left="1134" w:hanging="567"/>
      </w:pPr>
      <w:r>
        <w:t>(b)</w:t>
      </w:r>
      <w:r>
        <w:tab/>
      </w:r>
      <w:proofErr w:type="gramStart"/>
      <w:r w:rsidR="00292249">
        <w:t>in</w:t>
      </w:r>
      <w:proofErr w:type="gramEnd"/>
      <w:r w:rsidR="00292249">
        <w:t xml:space="preserve"> </w:t>
      </w:r>
      <w:r>
        <w:t>the first paragraph</w:t>
      </w:r>
      <w:r w:rsidR="00292249">
        <w:t>:</w:t>
      </w:r>
    </w:p>
    <w:p w:rsidR="00292249" w:rsidRDefault="00292249" w:rsidP="0094605D">
      <w:pPr>
        <w:ind w:left="1134" w:hanging="567"/>
      </w:pPr>
    </w:p>
    <w:p w:rsidR="00007650" w:rsidRDefault="00292249" w:rsidP="00292249">
      <w:pPr>
        <w:ind w:left="1701" w:hanging="567"/>
      </w:pPr>
      <w:r>
        <w:t>(i)</w:t>
      </w:r>
      <w:r>
        <w:tab/>
      </w:r>
      <w:proofErr w:type="gramStart"/>
      <w:r>
        <w:t>omit</w:t>
      </w:r>
      <w:proofErr w:type="gramEnd"/>
      <w:r>
        <w:t xml:space="preserve"> </w:t>
      </w:r>
      <w:r w:rsidR="0094605D">
        <w:t>“Corporations Law (Law)</w:t>
      </w:r>
      <w:r w:rsidR="004529CF">
        <w:t>,</w:t>
      </w:r>
      <w:r w:rsidR="0094605D">
        <w:t>”, substitute “</w:t>
      </w:r>
      <w:r w:rsidR="004529CF" w:rsidRPr="004529CF">
        <w:rPr>
          <w:i/>
        </w:rPr>
        <w:t>Corporations Act 2001</w:t>
      </w:r>
      <w:r w:rsidR="004529CF">
        <w:t xml:space="preserve"> (the Act),”;</w:t>
      </w:r>
    </w:p>
    <w:p w:rsidR="00292249" w:rsidRDefault="00292249" w:rsidP="00292249">
      <w:pPr>
        <w:ind w:left="1701" w:hanging="567"/>
      </w:pPr>
    </w:p>
    <w:p w:rsidR="00292249" w:rsidRDefault="00292249" w:rsidP="00292249">
      <w:pPr>
        <w:ind w:left="1701" w:hanging="567"/>
      </w:pPr>
      <w:r>
        <w:t>(ii)</w:t>
      </w:r>
      <w:r>
        <w:tab/>
      </w:r>
      <w:proofErr w:type="gramStart"/>
      <w:r>
        <w:t>omit</w:t>
      </w:r>
      <w:proofErr w:type="gramEnd"/>
      <w:r>
        <w:t xml:space="preserve"> “Schedules C and D.”, substitute “Schedule C.”;</w:t>
      </w:r>
    </w:p>
    <w:p w:rsidR="004529CF" w:rsidRDefault="004529CF" w:rsidP="0094605D">
      <w:pPr>
        <w:ind w:left="1134" w:hanging="567"/>
      </w:pPr>
    </w:p>
    <w:p w:rsidR="004529CF" w:rsidRDefault="004529CF" w:rsidP="0094605D">
      <w:pPr>
        <w:ind w:left="1134" w:hanging="567"/>
      </w:pPr>
      <w:r>
        <w:t>(c)</w:t>
      </w:r>
      <w:r>
        <w:tab/>
      </w:r>
      <w:proofErr w:type="gramStart"/>
      <w:r>
        <w:t>in</w:t>
      </w:r>
      <w:proofErr w:type="gramEnd"/>
      <w:r>
        <w:t xml:space="preserve"> Schedule A:</w:t>
      </w:r>
    </w:p>
    <w:p w:rsidR="004529CF" w:rsidRDefault="004529CF" w:rsidP="0094605D">
      <w:pPr>
        <w:ind w:left="1134" w:hanging="567"/>
      </w:pPr>
    </w:p>
    <w:p w:rsidR="004529CF" w:rsidRDefault="004529CF" w:rsidP="004529CF">
      <w:pPr>
        <w:ind w:left="1701" w:hanging="567"/>
      </w:pPr>
      <w:r>
        <w:t>(i)</w:t>
      </w:r>
      <w:r>
        <w:tab/>
      </w:r>
      <w:proofErr w:type="gramStart"/>
      <w:r>
        <w:t>omit</w:t>
      </w:r>
      <w:proofErr w:type="gramEnd"/>
      <w:r>
        <w:t xml:space="preserve"> “Law”, substitute “Act”;</w:t>
      </w:r>
    </w:p>
    <w:p w:rsidR="004529CF" w:rsidRDefault="004529CF" w:rsidP="004529CF">
      <w:pPr>
        <w:ind w:left="1701" w:hanging="567"/>
      </w:pPr>
    </w:p>
    <w:p w:rsidR="004529CF" w:rsidRDefault="004529CF" w:rsidP="004529CF">
      <w:pPr>
        <w:ind w:left="1701" w:hanging="567"/>
      </w:pPr>
      <w:r>
        <w:t>(ii)</w:t>
      </w:r>
      <w:r>
        <w:tab/>
      </w:r>
      <w:proofErr w:type="gramStart"/>
      <w:r>
        <w:t>omit</w:t>
      </w:r>
      <w:proofErr w:type="gramEnd"/>
      <w:r>
        <w:t xml:space="preserve"> “Corporations (Fees) Regulations.”, substitute “</w:t>
      </w:r>
      <w:r w:rsidRPr="004529CF">
        <w:rPr>
          <w:i/>
        </w:rPr>
        <w:t>Corporations (Fees) Regulations 2001</w:t>
      </w:r>
      <w:r w:rsidRPr="004529CF">
        <w:t>.</w:t>
      </w:r>
      <w:r>
        <w:t>”;</w:t>
      </w:r>
    </w:p>
    <w:p w:rsidR="004529CF" w:rsidRDefault="004529CF" w:rsidP="004529CF">
      <w:pPr>
        <w:ind w:left="1701" w:hanging="567"/>
      </w:pPr>
    </w:p>
    <w:p w:rsidR="004529CF" w:rsidRDefault="004529CF" w:rsidP="0094605D">
      <w:pPr>
        <w:ind w:left="1134" w:hanging="567"/>
      </w:pPr>
      <w:r>
        <w:t>(d)</w:t>
      </w:r>
      <w:r>
        <w:tab/>
      </w:r>
      <w:proofErr w:type="gramStart"/>
      <w:r>
        <w:t>in</w:t>
      </w:r>
      <w:proofErr w:type="gramEnd"/>
      <w:r>
        <w:t xml:space="preserve"> Schedule B omit “Australian Stock Exchange”, substitute “ASX”;</w:t>
      </w:r>
    </w:p>
    <w:p w:rsidR="004529CF" w:rsidRDefault="004529CF" w:rsidP="0094605D">
      <w:pPr>
        <w:ind w:left="1134" w:hanging="567"/>
      </w:pPr>
    </w:p>
    <w:p w:rsidR="004529CF" w:rsidRDefault="004529CF" w:rsidP="0094605D">
      <w:pPr>
        <w:ind w:left="1134" w:hanging="567"/>
      </w:pPr>
      <w:r>
        <w:t>(e)</w:t>
      </w:r>
      <w:r>
        <w:tab/>
      </w:r>
      <w:proofErr w:type="gramStart"/>
      <w:r>
        <w:t>in</w:t>
      </w:r>
      <w:proofErr w:type="gramEnd"/>
      <w:r>
        <w:t xml:space="preserve"> Schedule C:</w:t>
      </w:r>
    </w:p>
    <w:p w:rsidR="004529CF" w:rsidRDefault="004529CF" w:rsidP="0094605D">
      <w:pPr>
        <w:ind w:left="1134" w:hanging="567"/>
      </w:pPr>
    </w:p>
    <w:p w:rsidR="00292249" w:rsidRDefault="00292249" w:rsidP="004529CF">
      <w:pPr>
        <w:ind w:left="1701" w:hanging="567"/>
      </w:pPr>
      <w:r>
        <w:t>(i)</w:t>
      </w:r>
      <w:r>
        <w:tab/>
      </w:r>
      <w:proofErr w:type="gramStart"/>
      <w:r>
        <w:t>in</w:t>
      </w:r>
      <w:proofErr w:type="gramEnd"/>
      <w:r>
        <w:t xml:space="preserve"> paragraph 1 omit “ASIC Practice Note 61, </w:t>
      </w:r>
      <w:r w:rsidRPr="00292249">
        <w:rPr>
          <w:i/>
        </w:rPr>
        <w:t>Relief from  dual lodgment of financial reports</w:t>
      </w:r>
      <w:r>
        <w:t xml:space="preserve"> [PN 61].”, substitute “ASIC Regulatory Guide 28: </w:t>
      </w:r>
      <w:r w:rsidRPr="00292249">
        <w:rPr>
          <w:i/>
        </w:rPr>
        <w:t>Relief from dual lodgment of financial reports</w:t>
      </w:r>
      <w:r w:rsidR="002C1B97">
        <w:rPr>
          <w:i/>
        </w:rPr>
        <w:t xml:space="preserve"> </w:t>
      </w:r>
      <w:r w:rsidR="002C1B97">
        <w:t xml:space="preserve">as </w:t>
      </w:r>
      <w:r w:rsidR="00C334BD">
        <w:t>at 12 June 2012</w:t>
      </w:r>
      <w:r>
        <w:t>.”;</w:t>
      </w:r>
    </w:p>
    <w:p w:rsidR="00292249" w:rsidRDefault="00292249" w:rsidP="004529CF">
      <w:pPr>
        <w:ind w:left="1701" w:hanging="567"/>
      </w:pPr>
    </w:p>
    <w:p w:rsidR="004529CF" w:rsidRDefault="004529CF" w:rsidP="004529CF">
      <w:pPr>
        <w:ind w:left="1701" w:hanging="567"/>
      </w:pPr>
      <w:r>
        <w:t>(</w:t>
      </w:r>
      <w:r w:rsidR="00292249">
        <w:t>i</w:t>
      </w:r>
      <w:r>
        <w:t>i)</w:t>
      </w:r>
      <w:r>
        <w:tab/>
      </w:r>
      <w:proofErr w:type="gramStart"/>
      <w:r>
        <w:t>omit</w:t>
      </w:r>
      <w:proofErr w:type="gramEnd"/>
      <w:r>
        <w:t xml:space="preserve"> paragraph</w:t>
      </w:r>
      <w:r w:rsidR="00292249">
        <w:t>s</w:t>
      </w:r>
      <w:r>
        <w:t xml:space="preserve"> 2</w:t>
      </w:r>
      <w:r w:rsidR="00292249">
        <w:t xml:space="preserve"> to 8</w:t>
      </w:r>
      <w:r w:rsidR="005215C7">
        <w:t xml:space="preserve"> (inclusive)</w:t>
      </w:r>
      <w:r>
        <w:t>, substitute:</w:t>
      </w:r>
    </w:p>
    <w:p w:rsidR="004529CF" w:rsidRDefault="004529CF" w:rsidP="004529CF">
      <w:pPr>
        <w:ind w:left="1701" w:hanging="567"/>
      </w:pPr>
    </w:p>
    <w:p w:rsidR="00292249" w:rsidRDefault="004529CF" w:rsidP="004529CF">
      <w:pPr>
        <w:ind w:left="2268" w:hanging="567"/>
      </w:pPr>
      <w:r>
        <w:t>“2.</w:t>
      </w:r>
      <w:r>
        <w:tab/>
        <w:t xml:space="preserve">If a Body wishes to lodge a Document electronically </w:t>
      </w:r>
      <w:r w:rsidR="004E21F5">
        <w:t xml:space="preserve">the Body </w:t>
      </w:r>
      <w:r>
        <w:t xml:space="preserve">must lodge </w:t>
      </w:r>
      <w:r w:rsidR="004E21F5">
        <w:t xml:space="preserve">it </w:t>
      </w:r>
      <w:r>
        <w:t xml:space="preserve">through ASX Online in accordance with ASX Guidance Note 20 – “ASX Online” issued </w:t>
      </w:r>
      <w:r w:rsidR="00292249">
        <w:t>on 12 June 2012.</w:t>
      </w:r>
    </w:p>
    <w:p w:rsidR="00292249" w:rsidRDefault="00292249" w:rsidP="004529CF">
      <w:pPr>
        <w:ind w:left="2268" w:hanging="567"/>
      </w:pPr>
    </w:p>
    <w:p w:rsidR="00292249" w:rsidRDefault="00292249" w:rsidP="004529CF">
      <w:pPr>
        <w:ind w:left="2268" w:hanging="567"/>
      </w:pPr>
      <w:r>
        <w:t>3.</w:t>
      </w:r>
      <w:r>
        <w:tab/>
      </w:r>
      <w:r w:rsidR="00C334BD">
        <w:t>A body lodging a</w:t>
      </w:r>
      <w:r>
        <w:t xml:space="preserve"> Document electronically under the Approval</w:t>
      </w:r>
      <w:r w:rsidR="00C334BD">
        <w:t xml:space="preserve"> must keep</w:t>
      </w:r>
      <w:r>
        <w:t xml:space="preserve"> a signed copy of the Document </w:t>
      </w:r>
      <w:r w:rsidR="00B61A56">
        <w:t xml:space="preserve">for </w:t>
      </w:r>
      <w:r>
        <w:t>a</w:t>
      </w:r>
      <w:r w:rsidR="00D4454B">
        <w:t xml:space="preserve"> </w:t>
      </w:r>
      <w:r>
        <w:t>period</w:t>
      </w:r>
      <w:r w:rsidR="00D4454B">
        <w:t xml:space="preserve"> of not less than 7 years from the time of Data Transmission. The Body must make it available to ASIC if required by ASIC.</w:t>
      </w:r>
      <w:proofErr w:type="gramStart"/>
      <w:r w:rsidR="00D4454B">
        <w:t>”;</w:t>
      </w:r>
      <w:proofErr w:type="gramEnd"/>
    </w:p>
    <w:p w:rsidR="00292249" w:rsidRDefault="00292249" w:rsidP="004529CF">
      <w:pPr>
        <w:ind w:left="2268" w:hanging="567"/>
      </w:pPr>
    </w:p>
    <w:p w:rsidR="00D4454B" w:rsidRDefault="00D4454B" w:rsidP="00D4454B">
      <w:pPr>
        <w:ind w:left="1134" w:hanging="567"/>
      </w:pPr>
      <w:r>
        <w:t>(f)</w:t>
      </w:r>
      <w:r>
        <w:tab/>
      </w:r>
      <w:proofErr w:type="gramStart"/>
      <w:r>
        <w:t>omit</w:t>
      </w:r>
      <w:proofErr w:type="gramEnd"/>
      <w:r>
        <w:t xml:space="preserve"> Schedule D;</w:t>
      </w:r>
    </w:p>
    <w:p w:rsidR="00D4454B" w:rsidRDefault="00D4454B" w:rsidP="00D4454B">
      <w:pPr>
        <w:ind w:left="1134" w:hanging="567"/>
      </w:pPr>
    </w:p>
    <w:p w:rsidR="00D4454B" w:rsidRDefault="00D4454B" w:rsidP="00D4454B">
      <w:pPr>
        <w:ind w:left="1134" w:hanging="567"/>
      </w:pPr>
      <w:r>
        <w:t>(g)</w:t>
      </w:r>
      <w:r>
        <w:tab/>
      </w:r>
      <w:proofErr w:type="gramStart"/>
      <w:r>
        <w:t>in</w:t>
      </w:r>
      <w:proofErr w:type="gramEnd"/>
      <w:r>
        <w:t xml:space="preserve"> </w:t>
      </w:r>
      <w:r w:rsidR="00C334BD">
        <w:t>the table under the heading “</w:t>
      </w:r>
      <w:r w:rsidRPr="00D4454B">
        <w:rPr>
          <w:b/>
        </w:rPr>
        <w:t>Interpretation</w:t>
      </w:r>
      <w:r w:rsidR="008B3165" w:rsidRPr="008B3165">
        <w:t>”</w:t>
      </w:r>
      <w:r>
        <w:t>:</w:t>
      </w:r>
    </w:p>
    <w:p w:rsidR="00D4454B" w:rsidRDefault="00D4454B" w:rsidP="00D4454B">
      <w:pPr>
        <w:ind w:left="1134" w:hanging="567"/>
      </w:pPr>
    </w:p>
    <w:p w:rsidR="00D4454B" w:rsidRDefault="00292249" w:rsidP="00292249">
      <w:pPr>
        <w:ind w:left="1701" w:hanging="567"/>
      </w:pPr>
      <w:r>
        <w:t>(</w:t>
      </w:r>
      <w:r w:rsidR="00D4454B">
        <w:t>i</w:t>
      </w:r>
      <w:r>
        <w:t>)</w:t>
      </w:r>
      <w:r>
        <w:tab/>
      </w:r>
      <w:proofErr w:type="gramStart"/>
      <w:r>
        <w:t>omit</w:t>
      </w:r>
      <w:proofErr w:type="gramEnd"/>
      <w:r>
        <w:t xml:space="preserve"> </w:t>
      </w:r>
      <w:r w:rsidR="00D4454B">
        <w:t xml:space="preserve">the </w:t>
      </w:r>
      <w:r w:rsidR="000F38A1">
        <w:t>rows setting out the definitions</w:t>
      </w:r>
      <w:r w:rsidR="00D4454B">
        <w:t xml:space="preserve"> of the following:</w:t>
      </w:r>
    </w:p>
    <w:p w:rsidR="00D4454B" w:rsidRDefault="00D4454B" w:rsidP="00292249">
      <w:pPr>
        <w:ind w:left="1701" w:hanging="567"/>
      </w:pPr>
    </w:p>
    <w:p w:rsidR="00D4454B" w:rsidRDefault="00D4454B" w:rsidP="00D4454B">
      <w:pPr>
        <w:ind w:left="2268" w:hanging="567"/>
      </w:pPr>
      <w:r>
        <w:t>(A)</w:t>
      </w:r>
      <w:r>
        <w:tab/>
      </w:r>
      <w:r w:rsidR="008B3165" w:rsidRPr="008B3165">
        <w:rPr>
          <w:b/>
        </w:rPr>
        <w:t>ASX Online User Guide</w:t>
      </w:r>
      <w:r>
        <w:t>;</w:t>
      </w:r>
    </w:p>
    <w:p w:rsidR="00D4454B" w:rsidRDefault="00D4454B" w:rsidP="00D4454B">
      <w:pPr>
        <w:ind w:left="2268" w:hanging="567"/>
      </w:pPr>
    </w:p>
    <w:p w:rsidR="00D4454B" w:rsidRDefault="00D4454B" w:rsidP="00D4454B">
      <w:pPr>
        <w:ind w:left="2268" w:hanging="567"/>
      </w:pPr>
      <w:r>
        <w:t>(B)</w:t>
      </w:r>
      <w:r>
        <w:tab/>
      </w:r>
      <w:r w:rsidR="008B3165" w:rsidRPr="008B3165">
        <w:rPr>
          <w:b/>
        </w:rPr>
        <w:t>Electronic Lodgement Facility</w:t>
      </w:r>
      <w:r>
        <w:t>;</w:t>
      </w:r>
    </w:p>
    <w:p w:rsidR="00D4454B" w:rsidRDefault="00D4454B" w:rsidP="00D4454B">
      <w:pPr>
        <w:ind w:left="2268" w:hanging="567"/>
      </w:pPr>
    </w:p>
    <w:p w:rsidR="00D4454B" w:rsidRDefault="00D4454B" w:rsidP="00D4454B">
      <w:pPr>
        <w:ind w:left="2268" w:hanging="567"/>
      </w:pPr>
      <w:r>
        <w:t>(C)</w:t>
      </w:r>
      <w:r>
        <w:tab/>
      </w:r>
      <w:r w:rsidR="008B3165" w:rsidRPr="008B3165">
        <w:rPr>
          <w:b/>
        </w:rPr>
        <w:t>Security Features</w:t>
      </w:r>
      <w:r>
        <w:t>;</w:t>
      </w:r>
    </w:p>
    <w:p w:rsidR="00D4454B" w:rsidRDefault="00D4454B" w:rsidP="00292249">
      <w:pPr>
        <w:ind w:left="1701" w:hanging="567"/>
      </w:pPr>
    </w:p>
    <w:p w:rsidR="00D4454B" w:rsidRDefault="00D4454B" w:rsidP="00292249">
      <w:pPr>
        <w:ind w:left="1701" w:hanging="567"/>
      </w:pPr>
      <w:r>
        <w:t>(ii)</w:t>
      </w:r>
      <w:r>
        <w:tab/>
      </w:r>
      <w:proofErr w:type="gramStart"/>
      <w:r>
        <w:t>insert</w:t>
      </w:r>
      <w:proofErr w:type="gramEnd"/>
      <w:r>
        <w:t xml:space="preserve"> the following </w:t>
      </w:r>
      <w:r w:rsidR="000F38A1">
        <w:t xml:space="preserve">row after the row setting out the definition of </w:t>
      </w:r>
      <w:r w:rsidR="008B3165" w:rsidRPr="008B3165">
        <w:rPr>
          <w:b/>
        </w:rPr>
        <w:t>Approval</w:t>
      </w:r>
      <w:r>
        <w:t>:</w:t>
      </w:r>
    </w:p>
    <w:p w:rsidR="00D4454B" w:rsidRDefault="00D4454B" w:rsidP="00292249">
      <w:pPr>
        <w:ind w:left="1701" w:hanging="567"/>
      </w:pPr>
    </w:p>
    <w:tbl>
      <w:tblPr>
        <w:tblStyle w:val="TableGrid"/>
        <w:tblW w:w="0" w:type="auto"/>
        <w:tblInd w:w="1701" w:type="dxa"/>
        <w:tblLook w:val="04A0"/>
      </w:tblPr>
      <w:tblGrid>
        <w:gridCol w:w="1668"/>
        <w:gridCol w:w="5159"/>
      </w:tblGrid>
      <w:tr w:rsidR="00D4454B" w:rsidTr="00D4454B">
        <w:tc>
          <w:tcPr>
            <w:tcW w:w="1668" w:type="dxa"/>
          </w:tcPr>
          <w:p w:rsidR="00D4454B" w:rsidRPr="000F38A1" w:rsidRDefault="008B3165" w:rsidP="00292249">
            <w:pPr>
              <w:rPr>
                <w:b/>
              </w:rPr>
            </w:pPr>
            <w:r w:rsidRPr="008B3165">
              <w:rPr>
                <w:b/>
              </w:rPr>
              <w:t>ASX Online</w:t>
            </w:r>
          </w:p>
        </w:tc>
        <w:tc>
          <w:tcPr>
            <w:tcW w:w="5159" w:type="dxa"/>
          </w:tcPr>
          <w:p w:rsidR="00D4454B" w:rsidRDefault="00D4454B" w:rsidP="0071558B">
            <w:r>
              <w:t>The electronic lodgment facility which enables bodies included</w:t>
            </w:r>
            <w:r w:rsidR="0071558B">
              <w:t xml:space="preserve"> in the official list of </w:t>
            </w:r>
            <w:r w:rsidR="00AB19B7">
              <w:t>A</w:t>
            </w:r>
            <w:r w:rsidR="0071558B">
              <w:t>SX to transmit documents to ASX electronically</w:t>
            </w:r>
            <w:r w:rsidR="006E38A9">
              <w:t>,</w:t>
            </w:r>
            <w:r w:rsidR="0071558B">
              <w:t xml:space="preserve"> which is available at </w:t>
            </w:r>
            <w:hyperlink r:id="rId7" w:history="1">
              <w:r w:rsidR="0071558B" w:rsidRPr="003D2853">
                <w:rPr>
                  <w:rStyle w:val="Hyperlink"/>
                </w:rPr>
                <w:t>https://www.asxonline.com</w:t>
              </w:r>
            </w:hyperlink>
            <w:r w:rsidR="0071558B">
              <w:t xml:space="preserve">, or such other address as may be notified by ASX from time to time.  </w:t>
            </w:r>
          </w:p>
        </w:tc>
      </w:tr>
    </w:tbl>
    <w:p w:rsidR="00D4454B" w:rsidRDefault="00D4454B" w:rsidP="00292249">
      <w:pPr>
        <w:ind w:left="1701" w:hanging="567"/>
      </w:pPr>
    </w:p>
    <w:p w:rsidR="00D4454B" w:rsidRDefault="00D4454B" w:rsidP="00292249">
      <w:pPr>
        <w:ind w:left="1701" w:hanging="567"/>
      </w:pPr>
    </w:p>
    <w:p w:rsidR="006E38A9" w:rsidRPr="0094605D" w:rsidRDefault="006E38A9" w:rsidP="006E38A9">
      <w:pPr>
        <w:rPr>
          <w:i/>
        </w:rPr>
      </w:pPr>
      <w:r>
        <w:rPr>
          <w:i/>
        </w:rPr>
        <w:t xml:space="preserve">ASIC </w:t>
      </w:r>
      <w:r w:rsidRPr="0094605D">
        <w:rPr>
          <w:i/>
        </w:rPr>
        <w:t>Class Order [CO 0</w:t>
      </w:r>
      <w:r>
        <w:rPr>
          <w:i/>
        </w:rPr>
        <w:t>1</w:t>
      </w:r>
      <w:r w:rsidRPr="0094605D">
        <w:rPr>
          <w:i/>
        </w:rPr>
        <w:t>/</w:t>
      </w:r>
      <w:r>
        <w:rPr>
          <w:i/>
        </w:rPr>
        <w:t>1519</w:t>
      </w:r>
      <w:r w:rsidRPr="0094605D">
        <w:rPr>
          <w:i/>
        </w:rPr>
        <w:t>]</w:t>
      </w:r>
    </w:p>
    <w:p w:rsidR="006E38A9" w:rsidRPr="00A627E5" w:rsidRDefault="006E38A9" w:rsidP="006E38A9"/>
    <w:p w:rsidR="005215C7" w:rsidRDefault="006E38A9" w:rsidP="005215C7">
      <w:pPr>
        <w:ind w:left="567" w:hanging="567"/>
      </w:pPr>
      <w:r>
        <w:t>6</w:t>
      </w:r>
      <w:r w:rsidRPr="00A627E5">
        <w:t>.</w:t>
      </w:r>
      <w:r>
        <w:tab/>
      </w:r>
      <w:r w:rsidRPr="00A627E5">
        <w:t xml:space="preserve">ASIC </w:t>
      </w:r>
      <w:r>
        <w:t xml:space="preserve">Class Order [CO 01/1519] is varied </w:t>
      </w:r>
      <w:r w:rsidR="005215C7">
        <w:t xml:space="preserve">by, </w:t>
      </w:r>
      <w:r w:rsidR="005215C7">
        <w:tab/>
        <w:t xml:space="preserve">in </w:t>
      </w:r>
      <w:r w:rsidR="003A716B">
        <w:t xml:space="preserve">paragraph 2 of </w:t>
      </w:r>
      <w:r w:rsidR="005215C7">
        <w:t>Schedule C, omitting “5 May 2008.” and substituting “12 June 2012.</w:t>
      </w:r>
      <w:proofErr w:type="gramStart"/>
      <w:r w:rsidR="005215C7">
        <w:t>”.</w:t>
      </w:r>
      <w:proofErr w:type="gramEnd"/>
    </w:p>
    <w:p w:rsidR="00D4454B" w:rsidRDefault="00D4454B" w:rsidP="00292249">
      <w:pPr>
        <w:ind w:left="1701" w:hanging="567"/>
      </w:pPr>
    </w:p>
    <w:p w:rsidR="005215C7" w:rsidRDefault="005215C7" w:rsidP="00292249">
      <w:pPr>
        <w:ind w:left="1701" w:hanging="567"/>
      </w:pPr>
    </w:p>
    <w:p w:rsidR="00BF3DCF" w:rsidRDefault="00BF3DCF" w:rsidP="00A627E5">
      <w:pPr>
        <w:ind w:left="720" w:hanging="720"/>
      </w:pPr>
    </w:p>
    <w:p w:rsidR="00A627E5" w:rsidRDefault="00A627E5" w:rsidP="00A627E5">
      <w:pPr>
        <w:ind w:left="720" w:hanging="720"/>
      </w:pPr>
      <w:r>
        <w:t>Dated this</w:t>
      </w:r>
      <w:r w:rsidR="00E227E8">
        <w:t xml:space="preserve"> </w:t>
      </w:r>
      <w:r w:rsidR="00C24F1D">
        <w:t>12</w:t>
      </w:r>
      <w:r w:rsidR="00C24F1D" w:rsidRPr="00C24F1D">
        <w:rPr>
          <w:vertAlign w:val="superscript"/>
        </w:rPr>
        <w:t>th</w:t>
      </w:r>
      <w:r w:rsidR="00C24F1D">
        <w:t xml:space="preserve"> </w:t>
      </w:r>
      <w:r w:rsidR="006F0118">
        <w:t>d</w:t>
      </w:r>
      <w:r w:rsidR="00BF3DCF">
        <w:t xml:space="preserve">ay </w:t>
      </w:r>
      <w:r w:rsidR="00E227E8">
        <w:t xml:space="preserve">of </w:t>
      </w:r>
      <w:r w:rsidR="005215C7">
        <w:t xml:space="preserve">June </w:t>
      </w:r>
      <w:r w:rsidR="00E227E8">
        <w:t>201</w:t>
      </w:r>
      <w:r w:rsidR="000C5B38">
        <w:t>2</w:t>
      </w:r>
    </w:p>
    <w:p w:rsidR="00A627E5" w:rsidRDefault="00A627E5" w:rsidP="00A627E5">
      <w:pPr>
        <w:ind w:left="720" w:hanging="720"/>
      </w:pPr>
    </w:p>
    <w:p w:rsidR="00A627E5" w:rsidRDefault="00A627E5" w:rsidP="00A627E5">
      <w:pPr>
        <w:ind w:left="720" w:hanging="720"/>
      </w:pPr>
    </w:p>
    <w:p w:rsidR="00A627E5" w:rsidRDefault="00A627E5" w:rsidP="00A627E5">
      <w:pPr>
        <w:ind w:left="720" w:hanging="720"/>
      </w:pPr>
    </w:p>
    <w:p w:rsidR="008248A7" w:rsidRDefault="008248A7" w:rsidP="00A627E5">
      <w:pPr>
        <w:ind w:left="720" w:hanging="720"/>
      </w:pPr>
    </w:p>
    <w:p w:rsidR="00A627E5" w:rsidRDefault="00E227E8" w:rsidP="00A627E5">
      <w:pPr>
        <w:ind w:left="720" w:hanging="720"/>
      </w:pPr>
      <w:r>
        <w:t xml:space="preserve">Signed by </w:t>
      </w:r>
      <w:r w:rsidR="000C5B38">
        <w:t xml:space="preserve">Stephen Yen </w:t>
      </w:r>
      <w:r w:rsidR="000C5B38" w:rsidRPr="000C5B38">
        <w:rPr>
          <w:sz w:val="22"/>
          <w:szCs w:val="22"/>
        </w:rPr>
        <w:t>PSM</w:t>
      </w:r>
    </w:p>
    <w:p w:rsidR="00A627E5" w:rsidRDefault="00E227E8" w:rsidP="00A627E5">
      <w:pPr>
        <w:ind w:left="720" w:hanging="720"/>
      </w:pPr>
      <w:proofErr w:type="gramStart"/>
      <w:r>
        <w:t>a</w:t>
      </w:r>
      <w:r w:rsidR="00A627E5">
        <w:t>s</w:t>
      </w:r>
      <w:proofErr w:type="gramEnd"/>
      <w:r w:rsidR="00A627E5">
        <w:t xml:space="preserve"> a delegate of the Australian Securities and Investments Commission</w:t>
      </w:r>
    </w:p>
    <w:p w:rsidR="00A627E5" w:rsidRDefault="00A627E5" w:rsidP="00A627E5">
      <w:pPr>
        <w:ind w:left="720" w:hanging="720"/>
      </w:pPr>
    </w:p>
    <w:p w:rsidR="00A627E5" w:rsidRDefault="00A627E5" w:rsidP="00A627E5">
      <w:pPr>
        <w:ind w:left="720" w:hanging="720"/>
      </w:pPr>
    </w:p>
    <w:sectPr w:rsidR="00A627E5" w:rsidSect="004529CF">
      <w:headerReference w:type="default" r:id="rId8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8B2" w:rsidRDefault="008318B2" w:rsidP="00994FF4">
      <w:r>
        <w:separator/>
      </w:r>
    </w:p>
  </w:endnote>
  <w:endnote w:type="continuationSeparator" w:id="0">
    <w:p w:rsidR="008318B2" w:rsidRDefault="008318B2" w:rsidP="00994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8B2" w:rsidRDefault="008318B2" w:rsidP="00994FF4">
      <w:r>
        <w:separator/>
      </w:r>
    </w:p>
  </w:footnote>
  <w:footnote w:type="continuationSeparator" w:id="0">
    <w:p w:rsidR="008318B2" w:rsidRDefault="008318B2" w:rsidP="00994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3985233"/>
      <w:docPartObj>
        <w:docPartGallery w:val="Page Numbers (Top of Page)"/>
        <w:docPartUnique/>
      </w:docPartObj>
    </w:sdtPr>
    <w:sdtContent>
      <w:p w:rsidR="00D4454B" w:rsidRDefault="00794140">
        <w:pPr>
          <w:pStyle w:val="Header"/>
          <w:jc w:val="center"/>
        </w:pPr>
        <w:fldSimple w:instr=" PAGE   \* MERGEFORMAT ">
          <w:r w:rsidR="00E34DFB">
            <w:rPr>
              <w:noProof/>
            </w:rPr>
            <w:t>3</w:t>
          </w:r>
        </w:fldSimple>
      </w:p>
    </w:sdtContent>
  </w:sdt>
  <w:p w:rsidR="00D4454B" w:rsidRDefault="00D445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A627E5"/>
    <w:rsid w:val="00007650"/>
    <w:rsid w:val="00023C2B"/>
    <w:rsid w:val="00065ECB"/>
    <w:rsid w:val="00073542"/>
    <w:rsid w:val="000B52BB"/>
    <w:rsid w:val="000C5B38"/>
    <w:rsid w:val="000E4C50"/>
    <w:rsid w:val="000F38A1"/>
    <w:rsid w:val="0011531F"/>
    <w:rsid w:val="00117427"/>
    <w:rsid w:val="001331C1"/>
    <w:rsid w:val="001579CB"/>
    <w:rsid w:val="001A0C2B"/>
    <w:rsid w:val="001A1E85"/>
    <w:rsid w:val="00234243"/>
    <w:rsid w:val="00237EE1"/>
    <w:rsid w:val="00265B43"/>
    <w:rsid w:val="00292249"/>
    <w:rsid w:val="002C1B97"/>
    <w:rsid w:val="002D3E82"/>
    <w:rsid w:val="002E5695"/>
    <w:rsid w:val="00311FF8"/>
    <w:rsid w:val="003300EB"/>
    <w:rsid w:val="00331EFB"/>
    <w:rsid w:val="003A716B"/>
    <w:rsid w:val="003C1D7A"/>
    <w:rsid w:val="003F3A0C"/>
    <w:rsid w:val="003F648E"/>
    <w:rsid w:val="00411FCC"/>
    <w:rsid w:val="0043353A"/>
    <w:rsid w:val="004529CF"/>
    <w:rsid w:val="004B73EA"/>
    <w:rsid w:val="004D22C6"/>
    <w:rsid w:val="004E21F5"/>
    <w:rsid w:val="005215C7"/>
    <w:rsid w:val="00553E5F"/>
    <w:rsid w:val="00582345"/>
    <w:rsid w:val="0058486F"/>
    <w:rsid w:val="005D0DE9"/>
    <w:rsid w:val="005E013B"/>
    <w:rsid w:val="00617340"/>
    <w:rsid w:val="00663869"/>
    <w:rsid w:val="00665159"/>
    <w:rsid w:val="00687DDF"/>
    <w:rsid w:val="006966BE"/>
    <w:rsid w:val="006B2175"/>
    <w:rsid w:val="006E38A9"/>
    <w:rsid w:val="006F0118"/>
    <w:rsid w:val="0071072F"/>
    <w:rsid w:val="0071558B"/>
    <w:rsid w:val="00774F14"/>
    <w:rsid w:val="00794140"/>
    <w:rsid w:val="007C6F59"/>
    <w:rsid w:val="008248A7"/>
    <w:rsid w:val="00826A7F"/>
    <w:rsid w:val="008318B2"/>
    <w:rsid w:val="00836B63"/>
    <w:rsid w:val="00896601"/>
    <w:rsid w:val="008B3165"/>
    <w:rsid w:val="0094605D"/>
    <w:rsid w:val="0096752B"/>
    <w:rsid w:val="00994FF4"/>
    <w:rsid w:val="009B62F0"/>
    <w:rsid w:val="00A2404F"/>
    <w:rsid w:val="00A5292B"/>
    <w:rsid w:val="00A627E5"/>
    <w:rsid w:val="00A84F74"/>
    <w:rsid w:val="00A86158"/>
    <w:rsid w:val="00A95510"/>
    <w:rsid w:val="00AB19B7"/>
    <w:rsid w:val="00AD2281"/>
    <w:rsid w:val="00B61A56"/>
    <w:rsid w:val="00B84574"/>
    <w:rsid w:val="00B861BB"/>
    <w:rsid w:val="00BA67BD"/>
    <w:rsid w:val="00BF3DCF"/>
    <w:rsid w:val="00C01DA4"/>
    <w:rsid w:val="00C244E7"/>
    <w:rsid w:val="00C24F1D"/>
    <w:rsid w:val="00C334BD"/>
    <w:rsid w:val="00C430FD"/>
    <w:rsid w:val="00D4454B"/>
    <w:rsid w:val="00DB5625"/>
    <w:rsid w:val="00E227E8"/>
    <w:rsid w:val="00E34DFB"/>
    <w:rsid w:val="00E468DD"/>
    <w:rsid w:val="00EF37FA"/>
    <w:rsid w:val="00F509B8"/>
    <w:rsid w:val="00FC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94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FF4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44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55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sxonl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xonlin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Reid</dc:creator>
  <cp:keywords/>
  <dc:description/>
  <cp:lastModifiedBy>Stephen Yen</cp:lastModifiedBy>
  <cp:revision>25</cp:revision>
  <cp:lastPrinted>2012-06-11T23:47:00Z</cp:lastPrinted>
  <dcterms:created xsi:type="dcterms:W3CDTF">2011-09-27T01:16:00Z</dcterms:created>
  <dcterms:modified xsi:type="dcterms:W3CDTF">2012-06-11T23:49:00Z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A3559220</vt:lpwstr>
  </property>
  <property fmtid="{D5CDD505-2E9C-101B-9397-08002B2CF9AE}" pid="3" name="Objective-Title">
    <vt:lpwstr>Class Order CO 12-722</vt:lpwstr>
  </property>
  <property fmtid="{D5CDD505-2E9C-101B-9397-08002B2CF9AE}" pid="4" name="Objective-Comment">
    <vt:lpwstr/>
  </property>
  <property fmtid="{D5CDD505-2E9C-101B-9397-08002B2CF9AE}" pid="5" name="Objective-CreationStamp">
    <vt:filetime>2012-06-03T23:32:24Z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2012-06-11T23:55:53Z</vt:filetime>
  </property>
  <property fmtid="{D5CDD505-2E9C-101B-9397-08002B2CF9AE}" pid="9" name="Objective-ModificationStamp">
    <vt:filetime>2012-06-11T23:55:53Z</vt:filetime>
  </property>
  <property fmtid="{D5CDD505-2E9C-101B-9397-08002B2CF9AE}" pid="10" name="Objective-Owner">
    <vt:lpwstr>Grant Moodie</vt:lpwstr>
  </property>
  <property fmtid="{D5CDD505-2E9C-101B-9397-08002B2CF9AE}" pid="11" name="Objective-Path">
    <vt:lpwstr>ASIC BCS:LEGAL SERVICES:Advice:Class Orders:Class Orders 2012:</vt:lpwstr>
  </property>
  <property fmtid="{D5CDD505-2E9C-101B-9397-08002B2CF9AE}" pid="12" name="Objective-Parent">
    <vt:lpwstr>Class Orders 2012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9</vt:i4>
  </property>
  <property fmtid="{D5CDD505-2E9C-101B-9397-08002B2CF9AE}" pid="16" name="Objective-VersionComment">
    <vt:lpwstr/>
  </property>
  <property fmtid="{D5CDD505-2E9C-101B-9397-08002B2CF9AE}" pid="17" name="Objective-FileNumber">
    <vt:lpwstr>2012 - 000142</vt:lpwstr>
  </property>
  <property fmtid="{D5CDD505-2E9C-101B-9397-08002B2CF9AE}" pid="18" name="Objective-Classification">
    <vt:lpwstr>[Inherited - IN-CONFIDENCE]</vt:lpwstr>
  </property>
  <property fmtid="{D5CDD505-2E9C-101B-9397-08002B2CF9AE}" pid="19" name="Objective-Caveats">
    <vt:lpwstr/>
  </property>
  <property fmtid="{D5CDD505-2E9C-101B-9397-08002B2CF9AE}" pid="20" name="Objective-Category [system]">
    <vt:lpwstr/>
  </property>
</Properties>
</file>