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31A" w:rsidRPr="00DB131A" w:rsidRDefault="00DB131A" w:rsidP="00373E8F">
      <w:pPr>
        <w:pStyle w:val="HP"/>
        <w:keepNext w:val="0"/>
        <w:spacing w:before="0" w:line="276" w:lineRule="auto"/>
        <w:rPr>
          <w:rFonts w:ascii="Times New Roman" w:hAnsi="Times New Roman" w:cs="Times New Roman"/>
          <w:sz w:val="28"/>
          <w:szCs w:val="28"/>
        </w:rPr>
      </w:pPr>
    </w:p>
    <w:p w:rsidR="00373E8F" w:rsidRPr="00DB131A" w:rsidRDefault="00373E8F" w:rsidP="00373E8F">
      <w:pPr>
        <w:pStyle w:val="HP"/>
        <w:keepNext w:val="0"/>
        <w:spacing w:before="0" w:line="276" w:lineRule="auto"/>
        <w:rPr>
          <w:rFonts w:ascii="Times New Roman" w:hAnsi="Times New Roman" w:cs="Times New Roman"/>
          <w:sz w:val="28"/>
          <w:szCs w:val="28"/>
        </w:rPr>
      </w:pPr>
      <w:r w:rsidRPr="00DB131A">
        <w:rPr>
          <w:rFonts w:ascii="Times New Roman" w:hAnsi="Times New Roman" w:cs="Times New Roman"/>
          <w:sz w:val="28"/>
          <w:szCs w:val="28"/>
        </w:rPr>
        <w:t>Commonwealth of Australia</w:t>
      </w:r>
    </w:p>
    <w:p w:rsidR="00373E8F" w:rsidRPr="00DB131A" w:rsidRDefault="00373E8F" w:rsidP="00373E8F">
      <w:pPr>
        <w:pStyle w:val="Heading6"/>
        <w:spacing w:line="276" w:lineRule="auto"/>
        <w:jc w:val="center"/>
        <w:rPr>
          <w:b w:val="0"/>
          <w:i/>
          <w:sz w:val="28"/>
          <w:szCs w:val="28"/>
        </w:rPr>
      </w:pPr>
      <w:r w:rsidRPr="00DB131A">
        <w:rPr>
          <w:b w:val="0"/>
          <w:i/>
          <w:sz w:val="28"/>
          <w:szCs w:val="28"/>
        </w:rPr>
        <w:t>Telecommunications (Consumer Protection and Service Standards) Act 1999</w:t>
      </w:r>
    </w:p>
    <w:p w:rsidR="00373E8F" w:rsidRPr="00785D64" w:rsidRDefault="00373E8F" w:rsidP="00785D64">
      <w:pPr>
        <w:pStyle w:val="Title"/>
        <w:rPr>
          <w:color w:val="000000"/>
        </w:rPr>
      </w:pPr>
      <w:bookmarkStart w:id="0" w:name="OLE_LINK1"/>
      <w:bookmarkStart w:id="1" w:name="OLE_LINK2"/>
      <w:r w:rsidRPr="00785D64">
        <w:rPr>
          <w:color w:val="000000"/>
        </w:rPr>
        <w:t>Telecommunications Universal Service Obligation (Standard Telephone Service—Requirements and Circumstances) Determination (No. 1) 2011</w:t>
      </w:r>
      <w:r w:rsidR="00A94147">
        <w:rPr>
          <w:color w:val="000000"/>
        </w:rPr>
        <w:t xml:space="preserve">       </w:t>
      </w:r>
      <w:r w:rsidRPr="00785D64">
        <w:rPr>
          <w:color w:val="000000"/>
        </w:rPr>
        <w:t>(Amendment No.</w:t>
      </w:r>
      <w:r w:rsidR="004275AF">
        <w:rPr>
          <w:color w:val="000000"/>
        </w:rPr>
        <w:t xml:space="preserve"> </w:t>
      </w:r>
      <w:r w:rsidRPr="00785D64">
        <w:rPr>
          <w:color w:val="000000"/>
        </w:rPr>
        <w:t xml:space="preserve">1 of </w:t>
      </w:r>
      <w:r w:rsidR="00527A77" w:rsidRPr="00785D64">
        <w:rPr>
          <w:color w:val="000000"/>
        </w:rPr>
        <w:t>201</w:t>
      </w:r>
      <w:r w:rsidR="00527A77">
        <w:rPr>
          <w:color w:val="000000"/>
        </w:rPr>
        <w:t>2</w:t>
      </w:r>
      <w:r w:rsidRPr="00785D64">
        <w:rPr>
          <w:color w:val="000000"/>
        </w:rPr>
        <w:t>)</w:t>
      </w:r>
    </w:p>
    <w:bookmarkEnd w:id="0"/>
    <w:bookmarkEnd w:id="1"/>
    <w:p w:rsidR="00373E8F" w:rsidRPr="003F2B22" w:rsidRDefault="00373E8F" w:rsidP="00373E8F">
      <w:pPr>
        <w:spacing w:line="276" w:lineRule="auto"/>
      </w:pPr>
    </w:p>
    <w:p w:rsidR="00373E8F" w:rsidRPr="00785D64" w:rsidRDefault="00373E8F" w:rsidP="00373E8F">
      <w:pPr>
        <w:spacing w:before="400" w:line="276" w:lineRule="auto"/>
        <w:rPr>
          <w:sz w:val="26"/>
          <w:szCs w:val="26"/>
        </w:rPr>
      </w:pPr>
      <w:r w:rsidRPr="00785D64">
        <w:rPr>
          <w:sz w:val="26"/>
          <w:szCs w:val="26"/>
        </w:rPr>
        <w:t>I,</w:t>
      </w:r>
      <w:r w:rsidRPr="00785D64">
        <w:rPr>
          <w:caps/>
          <w:sz w:val="26"/>
          <w:szCs w:val="26"/>
        </w:rPr>
        <w:t xml:space="preserve"> STEPHEN michael CONROY</w:t>
      </w:r>
      <w:r w:rsidRPr="00785D64">
        <w:rPr>
          <w:sz w:val="26"/>
          <w:szCs w:val="26"/>
        </w:rPr>
        <w:t xml:space="preserve">, Minister for Broadband, Communications and the Digital Economy, make the following instrument under </w:t>
      </w:r>
      <w:r w:rsidR="002B5C8C">
        <w:rPr>
          <w:sz w:val="26"/>
          <w:szCs w:val="26"/>
        </w:rPr>
        <w:t>subsections</w:t>
      </w:r>
      <w:r w:rsidR="00F005E0" w:rsidRPr="00785D64">
        <w:rPr>
          <w:sz w:val="26"/>
          <w:szCs w:val="26"/>
        </w:rPr>
        <w:t xml:space="preserve"> </w:t>
      </w:r>
      <w:r w:rsidR="002B5C8C">
        <w:rPr>
          <w:sz w:val="26"/>
          <w:szCs w:val="26"/>
        </w:rPr>
        <w:t xml:space="preserve">9(2D) and </w:t>
      </w:r>
      <w:r w:rsidRPr="00785D64">
        <w:rPr>
          <w:sz w:val="26"/>
          <w:szCs w:val="26"/>
        </w:rPr>
        <w:t xml:space="preserve">9(3) of the </w:t>
      </w:r>
      <w:r w:rsidRPr="00785D64">
        <w:rPr>
          <w:i/>
          <w:iCs/>
          <w:sz w:val="26"/>
          <w:szCs w:val="26"/>
        </w:rPr>
        <w:t>Telecommunications (Consumer Protection and Service Standards) Act 1999</w:t>
      </w:r>
      <w:r w:rsidR="00AD716A">
        <w:rPr>
          <w:iCs/>
          <w:sz w:val="26"/>
          <w:szCs w:val="26"/>
        </w:rPr>
        <w:t xml:space="preserve"> and subsection 33(3) of the </w:t>
      </w:r>
      <w:r w:rsidR="0064632B" w:rsidRPr="0064632B">
        <w:rPr>
          <w:i/>
          <w:iCs/>
          <w:sz w:val="26"/>
          <w:szCs w:val="26"/>
        </w:rPr>
        <w:t>Acts Interpretation Act 1901</w:t>
      </w:r>
      <w:r w:rsidRPr="00785D64">
        <w:rPr>
          <w:sz w:val="26"/>
          <w:szCs w:val="26"/>
        </w:rPr>
        <w:t>.</w:t>
      </w:r>
    </w:p>
    <w:p w:rsidR="00373E8F" w:rsidRPr="00785D64" w:rsidRDefault="00EA66B0" w:rsidP="00373E8F">
      <w:pPr>
        <w:tabs>
          <w:tab w:val="center" w:pos="3119"/>
        </w:tabs>
        <w:spacing w:before="300" w:after="600" w:line="276" w:lineRule="auto"/>
        <w:rPr>
          <w:sz w:val="26"/>
          <w:szCs w:val="26"/>
        </w:rPr>
      </w:pPr>
      <w:r>
        <w:rPr>
          <w:sz w:val="26"/>
          <w:szCs w:val="26"/>
        </w:rPr>
        <w:t xml:space="preserve">Dated 3 May </w:t>
      </w:r>
      <w:r w:rsidR="00AE3A90" w:rsidRPr="00785D64">
        <w:rPr>
          <w:sz w:val="26"/>
          <w:szCs w:val="26"/>
        </w:rPr>
        <w:t>201</w:t>
      </w:r>
      <w:r w:rsidR="00AE3A90">
        <w:rPr>
          <w:sz w:val="26"/>
          <w:szCs w:val="26"/>
        </w:rPr>
        <w:t>2</w:t>
      </w:r>
    </w:p>
    <w:p w:rsidR="00EA66B0" w:rsidRDefault="00EA66B0" w:rsidP="00373E8F">
      <w:pPr>
        <w:jc w:val="center"/>
        <w:rPr>
          <w:sz w:val="26"/>
          <w:szCs w:val="26"/>
        </w:rPr>
      </w:pPr>
      <w:r>
        <w:rPr>
          <w:sz w:val="26"/>
          <w:szCs w:val="26"/>
        </w:rPr>
        <w:t>STEPHEN CONROY</w:t>
      </w:r>
    </w:p>
    <w:p w:rsidR="00FC130A" w:rsidRPr="00785D64" w:rsidRDefault="00373E8F" w:rsidP="00373E8F">
      <w:pPr>
        <w:jc w:val="center"/>
        <w:rPr>
          <w:sz w:val="26"/>
          <w:szCs w:val="26"/>
        </w:rPr>
      </w:pPr>
      <w:r w:rsidRPr="00785D64">
        <w:rPr>
          <w:sz w:val="26"/>
          <w:szCs w:val="26"/>
        </w:rPr>
        <w:t>Minister for Broadband, Communications and the Digital Economy</w:t>
      </w:r>
    </w:p>
    <w:p w:rsidR="00373E8F" w:rsidRPr="003F2B22" w:rsidRDefault="00373E8F" w:rsidP="00373E8F">
      <w:pPr>
        <w:spacing w:line="276" w:lineRule="auto"/>
        <w:jc w:val="center"/>
      </w:pPr>
      <w:r w:rsidRPr="003F2B22">
        <w:t>_________________________________________________________________</w:t>
      </w:r>
    </w:p>
    <w:p w:rsidR="00373E8F" w:rsidRPr="001378F7" w:rsidRDefault="00373E8F" w:rsidP="00373E8F">
      <w:pPr>
        <w:pStyle w:val="HR"/>
        <w:tabs>
          <w:tab w:val="clear" w:pos="540"/>
          <w:tab w:val="left" w:pos="1985"/>
        </w:tabs>
        <w:spacing w:before="400" w:line="276" w:lineRule="auto"/>
        <w:rPr>
          <w:rFonts w:ascii="Arial" w:hAnsi="Arial" w:cs="Arial"/>
          <w:sz w:val="36"/>
          <w:szCs w:val="36"/>
        </w:rPr>
      </w:pPr>
      <w:r w:rsidRPr="001378F7">
        <w:rPr>
          <w:rFonts w:ascii="Arial" w:hAnsi="Arial" w:cs="Arial"/>
          <w:sz w:val="36"/>
          <w:szCs w:val="36"/>
        </w:rPr>
        <w:t>Part 1</w:t>
      </w:r>
      <w:r w:rsidRPr="001378F7">
        <w:rPr>
          <w:rFonts w:ascii="Arial" w:hAnsi="Arial" w:cs="Arial"/>
          <w:sz w:val="36"/>
          <w:szCs w:val="36"/>
        </w:rPr>
        <w:tab/>
        <w:t>Preliminary</w:t>
      </w:r>
    </w:p>
    <w:p w:rsidR="00373E8F" w:rsidRPr="001378F7" w:rsidRDefault="00373E8F" w:rsidP="00785D64">
      <w:pPr>
        <w:pStyle w:val="R1"/>
        <w:numPr>
          <w:ilvl w:val="0"/>
          <w:numId w:val="1"/>
        </w:numPr>
        <w:rPr>
          <w:rFonts w:ascii="Arial" w:hAnsi="Arial" w:cs="Arial"/>
          <w:b/>
          <w:color w:val="000000"/>
        </w:rPr>
      </w:pPr>
      <w:r w:rsidRPr="001378F7">
        <w:rPr>
          <w:rFonts w:ascii="Arial" w:hAnsi="Arial" w:cs="Arial"/>
          <w:b/>
          <w:color w:val="000000"/>
        </w:rPr>
        <w:t xml:space="preserve">Name of </w:t>
      </w:r>
      <w:r w:rsidR="00F005E0" w:rsidRPr="001378F7">
        <w:rPr>
          <w:rFonts w:ascii="Arial" w:hAnsi="Arial" w:cs="Arial"/>
          <w:b/>
          <w:color w:val="000000"/>
        </w:rPr>
        <w:t>Determination</w:t>
      </w:r>
    </w:p>
    <w:p w:rsidR="003179D1" w:rsidRDefault="00373E8F">
      <w:pPr>
        <w:pStyle w:val="R1"/>
        <w:ind w:left="357"/>
        <w:rPr>
          <w:color w:val="000000"/>
        </w:rPr>
      </w:pPr>
      <w:r w:rsidRPr="00785D64">
        <w:rPr>
          <w:color w:val="000000"/>
        </w:rPr>
        <w:t>This</w:t>
      </w:r>
      <w:bookmarkStart w:id="2" w:name="OLE_LINK3"/>
      <w:bookmarkStart w:id="3" w:name="OLE_LINK4"/>
      <w:r w:rsidR="001378F7">
        <w:rPr>
          <w:color w:val="000000"/>
        </w:rPr>
        <w:t xml:space="preserve"> </w:t>
      </w:r>
      <w:r w:rsidR="00F005E0" w:rsidRPr="00785D64">
        <w:rPr>
          <w:color w:val="000000"/>
        </w:rPr>
        <w:t xml:space="preserve">Determination </w:t>
      </w:r>
      <w:bookmarkEnd w:id="2"/>
      <w:bookmarkEnd w:id="3"/>
      <w:r w:rsidRPr="00785D64">
        <w:rPr>
          <w:color w:val="000000"/>
        </w:rPr>
        <w:t>is the</w:t>
      </w:r>
      <w:r w:rsidR="00C9262C">
        <w:rPr>
          <w:color w:val="000000"/>
        </w:rPr>
        <w:t xml:space="preserve"> </w:t>
      </w:r>
      <w:r w:rsidRPr="00785D64">
        <w:rPr>
          <w:i/>
          <w:color w:val="000000"/>
        </w:rPr>
        <w:t>Telecommunications Universal Service Obligation (Standard Telephone Service—Requirements and Circumstances) Determination (No. 1) 2011 (Amendment No.</w:t>
      </w:r>
      <w:r w:rsidR="00A61AB1">
        <w:rPr>
          <w:i/>
          <w:color w:val="000000"/>
        </w:rPr>
        <w:t xml:space="preserve"> </w:t>
      </w:r>
      <w:r w:rsidRPr="00785D64">
        <w:rPr>
          <w:i/>
          <w:color w:val="000000"/>
        </w:rPr>
        <w:t xml:space="preserve">1 of </w:t>
      </w:r>
      <w:r w:rsidR="00AE3A90" w:rsidRPr="00785D64">
        <w:rPr>
          <w:i/>
          <w:color w:val="000000"/>
        </w:rPr>
        <w:t>201</w:t>
      </w:r>
      <w:r w:rsidR="00AE3A90">
        <w:rPr>
          <w:i/>
          <w:color w:val="000000"/>
        </w:rPr>
        <w:t>2</w:t>
      </w:r>
      <w:r w:rsidRPr="00785D64">
        <w:rPr>
          <w:i/>
          <w:color w:val="000000"/>
        </w:rPr>
        <w:t>)</w:t>
      </w:r>
      <w:r w:rsidRPr="00785D64">
        <w:rPr>
          <w:color w:val="000000"/>
        </w:rPr>
        <w:t xml:space="preserve">. </w:t>
      </w:r>
    </w:p>
    <w:p w:rsidR="00373E8F" w:rsidRPr="001378F7" w:rsidRDefault="00373E8F" w:rsidP="00785D64">
      <w:pPr>
        <w:pStyle w:val="R1"/>
        <w:numPr>
          <w:ilvl w:val="0"/>
          <w:numId w:val="1"/>
        </w:numPr>
        <w:rPr>
          <w:rFonts w:ascii="Arial" w:hAnsi="Arial" w:cs="Arial"/>
          <w:b/>
          <w:color w:val="000000"/>
        </w:rPr>
      </w:pPr>
      <w:r w:rsidRPr="001378F7">
        <w:rPr>
          <w:rFonts w:ascii="Arial" w:hAnsi="Arial" w:cs="Arial"/>
          <w:b/>
          <w:color w:val="000000"/>
        </w:rPr>
        <w:t>Commencement</w:t>
      </w:r>
    </w:p>
    <w:p w:rsidR="00373E8F" w:rsidRDefault="00373E8F" w:rsidP="00785D64">
      <w:pPr>
        <w:pStyle w:val="R1"/>
        <w:ind w:left="360"/>
        <w:rPr>
          <w:color w:val="000000"/>
        </w:rPr>
      </w:pPr>
      <w:r w:rsidRPr="00785D64">
        <w:rPr>
          <w:color w:val="000000"/>
        </w:rPr>
        <w:t xml:space="preserve">This </w:t>
      </w:r>
      <w:r w:rsidR="00F005E0" w:rsidRPr="00785D64">
        <w:rPr>
          <w:color w:val="000000"/>
        </w:rPr>
        <w:t xml:space="preserve">Determination </w:t>
      </w:r>
      <w:r w:rsidRPr="00785D64">
        <w:rPr>
          <w:color w:val="000000"/>
        </w:rPr>
        <w:t>commences on the day after it is registered on the Federal Register of Legislative Instruments</w:t>
      </w:r>
      <w:r w:rsidR="00DB131A">
        <w:rPr>
          <w:color w:val="000000"/>
        </w:rPr>
        <w:t>.</w:t>
      </w:r>
      <w:r w:rsidR="00A94147">
        <w:rPr>
          <w:color w:val="000000"/>
        </w:rPr>
        <w:t xml:space="preserve"> </w:t>
      </w:r>
    </w:p>
    <w:p w:rsidR="00783651" w:rsidRPr="00783651" w:rsidRDefault="00783651" w:rsidP="00783651">
      <w:pPr>
        <w:rPr>
          <w:lang w:eastAsia="en-AU"/>
        </w:rPr>
      </w:pPr>
    </w:p>
    <w:p w:rsidR="00373E8F" w:rsidRPr="001378F7" w:rsidRDefault="00373E8F" w:rsidP="00373E8F">
      <w:pPr>
        <w:pStyle w:val="ListParagraph"/>
        <w:numPr>
          <w:ilvl w:val="0"/>
          <w:numId w:val="1"/>
        </w:numPr>
        <w:spacing w:before="120" w:after="120" w:line="276" w:lineRule="auto"/>
        <w:rPr>
          <w:rFonts w:ascii="Arial" w:hAnsi="Arial" w:cs="Arial"/>
          <w:b/>
          <w:color w:val="000000"/>
          <w:spacing w:val="-3"/>
          <w:sz w:val="26"/>
          <w:szCs w:val="26"/>
          <w:lang w:val="en-US"/>
        </w:rPr>
      </w:pPr>
      <w:r w:rsidRPr="001378F7">
        <w:rPr>
          <w:rFonts w:ascii="Arial" w:hAnsi="Arial" w:cs="Arial"/>
          <w:b/>
          <w:color w:val="000000"/>
          <w:spacing w:val="-3"/>
          <w:sz w:val="26"/>
          <w:szCs w:val="26"/>
          <w:lang w:val="en-US"/>
        </w:rPr>
        <w:t>Variation</w:t>
      </w:r>
    </w:p>
    <w:p w:rsidR="00783651" w:rsidRDefault="00785D64" w:rsidP="00785D64">
      <w:pPr>
        <w:pStyle w:val="R1"/>
        <w:ind w:left="360"/>
        <w:rPr>
          <w:color w:val="000000"/>
        </w:rPr>
      </w:pPr>
      <w:r>
        <w:rPr>
          <w:color w:val="000000"/>
        </w:rPr>
        <w:t xml:space="preserve">The </w:t>
      </w:r>
      <w:r w:rsidRPr="00785D64">
        <w:rPr>
          <w:i/>
          <w:color w:val="000000"/>
        </w:rPr>
        <w:t xml:space="preserve">Telecommunications Universal Service Obligation (Standard Telephone Service—Requirements and Circumstances) Determination (No. 1) </w:t>
      </w:r>
      <w:r w:rsidR="00527A77" w:rsidRPr="00785D64">
        <w:rPr>
          <w:i/>
          <w:color w:val="000000"/>
        </w:rPr>
        <w:t>201</w:t>
      </w:r>
      <w:r w:rsidR="008D304C">
        <w:rPr>
          <w:i/>
          <w:color w:val="000000"/>
        </w:rPr>
        <w:t>1</w:t>
      </w:r>
      <w:r w:rsidR="00527A77">
        <w:rPr>
          <w:color w:val="000000"/>
        </w:rPr>
        <w:t xml:space="preserve"> </w:t>
      </w:r>
      <w:r>
        <w:rPr>
          <w:color w:val="000000"/>
        </w:rPr>
        <w:t>is amended as set out in the Schedule to this Determination.</w:t>
      </w:r>
    </w:p>
    <w:p w:rsidR="00783651" w:rsidRDefault="00783651" w:rsidP="00783651">
      <w:pPr>
        <w:rPr>
          <w:rFonts w:ascii="Times" w:hAnsi="Times" w:cs="Times"/>
          <w:sz w:val="26"/>
          <w:szCs w:val="26"/>
          <w:lang w:eastAsia="en-AU"/>
        </w:rPr>
      </w:pPr>
      <w:r>
        <w:br w:type="page"/>
      </w:r>
    </w:p>
    <w:p w:rsidR="00785D64" w:rsidRDefault="00785D64" w:rsidP="00785D64">
      <w:pPr>
        <w:pStyle w:val="R1"/>
        <w:ind w:left="360"/>
        <w:rPr>
          <w:color w:val="000000"/>
        </w:rPr>
      </w:pPr>
    </w:p>
    <w:p w:rsidR="001B5703" w:rsidRDefault="001B5703"/>
    <w:p w:rsidR="00373E8F" w:rsidRPr="001378F7" w:rsidRDefault="00373E8F" w:rsidP="009777A3">
      <w:pPr>
        <w:rPr>
          <w:rFonts w:ascii="Arial" w:hAnsi="Arial" w:cs="Arial"/>
          <w:b/>
          <w:sz w:val="32"/>
          <w:szCs w:val="32"/>
        </w:rPr>
      </w:pPr>
      <w:r w:rsidRPr="001378F7">
        <w:rPr>
          <w:rFonts w:ascii="Arial" w:hAnsi="Arial" w:cs="Arial"/>
          <w:b/>
          <w:sz w:val="32"/>
          <w:szCs w:val="32"/>
        </w:rPr>
        <w:t>Schedule</w:t>
      </w:r>
      <w:r w:rsidR="00F005E0" w:rsidRPr="001378F7">
        <w:rPr>
          <w:rFonts w:ascii="Arial" w:hAnsi="Arial" w:cs="Arial"/>
          <w:b/>
          <w:sz w:val="32"/>
          <w:szCs w:val="32"/>
        </w:rPr>
        <w:t xml:space="preserve"> </w:t>
      </w:r>
      <w:r w:rsidRPr="001378F7">
        <w:rPr>
          <w:rFonts w:ascii="Arial" w:hAnsi="Arial" w:cs="Arial"/>
          <w:b/>
          <w:sz w:val="32"/>
          <w:szCs w:val="32"/>
        </w:rPr>
        <w:tab/>
      </w:r>
      <w:r w:rsidRPr="001378F7">
        <w:rPr>
          <w:rFonts w:ascii="Arial" w:hAnsi="Arial" w:cs="Arial"/>
          <w:b/>
          <w:sz w:val="32"/>
          <w:szCs w:val="32"/>
        </w:rPr>
        <w:tab/>
        <w:t>Amendments</w:t>
      </w:r>
    </w:p>
    <w:p w:rsidR="002C2BB3" w:rsidRDefault="002C2BB3" w:rsidP="002C2BB3">
      <w:pPr>
        <w:ind w:firstLine="720"/>
        <w:rPr>
          <w:rFonts w:ascii="Arial" w:hAnsi="Arial" w:cs="Arial"/>
          <w:b/>
          <w:sz w:val="26"/>
          <w:szCs w:val="26"/>
        </w:rPr>
      </w:pPr>
    </w:p>
    <w:p w:rsidR="002C2BB3" w:rsidRDefault="00F005E0" w:rsidP="002C2BB3">
      <w:pPr>
        <w:ind w:firstLine="720"/>
        <w:rPr>
          <w:rFonts w:ascii="Arial" w:hAnsi="Arial" w:cs="Arial"/>
          <w:sz w:val="22"/>
          <w:szCs w:val="22"/>
        </w:rPr>
      </w:pPr>
      <w:r w:rsidRPr="001378F7">
        <w:rPr>
          <w:rFonts w:ascii="Arial" w:hAnsi="Arial" w:cs="Arial"/>
          <w:sz w:val="22"/>
          <w:szCs w:val="22"/>
        </w:rPr>
        <w:t>(</w:t>
      </w:r>
      <w:r w:rsidR="007A736C">
        <w:rPr>
          <w:rFonts w:ascii="Arial" w:hAnsi="Arial" w:cs="Arial"/>
          <w:sz w:val="22"/>
          <w:szCs w:val="22"/>
        </w:rPr>
        <w:t>section</w:t>
      </w:r>
      <w:r w:rsidRPr="001378F7">
        <w:rPr>
          <w:rFonts w:ascii="Arial" w:hAnsi="Arial" w:cs="Arial"/>
          <w:sz w:val="22"/>
          <w:szCs w:val="22"/>
        </w:rPr>
        <w:t xml:space="preserve"> 3)</w:t>
      </w:r>
    </w:p>
    <w:p w:rsidR="00F005E0" w:rsidRPr="00785D64" w:rsidRDefault="00F005E0" w:rsidP="009777A3">
      <w:pPr>
        <w:rPr>
          <w:rFonts w:ascii="Arial" w:hAnsi="Arial" w:cs="Arial"/>
          <w:b/>
          <w:sz w:val="26"/>
          <w:szCs w:val="26"/>
        </w:rPr>
      </w:pPr>
    </w:p>
    <w:p w:rsidR="001378F7" w:rsidRPr="00A61AB1" w:rsidRDefault="007D64AA" w:rsidP="00162A6B">
      <w:pPr>
        <w:spacing w:line="360" w:lineRule="auto"/>
        <w:rPr>
          <w:rFonts w:ascii="Arial" w:hAnsi="Arial" w:cs="Arial"/>
          <w:b/>
          <w:i/>
          <w:szCs w:val="24"/>
        </w:rPr>
      </w:pPr>
      <w:r w:rsidRPr="007D64AA">
        <w:rPr>
          <w:rFonts w:ascii="Arial" w:hAnsi="Arial" w:cs="Arial"/>
          <w:b/>
          <w:szCs w:val="24"/>
        </w:rPr>
        <w:t>[</w:t>
      </w:r>
      <w:r w:rsidR="00085DB0">
        <w:rPr>
          <w:rFonts w:ascii="Arial" w:hAnsi="Arial" w:cs="Arial"/>
          <w:b/>
          <w:szCs w:val="24"/>
        </w:rPr>
        <w:t>1</w:t>
      </w:r>
      <w:r w:rsidRPr="007D64AA">
        <w:rPr>
          <w:rFonts w:ascii="Arial" w:hAnsi="Arial" w:cs="Arial"/>
          <w:b/>
          <w:szCs w:val="24"/>
        </w:rPr>
        <w:t>]</w:t>
      </w:r>
      <w:r w:rsidRPr="007D64AA">
        <w:rPr>
          <w:rFonts w:ascii="Arial" w:hAnsi="Arial" w:cs="Arial"/>
          <w:b/>
          <w:szCs w:val="24"/>
        </w:rPr>
        <w:tab/>
        <w:t>Section 3</w:t>
      </w:r>
    </w:p>
    <w:p w:rsidR="0007179C" w:rsidRPr="002279ED" w:rsidRDefault="00D26A52" w:rsidP="001378F7">
      <w:pPr>
        <w:ind w:firstLine="720"/>
        <w:rPr>
          <w:sz w:val="26"/>
          <w:szCs w:val="26"/>
        </w:rPr>
      </w:pPr>
      <w:r>
        <w:rPr>
          <w:sz w:val="26"/>
          <w:szCs w:val="26"/>
        </w:rPr>
        <w:t>Insert:</w:t>
      </w:r>
    </w:p>
    <w:p w:rsidR="00B718C2" w:rsidRDefault="00B718C2" w:rsidP="00A43D86">
      <w:pPr>
        <w:ind w:left="1440"/>
        <w:rPr>
          <w:b/>
          <w:i/>
          <w:sz w:val="26"/>
          <w:szCs w:val="26"/>
        </w:rPr>
      </w:pPr>
    </w:p>
    <w:p w:rsidR="004E0DCD" w:rsidRPr="002279ED" w:rsidRDefault="0064632B" w:rsidP="00A43D86">
      <w:pPr>
        <w:ind w:left="1440"/>
        <w:rPr>
          <w:sz w:val="26"/>
          <w:szCs w:val="26"/>
        </w:rPr>
      </w:pPr>
      <w:r w:rsidRPr="002279ED">
        <w:rPr>
          <w:b/>
          <w:i/>
          <w:sz w:val="26"/>
          <w:szCs w:val="26"/>
        </w:rPr>
        <w:t>national broadband network</w:t>
      </w:r>
      <w:r w:rsidR="004E0DCD" w:rsidRPr="002279ED">
        <w:rPr>
          <w:b/>
          <w:i/>
          <w:sz w:val="26"/>
          <w:szCs w:val="26"/>
        </w:rPr>
        <w:t xml:space="preserve"> </w:t>
      </w:r>
      <w:r w:rsidR="004E0DCD" w:rsidRPr="002279ED">
        <w:rPr>
          <w:sz w:val="26"/>
          <w:szCs w:val="26"/>
        </w:rPr>
        <w:t xml:space="preserve">has the same meaning as in </w:t>
      </w:r>
      <w:r w:rsidR="001759E0" w:rsidRPr="002279ED">
        <w:rPr>
          <w:sz w:val="26"/>
          <w:szCs w:val="26"/>
        </w:rPr>
        <w:t xml:space="preserve">section 577BA of the </w:t>
      </w:r>
      <w:r w:rsidR="001759E0" w:rsidRPr="002279ED">
        <w:rPr>
          <w:i/>
          <w:sz w:val="26"/>
          <w:szCs w:val="26"/>
        </w:rPr>
        <w:t>Telecommunications Act 1997.</w:t>
      </w:r>
      <w:r w:rsidR="001759E0" w:rsidRPr="002279ED">
        <w:rPr>
          <w:sz w:val="26"/>
          <w:szCs w:val="26"/>
        </w:rPr>
        <w:t xml:space="preserve"> </w:t>
      </w:r>
    </w:p>
    <w:p w:rsidR="001378F7" w:rsidRPr="00A43D86" w:rsidRDefault="001378F7" w:rsidP="009777A3">
      <w:pPr>
        <w:rPr>
          <w:sz w:val="26"/>
          <w:szCs w:val="26"/>
        </w:rPr>
      </w:pPr>
    </w:p>
    <w:p w:rsidR="00A43D86" w:rsidRDefault="00416972" w:rsidP="00416972">
      <w:pPr>
        <w:ind w:left="1440"/>
        <w:rPr>
          <w:sz w:val="26"/>
          <w:szCs w:val="26"/>
        </w:rPr>
      </w:pPr>
      <w:r>
        <w:rPr>
          <w:b/>
          <w:i/>
          <w:sz w:val="26"/>
          <w:szCs w:val="26"/>
        </w:rPr>
        <w:t xml:space="preserve">NBN Co </w:t>
      </w:r>
      <w:r>
        <w:rPr>
          <w:sz w:val="26"/>
          <w:szCs w:val="26"/>
        </w:rPr>
        <w:t>means NBN Co Limited (ACN 136 533 741), as the company exists from time to time (even if its name is later changed).</w:t>
      </w:r>
    </w:p>
    <w:p w:rsidR="00073D0B" w:rsidRDefault="00073D0B" w:rsidP="00416972">
      <w:pPr>
        <w:ind w:left="1440"/>
        <w:rPr>
          <w:sz w:val="26"/>
          <w:szCs w:val="26"/>
        </w:rPr>
      </w:pPr>
    </w:p>
    <w:p w:rsidR="00073D0B" w:rsidRDefault="00073D0B" w:rsidP="00416972">
      <w:pPr>
        <w:ind w:left="1440"/>
        <w:rPr>
          <w:sz w:val="26"/>
          <w:szCs w:val="26"/>
        </w:rPr>
      </w:pPr>
      <w:r>
        <w:rPr>
          <w:b/>
          <w:i/>
          <w:sz w:val="26"/>
          <w:szCs w:val="26"/>
        </w:rPr>
        <w:t xml:space="preserve">NBN Co fibre network </w:t>
      </w:r>
      <w:r>
        <w:rPr>
          <w:sz w:val="26"/>
          <w:szCs w:val="26"/>
        </w:rPr>
        <w:t>means the fibre that is:</w:t>
      </w:r>
    </w:p>
    <w:p w:rsidR="00073D0B" w:rsidRDefault="00073D0B" w:rsidP="00073D0B">
      <w:pPr>
        <w:pStyle w:val="ListParagraph"/>
        <w:numPr>
          <w:ilvl w:val="2"/>
          <w:numId w:val="1"/>
        </w:numPr>
        <w:rPr>
          <w:sz w:val="26"/>
          <w:szCs w:val="26"/>
        </w:rPr>
      </w:pPr>
      <w:r>
        <w:rPr>
          <w:sz w:val="26"/>
          <w:szCs w:val="26"/>
        </w:rPr>
        <w:t>deployed as part of, or which otherwise becomes part of, the national broadband network; and</w:t>
      </w:r>
    </w:p>
    <w:p w:rsidR="00073D0B" w:rsidRDefault="00073D0B" w:rsidP="00073D0B">
      <w:pPr>
        <w:pStyle w:val="ListParagraph"/>
        <w:numPr>
          <w:ilvl w:val="2"/>
          <w:numId w:val="1"/>
        </w:numPr>
        <w:rPr>
          <w:sz w:val="26"/>
          <w:szCs w:val="26"/>
        </w:rPr>
      </w:pPr>
      <w:r>
        <w:rPr>
          <w:sz w:val="26"/>
          <w:szCs w:val="26"/>
        </w:rPr>
        <w:t>accepted into operation by NBN Co; and</w:t>
      </w:r>
    </w:p>
    <w:p w:rsidR="00073D0B" w:rsidRPr="00073D0B" w:rsidRDefault="00073D0B" w:rsidP="00073D0B">
      <w:pPr>
        <w:pStyle w:val="ListParagraph"/>
        <w:numPr>
          <w:ilvl w:val="2"/>
          <w:numId w:val="1"/>
        </w:numPr>
        <w:rPr>
          <w:sz w:val="26"/>
          <w:szCs w:val="26"/>
        </w:rPr>
      </w:pPr>
      <w:r>
        <w:rPr>
          <w:sz w:val="26"/>
          <w:szCs w:val="26"/>
        </w:rPr>
        <w:t xml:space="preserve">owned, </w:t>
      </w:r>
      <w:r w:rsidR="00783651">
        <w:rPr>
          <w:sz w:val="26"/>
          <w:szCs w:val="26"/>
        </w:rPr>
        <w:t>controlled or</w:t>
      </w:r>
      <w:r>
        <w:rPr>
          <w:sz w:val="26"/>
          <w:szCs w:val="26"/>
        </w:rPr>
        <w:t xml:space="preserve"> operated by or </w:t>
      </w:r>
      <w:r w:rsidR="00783651">
        <w:rPr>
          <w:sz w:val="26"/>
          <w:szCs w:val="26"/>
        </w:rPr>
        <w:t>on behalf</w:t>
      </w:r>
      <w:r>
        <w:rPr>
          <w:sz w:val="26"/>
          <w:szCs w:val="26"/>
        </w:rPr>
        <w:t xml:space="preserve"> of an NBN corporation.</w:t>
      </w:r>
    </w:p>
    <w:p w:rsidR="00416972" w:rsidRPr="00416972" w:rsidRDefault="00416972" w:rsidP="00416972">
      <w:pPr>
        <w:ind w:left="1440"/>
        <w:rPr>
          <w:sz w:val="26"/>
          <w:szCs w:val="26"/>
        </w:rPr>
      </w:pPr>
    </w:p>
    <w:p w:rsidR="00DE08F0" w:rsidRDefault="007D64AA">
      <w:pPr>
        <w:ind w:left="1440"/>
        <w:rPr>
          <w:sz w:val="26"/>
          <w:szCs w:val="26"/>
        </w:rPr>
      </w:pPr>
      <w:r w:rsidRPr="007D64AA">
        <w:rPr>
          <w:b/>
          <w:i/>
          <w:sz w:val="26"/>
          <w:szCs w:val="26"/>
        </w:rPr>
        <w:t xml:space="preserve">NBN </w:t>
      </w:r>
      <w:r w:rsidR="0077399E">
        <w:rPr>
          <w:b/>
          <w:i/>
          <w:sz w:val="26"/>
          <w:szCs w:val="26"/>
        </w:rPr>
        <w:t>corporation</w:t>
      </w:r>
      <w:r w:rsidRPr="007D64AA">
        <w:rPr>
          <w:sz w:val="26"/>
          <w:szCs w:val="26"/>
        </w:rPr>
        <w:t xml:space="preserve"> has the same meaning as in the </w:t>
      </w:r>
      <w:r w:rsidRPr="007D64AA">
        <w:rPr>
          <w:i/>
          <w:sz w:val="26"/>
          <w:szCs w:val="26"/>
        </w:rPr>
        <w:t>National Broadband Network Companies Act 2011</w:t>
      </w:r>
      <w:r w:rsidRPr="007D64AA">
        <w:rPr>
          <w:sz w:val="26"/>
          <w:szCs w:val="26"/>
        </w:rPr>
        <w:t>.</w:t>
      </w:r>
    </w:p>
    <w:p w:rsidR="00F85221" w:rsidRDefault="00F85221">
      <w:pPr>
        <w:ind w:left="1440"/>
        <w:rPr>
          <w:sz w:val="26"/>
          <w:szCs w:val="26"/>
        </w:rPr>
      </w:pPr>
    </w:p>
    <w:p w:rsidR="00785CDC" w:rsidRPr="00785CDC" w:rsidRDefault="00785CDC">
      <w:pPr>
        <w:ind w:left="1440"/>
        <w:rPr>
          <w:sz w:val="26"/>
          <w:szCs w:val="26"/>
        </w:rPr>
      </w:pPr>
      <w:r>
        <w:rPr>
          <w:b/>
          <w:i/>
          <w:sz w:val="26"/>
          <w:szCs w:val="26"/>
        </w:rPr>
        <w:t>specified service</w:t>
      </w:r>
      <w:r>
        <w:rPr>
          <w:sz w:val="26"/>
          <w:szCs w:val="26"/>
        </w:rPr>
        <w:t xml:space="preserve"> has the same meaning as in the CSG Standard.</w:t>
      </w:r>
    </w:p>
    <w:p w:rsidR="00460EA3" w:rsidRDefault="00460EA3">
      <w:pPr>
        <w:ind w:left="1440"/>
        <w:rPr>
          <w:i/>
          <w:sz w:val="26"/>
          <w:szCs w:val="26"/>
        </w:rPr>
      </w:pPr>
    </w:p>
    <w:p w:rsidR="009513F9" w:rsidRPr="008505C3" w:rsidRDefault="00FF6383" w:rsidP="009513F9">
      <w:pPr>
        <w:keepNext/>
        <w:spacing w:line="360" w:lineRule="auto"/>
        <w:rPr>
          <w:rFonts w:ascii="Arial" w:hAnsi="Arial" w:cs="Arial"/>
          <w:b/>
          <w:sz w:val="26"/>
          <w:szCs w:val="26"/>
        </w:rPr>
      </w:pPr>
      <w:r w:rsidRPr="00FF6383">
        <w:rPr>
          <w:rFonts w:ascii="Arial" w:hAnsi="Arial" w:cs="Arial"/>
          <w:b/>
          <w:szCs w:val="24"/>
        </w:rPr>
        <w:t>[</w:t>
      </w:r>
      <w:r w:rsidR="00085DB0">
        <w:rPr>
          <w:rFonts w:ascii="Arial" w:hAnsi="Arial" w:cs="Arial"/>
          <w:b/>
          <w:szCs w:val="24"/>
        </w:rPr>
        <w:t>2</w:t>
      </w:r>
      <w:r w:rsidRPr="00FF6383">
        <w:rPr>
          <w:rFonts w:ascii="Arial" w:hAnsi="Arial" w:cs="Arial"/>
          <w:b/>
          <w:szCs w:val="24"/>
        </w:rPr>
        <w:t>]</w:t>
      </w:r>
      <w:r w:rsidR="009513F9" w:rsidRPr="008505C3">
        <w:rPr>
          <w:rFonts w:ascii="Arial" w:hAnsi="Arial" w:cs="Arial"/>
          <w:b/>
          <w:sz w:val="26"/>
          <w:szCs w:val="26"/>
        </w:rPr>
        <w:tab/>
      </w:r>
      <w:r w:rsidRPr="00FF6383">
        <w:rPr>
          <w:rFonts w:ascii="Arial" w:hAnsi="Arial" w:cs="Arial"/>
          <w:b/>
          <w:szCs w:val="24"/>
        </w:rPr>
        <w:t>Subsectio</w:t>
      </w:r>
      <w:r w:rsidR="009513F9" w:rsidRPr="00A61AB1">
        <w:rPr>
          <w:rFonts w:ascii="Arial" w:hAnsi="Arial" w:cs="Arial"/>
          <w:b/>
          <w:szCs w:val="24"/>
        </w:rPr>
        <w:t>n</w:t>
      </w:r>
      <w:r w:rsidRPr="00FF6383">
        <w:rPr>
          <w:rFonts w:ascii="Arial" w:hAnsi="Arial" w:cs="Arial"/>
          <w:b/>
          <w:szCs w:val="24"/>
        </w:rPr>
        <w:t xml:space="preserve"> 3(</w:t>
      </w:r>
      <w:r w:rsidR="009513F9" w:rsidRPr="00A61AB1">
        <w:rPr>
          <w:rFonts w:ascii="Arial" w:hAnsi="Arial" w:cs="Arial"/>
          <w:b/>
          <w:szCs w:val="24"/>
        </w:rPr>
        <w:t>2</w:t>
      </w:r>
      <w:r w:rsidRPr="00FF6383">
        <w:rPr>
          <w:rFonts w:ascii="Arial" w:hAnsi="Arial" w:cs="Arial"/>
          <w:b/>
          <w:szCs w:val="24"/>
        </w:rPr>
        <w:t>)</w:t>
      </w:r>
    </w:p>
    <w:p w:rsidR="003179D1" w:rsidRDefault="009513F9">
      <w:pPr>
        <w:keepNext/>
        <w:ind w:left="709"/>
        <w:rPr>
          <w:sz w:val="26"/>
          <w:szCs w:val="26"/>
        </w:rPr>
      </w:pPr>
      <w:r w:rsidRPr="008505C3">
        <w:rPr>
          <w:rFonts w:ascii="Arial" w:hAnsi="Arial" w:cs="Arial"/>
          <w:b/>
          <w:sz w:val="26"/>
          <w:szCs w:val="26"/>
        </w:rPr>
        <w:tab/>
      </w:r>
      <w:r w:rsidR="00D26A52">
        <w:rPr>
          <w:sz w:val="26"/>
          <w:szCs w:val="26"/>
        </w:rPr>
        <w:t>Omit “</w:t>
      </w:r>
      <w:r w:rsidRPr="008505C3">
        <w:rPr>
          <w:i/>
          <w:sz w:val="26"/>
          <w:szCs w:val="26"/>
        </w:rPr>
        <w:tab/>
      </w:r>
      <w:r w:rsidRPr="008505C3">
        <w:rPr>
          <w:sz w:val="26"/>
          <w:szCs w:val="26"/>
        </w:rPr>
        <w:t>a premises is an</w:t>
      </w:r>
      <w:r w:rsidR="00A61AB1">
        <w:rPr>
          <w:sz w:val="26"/>
          <w:szCs w:val="26"/>
        </w:rPr>
        <w:t xml:space="preserve"> </w:t>
      </w:r>
      <w:r w:rsidR="00A61AB1">
        <w:rPr>
          <w:b/>
          <w:i/>
          <w:sz w:val="26"/>
          <w:szCs w:val="26"/>
        </w:rPr>
        <w:t>excluded premises</w:t>
      </w:r>
      <w:r w:rsidR="00A61AB1">
        <w:rPr>
          <w:sz w:val="26"/>
          <w:szCs w:val="26"/>
        </w:rPr>
        <w:t xml:space="preserve"> if the premises satisfies</w:t>
      </w:r>
      <w:r w:rsidR="00D26A52">
        <w:rPr>
          <w:sz w:val="26"/>
          <w:szCs w:val="26"/>
        </w:rPr>
        <w:t>”, substitute “</w:t>
      </w:r>
      <w:r w:rsidRPr="008505C3">
        <w:rPr>
          <w:sz w:val="26"/>
          <w:szCs w:val="26"/>
        </w:rPr>
        <w:t>premises are</w:t>
      </w:r>
      <w:r w:rsidR="00A61AB1">
        <w:rPr>
          <w:sz w:val="26"/>
          <w:szCs w:val="26"/>
        </w:rPr>
        <w:t xml:space="preserve"> </w:t>
      </w:r>
      <w:r w:rsidR="007D64AA" w:rsidRPr="007D64AA">
        <w:rPr>
          <w:b/>
          <w:i/>
          <w:sz w:val="26"/>
          <w:szCs w:val="26"/>
        </w:rPr>
        <w:t>excluded premises</w:t>
      </w:r>
      <w:r w:rsidR="00A61AB1">
        <w:rPr>
          <w:sz w:val="26"/>
          <w:szCs w:val="26"/>
        </w:rPr>
        <w:t xml:space="preserve"> if the premises satisfy</w:t>
      </w:r>
      <w:r w:rsidR="00D26A52">
        <w:rPr>
          <w:sz w:val="26"/>
          <w:szCs w:val="26"/>
        </w:rPr>
        <w:t>”.</w:t>
      </w:r>
    </w:p>
    <w:p w:rsidR="009513F9" w:rsidRPr="008505C3" w:rsidRDefault="009513F9" w:rsidP="009513F9">
      <w:pPr>
        <w:spacing w:line="360" w:lineRule="auto"/>
        <w:rPr>
          <w:sz w:val="26"/>
          <w:szCs w:val="26"/>
        </w:rPr>
      </w:pPr>
    </w:p>
    <w:p w:rsidR="009513F9" w:rsidRPr="00607A86" w:rsidRDefault="009513F9" w:rsidP="009513F9">
      <w:pPr>
        <w:spacing w:line="360" w:lineRule="auto"/>
        <w:rPr>
          <w:rFonts w:ascii="Arial" w:hAnsi="Arial" w:cs="Arial"/>
          <w:b/>
          <w:szCs w:val="24"/>
        </w:rPr>
      </w:pPr>
      <w:r w:rsidRPr="00607A86">
        <w:rPr>
          <w:rFonts w:ascii="Arial" w:hAnsi="Arial" w:cs="Arial"/>
          <w:b/>
          <w:szCs w:val="24"/>
        </w:rPr>
        <w:t>[</w:t>
      </w:r>
      <w:r w:rsidR="00085DB0">
        <w:rPr>
          <w:rFonts w:ascii="Arial" w:hAnsi="Arial" w:cs="Arial"/>
          <w:b/>
          <w:szCs w:val="24"/>
        </w:rPr>
        <w:t>3</w:t>
      </w:r>
      <w:r w:rsidRPr="00607A86">
        <w:rPr>
          <w:rFonts w:ascii="Arial" w:hAnsi="Arial" w:cs="Arial"/>
          <w:b/>
          <w:szCs w:val="24"/>
        </w:rPr>
        <w:t>]</w:t>
      </w:r>
      <w:r w:rsidRPr="00607A86">
        <w:rPr>
          <w:rFonts w:ascii="Arial" w:hAnsi="Arial" w:cs="Arial"/>
          <w:b/>
          <w:szCs w:val="24"/>
        </w:rPr>
        <w:tab/>
        <w:t>Paragraphs 3(2)(a), (b), (d), (e), (f) and (h)</w:t>
      </w:r>
    </w:p>
    <w:p w:rsidR="003179D1" w:rsidRDefault="00D26A52">
      <w:pPr>
        <w:spacing w:line="360" w:lineRule="auto"/>
        <w:ind w:firstLine="720"/>
        <w:rPr>
          <w:sz w:val="26"/>
          <w:szCs w:val="26"/>
        </w:rPr>
      </w:pPr>
      <w:r>
        <w:rPr>
          <w:sz w:val="26"/>
          <w:szCs w:val="26"/>
        </w:rPr>
        <w:t>Omit “</w:t>
      </w:r>
      <w:r w:rsidR="009513F9" w:rsidRPr="00DA3B97">
        <w:rPr>
          <w:sz w:val="26"/>
          <w:szCs w:val="26"/>
        </w:rPr>
        <w:t>premises is</w:t>
      </w:r>
      <w:r w:rsidR="00D0645D">
        <w:rPr>
          <w:sz w:val="26"/>
          <w:szCs w:val="26"/>
        </w:rPr>
        <w:t>", substitute “premises are”.</w:t>
      </w:r>
    </w:p>
    <w:p w:rsidR="009513F9" w:rsidRPr="00607A86" w:rsidRDefault="009513F9" w:rsidP="009513F9">
      <w:pPr>
        <w:spacing w:line="360" w:lineRule="auto"/>
        <w:rPr>
          <w:szCs w:val="24"/>
        </w:rPr>
      </w:pPr>
    </w:p>
    <w:p w:rsidR="009513F9" w:rsidRPr="00607A86" w:rsidRDefault="009513F9" w:rsidP="009513F9">
      <w:pPr>
        <w:spacing w:line="360" w:lineRule="auto"/>
        <w:rPr>
          <w:rFonts w:ascii="Arial" w:hAnsi="Arial" w:cs="Arial"/>
          <w:b/>
          <w:szCs w:val="24"/>
        </w:rPr>
      </w:pPr>
      <w:r w:rsidRPr="00607A86">
        <w:rPr>
          <w:rFonts w:ascii="Arial" w:hAnsi="Arial" w:cs="Arial"/>
          <w:b/>
          <w:szCs w:val="24"/>
        </w:rPr>
        <w:t>[</w:t>
      </w:r>
      <w:r w:rsidR="00085DB0">
        <w:rPr>
          <w:rFonts w:ascii="Arial" w:hAnsi="Arial" w:cs="Arial"/>
          <w:b/>
          <w:szCs w:val="24"/>
        </w:rPr>
        <w:t>4</w:t>
      </w:r>
      <w:r w:rsidRPr="00607A86">
        <w:rPr>
          <w:rFonts w:ascii="Arial" w:hAnsi="Arial" w:cs="Arial"/>
          <w:b/>
          <w:szCs w:val="24"/>
        </w:rPr>
        <w:t>]</w:t>
      </w:r>
      <w:r w:rsidRPr="00607A86">
        <w:rPr>
          <w:rFonts w:ascii="Arial" w:hAnsi="Arial" w:cs="Arial"/>
          <w:b/>
          <w:szCs w:val="24"/>
        </w:rPr>
        <w:tab/>
        <w:t>Paragraphs 3(2)(c) and (g)</w:t>
      </w:r>
    </w:p>
    <w:p w:rsidR="003179D1" w:rsidRDefault="00D0645D">
      <w:pPr>
        <w:spacing w:line="360" w:lineRule="auto"/>
        <w:ind w:firstLine="720"/>
        <w:rPr>
          <w:sz w:val="26"/>
          <w:szCs w:val="26"/>
        </w:rPr>
      </w:pPr>
      <w:r>
        <w:rPr>
          <w:sz w:val="26"/>
          <w:szCs w:val="26"/>
        </w:rPr>
        <w:t>Omit “premises does”, substitute “premises do”.</w:t>
      </w:r>
    </w:p>
    <w:p w:rsidR="009513F9" w:rsidRPr="00607A86" w:rsidRDefault="009513F9" w:rsidP="009513F9">
      <w:pPr>
        <w:spacing w:line="360" w:lineRule="auto"/>
        <w:rPr>
          <w:i/>
          <w:szCs w:val="24"/>
        </w:rPr>
      </w:pPr>
    </w:p>
    <w:p w:rsidR="009513F9" w:rsidRPr="00607A86" w:rsidRDefault="009513F9" w:rsidP="009513F9">
      <w:pPr>
        <w:spacing w:line="360" w:lineRule="auto"/>
        <w:rPr>
          <w:rFonts w:ascii="Arial" w:hAnsi="Arial" w:cs="Arial"/>
          <w:b/>
          <w:szCs w:val="24"/>
        </w:rPr>
      </w:pPr>
      <w:r w:rsidRPr="00607A86">
        <w:rPr>
          <w:rFonts w:ascii="Arial" w:hAnsi="Arial" w:cs="Arial"/>
          <w:b/>
          <w:szCs w:val="24"/>
        </w:rPr>
        <w:t>[</w:t>
      </w:r>
      <w:r w:rsidR="00085DB0">
        <w:rPr>
          <w:rFonts w:ascii="Arial" w:hAnsi="Arial" w:cs="Arial"/>
          <w:b/>
          <w:szCs w:val="24"/>
        </w:rPr>
        <w:t>5</w:t>
      </w:r>
      <w:r w:rsidRPr="00607A86">
        <w:rPr>
          <w:rFonts w:ascii="Arial" w:hAnsi="Arial" w:cs="Arial"/>
          <w:b/>
          <w:szCs w:val="24"/>
        </w:rPr>
        <w:t>]</w:t>
      </w:r>
      <w:r w:rsidRPr="00607A86">
        <w:rPr>
          <w:rFonts w:ascii="Arial" w:hAnsi="Arial" w:cs="Arial"/>
          <w:b/>
          <w:szCs w:val="24"/>
        </w:rPr>
        <w:tab/>
        <w:t>Paragraphs 3(2)(i) and (l)</w:t>
      </w:r>
    </w:p>
    <w:p w:rsidR="003179D1" w:rsidRDefault="00D0645D">
      <w:pPr>
        <w:ind w:left="720"/>
        <w:rPr>
          <w:sz w:val="26"/>
          <w:szCs w:val="26"/>
        </w:rPr>
      </w:pPr>
      <w:r>
        <w:rPr>
          <w:sz w:val="26"/>
          <w:szCs w:val="26"/>
        </w:rPr>
        <w:t>Omit “</w:t>
      </w:r>
      <w:r w:rsidR="009513F9" w:rsidRPr="00D0645D">
        <w:rPr>
          <w:sz w:val="26"/>
          <w:szCs w:val="26"/>
        </w:rPr>
        <w:t>is</w:t>
      </w:r>
      <w:r w:rsidR="009513F9" w:rsidRPr="00DA3B97">
        <w:rPr>
          <w:sz w:val="26"/>
          <w:szCs w:val="26"/>
        </w:rPr>
        <w:t xml:space="preserve"> a residential premises but is</w:t>
      </w:r>
      <w:r>
        <w:rPr>
          <w:sz w:val="26"/>
          <w:szCs w:val="26"/>
        </w:rPr>
        <w:t>”, substitute “are residential premises but are”.</w:t>
      </w:r>
    </w:p>
    <w:p w:rsidR="009513F9" w:rsidRPr="00607A86" w:rsidRDefault="009513F9" w:rsidP="009513F9">
      <w:pPr>
        <w:spacing w:line="360" w:lineRule="auto"/>
        <w:rPr>
          <w:i/>
          <w:szCs w:val="24"/>
        </w:rPr>
      </w:pPr>
      <w:r w:rsidRPr="00DA3B97">
        <w:rPr>
          <w:i/>
          <w:sz w:val="26"/>
          <w:szCs w:val="26"/>
        </w:rPr>
        <w:tab/>
      </w:r>
    </w:p>
    <w:p w:rsidR="009513F9" w:rsidRPr="00607A86" w:rsidRDefault="009513F9" w:rsidP="009513F9">
      <w:pPr>
        <w:keepNext/>
        <w:spacing w:line="360" w:lineRule="auto"/>
        <w:rPr>
          <w:rFonts w:ascii="Arial" w:hAnsi="Arial" w:cs="Arial"/>
          <w:b/>
          <w:szCs w:val="24"/>
        </w:rPr>
      </w:pPr>
      <w:r w:rsidRPr="00607A86">
        <w:rPr>
          <w:rFonts w:ascii="Arial" w:hAnsi="Arial" w:cs="Arial"/>
          <w:b/>
          <w:szCs w:val="24"/>
        </w:rPr>
        <w:lastRenderedPageBreak/>
        <w:t>[</w:t>
      </w:r>
      <w:r w:rsidR="00085DB0">
        <w:rPr>
          <w:rFonts w:ascii="Arial" w:hAnsi="Arial" w:cs="Arial"/>
          <w:b/>
          <w:szCs w:val="24"/>
        </w:rPr>
        <w:t>6</w:t>
      </w:r>
      <w:r w:rsidRPr="00607A86">
        <w:rPr>
          <w:rFonts w:ascii="Arial" w:hAnsi="Arial" w:cs="Arial"/>
          <w:b/>
          <w:szCs w:val="24"/>
        </w:rPr>
        <w:t>]</w:t>
      </w:r>
      <w:r w:rsidRPr="00607A86">
        <w:rPr>
          <w:rFonts w:ascii="Arial" w:hAnsi="Arial" w:cs="Arial"/>
          <w:b/>
          <w:szCs w:val="24"/>
        </w:rPr>
        <w:tab/>
        <w:t>Paragraph 3(2)(j)</w:t>
      </w:r>
    </w:p>
    <w:p w:rsidR="003179D1" w:rsidRDefault="00396593">
      <w:pPr>
        <w:keepNext/>
        <w:ind w:left="720"/>
        <w:rPr>
          <w:sz w:val="26"/>
          <w:szCs w:val="26"/>
        </w:rPr>
      </w:pPr>
      <w:r w:rsidRPr="00396593">
        <w:rPr>
          <w:sz w:val="26"/>
          <w:szCs w:val="26"/>
        </w:rPr>
        <w:t>Omit</w:t>
      </w:r>
      <w:r w:rsidR="00162A6B">
        <w:rPr>
          <w:sz w:val="26"/>
          <w:szCs w:val="26"/>
        </w:rPr>
        <w:t xml:space="preserve"> “is a residential premises but does”, substitute “are residential premises but do”.</w:t>
      </w:r>
    </w:p>
    <w:p w:rsidR="00B327F2" w:rsidRDefault="00B327F2" w:rsidP="00B327F2">
      <w:pPr>
        <w:tabs>
          <w:tab w:val="left" w:pos="1134"/>
        </w:tabs>
        <w:spacing w:line="360" w:lineRule="auto"/>
        <w:ind w:firstLine="720"/>
        <w:rPr>
          <w:szCs w:val="24"/>
        </w:rPr>
      </w:pPr>
    </w:p>
    <w:p w:rsidR="00B327F2" w:rsidRDefault="009513F9" w:rsidP="00B327F2">
      <w:pPr>
        <w:tabs>
          <w:tab w:val="left" w:pos="709"/>
        </w:tabs>
        <w:spacing w:line="360" w:lineRule="auto"/>
        <w:rPr>
          <w:rFonts w:ascii="Arial" w:hAnsi="Arial" w:cs="Arial"/>
          <w:b/>
          <w:szCs w:val="24"/>
        </w:rPr>
      </w:pPr>
      <w:r>
        <w:rPr>
          <w:rFonts w:ascii="Arial" w:hAnsi="Arial" w:cs="Arial"/>
          <w:b/>
          <w:szCs w:val="24"/>
        </w:rPr>
        <w:t>[</w:t>
      </w:r>
      <w:r w:rsidR="00085DB0">
        <w:rPr>
          <w:rFonts w:ascii="Arial" w:hAnsi="Arial" w:cs="Arial"/>
          <w:b/>
          <w:szCs w:val="24"/>
        </w:rPr>
        <w:t>7</w:t>
      </w:r>
      <w:r w:rsidR="00B327F2">
        <w:rPr>
          <w:rFonts w:ascii="Arial" w:hAnsi="Arial" w:cs="Arial"/>
          <w:b/>
          <w:szCs w:val="24"/>
        </w:rPr>
        <w:t>]</w:t>
      </w:r>
      <w:r w:rsidR="00B327F2">
        <w:rPr>
          <w:rFonts w:ascii="Arial" w:hAnsi="Arial" w:cs="Arial"/>
          <w:b/>
          <w:szCs w:val="24"/>
        </w:rPr>
        <w:tab/>
      </w:r>
      <w:r w:rsidRPr="00607A86">
        <w:rPr>
          <w:rFonts w:ascii="Arial" w:hAnsi="Arial" w:cs="Arial"/>
          <w:b/>
          <w:szCs w:val="24"/>
        </w:rPr>
        <w:t>Paragraph 3(2)(k)</w:t>
      </w:r>
    </w:p>
    <w:p w:rsidR="00B327F2" w:rsidRDefault="00B327F2" w:rsidP="00B327F2">
      <w:pPr>
        <w:tabs>
          <w:tab w:val="left" w:pos="709"/>
        </w:tabs>
        <w:spacing w:line="360" w:lineRule="auto"/>
        <w:rPr>
          <w:sz w:val="26"/>
          <w:szCs w:val="26"/>
        </w:rPr>
      </w:pPr>
      <w:r>
        <w:rPr>
          <w:sz w:val="26"/>
          <w:szCs w:val="26"/>
        </w:rPr>
        <w:tab/>
      </w:r>
      <w:r w:rsidR="00162A6B">
        <w:rPr>
          <w:sz w:val="26"/>
          <w:szCs w:val="26"/>
        </w:rPr>
        <w:t>Repeal the paragraph, substitute:</w:t>
      </w:r>
      <w:r>
        <w:rPr>
          <w:sz w:val="26"/>
          <w:szCs w:val="26"/>
        </w:rPr>
        <w:t xml:space="preserve"> </w:t>
      </w:r>
    </w:p>
    <w:p w:rsidR="00DE08F0" w:rsidRDefault="00162A6B" w:rsidP="002279ED">
      <w:pPr>
        <w:ind w:left="1418" w:hanging="709"/>
        <w:rPr>
          <w:i/>
          <w:sz w:val="26"/>
          <w:szCs w:val="26"/>
        </w:rPr>
      </w:pPr>
      <w:r>
        <w:rPr>
          <w:sz w:val="26"/>
          <w:szCs w:val="26"/>
        </w:rPr>
        <w:t xml:space="preserve">(k) </w:t>
      </w:r>
      <w:r>
        <w:rPr>
          <w:sz w:val="26"/>
          <w:szCs w:val="26"/>
        </w:rPr>
        <w:tab/>
      </w:r>
      <w:r w:rsidR="00B327F2">
        <w:rPr>
          <w:sz w:val="26"/>
          <w:szCs w:val="26"/>
        </w:rPr>
        <w:tab/>
      </w:r>
      <w:r>
        <w:rPr>
          <w:sz w:val="26"/>
          <w:szCs w:val="26"/>
        </w:rPr>
        <w:t>the premises are business premises but a person making the request does not intend to carry on business for 6 months or more per annum at the premises; or</w:t>
      </w:r>
    </w:p>
    <w:p w:rsidR="00DE08F0" w:rsidRDefault="00DE08F0">
      <w:pPr>
        <w:keepNext/>
        <w:tabs>
          <w:tab w:val="left" w:pos="1134"/>
        </w:tabs>
        <w:spacing w:line="360" w:lineRule="auto"/>
        <w:rPr>
          <w:i/>
          <w:sz w:val="26"/>
          <w:szCs w:val="26"/>
        </w:rPr>
      </w:pPr>
    </w:p>
    <w:p w:rsidR="00162A6B" w:rsidRPr="00607A86" w:rsidRDefault="00162A6B" w:rsidP="00162A6B">
      <w:pPr>
        <w:keepNext/>
        <w:spacing w:line="360" w:lineRule="auto"/>
        <w:rPr>
          <w:rFonts w:ascii="Arial" w:hAnsi="Arial" w:cs="Arial"/>
          <w:b/>
          <w:szCs w:val="24"/>
        </w:rPr>
      </w:pPr>
      <w:r>
        <w:rPr>
          <w:rFonts w:ascii="Arial" w:hAnsi="Arial" w:cs="Arial"/>
          <w:b/>
          <w:szCs w:val="24"/>
        </w:rPr>
        <w:t>[</w:t>
      </w:r>
      <w:r w:rsidR="00774F8D">
        <w:rPr>
          <w:rFonts w:ascii="Arial" w:hAnsi="Arial" w:cs="Arial"/>
          <w:b/>
          <w:szCs w:val="24"/>
        </w:rPr>
        <w:t>8</w:t>
      </w:r>
      <w:r w:rsidRPr="00607A86">
        <w:rPr>
          <w:rFonts w:ascii="Arial" w:hAnsi="Arial" w:cs="Arial"/>
          <w:b/>
          <w:szCs w:val="24"/>
        </w:rPr>
        <w:t>]</w:t>
      </w:r>
      <w:r w:rsidRPr="00607A86">
        <w:rPr>
          <w:rFonts w:ascii="Arial" w:hAnsi="Arial" w:cs="Arial"/>
          <w:b/>
          <w:szCs w:val="24"/>
        </w:rPr>
        <w:tab/>
        <w:t>Paragraph 3(</w:t>
      </w:r>
      <w:r>
        <w:rPr>
          <w:rFonts w:ascii="Arial" w:hAnsi="Arial" w:cs="Arial"/>
          <w:b/>
          <w:szCs w:val="24"/>
        </w:rPr>
        <w:t>3</w:t>
      </w:r>
      <w:r w:rsidRPr="00607A86">
        <w:rPr>
          <w:rFonts w:ascii="Arial" w:hAnsi="Arial" w:cs="Arial"/>
          <w:b/>
          <w:szCs w:val="24"/>
        </w:rPr>
        <w:t>)(</w:t>
      </w:r>
      <w:r>
        <w:rPr>
          <w:rFonts w:ascii="Arial" w:hAnsi="Arial" w:cs="Arial"/>
          <w:b/>
          <w:szCs w:val="24"/>
        </w:rPr>
        <w:t>e</w:t>
      </w:r>
      <w:r w:rsidRPr="00607A86">
        <w:rPr>
          <w:rFonts w:ascii="Arial" w:hAnsi="Arial" w:cs="Arial"/>
          <w:b/>
          <w:szCs w:val="24"/>
        </w:rPr>
        <w:t>)</w:t>
      </w:r>
    </w:p>
    <w:p w:rsidR="00DE08F0" w:rsidRDefault="007D64AA">
      <w:pPr>
        <w:keepNext/>
        <w:tabs>
          <w:tab w:val="left" w:pos="1134"/>
        </w:tabs>
        <w:spacing w:line="360" w:lineRule="auto"/>
        <w:ind w:left="720"/>
        <w:rPr>
          <w:sz w:val="26"/>
          <w:szCs w:val="26"/>
        </w:rPr>
      </w:pPr>
      <w:r w:rsidRPr="007D64AA">
        <w:rPr>
          <w:sz w:val="26"/>
          <w:szCs w:val="26"/>
        </w:rPr>
        <w:t>Omit</w:t>
      </w:r>
      <w:r w:rsidR="00162A6B">
        <w:rPr>
          <w:sz w:val="26"/>
          <w:szCs w:val="26"/>
        </w:rPr>
        <w:t xml:space="preserve"> “to that premises”, substitute “to the premises”.</w:t>
      </w:r>
    </w:p>
    <w:p w:rsidR="00DE08F0" w:rsidRDefault="009513F9">
      <w:pPr>
        <w:keepNext/>
        <w:tabs>
          <w:tab w:val="left" w:pos="1134"/>
        </w:tabs>
        <w:spacing w:line="360" w:lineRule="auto"/>
        <w:rPr>
          <w:szCs w:val="24"/>
        </w:rPr>
      </w:pPr>
      <w:r w:rsidRPr="00DA3B97">
        <w:rPr>
          <w:i/>
          <w:sz w:val="26"/>
          <w:szCs w:val="26"/>
        </w:rPr>
        <w:tab/>
      </w:r>
      <w:r w:rsidRPr="00DA3B97">
        <w:rPr>
          <w:i/>
          <w:sz w:val="26"/>
          <w:szCs w:val="26"/>
        </w:rPr>
        <w:tab/>
      </w:r>
    </w:p>
    <w:p w:rsidR="009513F9" w:rsidRPr="00607A86" w:rsidRDefault="009513F9" w:rsidP="009513F9">
      <w:pPr>
        <w:spacing w:line="360" w:lineRule="auto"/>
        <w:rPr>
          <w:rFonts w:ascii="Arial" w:hAnsi="Arial" w:cs="Arial"/>
          <w:b/>
          <w:szCs w:val="24"/>
        </w:rPr>
      </w:pPr>
      <w:r>
        <w:rPr>
          <w:rFonts w:ascii="Arial" w:hAnsi="Arial" w:cs="Arial"/>
          <w:b/>
          <w:szCs w:val="24"/>
        </w:rPr>
        <w:t>[</w:t>
      </w:r>
      <w:r w:rsidR="00162A6B">
        <w:rPr>
          <w:rFonts w:ascii="Arial" w:hAnsi="Arial" w:cs="Arial"/>
          <w:b/>
          <w:szCs w:val="24"/>
        </w:rPr>
        <w:t>9</w:t>
      </w:r>
      <w:r w:rsidRPr="00607A86">
        <w:rPr>
          <w:rFonts w:ascii="Arial" w:hAnsi="Arial" w:cs="Arial"/>
          <w:b/>
          <w:szCs w:val="24"/>
        </w:rPr>
        <w:t>]</w:t>
      </w:r>
      <w:r w:rsidRPr="00607A86">
        <w:rPr>
          <w:rFonts w:ascii="Arial" w:hAnsi="Arial" w:cs="Arial"/>
          <w:b/>
          <w:szCs w:val="24"/>
        </w:rPr>
        <w:tab/>
        <w:t>Subparagraph 7(1)(a)(i)</w:t>
      </w:r>
    </w:p>
    <w:p w:rsidR="003179D1" w:rsidRDefault="009513F9">
      <w:pPr>
        <w:spacing w:line="360" w:lineRule="auto"/>
        <w:rPr>
          <w:sz w:val="26"/>
          <w:szCs w:val="26"/>
        </w:rPr>
      </w:pPr>
      <w:r w:rsidRPr="00DA3B97">
        <w:rPr>
          <w:rFonts w:ascii="Arial" w:hAnsi="Arial" w:cs="Arial"/>
          <w:b/>
          <w:sz w:val="26"/>
          <w:szCs w:val="26"/>
        </w:rPr>
        <w:tab/>
      </w:r>
      <w:r w:rsidR="00162A6B">
        <w:rPr>
          <w:sz w:val="26"/>
          <w:szCs w:val="26"/>
        </w:rPr>
        <w:t>Omit “</w:t>
      </w:r>
      <w:r w:rsidRPr="00162A6B">
        <w:rPr>
          <w:sz w:val="26"/>
          <w:szCs w:val="26"/>
        </w:rPr>
        <w:t>is</w:t>
      </w:r>
      <w:r w:rsidRPr="00DA3B97">
        <w:rPr>
          <w:sz w:val="26"/>
          <w:szCs w:val="26"/>
        </w:rPr>
        <w:t xml:space="preserve"> </w:t>
      </w:r>
      <w:r w:rsidR="00162A6B">
        <w:rPr>
          <w:sz w:val="26"/>
          <w:szCs w:val="26"/>
        </w:rPr>
        <w:t>an excluded”, substitute “are excluded”.</w:t>
      </w:r>
    </w:p>
    <w:p w:rsidR="00DE08F0" w:rsidRDefault="009513F9">
      <w:pPr>
        <w:spacing w:line="360" w:lineRule="auto"/>
        <w:rPr>
          <w:sz w:val="26"/>
          <w:szCs w:val="26"/>
        </w:rPr>
      </w:pPr>
      <w:r w:rsidRPr="00DA3B97">
        <w:rPr>
          <w:sz w:val="26"/>
          <w:szCs w:val="26"/>
        </w:rPr>
        <w:tab/>
      </w:r>
    </w:p>
    <w:p w:rsidR="00C06AFC" w:rsidRPr="0029629A" w:rsidRDefault="00C06AFC" w:rsidP="00C06AFC">
      <w:pPr>
        <w:spacing w:line="360" w:lineRule="auto"/>
        <w:rPr>
          <w:rFonts w:ascii="Arial" w:hAnsi="Arial" w:cs="Arial"/>
          <w:b/>
          <w:szCs w:val="24"/>
        </w:rPr>
      </w:pPr>
      <w:r>
        <w:rPr>
          <w:rFonts w:ascii="Arial" w:hAnsi="Arial" w:cs="Arial"/>
          <w:b/>
          <w:szCs w:val="24"/>
        </w:rPr>
        <w:t>[10</w:t>
      </w:r>
      <w:r w:rsidRPr="00607A86">
        <w:rPr>
          <w:rFonts w:ascii="Arial" w:hAnsi="Arial" w:cs="Arial"/>
          <w:b/>
          <w:szCs w:val="24"/>
        </w:rPr>
        <w:t>]</w:t>
      </w:r>
      <w:r w:rsidRPr="00607A86">
        <w:rPr>
          <w:rFonts w:ascii="Arial" w:hAnsi="Arial" w:cs="Arial"/>
          <w:b/>
          <w:szCs w:val="24"/>
        </w:rPr>
        <w:tab/>
      </w:r>
      <w:r w:rsidR="00560CF1">
        <w:rPr>
          <w:rFonts w:ascii="Arial" w:hAnsi="Arial" w:cs="Arial"/>
          <w:b/>
          <w:szCs w:val="24"/>
        </w:rPr>
        <w:t>Subparagraph 7(1)(b)</w:t>
      </w:r>
    </w:p>
    <w:p w:rsidR="008F5101" w:rsidRDefault="008F5101" w:rsidP="008F5101">
      <w:pPr>
        <w:keepNext/>
        <w:spacing w:line="360" w:lineRule="auto"/>
        <w:ind w:firstLine="720"/>
        <w:rPr>
          <w:sz w:val="26"/>
          <w:szCs w:val="26"/>
        </w:rPr>
      </w:pPr>
      <w:r>
        <w:rPr>
          <w:sz w:val="26"/>
          <w:szCs w:val="26"/>
        </w:rPr>
        <w:t>Repeal the paragraph, substitute:</w:t>
      </w:r>
    </w:p>
    <w:p w:rsidR="00AE3A90" w:rsidRDefault="00F9710A" w:rsidP="00AE3A90">
      <w:pPr>
        <w:keepNext/>
        <w:ind w:left="1440" w:hanging="720"/>
        <w:rPr>
          <w:sz w:val="26"/>
          <w:szCs w:val="26"/>
        </w:rPr>
      </w:pPr>
      <w:r>
        <w:rPr>
          <w:sz w:val="26"/>
          <w:szCs w:val="26"/>
        </w:rPr>
        <w:t>(b)</w:t>
      </w:r>
      <w:r>
        <w:rPr>
          <w:sz w:val="26"/>
          <w:szCs w:val="26"/>
        </w:rPr>
        <w:tab/>
      </w:r>
      <w:r w:rsidR="00560CF1">
        <w:rPr>
          <w:sz w:val="26"/>
          <w:szCs w:val="26"/>
        </w:rPr>
        <w:t>except where subparagraphs (1)(a)(iv) or (1)(a)(v) apply, the primary universal service provider</w:t>
      </w:r>
      <w:r>
        <w:rPr>
          <w:sz w:val="26"/>
          <w:szCs w:val="26"/>
        </w:rPr>
        <w:t xml:space="preserve"> complies with the notification requirements at subsection 8(3); and</w:t>
      </w:r>
      <w:r w:rsidR="00C06AFC">
        <w:rPr>
          <w:sz w:val="26"/>
          <w:szCs w:val="26"/>
        </w:rPr>
        <w:t xml:space="preserve"> </w:t>
      </w:r>
    </w:p>
    <w:p w:rsidR="008F5101" w:rsidRDefault="008F5101" w:rsidP="00A67433">
      <w:pPr>
        <w:keepNext/>
        <w:ind w:left="720"/>
        <w:rPr>
          <w:sz w:val="26"/>
          <w:szCs w:val="26"/>
        </w:rPr>
      </w:pPr>
    </w:p>
    <w:p w:rsidR="002C2BB3" w:rsidRDefault="008F5101" w:rsidP="002C2BB3">
      <w:pPr>
        <w:spacing w:line="360" w:lineRule="auto"/>
        <w:rPr>
          <w:rFonts w:ascii="Arial" w:hAnsi="Arial" w:cs="Arial"/>
          <w:b/>
          <w:szCs w:val="24"/>
        </w:rPr>
      </w:pPr>
      <w:r>
        <w:rPr>
          <w:rFonts w:ascii="Arial" w:hAnsi="Arial" w:cs="Arial"/>
          <w:b/>
          <w:szCs w:val="24"/>
        </w:rPr>
        <w:t>[1</w:t>
      </w:r>
      <w:r w:rsidR="00F9710A">
        <w:rPr>
          <w:rFonts w:ascii="Arial" w:hAnsi="Arial" w:cs="Arial"/>
          <w:b/>
          <w:szCs w:val="24"/>
        </w:rPr>
        <w:t>1</w:t>
      </w:r>
      <w:r w:rsidRPr="00607A86">
        <w:rPr>
          <w:rFonts w:ascii="Arial" w:hAnsi="Arial" w:cs="Arial"/>
          <w:b/>
          <w:szCs w:val="24"/>
        </w:rPr>
        <w:t>]</w:t>
      </w:r>
      <w:r>
        <w:rPr>
          <w:rFonts w:ascii="Arial" w:hAnsi="Arial" w:cs="Arial"/>
          <w:b/>
          <w:szCs w:val="24"/>
        </w:rPr>
        <w:tab/>
      </w:r>
      <w:r w:rsidRPr="007D64AA">
        <w:rPr>
          <w:rFonts w:ascii="Arial" w:hAnsi="Arial" w:cs="Arial"/>
          <w:b/>
          <w:szCs w:val="24"/>
        </w:rPr>
        <w:t>After paragraph</w:t>
      </w:r>
      <w:r>
        <w:rPr>
          <w:rFonts w:ascii="Arial" w:hAnsi="Arial" w:cs="Arial"/>
          <w:b/>
          <w:szCs w:val="24"/>
        </w:rPr>
        <w:t xml:space="preserve"> 7(1)(b)</w:t>
      </w:r>
    </w:p>
    <w:p w:rsidR="002C2BB3" w:rsidRDefault="002C2BB3" w:rsidP="002C2BB3">
      <w:pPr>
        <w:rPr>
          <w:rFonts w:ascii="Arial" w:hAnsi="Arial" w:cs="Arial"/>
          <w:b/>
          <w:szCs w:val="24"/>
        </w:rPr>
      </w:pPr>
    </w:p>
    <w:p w:rsidR="002C2BB3" w:rsidRDefault="002C2BB3" w:rsidP="002C2BB3">
      <w:pPr>
        <w:ind w:left="720"/>
        <w:rPr>
          <w:sz w:val="26"/>
          <w:szCs w:val="26"/>
        </w:rPr>
      </w:pPr>
      <w:r w:rsidRPr="002C2BB3">
        <w:rPr>
          <w:sz w:val="26"/>
          <w:szCs w:val="26"/>
        </w:rPr>
        <w:t>Insert</w:t>
      </w:r>
      <w:r w:rsidR="008F5101">
        <w:rPr>
          <w:sz w:val="26"/>
          <w:szCs w:val="26"/>
        </w:rPr>
        <w:t>:</w:t>
      </w:r>
    </w:p>
    <w:p w:rsidR="002C2BB3" w:rsidRDefault="002C2BB3" w:rsidP="002C2BB3">
      <w:pPr>
        <w:rPr>
          <w:sz w:val="26"/>
          <w:szCs w:val="26"/>
        </w:rPr>
      </w:pPr>
    </w:p>
    <w:p w:rsidR="002C2BB3" w:rsidRDefault="002C2BB3" w:rsidP="002C2BB3">
      <w:pPr>
        <w:ind w:left="1417" w:hanging="697"/>
        <w:rPr>
          <w:sz w:val="26"/>
          <w:szCs w:val="26"/>
        </w:rPr>
      </w:pPr>
      <w:r w:rsidRPr="002C2BB3">
        <w:rPr>
          <w:sz w:val="26"/>
          <w:szCs w:val="26"/>
        </w:rPr>
        <w:t>(c)</w:t>
      </w:r>
      <w:r w:rsidRPr="002C2BB3">
        <w:rPr>
          <w:sz w:val="26"/>
          <w:szCs w:val="26"/>
        </w:rPr>
        <w:tab/>
        <w:t>where subparagraph (1)(a)(iv)</w:t>
      </w:r>
      <w:r w:rsidR="00527A77">
        <w:rPr>
          <w:sz w:val="26"/>
          <w:szCs w:val="26"/>
        </w:rPr>
        <w:t xml:space="preserve"> </w:t>
      </w:r>
      <w:r w:rsidR="005100AA">
        <w:rPr>
          <w:sz w:val="26"/>
          <w:szCs w:val="26"/>
        </w:rPr>
        <w:t>applies</w:t>
      </w:r>
      <w:r w:rsidR="00485DA3">
        <w:rPr>
          <w:sz w:val="26"/>
          <w:szCs w:val="26"/>
        </w:rPr>
        <w:t>, the primary universal service provider complies with the notification requirements at subsection</w:t>
      </w:r>
      <w:r w:rsidR="005100AA">
        <w:rPr>
          <w:sz w:val="26"/>
          <w:szCs w:val="26"/>
        </w:rPr>
        <w:t>s </w:t>
      </w:r>
      <w:r w:rsidR="00485DA3">
        <w:rPr>
          <w:sz w:val="26"/>
          <w:szCs w:val="26"/>
        </w:rPr>
        <w:t>8(3A)</w:t>
      </w:r>
      <w:r w:rsidR="005100AA">
        <w:rPr>
          <w:sz w:val="26"/>
          <w:szCs w:val="26"/>
        </w:rPr>
        <w:t xml:space="preserve"> and (3B); and</w:t>
      </w:r>
    </w:p>
    <w:p w:rsidR="002C2BB3" w:rsidRDefault="002C2BB3" w:rsidP="002C2BB3">
      <w:pPr>
        <w:ind w:left="1417" w:hanging="697"/>
        <w:rPr>
          <w:sz w:val="26"/>
          <w:szCs w:val="26"/>
        </w:rPr>
      </w:pPr>
    </w:p>
    <w:p w:rsidR="002C2BB3" w:rsidRDefault="005100AA" w:rsidP="002C2BB3">
      <w:pPr>
        <w:ind w:left="1417" w:hanging="697"/>
        <w:rPr>
          <w:sz w:val="26"/>
          <w:szCs w:val="26"/>
        </w:rPr>
      </w:pPr>
      <w:r>
        <w:rPr>
          <w:sz w:val="26"/>
          <w:szCs w:val="26"/>
        </w:rPr>
        <w:t xml:space="preserve">(d) </w:t>
      </w:r>
      <w:r>
        <w:rPr>
          <w:sz w:val="26"/>
          <w:szCs w:val="26"/>
        </w:rPr>
        <w:tab/>
        <w:t>where subparagraph (1)(a)(v) applies, the primary universal service provider complies with the notification requirements at subsection 8(3C).</w:t>
      </w:r>
    </w:p>
    <w:p w:rsidR="002C2BB3" w:rsidRDefault="002C2BB3" w:rsidP="002C2BB3">
      <w:pPr>
        <w:ind w:left="1417" w:hanging="697"/>
        <w:rPr>
          <w:rFonts w:ascii="Arial" w:hAnsi="Arial" w:cs="Arial"/>
          <w:b/>
          <w:sz w:val="26"/>
          <w:szCs w:val="26"/>
        </w:rPr>
      </w:pPr>
    </w:p>
    <w:p w:rsidR="009513F9" w:rsidRPr="00607A86" w:rsidRDefault="009513F9" w:rsidP="009513F9">
      <w:pPr>
        <w:keepNext/>
        <w:spacing w:line="360" w:lineRule="auto"/>
        <w:rPr>
          <w:rFonts w:ascii="Arial" w:hAnsi="Arial" w:cs="Arial"/>
          <w:b/>
          <w:szCs w:val="24"/>
        </w:rPr>
      </w:pPr>
      <w:r w:rsidRPr="00607A86">
        <w:rPr>
          <w:rFonts w:ascii="Arial" w:hAnsi="Arial" w:cs="Arial"/>
          <w:b/>
          <w:szCs w:val="24"/>
        </w:rPr>
        <w:t>[</w:t>
      </w:r>
      <w:r w:rsidR="00162A6B">
        <w:rPr>
          <w:rFonts w:ascii="Arial" w:hAnsi="Arial" w:cs="Arial"/>
          <w:b/>
          <w:szCs w:val="24"/>
        </w:rPr>
        <w:t>1</w:t>
      </w:r>
      <w:r w:rsidR="00F9710A">
        <w:rPr>
          <w:rFonts w:ascii="Arial" w:hAnsi="Arial" w:cs="Arial"/>
          <w:b/>
          <w:szCs w:val="24"/>
        </w:rPr>
        <w:t>2</w:t>
      </w:r>
      <w:r w:rsidR="00085DB0">
        <w:rPr>
          <w:rFonts w:ascii="Arial" w:hAnsi="Arial" w:cs="Arial"/>
          <w:b/>
          <w:szCs w:val="24"/>
        </w:rPr>
        <w:t>]</w:t>
      </w:r>
      <w:r w:rsidRPr="00607A86">
        <w:rPr>
          <w:rFonts w:ascii="Arial" w:hAnsi="Arial" w:cs="Arial"/>
          <w:b/>
          <w:szCs w:val="24"/>
        </w:rPr>
        <w:tab/>
        <w:t>Paragraph 7(4)(f)</w:t>
      </w:r>
    </w:p>
    <w:p w:rsidR="00162A6B" w:rsidRDefault="00162A6B" w:rsidP="00162A6B">
      <w:pPr>
        <w:keepNext/>
        <w:spacing w:line="360" w:lineRule="auto"/>
        <w:ind w:firstLine="720"/>
        <w:rPr>
          <w:sz w:val="26"/>
          <w:szCs w:val="26"/>
        </w:rPr>
      </w:pPr>
      <w:r>
        <w:rPr>
          <w:sz w:val="26"/>
          <w:szCs w:val="26"/>
        </w:rPr>
        <w:t>Repeal the paragraph, substitute:</w:t>
      </w:r>
    </w:p>
    <w:p w:rsidR="003179D1" w:rsidRDefault="00162A6B">
      <w:pPr>
        <w:keepNext/>
        <w:ind w:left="1418" w:hanging="698"/>
        <w:rPr>
          <w:rFonts w:ascii="Arial" w:hAnsi="Arial" w:cs="Arial"/>
          <w:b/>
          <w:sz w:val="26"/>
          <w:szCs w:val="26"/>
        </w:rPr>
      </w:pPr>
      <w:r w:rsidRPr="00DA3B97" w:rsidDel="00162A6B">
        <w:rPr>
          <w:i/>
          <w:sz w:val="26"/>
          <w:szCs w:val="26"/>
        </w:rPr>
        <w:t xml:space="preserve"> </w:t>
      </w:r>
      <w:r w:rsidR="009513F9" w:rsidRPr="00DA3B97">
        <w:rPr>
          <w:sz w:val="26"/>
          <w:szCs w:val="26"/>
          <w:lang w:val="en-US"/>
        </w:rPr>
        <w:t>(f)</w:t>
      </w:r>
      <w:r w:rsidR="009513F9" w:rsidRPr="00DA3B97">
        <w:rPr>
          <w:sz w:val="26"/>
          <w:szCs w:val="26"/>
          <w:lang w:val="en-US"/>
        </w:rPr>
        <w:tab/>
        <w:t xml:space="preserve">the premises specified in the request for the standard telephone service are not sufficiently secure for the housing of telecommunications equipment, taking into consideration the nature of the premises </w:t>
      </w:r>
      <w:r w:rsidR="009513F9" w:rsidRPr="00DA3B97">
        <w:rPr>
          <w:sz w:val="26"/>
          <w:szCs w:val="26"/>
          <w:lang w:val="en-US"/>
        </w:rPr>
        <w:lastRenderedPageBreak/>
        <w:t>(including whether the premises are in a remote area and whether the premises are permanently occupied);</w:t>
      </w:r>
      <w:r w:rsidR="009513F9" w:rsidRPr="00DA3B97">
        <w:rPr>
          <w:rFonts w:ascii="Arial" w:hAnsi="Arial" w:cs="Arial"/>
          <w:b/>
          <w:sz w:val="26"/>
          <w:szCs w:val="26"/>
        </w:rPr>
        <w:tab/>
      </w:r>
    </w:p>
    <w:p w:rsidR="009513F9" w:rsidRPr="00607A86" w:rsidRDefault="009513F9" w:rsidP="009513F9">
      <w:pPr>
        <w:spacing w:line="360" w:lineRule="auto"/>
        <w:rPr>
          <w:rFonts w:ascii="Arial" w:hAnsi="Arial" w:cs="Arial"/>
          <w:b/>
          <w:szCs w:val="24"/>
        </w:rPr>
      </w:pPr>
    </w:p>
    <w:p w:rsidR="009513F9" w:rsidRPr="00607A86" w:rsidRDefault="009513F9" w:rsidP="009513F9">
      <w:pPr>
        <w:spacing w:line="360" w:lineRule="auto"/>
        <w:rPr>
          <w:rFonts w:ascii="Arial" w:hAnsi="Arial" w:cs="Arial"/>
          <w:b/>
          <w:szCs w:val="24"/>
        </w:rPr>
      </w:pPr>
      <w:r w:rsidRPr="00607A86">
        <w:rPr>
          <w:rFonts w:ascii="Arial" w:hAnsi="Arial" w:cs="Arial"/>
          <w:b/>
          <w:szCs w:val="24"/>
        </w:rPr>
        <w:t>[</w:t>
      </w:r>
      <w:r w:rsidR="00162A6B">
        <w:rPr>
          <w:rFonts w:ascii="Arial" w:hAnsi="Arial" w:cs="Arial"/>
          <w:b/>
          <w:szCs w:val="24"/>
        </w:rPr>
        <w:t>1</w:t>
      </w:r>
      <w:r w:rsidR="00F9710A">
        <w:rPr>
          <w:rFonts w:ascii="Arial" w:hAnsi="Arial" w:cs="Arial"/>
          <w:b/>
          <w:szCs w:val="24"/>
        </w:rPr>
        <w:t>3</w:t>
      </w:r>
      <w:r w:rsidR="00085DB0">
        <w:rPr>
          <w:rFonts w:ascii="Arial" w:hAnsi="Arial" w:cs="Arial"/>
          <w:b/>
          <w:szCs w:val="24"/>
        </w:rPr>
        <w:t>]</w:t>
      </w:r>
      <w:r w:rsidRPr="00607A86">
        <w:rPr>
          <w:rFonts w:ascii="Arial" w:hAnsi="Arial" w:cs="Arial"/>
          <w:b/>
          <w:szCs w:val="24"/>
        </w:rPr>
        <w:tab/>
        <w:t xml:space="preserve">Subparagraphs 7(4)(j)(i) and (ii) </w:t>
      </w:r>
    </w:p>
    <w:p w:rsidR="003179D1" w:rsidRDefault="009513F9">
      <w:pPr>
        <w:spacing w:line="360" w:lineRule="auto"/>
        <w:rPr>
          <w:sz w:val="26"/>
          <w:szCs w:val="26"/>
        </w:rPr>
      </w:pPr>
      <w:r w:rsidRPr="00DA3B97">
        <w:rPr>
          <w:rFonts w:ascii="Arial" w:hAnsi="Arial" w:cs="Arial"/>
          <w:b/>
          <w:sz w:val="26"/>
          <w:szCs w:val="26"/>
        </w:rPr>
        <w:tab/>
      </w:r>
      <w:r w:rsidR="00162A6B">
        <w:rPr>
          <w:sz w:val="26"/>
          <w:szCs w:val="26"/>
        </w:rPr>
        <w:t>Omit “</w:t>
      </w:r>
      <w:r w:rsidRPr="00DA3B97">
        <w:rPr>
          <w:i/>
          <w:sz w:val="26"/>
          <w:szCs w:val="26"/>
        </w:rPr>
        <w:tab/>
      </w:r>
      <w:r w:rsidRPr="00DA3B97">
        <w:rPr>
          <w:sz w:val="26"/>
          <w:szCs w:val="26"/>
        </w:rPr>
        <w:t>premises is</w:t>
      </w:r>
      <w:r w:rsidR="00162A6B">
        <w:rPr>
          <w:sz w:val="26"/>
          <w:szCs w:val="26"/>
        </w:rPr>
        <w:t xml:space="preserve">”, </w:t>
      </w:r>
      <w:r w:rsidR="00162A6B" w:rsidRPr="00162A6B">
        <w:rPr>
          <w:sz w:val="26"/>
          <w:szCs w:val="26"/>
        </w:rPr>
        <w:t>substitute</w:t>
      </w:r>
      <w:r w:rsidR="00162A6B">
        <w:rPr>
          <w:sz w:val="26"/>
          <w:szCs w:val="26"/>
        </w:rPr>
        <w:t xml:space="preserve"> “</w:t>
      </w:r>
      <w:r w:rsidRPr="00162A6B">
        <w:rPr>
          <w:sz w:val="26"/>
          <w:szCs w:val="26"/>
        </w:rPr>
        <w:t>premises</w:t>
      </w:r>
      <w:r w:rsidRPr="00DA3B97">
        <w:rPr>
          <w:i/>
          <w:sz w:val="26"/>
          <w:szCs w:val="26"/>
        </w:rPr>
        <w:t xml:space="preserve"> </w:t>
      </w:r>
      <w:r w:rsidRPr="00DA3B97">
        <w:rPr>
          <w:sz w:val="26"/>
          <w:szCs w:val="26"/>
        </w:rPr>
        <w:t>are</w:t>
      </w:r>
      <w:r w:rsidR="00162A6B">
        <w:rPr>
          <w:sz w:val="26"/>
          <w:szCs w:val="26"/>
        </w:rPr>
        <w:t>”.</w:t>
      </w:r>
    </w:p>
    <w:p w:rsidR="009513F9" w:rsidRPr="00607A86" w:rsidRDefault="009513F9" w:rsidP="009513F9">
      <w:pPr>
        <w:tabs>
          <w:tab w:val="left" w:pos="1134"/>
        </w:tabs>
        <w:spacing w:line="360" w:lineRule="auto"/>
        <w:rPr>
          <w:szCs w:val="24"/>
        </w:rPr>
      </w:pPr>
    </w:p>
    <w:p w:rsidR="00774F8D" w:rsidRDefault="00774F8D" w:rsidP="00774F8D">
      <w:pPr>
        <w:spacing w:line="360" w:lineRule="auto"/>
        <w:rPr>
          <w:rFonts w:ascii="Arial" w:hAnsi="Arial" w:cs="Arial"/>
          <w:szCs w:val="24"/>
        </w:rPr>
      </w:pPr>
      <w:r w:rsidRPr="00607A86">
        <w:rPr>
          <w:rFonts w:ascii="Arial" w:hAnsi="Arial" w:cs="Arial"/>
          <w:b/>
          <w:szCs w:val="24"/>
        </w:rPr>
        <w:t>[</w:t>
      </w:r>
      <w:r>
        <w:rPr>
          <w:rFonts w:ascii="Arial" w:hAnsi="Arial" w:cs="Arial"/>
          <w:b/>
          <w:szCs w:val="24"/>
        </w:rPr>
        <w:t>1</w:t>
      </w:r>
      <w:r w:rsidR="00F9710A">
        <w:rPr>
          <w:rFonts w:ascii="Arial" w:hAnsi="Arial" w:cs="Arial"/>
          <w:b/>
          <w:szCs w:val="24"/>
        </w:rPr>
        <w:t>4</w:t>
      </w:r>
      <w:r w:rsidRPr="00607A86">
        <w:rPr>
          <w:rFonts w:ascii="Arial" w:hAnsi="Arial" w:cs="Arial"/>
          <w:b/>
          <w:szCs w:val="24"/>
        </w:rPr>
        <w:t>]</w:t>
      </w:r>
      <w:r w:rsidRPr="00607A86">
        <w:rPr>
          <w:rFonts w:ascii="Arial" w:hAnsi="Arial" w:cs="Arial"/>
          <w:b/>
          <w:szCs w:val="24"/>
        </w:rPr>
        <w:tab/>
      </w:r>
      <w:r w:rsidR="0009583A">
        <w:rPr>
          <w:rFonts w:ascii="Arial" w:hAnsi="Arial" w:cs="Arial"/>
          <w:b/>
          <w:szCs w:val="24"/>
        </w:rPr>
        <w:t>Sub-</w:t>
      </w:r>
      <w:r>
        <w:rPr>
          <w:rFonts w:ascii="Arial" w:hAnsi="Arial" w:cs="Arial"/>
          <w:b/>
          <w:szCs w:val="24"/>
        </w:rPr>
        <w:t>Subparagraph 7(4)(l)(i)(B)</w:t>
      </w:r>
    </w:p>
    <w:p w:rsidR="00774F8D" w:rsidRPr="00774F8D" w:rsidRDefault="007D64AA" w:rsidP="00774F8D">
      <w:pPr>
        <w:spacing w:line="360" w:lineRule="auto"/>
        <w:rPr>
          <w:sz w:val="26"/>
          <w:szCs w:val="26"/>
        </w:rPr>
      </w:pPr>
      <w:r w:rsidRPr="007D64AA">
        <w:rPr>
          <w:sz w:val="26"/>
          <w:szCs w:val="26"/>
        </w:rPr>
        <w:tab/>
        <w:t>Omit</w:t>
      </w:r>
      <w:r w:rsidR="00774F8D">
        <w:rPr>
          <w:sz w:val="26"/>
          <w:szCs w:val="26"/>
        </w:rPr>
        <w:t xml:space="preserve"> “a premises”, substitute “premises”.</w:t>
      </w:r>
    </w:p>
    <w:p w:rsidR="00774F8D" w:rsidRDefault="00774F8D" w:rsidP="009513F9">
      <w:pPr>
        <w:spacing w:line="360" w:lineRule="auto"/>
        <w:rPr>
          <w:rFonts w:ascii="Arial" w:hAnsi="Arial" w:cs="Arial"/>
          <w:b/>
          <w:szCs w:val="24"/>
        </w:rPr>
      </w:pPr>
    </w:p>
    <w:p w:rsidR="009513F9" w:rsidRPr="00607A86" w:rsidRDefault="009513F9" w:rsidP="009513F9">
      <w:pPr>
        <w:spacing w:line="360" w:lineRule="auto"/>
        <w:rPr>
          <w:rFonts w:ascii="Arial" w:hAnsi="Arial" w:cs="Arial"/>
          <w:b/>
          <w:szCs w:val="24"/>
        </w:rPr>
      </w:pPr>
      <w:r w:rsidRPr="00607A86">
        <w:rPr>
          <w:rFonts w:ascii="Arial" w:hAnsi="Arial" w:cs="Arial"/>
          <w:b/>
          <w:szCs w:val="24"/>
        </w:rPr>
        <w:t>[</w:t>
      </w:r>
      <w:r w:rsidR="00162A6B">
        <w:rPr>
          <w:rFonts w:ascii="Arial" w:hAnsi="Arial" w:cs="Arial"/>
          <w:b/>
          <w:szCs w:val="24"/>
        </w:rPr>
        <w:t>1</w:t>
      </w:r>
      <w:r w:rsidR="00F9710A">
        <w:rPr>
          <w:rFonts w:ascii="Arial" w:hAnsi="Arial" w:cs="Arial"/>
          <w:b/>
          <w:szCs w:val="24"/>
        </w:rPr>
        <w:t>5</w:t>
      </w:r>
      <w:r w:rsidRPr="00607A86">
        <w:rPr>
          <w:rFonts w:ascii="Arial" w:hAnsi="Arial" w:cs="Arial"/>
          <w:b/>
          <w:szCs w:val="24"/>
        </w:rPr>
        <w:t>]</w:t>
      </w:r>
      <w:r w:rsidRPr="00607A86">
        <w:rPr>
          <w:rFonts w:ascii="Arial" w:hAnsi="Arial" w:cs="Arial"/>
          <w:b/>
          <w:szCs w:val="24"/>
        </w:rPr>
        <w:tab/>
        <w:t>Paragraph 7(4)(m)</w:t>
      </w:r>
    </w:p>
    <w:p w:rsidR="008805A5" w:rsidRDefault="00A94147">
      <w:pPr>
        <w:spacing w:line="360" w:lineRule="auto"/>
        <w:rPr>
          <w:sz w:val="26"/>
          <w:szCs w:val="26"/>
        </w:rPr>
      </w:pPr>
      <w:r>
        <w:rPr>
          <w:sz w:val="26"/>
          <w:szCs w:val="26"/>
        </w:rPr>
        <w:t xml:space="preserve"> </w:t>
      </w:r>
      <w:r w:rsidR="009513F9" w:rsidRPr="00F96A76">
        <w:rPr>
          <w:sz w:val="26"/>
          <w:szCs w:val="26"/>
        </w:rPr>
        <w:tab/>
      </w:r>
      <w:r w:rsidR="00162A6B">
        <w:rPr>
          <w:sz w:val="26"/>
          <w:szCs w:val="26"/>
        </w:rPr>
        <w:t>Omit “</w:t>
      </w:r>
      <w:r w:rsidR="009513F9" w:rsidRPr="00F96A76">
        <w:rPr>
          <w:sz w:val="26"/>
          <w:szCs w:val="26"/>
        </w:rPr>
        <w:t>service is</w:t>
      </w:r>
      <w:r w:rsidR="00162A6B">
        <w:rPr>
          <w:sz w:val="26"/>
          <w:szCs w:val="26"/>
        </w:rPr>
        <w:t xml:space="preserve">”, </w:t>
      </w:r>
      <w:r w:rsidR="00162A6B" w:rsidRPr="00162A6B">
        <w:rPr>
          <w:sz w:val="26"/>
          <w:szCs w:val="26"/>
        </w:rPr>
        <w:t>substitute</w:t>
      </w:r>
      <w:r w:rsidR="00162A6B">
        <w:rPr>
          <w:sz w:val="26"/>
          <w:szCs w:val="26"/>
        </w:rPr>
        <w:t xml:space="preserve"> “</w:t>
      </w:r>
      <w:r w:rsidR="009513F9" w:rsidRPr="00162A6B">
        <w:rPr>
          <w:sz w:val="26"/>
          <w:szCs w:val="26"/>
        </w:rPr>
        <w:t>service</w:t>
      </w:r>
      <w:r w:rsidR="009513F9" w:rsidRPr="00F96A76">
        <w:rPr>
          <w:i/>
          <w:sz w:val="26"/>
          <w:szCs w:val="26"/>
        </w:rPr>
        <w:t xml:space="preserve"> </w:t>
      </w:r>
      <w:r w:rsidR="009513F9" w:rsidRPr="00F96A76">
        <w:rPr>
          <w:sz w:val="26"/>
          <w:szCs w:val="26"/>
        </w:rPr>
        <w:t>are</w:t>
      </w:r>
      <w:r w:rsidR="00162A6B">
        <w:rPr>
          <w:sz w:val="26"/>
          <w:szCs w:val="26"/>
        </w:rPr>
        <w:t>”.</w:t>
      </w:r>
    </w:p>
    <w:p w:rsidR="009513F9" w:rsidRDefault="009513F9" w:rsidP="009513F9">
      <w:pPr>
        <w:tabs>
          <w:tab w:val="left" w:pos="1134"/>
        </w:tabs>
        <w:spacing w:line="360" w:lineRule="auto"/>
        <w:rPr>
          <w:szCs w:val="24"/>
        </w:rPr>
      </w:pPr>
    </w:p>
    <w:p w:rsidR="00746CCE" w:rsidRDefault="00940674">
      <w:pPr>
        <w:spacing w:line="360" w:lineRule="auto"/>
        <w:ind w:left="709" w:hanging="709"/>
        <w:rPr>
          <w:rFonts w:ascii="Arial" w:hAnsi="Arial" w:cs="Arial"/>
          <w:b/>
          <w:szCs w:val="24"/>
        </w:rPr>
      </w:pPr>
      <w:r w:rsidRPr="00940674">
        <w:rPr>
          <w:rFonts w:ascii="Arial" w:hAnsi="Arial" w:cs="Arial"/>
          <w:b/>
          <w:szCs w:val="24"/>
        </w:rPr>
        <w:t>[1</w:t>
      </w:r>
      <w:r w:rsidR="00F9710A">
        <w:rPr>
          <w:rFonts w:ascii="Arial" w:hAnsi="Arial" w:cs="Arial"/>
          <w:b/>
          <w:szCs w:val="24"/>
        </w:rPr>
        <w:t>6</w:t>
      </w:r>
      <w:r w:rsidRPr="00940674">
        <w:rPr>
          <w:rFonts w:ascii="Arial" w:hAnsi="Arial" w:cs="Arial"/>
          <w:b/>
          <w:szCs w:val="24"/>
        </w:rPr>
        <w:t>]</w:t>
      </w:r>
      <w:r w:rsidR="0070144B">
        <w:rPr>
          <w:rFonts w:ascii="Arial" w:hAnsi="Arial" w:cs="Arial"/>
          <w:b/>
          <w:szCs w:val="24"/>
        </w:rPr>
        <w:tab/>
        <w:t>Subparagraph 7(4)(m)(ii)</w:t>
      </w:r>
    </w:p>
    <w:p w:rsidR="0070144B" w:rsidRPr="0070144B" w:rsidRDefault="0070144B" w:rsidP="00EC1B35">
      <w:pPr>
        <w:rPr>
          <w:sz w:val="26"/>
          <w:szCs w:val="26"/>
        </w:rPr>
      </w:pPr>
      <w:r>
        <w:rPr>
          <w:b/>
          <w:sz w:val="26"/>
          <w:szCs w:val="26"/>
        </w:rPr>
        <w:tab/>
      </w:r>
      <w:r>
        <w:rPr>
          <w:sz w:val="26"/>
          <w:szCs w:val="26"/>
        </w:rPr>
        <w:t>Omit “.”, substitute “;”.</w:t>
      </w:r>
    </w:p>
    <w:p w:rsidR="0070144B" w:rsidRDefault="0070144B" w:rsidP="00EC1B35">
      <w:pPr>
        <w:rPr>
          <w:rFonts w:ascii="Arial" w:hAnsi="Arial" w:cs="Arial"/>
          <w:b/>
          <w:szCs w:val="24"/>
        </w:rPr>
      </w:pPr>
      <w:r>
        <w:rPr>
          <w:rFonts w:ascii="Arial" w:hAnsi="Arial" w:cs="Arial"/>
          <w:b/>
          <w:szCs w:val="24"/>
        </w:rPr>
        <w:tab/>
      </w:r>
    </w:p>
    <w:p w:rsidR="001B1DBD" w:rsidRPr="00A61AB1" w:rsidRDefault="007D64AA" w:rsidP="00EC1B35">
      <w:pPr>
        <w:rPr>
          <w:rFonts w:ascii="Arial" w:hAnsi="Arial" w:cs="Arial"/>
          <w:b/>
          <w:i/>
          <w:szCs w:val="24"/>
        </w:rPr>
      </w:pPr>
      <w:r w:rsidRPr="007D64AA">
        <w:rPr>
          <w:rFonts w:ascii="Arial" w:hAnsi="Arial" w:cs="Arial"/>
          <w:b/>
          <w:szCs w:val="24"/>
        </w:rPr>
        <w:t>[</w:t>
      </w:r>
      <w:r w:rsidR="0070144B">
        <w:rPr>
          <w:rFonts w:ascii="Arial" w:hAnsi="Arial" w:cs="Arial"/>
          <w:b/>
          <w:szCs w:val="24"/>
        </w:rPr>
        <w:t>1</w:t>
      </w:r>
      <w:r w:rsidR="00F9710A">
        <w:rPr>
          <w:rFonts w:ascii="Arial" w:hAnsi="Arial" w:cs="Arial"/>
          <w:b/>
          <w:szCs w:val="24"/>
        </w:rPr>
        <w:t>7</w:t>
      </w:r>
      <w:r w:rsidRPr="007D64AA">
        <w:rPr>
          <w:rFonts w:ascii="Arial" w:hAnsi="Arial" w:cs="Arial"/>
          <w:b/>
          <w:szCs w:val="24"/>
        </w:rPr>
        <w:t>]</w:t>
      </w:r>
      <w:r w:rsidRPr="007D64AA">
        <w:rPr>
          <w:rFonts w:ascii="Arial" w:hAnsi="Arial" w:cs="Arial"/>
          <w:b/>
          <w:szCs w:val="24"/>
        </w:rPr>
        <w:tab/>
        <w:t xml:space="preserve">After </w:t>
      </w:r>
      <w:r w:rsidR="001F0B0F">
        <w:rPr>
          <w:rFonts w:ascii="Arial" w:hAnsi="Arial" w:cs="Arial"/>
          <w:b/>
          <w:szCs w:val="24"/>
        </w:rPr>
        <w:t>subsection</w:t>
      </w:r>
      <w:r w:rsidR="001F0B0F" w:rsidRPr="007D64AA">
        <w:rPr>
          <w:rFonts w:ascii="Arial" w:hAnsi="Arial" w:cs="Arial"/>
          <w:b/>
          <w:szCs w:val="24"/>
        </w:rPr>
        <w:t xml:space="preserve"> </w:t>
      </w:r>
      <w:r w:rsidRPr="007D64AA">
        <w:rPr>
          <w:rFonts w:ascii="Arial" w:hAnsi="Arial" w:cs="Arial"/>
          <w:b/>
          <w:szCs w:val="24"/>
        </w:rPr>
        <w:t xml:space="preserve">7(4) </w:t>
      </w:r>
    </w:p>
    <w:p w:rsidR="005254F4" w:rsidRPr="00785D64" w:rsidRDefault="005254F4" w:rsidP="002814F6">
      <w:pPr>
        <w:rPr>
          <w:i/>
          <w:sz w:val="26"/>
          <w:szCs w:val="26"/>
        </w:rPr>
      </w:pPr>
    </w:p>
    <w:p w:rsidR="00AD6663" w:rsidRDefault="00044D84" w:rsidP="00AD6663">
      <w:pPr>
        <w:rPr>
          <w:sz w:val="26"/>
          <w:szCs w:val="26"/>
        </w:rPr>
      </w:pPr>
      <w:r>
        <w:rPr>
          <w:sz w:val="26"/>
          <w:szCs w:val="26"/>
        </w:rPr>
        <w:tab/>
        <w:t>Insert</w:t>
      </w:r>
      <w:r w:rsidR="0070144B">
        <w:rPr>
          <w:sz w:val="26"/>
          <w:szCs w:val="26"/>
        </w:rPr>
        <w:t>:</w:t>
      </w:r>
    </w:p>
    <w:p w:rsidR="00044D84" w:rsidRDefault="00044D84" w:rsidP="00AD6663">
      <w:pPr>
        <w:rPr>
          <w:sz w:val="26"/>
          <w:szCs w:val="26"/>
        </w:rPr>
      </w:pPr>
    </w:p>
    <w:p w:rsidR="00564D4C" w:rsidRDefault="001F0B0F">
      <w:pPr>
        <w:ind w:left="1428" w:hanging="708"/>
        <w:rPr>
          <w:sz w:val="26"/>
          <w:szCs w:val="26"/>
        </w:rPr>
      </w:pPr>
      <w:r w:rsidDel="001F0B0F">
        <w:rPr>
          <w:sz w:val="26"/>
          <w:szCs w:val="26"/>
        </w:rPr>
        <w:t xml:space="preserve"> </w:t>
      </w:r>
      <w:r w:rsidR="00B15548">
        <w:rPr>
          <w:sz w:val="26"/>
          <w:szCs w:val="26"/>
        </w:rPr>
        <w:t>(</w:t>
      </w:r>
      <w:r w:rsidR="00783651">
        <w:rPr>
          <w:sz w:val="26"/>
          <w:szCs w:val="26"/>
        </w:rPr>
        <w:t>4A</w:t>
      </w:r>
      <w:r w:rsidR="00B15548">
        <w:rPr>
          <w:sz w:val="26"/>
          <w:szCs w:val="26"/>
        </w:rPr>
        <w:t>)</w:t>
      </w:r>
      <w:r w:rsidR="00B15548">
        <w:rPr>
          <w:sz w:val="26"/>
          <w:szCs w:val="26"/>
        </w:rPr>
        <w:tab/>
        <w:t>F</w:t>
      </w:r>
      <w:r w:rsidR="00DE08F0">
        <w:rPr>
          <w:sz w:val="26"/>
          <w:szCs w:val="26"/>
        </w:rPr>
        <w:t>or the purpose</w:t>
      </w:r>
      <w:r w:rsidR="009E5942">
        <w:rPr>
          <w:sz w:val="26"/>
          <w:szCs w:val="26"/>
        </w:rPr>
        <w:t>s</w:t>
      </w:r>
      <w:r w:rsidR="00DE08F0">
        <w:rPr>
          <w:sz w:val="26"/>
          <w:szCs w:val="26"/>
        </w:rPr>
        <w:t xml:space="preserve"> of subparagraph 7(4)(h)(ii), if</w:t>
      </w:r>
      <w:r w:rsidR="00B15548">
        <w:rPr>
          <w:sz w:val="26"/>
          <w:szCs w:val="26"/>
        </w:rPr>
        <w:t xml:space="preserve"> the ‘another carriage service provider</w:t>
      </w:r>
      <w:r w:rsidR="006D2AD3">
        <w:rPr>
          <w:sz w:val="26"/>
          <w:szCs w:val="26"/>
        </w:rPr>
        <w:t>’</w:t>
      </w:r>
      <w:r w:rsidR="00B15548">
        <w:rPr>
          <w:sz w:val="26"/>
          <w:szCs w:val="26"/>
        </w:rPr>
        <w:t xml:space="preserve"> referred to in subsection</w:t>
      </w:r>
      <w:r w:rsidR="00DE08F0">
        <w:rPr>
          <w:sz w:val="26"/>
          <w:szCs w:val="26"/>
        </w:rPr>
        <w:t xml:space="preserve"> </w:t>
      </w:r>
      <w:r w:rsidR="00B15548">
        <w:rPr>
          <w:sz w:val="26"/>
          <w:szCs w:val="26"/>
        </w:rPr>
        <w:t>21(3) of the CSG</w:t>
      </w:r>
      <w:r w:rsidR="00783651">
        <w:rPr>
          <w:sz w:val="26"/>
          <w:szCs w:val="26"/>
        </w:rPr>
        <w:t xml:space="preserve"> Standard</w:t>
      </w:r>
      <w:r w:rsidR="00B15548">
        <w:rPr>
          <w:sz w:val="26"/>
          <w:szCs w:val="26"/>
        </w:rPr>
        <w:t xml:space="preserve"> is</w:t>
      </w:r>
      <w:r w:rsidR="00DE08F0">
        <w:rPr>
          <w:sz w:val="26"/>
          <w:szCs w:val="26"/>
        </w:rPr>
        <w:t xml:space="preserve"> an NBN corporation, </w:t>
      </w:r>
      <w:r w:rsidR="00B15548">
        <w:rPr>
          <w:sz w:val="26"/>
          <w:szCs w:val="26"/>
        </w:rPr>
        <w:t>then:</w:t>
      </w:r>
    </w:p>
    <w:p w:rsidR="00564D4C" w:rsidRDefault="00DE08F0">
      <w:pPr>
        <w:pStyle w:val="ListParagraph"/>
        <w:numPr>
          <w:ilvl w:val="2"/>
          <w:numId w:val="3"/>
        </w:numPr>
        <w:ind w:left="2006" w:hanging="283"/>
        <w:rPr>
          <w:sz w:val="26"/>
          <w:szCs w:val="26"/>
        </w:rPr>
      </w:pPr>
      <w:r w:rsidRPr="00B15548">
        <w:rPr>
          <w:sz w:val="26"/>
          <w:szCs w:val="26"/>
        </w:rPr>
        <w:t xml:space="preserve">subsection </w:t>
      </w:r>
      <w:r w:rsidRPr="00783651">
        <w:rPr>
          <w:sz w:val="26"/>
          <w:szCs w:val="26"/>
        </w:rPr>
        <w:t xml:space="preserve">21(3) </w:t>
      </w:r>
      <w:r w:rsidR="009E5942" w:rsidRPr="00783651">
        <w:rPr>
          <w:sz w:val="26"/>
          <w:szCs w:val="26"/>
        </w:rPr>
        <w:t xml:space="preserve">of the CSG </w:t>
      </w:r>
      <w:r w:rsidR="00783651">
        <w:rPr>
          <w:sz w:val="26"/>
          <w:szCs w:val="26"/>
        </w:rPr>
        <w:t xml:space="preserve">Standard </w:t>
      </w:r>
      <w:r w:rsidR="00B15548" w:rsidRPr="00783651">
        <w:rPr>
          <w:sz w:val="26"/>
          <w:szCs w:val="26"/>
        </w:rPr>
        <w:t>will</w:t>
      </w:r>
      <w:r w:rsidRPr="00783651">
        <w:rPr>
          <w:sz w:val="26"/>
          <w:szCs w:val="26"/>
        </w:rPr>
        <w:t xml:space="preserve"> not apply</w:t>
      </w:r>
      <w:r w:rsidR="00B15548" w:rsidRPr="00783651">
        <w:rPr>
          <w:sz w:val="26"/>
          <w:szCs w:val="26"/>
        </w:rPr>
        <w:t>;</w:t>
      </w:r>
      <w:r w:rsidRPr="00783651">
        <w:rPr>
          <w:sz w:val="26"/>
          <w:szCs w:val="26"/>
        </w:rPr>
        <w:t xml:space="preserve"> and </w:t>
      </w:r>
    </w:p>
    <w:p w:rsidR="00564D4C" w:rsidRDefault="009E5942">
      <w:pPr>
        <w:pStyle w:val="ListParagraph"/>
        <w:numPr>
          <w:ilvl w:val="2"/>
          <w:numId w:val="3"/>
        </w:numPr>
        <w:ind w:left="2006" w:hanging="283"/>
        <w:rPr>
          <w:sz w:val="26"/>
          <w:szCs w:val="26"/>
        </w:rPr>
      </w:pPr>
      <w:r w:rsidRPr="00783651">
        <w:rPr>
          <w:sz w:val="26"/>
          <w:szCs w:val="26"/>
        </w:rPr>
        <w:t xml:space="preserve">the circumstances beyond the control of the primary universal service provider referred to in subsection 21(2) of the CSG </w:t>
      </w:r>
      <w:r w:rsidR="00783651">
        <w:rPr>
          <w:sz w:val="26"/>
          <w:szCs w:val="26"/>
        </w:rPr>
        <w:t xml:space="preserve">Standard </w:t>
      </w:r>
      <w:r w:rsidRPr="00783651">
        <w:rPr>
          <w:sz w:val="26"/>
          <w:szCs w:val="26"/>
        </w:rPr>
        <w:t>may include damage to</w:t>
      </w:r>
      <w:r w:rsidR="00F47D20" w:rsidRPr="00783651">
        <w:rPr>
          <w:sz w:val="26"/>
          <w:szCs w:val="26"/>
        </w:rPr>
        <w:t>,</w:t>
      </w:r>
      <w:r w:rsidRPr="00783651">
        <w:rPr>
          <w:sz w:val="26"/>
          <w:szCs w:val="26"/>
        </w:rPr>
        <w:t xml:space="preserve"> or failure of</w:t>
      </w:r>
      <w:r w:rsidR="00F47D20" w:rsidRPr="00783651">
        <w:rPr>
          <w:sz w:val="26"/>
          <w:szCs w:val="26"/>
        </w:rPr>
        <w:t>,</w:t>
      </w:r>
      <w:r w:rsidRPr="00783651">
        <w:rPr>
          <w:sz w:val="26"/>
          <w:szCs w:val="26"/>
        </w:rPr>
        <w:t xml:space="preserve"> the </w:t>
      </w:r>
      <w:r w:rsidR="00F47D20" w:rsidRPr="00783651">
        <w:rPr>
          <w:sz w:val="26"/>
          <w:szCs w:val="26"/>
        </w:rPr>
        <w:t>NBN Co fibre network</w:t>
      </w:r>
      <w:r w:rsidRPr="00783651">
        <w:rPr>
          <w:sz w:val="26"/>
          <w:szCs w:val="26"/>
        </w:rPr>
        <w:t xml:space="preserve"> that:</w:t>
      </w:r>
    </w:p>
    <w:p w:rsidR="00564D4C" w:rsidRDefault="009E5942">
      <w:pPr>
        <w:ind w:left="2552" w:hanging="546"/>
        <w:rPr>
          <w:sz w:val="26"/>
          <w:szCs w:val="26"/>
        </w:rPr>
      </w:pPr>
      <w:r w:rsidRPr="00783651">
        <w:rPr>
          <w:sz w:val="26"/>
          <w:szCs w:val="26"/>
        </w:rPr>
        <w:t>(i)</w:t>
      </w:r>
      <w:r w:rsidR="001F0B0F">
        <w:rPr>
          <w:sz w:val="26"/>
          <w:szCs w:val="26"/>
        </w:rPr>
        <w:tab/>
      </w:r>
      <w:r w:rsidRPr="00783651">
        <w:rPr>
          <w:sz w:val="26"/>
          <w:szCs w:val="26"/>
        </w:rPr>
        <w:t xml:space="preserve">causes mass outages of specified services; </w:t>
      </w:r>
      <w:r w:rsidR="005F337F" w:rsidRPr="00783651">
        <w:rPr>
          <w:sz w:val="26"/>
          <w:szCs w:val="26"/>
        </w:rPr>
        <w:t>and</w:t>
      </w:r>
    </w:p>
    <w:p w:rsidR="00564D4C" w:rsidRDefault="009E5942">
      <w:pPr>
        <w:ind w:left="2552" w:hanging="546"/>
        <w:rPr>
          <w:sz w:val="26"/>
          <w:szCs w:val="26"/>
        </w:rPr>
      </w:pPr>
      <w:r w:rsidRPr="00783651">
        <w:rPr>
          <w:sz w:val="26"/>
          <w:szCs w:val="26"/>
        </w:rPr>
        <w:t>(ii)</w:t>
      </w:r>
      <w:r w:rsidRPr="00783651">
        <w:rPr>
          <w:sz w:val="26"/>
          <w:szCs w:val="26"/>
        </w:rPr>
        <w:tab/>
        <w:t>restricts connection to a specified service or rectification of a fault or service difficulty</w:t>
      </w:r>
      <w:r w:rsidR="00D2793D">
        <w:rPr>
          <w:sz w:val="26"/>
          <w:szCs w:val="26"/>
        </w:rPr>
        <w:t>.</w:t>
      </w:r>
    </w:p>
    <w:p w:rsidR="0099162F" w:rsidRDefault="0099162F" w:rsidP="0099162F">
      <w:pPr>
        <w:rPr>
          <w:sz w:val="26"/>
          <w:szCs w:val="26"/>
        </w:rPr>
      </w:pPr>
    </w:p>
    <w:p w:rsidR="004F4FF8" w:rsidRPr="008F31B8" w:rsidRDefault="00485DA3" w:rsidP="004F4FF8">
      <w:pPr>
        <w:rPr>
          <w:rFonts w:ascii="Arial" w:hAnsi="Arial" w:cs="Arial"/>
          <w:b/>
          <w:szCs w:val="24"/>
        </w:rPr>
      </w:pPr>
      <w:r>
        <w:rPr>
          <w:rFonts w:ascii="Arial" w:hAnsi="Arial" w:cs="Arial"/>
          <w:b/>
          <w:szCs w:val="24"/>
        </w:rPr>
        <w:t>[18]</w:t>
      </w:r>
      <w:r>
        <w:rPr>
          <w:rFonts w:ascii="Arial" w:hAnsi="Arial" w:cs="Arial"/>
          <w:b/>
          <w:szCs w:val="24"/>
        </w:rPr>
        <w:tab/>
        <w:t>Sub</w:t>
      </w:r>
      <w:r w:rsidR="000D172A">
        <w:rPr>
          <w:rFonts w:ascii="Arial" w:hAnsi="Arial" w:cs="Arial"/>
          <w:b/>
          <w:szCs w:val="24"/>
        </w:rPr>
        <w:t>section</w:t>
      </w:r>
      <w:r>
        <w:rPr>
          <w:rFonts w:ascii="Arial" w:hAnsi="Arial" w:cs="Arial"/>
          <w:b/>
          <w:szCs w:val="24"/>
        </w:rPr>
        <w:t> 8(</w:t>
      </w:r>
      <w:r w:rsidR="000D172A">
        <w:rPr>
          <w:rFonts w:ascii="Arial" w:hAnsi="Arial" w:cs="Arial"/>
          <w:b/>
          <w:szCs w:val="24"/>
        </w:rPr>
        <w:t>1)</w:t>
      </w:r>
    </w:p>
    <w:p w:rsidR="004F4FF8" w:rsidRPr="008F31B8" w:rsidRDefault="004F4FF8" w:rsidP="0099162F">
      <w:pPr>
        <w:rPr>
          <w:rFonts w:ascii="Arial" w:hAnsi="Arial" w:cs="Arial"/>
          <w:b/>
          <w:szCs w:val="24"/>
        </w:rPr>
      </w:pPr>
    </w:p>
    <w:p w:rsidR="002C2BB3" w:rsidRDefault="00485DA3" w:rsidP="002C2BB3">
      <w:pPr>
        <w:ind w:left="709" w:firstLine="11"/>
        <w:rPr>
          <w:sz w:val="26"/>
          <w:szCs w:val="26"/>
        </w:rPr>
      </w:pPr>
      <w:r>
        <w:rPr>
          <w:sz w:val="26"/>
          <w:szCs w:val="26"/>
        </w:rPr>
        <w:t>Omit “Subsection (3)</w:t>
      </w:r>
      <w:r w:rsidR="00E71288">
        <w:rPr>
          <w:sz w:val="26"/>
          <w:szCs w:val="26"/>
        </w:rPr>
        <w:t xml:space="preserve"> sets</w:t>
      </w:r>
      <w:r>
        <w:rPr>
          <w:sz w:val="26"/>
          <w:szCs w:val="26"/>
        </w:rPr>
        <w:t>”, substitute “Subsections (3)</w:t>
      </w:r>
      <w:r w:rsidR="005100AA">
        <w:rPr>
          <w:sz w:val="26"/>
          <w:szCs w:val="26"/>
        </w:rPr>
        <w:t xml:space="preserve">, </w:t>
      </w:r>
      <w:r>
        <w:rPr>
          <w:sz w:val="26"/>
          <w:szCs w:val="26"/>
        </w:rPr>
        <w:t>(3A)</w:t>
      </w:r>
      <w:r w:rsidR="005100AA">
        <w:rPr>
          <w:sz w:val="26"/>
          <w:szCs w:val="26"/>
        </w:rPr>
        <w:t>, (3B) and (3C)</w:t>
      </w:r>
      <w:r w:rsidR="00E71288">
        <w:rPr>
          <w:sz w:val="26"/>
          <w:szCs w:val="26"/>
        </w:rPr>
        <w:t xml:space="preserve"> set</w:t>
      </w:r>
      <w:r>
        <w:rPr>
          <w:sz w:val="26"/>
          <w:szCs w:val="26"/>
        </w:rPr>
        <w:t>”.</w:t>
      </w:r>
    </w:p>
    <w:p w:rsidR="002C2BB3" w:rsidRDefault="002C2BB3" w:rsidP="002C2BB3">
      <w:pPr>
        <w:ind w:left="720"/>
        <w:rPr>
          <w:sz w:val="26"/>
          <w:szCs w:val="26"/>
        </w:rPr>
      </w:pPr>
    </w:p>
    <w:p w:rsidR="000D172A" w:rsidRPr="008F31B8" w:rsidRDefault="00357023" w:rsidP="000D172A">
      <w:pPr>
        <w:rPr>
          <w:rFonts w:ascii="Arial" w:hAnsi="Arial" w:cs="Arial"/>
          <w:b/>
          <w:szCs w:val="24"/>
        </w:rPr>
      </w:pPr>
      <w:r>
        <w:rPr>
          <w:rFonts w:ascii="Arial" w:hAnsi="Arial" w:cs="Arial"/>
          <w:b/>
          <w:szCs w:val="24"/>
        </w:rPr>
        <w:t>[19</w:t>
      </w:r>
      <w:r w:rsidR="000D172A">
        <w:rPr>
          <w:rFonts w:ascii="Arial" w:hAnsi="Arial" w:cs="Arial"/>
          <w:b/>
          <w:szCs w:val="24"/>
        </w:rPr>
        <w:t>]</w:t>
      </w:r>
      <w:r w:rsidR="000D172A">
        <w:rPr>
          <w:rFonts w:ascii="Arial" w:hAnsi="Arial" w:cs="Arial"/>
          <w:b/>
          <w:szCs w:val="24"/>
        </w:rPr>
        <w:tab/>
        <w:t>Subsection 8(3)</w:t>
      </w:r>
    </w:p>
    <w:p w:rsidR="004F4FF8" w:rsidRDefault="004F4FF8" w:rsidP="0099162F">
      <w:pPr>
        <w:rPr>
          <w:sz w:val="26"/>
          <w:szCs w:val="26"/>
        </w:rPr>
      </w:pPr>
    </w:p>
    <w:p w:rsidR="002C2BB3" w:rsidRDefault="00527A77" w:rsidP="002C2BB3">
      <w:pPr>
        <w:ind w:left="720"/>
        <w:rPr>
          <w:sz w:val="26"/>
          <w:szCs w:val="26"/>
        </w:rPr>
      </w:pPr>
      <w:r>
        <w:rPr>
          <w:sz w:val="26"/>
          <w:szCs w:val="26"/>
        </w:rPr>
        <w:t>Omit “circumstances in paragraph 7(1)(a)</w:t>
      </w:r>
      <w:r w:rsidR="0047225B">
        <w:rPr>
          <w:sz w:val="26"/>
          <w:szCs w:val="26"/>
        </w:rPr>
        <w:t xml:space="preserve"> applies to the request, provide to the person</w:t>
      </w:r>
      <w:r>
        <w:rPr>
          <w:sz w:val="26"/>
          <w:szCs w:val="26"/>
        </w:rPr>
        <w:t>”, substitute “circumstances in paragraph 7(1)(a) (except for the circumstances in subparagraphs 7(1)(a)(iv) and (v))</w:t>
      </w:r>
      <w:r w:rsidR="0047225B">
        <w:rPr>
          <w:sz w:val="26"/>
          <w:szCs w:val="26"/>
        </w:rPr>
        <w:t xml:space="preserve"> applies to the request, send to the person</w:t>
      </w:r>
      <w:r>
        <w:rPr>
          <w:sz w:val="26"/>
          <w:szCs w:val="26"/>
        </w:rPr>
        <w:t>”.</w:t>
      </w:r>
      <w:r w:rsidR="000D172A">
        <w:rPr>
          <w:sz w:val="26"/>
          <w:szCs w:val="26"/>
        </w:rPr>
        <w:tab/>
      </w:r>
    </w:p>
    <w:p w:rsidR="00527A77" w:rsidRDefault="00527A77" w:rsidP="0099162F">
      <w:pPr>
        <w:rPr>
          <w:sz w:val="26"/>
          <w:szCs w:val="26"/>
        </w:rPr>
      </w:pPr>
    </w:p>
    <w:p w:rsidR="006A1337" w:rsidRDefault="006A1337" w:rsidP="0099162F">
      <w:pPr>
        <w:rPr>
          <w:rFonts w:ascii="Arial" w:hAnsi="Arial" w:cs="Arial"/>
          <w:b/>
          <w:szCs w:val="24"/>
        </w:rPr>
      </w:pPr>
      <w:r>
        <w:rPr>
          <w:rFonts w:ascii="Arial" w:hAnsi="Arial" w:cs="Arial"/>
          <w:b/>
          <w:szCs w:val="24"/>
        </w:rPr>
        <w:t>[</w:t>
      </w:r>
      <w:r w:rsidR="00357023">
        <w:rPr>
          <w:rFonts w:ascii="Arial" w:hAnsi="Arial" w:cs="Arial"/>
          <w:b/>
          <w:szCs w:val="24"/>
        </w:rPr>
        <w:t>20</w:t>
      </w:r>
      <w:r>
        <w:rPr>
          <w:rFonts w:ascii="Arial" w:hAnsi="Arial" w:cs="Arial"/>
          <w:b/>
          <w:szCs w:val="24"/>
        </w:rPr>
        <w:t>]</w:t>
      </w:r>
      <w:r>
        <w:rPr>
          <w:rFonts w:ascii="Arial" w:hAnsi="Arial" w:cs="Arial"/>
          <w:b/>
          <w:szCs w:val="24"/>
        </w:rPr>
        <w:tab/>
        <w:t>Subparagraph 8(3)(c)(ii)</w:t>
      </w:r>
    </w:p>
    <w:p w:rsidR="00564D4C" w:rsidRPr="00785D64" w:rsidRDefault="00564D4C" w:rsidP="00564D4C">
      <w:pPr>
        <w:rPr>
          <w:i/>
          <w:sz w:val="26"/>
          <w:szCs w:val="26"/>
        </w:rPr>
      </w:pPr>
    </w:p>
    <w:p w:rsidR="00564D4C" w:rsidRDefault="00564D4C" w:rsidP="00564D4C">
      <w:pPr>
        <w:rPr>
          <w:sz w:val="26"/>
          <w:szCs w:val="26"/>
        </w:rPr>
      </w:pPr>
      <w:r>
        <w:rPr>
          <w:sz w:val="26"/>
          <w:szCs w:val="26"/>
        </w:rPr>
        <w:tab/>
        <w:t>Insert:</w:t>
      </w:r>
    </w:p>
    <w:p w:rsidR="00564D4C" w:rsidRPr="00F8665D" w:rsidRDefault="00564D4C" w:rsidP="00564D4C">
      <w:pPr>
        <w:pStyle w:val="schedulenote"/>
        <w:ind w:left="720"/>
        <w:rPr>
          <w:sz w:val="20"/>
          <w:szCs w:val="20"/>
        </w:rPr>
      </w:pPr>
      <w:r w:rsidRPr="00F8665D">
        <w:rPr>
          <w:rStyle w:val="italictext0"/>
          <w:i/>
          <w:sz w:val="20"/>
          <w:szCs w:val="20"/>
        </w:rPr>
        <w:t>Note</w:t>
      </w:r>
      <w:r w:rsidRPr="00F8665D">
        <w:rPr>
          <w:sz w:val="20"/>
          <w:szCs w:val="20"/>
        </w:rPr>
        <w:t>: </w:t>
      </w:r>
      <w:r>
        <w:rPr>
          <w:sz w:val="20"/>
          <w:szCs w:val="20"/>
        </w:rPr>
        <w:t>The Telecommunications Industry Ombudsman will not investigate or facilitate the resolution of a complaint made following a request for reconsideration where</w:t>
      </w:r>
      <w:r w:rsidRPr="00564D4C">
        <w:rPr>
          <w:sz w:val="20"/>
          <w:szCs w:val="20"/>
        </w:rPr>
        <w:t xml:space="preserve"> </w:t>
      </w:r>
      <w:r>
        <w:rPr>
          <w:sz w:val="20"/>
          <w:szCs w:val="20"/>
        </w:rPr>
        <w:t>it determines that:</w:t>
      </w:r>
    </w:p>
    <w:p w:rsidR="00564D4C" w:rsidRPr="00F8665D" w:rsidRDefault="00564D4C" w:rsidP="00564D4C">
      <w:pPr>
        <w:pStyle w:val="schedulenotenumbered"/>
        <w:ind w:left="1276" w:hanging="556"/>
        <w:rPr>
          <w:sz w:val="20"/>
          <w:szCs w:val="20"/>
        </w:rPr>
      </w:pPr>
      <w:r w:rsidRPr="00F8665D">
        <w:rPr>
          <w:sz w:val="20"/>
          <w:szCs w:val="20"/>
        </w:rPr>
        <w:t>(a)      </w:t>
      </w:r>
      <w:r>
        <w:rPr>
          <w:sz w:val="20"/>
          <w:szCs w:val="20"/>
        </w:rPr>
        <w:tab/>
        <w:t>the person making the request is not a person who may make a complaint to the Telecommunications Industry Ombudsman</w:t>
      </w:r>
      <w:r w:rsidRPr="00F8665D">
        <w:rPr>
          <w:sz w:val="20"/>
          <w:szCs w:val="20"/>
        </w:rPr>
        <w:t xml:space="preserve">; </w:t>
      </w:r>
      <w:r>
        <w:rPr>
          <w:sz w:val="20"/>
          <w:szCs w:val="20"/>
        </w:rPr>
        <w:t>or</w:t>
      </w:r>
    </w:p>
    <w:p w:rsidR="00564D4C" w:rsidRPr="00F8665D" w:rsidRDefault="00564D4C" w:rsidP="00564D4C">
      <w:pPr>
        <w:pStyle w:val="schedulenotenumbered"/>
        <w:ind w:left="1276" w:hanging="556"/>
        <w:rPr>
          <w:sz w:val="20"/>
          <w:szCs w:val="20"/>
        </w:rPr>
      </w:pPr>
      <w:r w:rsidRPr="00F8665D">
        <w:rPr>
          <w:sz w:val="20"/>
          <w:szCs w:val="20"/>
        </w:rPr>
        <w:t>(b)      </w:t>
      </w:r>
      <w:r>
        <w:rPr>
          <w:sz w:val="20"/>
          <w:szCs w:val="20"/>
        </w:rPr>
        <w:tab/>
        <w:t>the Telecommunications Industry Ombudsman does not have the jurisdiction to investigate or facilitate the resolution of that complaint</w:t>
      </w:r>
      <w:r w:rsidRPr="00F8665D">
        <w:rPr>
          <w:sz w:val="20"/>
          <w:szCs w:val="20"/>
        </w:rPr>
        <w:t>.</w:t>
      </w:r>
    </w:p>
    <w:p w:rsidR="00A913A2" w:rsidRDefault="00A913A2" w:rsidP="00A913A2">
      <w:pPr>
        <w:ind w:left="720"/>
      </w:pPr>
    </w:p>
    <w:p w:rsidR="00F9710A" w:rsidRPr="00495C73" w:rsidRDefault="00485DA3" w:rsidP="00F9710A">
      <w:pPr>
        <w:rPr>
          <w:rFonts w:ascii="Arial" w:hAnsi="Arial" w:cs="Arial"/>
          <w:b/>
          <w:szCs w:val="24"/>
        </w:rPr>
      </w:pPr>
      <w:r>
        <w:rPr>
          <w:rFonts w:ascii="Arial" w:hAnsi="Arial" w:cs="Arial"/>
          <w:b/>
          <w:szCs w:val="24"/>
        </w:rPr>
        <w:t>[</w:t>
      </w:r>
      <w:r w:rsidR="00564D4C">
        <w:rPr>
          <w:rFonts w:ascii="Arial" w:hAnsi="Arial" w:cs="Arial"/>
          <w:b/>
          <w:szCs w:val="24"/>
        </w:rPr>
        <w:t>21</w:t>
      </w:r>
      <w:r>
        <w:rPr>
          <w:rFonts w:ascii="Arial" w:hAnsi="Arial" w:cs="Arial"/>
          <w:b/>
          <w:szCs w:val="24"/>
        </w:rPr>
        <w:t>]</w:t>
      </w:r>
      <w:r>
        <w:rPr>
          <w:rFonts w:ascii="Arial" w:hAnsi="Arial" w:cs="Arial"/>
          <w:b/>
          <w:szCs w:val="24"/>
        </w:rPr>
        <w:tab/>
        <w:t>After paragraph 8(3)(d)</w:t>
      </w:r>
    </w:p>
    <w:p w:rsidR="009A340A" w:rsidRPr="00F14B9B" w:rsidRDefault="009A340A" w:rsidP="00F9710A">
      <w:pPr>
        <w:rPr>
          <w:rFonts w:ascii="Arial" w:hAnsi="Arial" w:cs="Arial"/>
          <w:b/>
          <w:szCs w:val="24"/>
          <w:highlight w:val="green"/>
        </w:rPr>
      </w:pPr>
    </w:p>
    <w:p w:rsidR="00EA452B" w:rsidRPr="00A27BB4" w:rsidRDefault="00EA452B" w:rsidP="00EA452B">
      <w:pPr>
        <w:ind w:left="720"/>
        <w:rPr>
          <w:sz w:val="26"/>
          <w:szCs w:val="26"/>
        </w:rPr>
      </w:pPr>
      <w:r>
        <w:rPr>
          <w:sz w:val="26"/>
          <w:szCs w:val="26"/>
        </w:rPr>
        <w:t>Insert:</w:t>
      </w:r>
    </w:p>
    <w:p w:rsidR="00EA452B" w:rsidRPr="00A27BB4" w:rsidRDefault="00EA452B" w:rsidP="00EA452B">
      <w:pPr>
        <w:rPr>
          <w:rFonts w:ascii="Arial" w:hAnsi="Arial" w:cs="Arial"/>
          <w:b/>
          <w:szCs w:val="24"/>
        </w:rPr>
      </w:pPr>
    </w:p>
    <w:p w:rsidR="00EA452B" w:rsidRDefault="00EA452B" w:rsidP="00EA452B">
      <w:pPr>
        <w:ind w:left="1560" w:hanging="840"/>
        <w:rPr>
          <w:sz w:val="26"/>
          <w:szCs w:val="26"/>
        </w:rPr>
      </w:pPr>
      <w:r w:rsidRPr="00D20C9D">
        <w:rPr>
          <w:sz w:val="26"/>
          <w:szCs w:val="26"/>
        </w:rPr>
        <w:t>(3A)</w:t>
      </w:r>
      <w:r>
        <w:rPr>
          <w:sz w:val="26"/>
          <w:szCs w:val="26"/>
        </w:rPr>
        <w:tab/>
        <w:t xml:space="preserve">The primary universal service provider must, within </w:t>
      </w:r>
      <w:r w:rsidRPr="00D21336">
        <w:rPr>
          <w:sz w:val="26"/>
          <w:szCs w:val="26"/>
        </w:rPr>
        <w:t>10 business days of deciding that the circumstance in subparagraph 7(1)(a)(iv) applies to the request, send to the person making th</w:t>
      </w:r>
      <w:r>
        <w:rPr>
          <w:sz w:val="26"/>
          <w:szCs w:val="26"/>
        </w:rPr>
        <w:t>e request a statement in writing setting out</w:t>
      </w:r>
      <w:r w:rsidRPr="00D21336">
        <w:rPr>
          <w:sz w:val="26"/>
          <w:szCs w:val="26"/>
        </w:rPr>
        <w:t>:</w:t>
      </w:r>
    </w:p>
    <w:p w:rsidR="00EA452B" w:rsidRDefault="00EA452B" w:rsidP="00EA452B">
      <w:pPr>
        <w:ind w:left="1560" w:hanging="840"/>
        <w:rPr>
          <w:sz w:val="26"/>
          <w:szCs w:val="26"/>
        </w:rPr>
      </w:pPr>
    </w:p>
    <w:p w:rsidR="002C2BB3" w:rsidRDefault="00EA452B" w:rsidP="002C2BB3">
      <w:pPr>
        <w:pStyle w:val="ListParagraph"/>
        <w:numPr>
          <w:ilvl w:val="0"/>
          <w:numId w:val="13"/>
        </w:numPr>
        <w:ind w:left="2268" w:hanging="708"/>
        <w:rPr>
          <w:sz w:val="26"/>
          <w:szCs w:val="26"/>
          <w:lang w:val="en-US"/>
        </w:rPr>
      </w:pPr>
      <w:r w:rsidRPr="00F05B53">
        <w:rPr>
          <w:sz w:val="26"/>
          <w:szCs w:val="26"/>
        </w:rPr>
        <w:t>the</w:t>
      </w:r>
      <w:r>
        <w:rPr>
          <w:sz w:val="26"/>
          <w:szCs w:val="26"/>
        </w:rPr>
        <w:t xml:space="preserve"> decision of the</w:t>
      </w:r>
      <w:r w:rsidRPr="00F05B53">
        <w:rPr>
          <w:sz w:val="26"/>
          <w:szCs w:val="26"/>
        </w:rPr>
        <w:t xml:space="preserve"> primary universal service provider not to provide a service </w:t>
      </w:r>
      <w:r>
        <w:rPr>
          <w:sz w:val="26"/>
          <w:szCs w:val="26"/>
        </w:rPr>
        <w:t xml:space="preserve">to that person based </w:t>
      </w:r>
      <w:r w:rsidRPr="00F05B53">
        <w:rPr>
          <w:sz w:val="26"/>
          <w:szCs w:val="26"/>
        </w:rPr>
        <w:t>on:</w:t>
      </w:r>
    </w:p>
    <w:p w:rsidR="002C2BB3" w:rsidRPr="002C2BB3" w:rsidRDefault="002C2BB3" w:rsidP="002C2BB3">
      <w:pPr>
        <w:pStyle w:val="ListParagraph"/>
        <w:numPr>
          <w:ilvl w:val="0"/>
          <w:numId w:val="12"/>
        </w:numPr>
        <w:ind w:left="2835" w:hanging="567"/>
        <w:rPr>
          <w:sz w:val="26"/>
          <w:szCs w:val="26"/>
          <w:lang w:val="en-US"/>
        </w:rPr>
      </w:pPr>
      <w:r w:rsidRPr="002C2BB3">
        <w:rPr>
          <w:sz w:val="26"/>
          <w:szCs w:val="26"/>
          <w:lang w:val="en-US"/>
        </w:rPr>
        <w:t xml:space="preserve">the personal credit history of the </w:t>
      </w:r>
      <w:r w:rsidR="00FE44DB">
        <w:rPr>
          <w:sz w:val="26"/>
          <w:szCs w:val="26"/>
          <w:lang w:val="en-US"/>
        </w:rPr>
        <w:t>person making the request</w:t>
      </w:r>
      <w:r w:rsidRPr="002C2BB3">
        <w:rPr>
          <w:sz w:val="26"/>
          <w:szCs w:val="26"/>
          <w:lang w:val="en-US"/>
        </w:rPr>
        <w:t>; or</w:t>
      </w:r>
    </w:p>
    <w:p w:rsidR="002C2BB3" w:rsidRDefault="00EA452B" w:rsidP="002C2BB3">
      <w:pPr>
        <w:pStyle w:val="ListParagraph"/>
        <w:numPr>
          <w:ilvl w:val="0"/>
          <w:numId w:val="12"/>
        </w:numPr>
        <w:ind w:left="2835" w:hanging="567"/>
        <w:rPr>
          <w:sz w:val="26"/>
          <w:szCs w:val="26"/>
          <w:lang w:val="en-US"/>
        </w:rPr>
      </w:pPr>
      <w:r w:rsidRPr="00D21336">
        <w:rPr>
          <w:sz w:val="26"/>
          <w:szCs w:val="26"/>
          <w:lang w:val="en-US"/>
        </w:rPr>
        <w:t>any other relevant grounds; and</w:t>
      </w:r>
    </w:p>
    <w:p w:rsidR="00EA452B" w:rsidRPr="00A934B6" w:rsidRDefault="00EA452B" w:rsidP="00EA452B">
      <w:pPr>
        <w:pStyle w:val="ListParagraph"/>
        <w:rPr>
          <w:sz w:val="26"/>
          <w:szCs w:val="26"/>
          <w:lang w:val="en-US"/>
        </w:rPr>
      </w:pPr>
    </w:p>
    <w:p w:rsidR="002C2BB3" w:rsidRDefault="00EA452B" w:rsidP="002C2BB3">
      <w:pPr>
        <w:pStyle w:val="ListParagraph"/>
        <w:numPr>
          <w:ilvl w:val="0"/>
          <w:numId w:val="13"/>
        </w:numPr>
        <w:ind w:left="2268" w:hanging="708"/>
        <w:rPr>
          <w:sz w:val="26"/>
          <w:szCs w:val="26"/>
          <w:lang w:val="en-US"/>
        </w:rPr>
      </w:pPr>
      <w:r>
        <w:rPr>
          <w:sz w:val="26"/>
          <w:szCs w:val="26"/>
          <w:lang w:val="en-US"/>
        </w:rPr>
        <w:t>the entitlement of that person to request</w:t>
      </w:r>
      <w:r w:rsidRPr="00F05B53">
        <w:rPr>
          <w:sz w:val="26"/>
          <w:szCs w:val="26"/>
          <w:lang w:val="en-US"/>
        </w:rPr>
        <w:t xml:space="preserve"> that the primary universal service provider reconsider </w:t>
      </w:r>
      <w:r>
        <w:rPr>
          <w:sz w:val="26"/>
          <w:szCs w:val="26"/>
          <w:lang w:val="en-US"/>
        </w:rPr>
        <w:t>the decision not to provide a service to that person;</w:t>
      </w:r>
    </w:p>
    <w:p w:rsidR="00EA452B" w:rsidRDefault="00EA452B" w:rsidP="00EA452B">
      <w:pPr>
        <w:rPr>
          <w:sz w:val="26"/>
          <w:szCs w:val="26"/>
        </w:rPr>
      </w:pPr>
    </w:p>
    <w:p w:rsidR="00EA452B" w:rsidRDefault="00EA452B" w:rsidP="00EA452B">
      <w:pPr>
        <w:ind w:left="1560" w:hanging="851"/>
        <w:rPr>
          <w:sz w:val="26"/>
          <w:szCs w:val="26"/>
          <w:lang w:val="en-US"/>
        </w:rPr>
      </w:pPr>
      <w:r>
        <w:rPr>
          <w:sz w:val="26"/>
          <w:szCs w:val="26"/>
        </w:rPr>
        <w:t>(3B)</w:t>
      </w:r>
      <w:r>
        <w:rPr>
          <w:sz w:val="26"/>
          <w:szCs w:val="26"/>
        </w:rPr>
        <w:tab/>
        <w:t>I</w:t>
      </w:r>
      <w:r w:rsidRPr="00F05B53">
        <w:rPr>
          <w:sz w:val="26"/>
          <w:szCs w:val="26"/>
        </w:rPr>
        <w:t xml:space="preserve">f </w:t>
      </w:r>
      <w:r>
        <w:rPr>
          <w:sz w:val="26"/>
          <w:szCs w:val="26"/>
        </w:rPr>
        <w:t>a</w:t>
      </w:r>
      <w:r w:rsidRPr="00F05B53">
        <w:rPr>
          <w:sz w:val="26"/>
          <w:szCs w:val="26"/>
        </w:rPr>
        <w:t xml:space="preserve"> person mak</w:t>
      </w:r>
      <w:r>
        <w:rPr>
          <w:sz w:val="26"/>
          <w:szCs w:val="26"/>
        </w:rPr>
        <w:t>es</w:t>
      </w:r>
      <w:r w:rsidRPr="00F05B53">
        <w:rPr>
          <w:sz w:val="26"/>
          <w:szCs w:val="26"/>
        </w:rPr>
        <w:t xml:space="preserve"> </w:t>
      </w:r>
      <w:r>
        <w:rPr>
          <w:sz w:val="26"/>
          <w:szCs w:val="26"/>
        </w:rPr>
        <w:t>a</w:t>
      </w:r>
      <w:r w:rsidRPr="00F05B53">
        <w:rPr>
          <w:sz w:val="26"/>
          <w:szCs w:val="26"/>
        </w:rPr>
        <w:t xml:space="preserve"> request </w:t>
      </w:r>
      <w:r>
        <w:rPr>
          <w:sz w:val="26"/>
          <w:szCs w:val="26"/>
        </w:rPr>
        <w:t xml:space="preserve">under paragraph (3A)(b) </w:t>
      </w:r>
      <w:r w:rsidRPr="00F05B53">
        <w:rPr>
          <w:sz w:val="26"/>
          <w:szCs w:val="26"/>
          <w:lang w:val="en-US"/>
        </w:rPr>
        <w:t xml:space="preserve">that the primary universal service provider reconsider </w:t>
      </w:r>
      <w:r>
        <w:rPr>
          <w:sz w:val="26"/>
          <w:szCs w:val="26"/>
          <w:lang w:val="en-US"/>
        </w:rPr>
        <w:t>the decision not to provide a service to that person</w:t>
      </w:r>
      <w:r w:rsidR="00AB3535">
        <w:rPr>
          <w:sz w:val="26"/>
          <w:szCs w:val="26"/>
          <w:lang w:val="en-US"/>
        </w:rPr>
        <w:t>,</w:t>
      </w:r>
      <w:r>
        <w:rPr>
          <w:sz w:val="26"/>
          <w:szCs w:val="26"/>
        </w:rPr>
        <w:t xml:space="preserve"> and the primary universal service provider decides</w:t>
      </w:r>
      <w:r w:rsidRPr="00F05B53">
        <w:rPr>
          <w:sz w:val="26"/>
          <w:szCs w:val="26"/>
        </w:rPr>
        <w:t xml:space="preserve"> that the circumstance in</w:t>
      </w:r>
      <w:r>
        <w:rPr>
          <w:sz w:val="26"/>
          <w:szCs w:val="26"/>
        </w:rPr>
        <w:t xml:space="preserve"> </w:t>
      </w:r>
      <w:r w:rsidR="003F3642">
        <w:rPr>
          <w:sz w:val="26"/>
          <w:szCs w:val="26"/>
        </w:rPr>
        <w:t>sub</w:t>
      </w:r>
      <w:r w:rsidR="003F3642" w:rsidRPr="00F05B53">
        <w:rPr>
          <w:sz w:val="26"/>
          <w:szCs w:val="26"/>
        </w:rPr>
        <w:t>paragraph</w:t>
      </w:r>
      <w:r w:rsidR="003F3642">
        <w:rPr>
          <w:sz w:val="26"/>
          <w:szCs w:val="26"/>
        </w:rPr>
        <w:t> </w:t>
      </w:r>
      <w:r w:rsidRPr="00F05B53">
        <w:rPr>
          <w:sz w:val="26"/>
          <w:szCs w:val="26"/>
        </w:rPr>
        <w:t xml:space="preserve">7(1)(a)(iv) </w:t>
      </w:r>
      <w:r>
        <w:rPr>
          <w:sz w:val="26"/>
          <w:szCs w:val="26"/>
        </w:rPr>
        <w:t>continues to apply</w:t>
      </w:r>
      <w:r w:rsidRPr="00F05B53">
        <w:rPr>
          <w:sz w:val="26"/>
          <w:szCs w:val="26"/>
        </w:rPr>
        <w:t xml:space="preserve"> to </w:t>
      </w:r>
      <w:r>
        <w:rPr>
          <w:sz w:val="26"/>
          <w:szCs w:val="26"/>
        </w:rPr>
        <w:t>that</w:t>
      </w:r>
      <w:r w:rsidRPr="00F05B53">
        <w:rPr>
          <w:sz w:val="26"/>
          <w:szCs w:val="26"/>
        </w:rPr>
        <w:t xml:space="preserve"> </w:t>
      </w:r>
      <w:r>
        <w:rPr>
          <w:sz w:val="26"/>
          <w:szCs w:val="26"/>
        </w:rPr>
        <w:t>person’s request for a standard telephone service</w:t>
      </w:r>
      <w:r w:rsidRPr="00F05B53">
        <w:rPr>
          <w:sz w:val="26"/>
          <w:szCs w:val="26"/>
        </w:rPr>
        <w:t>,</w:t>
      </w:r>
      <w:r>
        <w:rPr>
          <w:sz w:val="26"/>
          <w:szCs w:val="26"/>
        </w:rPr>
        <w:t xml:space="preserve"> the primary universal service provider must</w:t>
      </w:r>
      <w:r w:rsidR="003F3642">
        <w:rPr>
          <w:sz w:val="26"/>
          <w:szCs w:val="26"/>
        </w:rPr>
        <w:t>, within 10 business days of</w:t>
      </w:r>
      <w:r w:rsidR="005C6905">
        <w:rPr>
          <w:sz w:val="26"/>
          <w:szCs w:val="26"/>
        </w:rPr>
        <w:t xml:space="preserve"> deciding that the circumstance continues to apply</w:t>
      </w:r>
      <w:r w:rsidR="003F3642">
        <w:rPr>
          <w:sz w:val="26"/>
          <w:szCs w:val="26"/>
        </w:rPr>
        <w:t>,</w:t>
      </w:r>
      <w:r w:rsidRPr="00F05B53">
        <w:rPr>
          <w:sz w:val="26"/>
          <w:szCs w:val="26"/>
        </w:rPr>
        <w:t xml:space="preserve"> </w:t>
      </w:r>
      <w:r w:rsidRPr="00F05B53">
        <w:rPr>
          <w:sz w:val="26"/>
          <w:szCs w:val="26"/>
          <w:lang w:val="en-US"/>
        </w:rPr>
        <w:t xml:space="preserve">send to </w:t>
      </w:r>
      <w:r w:rsidR="003F3642">
        <w:rPr>
          <w:sz w:val="26"/>
          <w:szCs w:val="26"/>
          <w:lang w:val="en-US"/>
        </w:rPr>
        <w:t>the</w:t>
      </w:r>
      <w:r w:rsidR="003F3642" w:rsidRPr="00F05B53">
        <w:rPr>
          <w:sz w:val="26"/>
          <w:szCs w:val="26"/>
          <w:lang w:val="en-US"/>
        </w:rPr>
        <w:t xml:space="preserve"> </w:t>
      </w:r>
      <w:r w:rsidRPr="00F05B53">
        <w:rPr>
          <w:sz w:val="26"/>
          <w:szCs w:val="26"/>
          <w:lang w:val="en-US"/>
        </w:rPr>
        <w:t>person</w:t>
      </w:r>
      <w:r w:rsidR="003F3642">
        <w:rPr>
          <w:sz w:val="26"/>
          <w:szCs w:val="26"/>
          <w:lang w:val="en-US"/>
        </w:rPr>
        <w:t xml:space="preserve"> making the request</w:t>
      </w:r>
      <w:r w:rsidR="005C6905">
        <w:rPr>
          <w:sz w:val="26"/>
          <w:szCs w:val="26"/>
          <w:lang w:val="en-US"/>
        </w:rPr>
        <w:t xml:space="preserve"> for a standard telephone service</w:t>
      </w:r>
      <w:r w:rsidRPr="00F05B53">
        <w:rPr>
          <w:sz w:val="26"/>
          <w:szCs w:val="26"/>
          <w:lang w:val="en-US"/>
        </w:rPr>
        <w:t xml:space="preserve"> a statement in writing</w:t>
      </w:r>
      <w:r>
        <w:rPr>
          <w:sz w:val="26"/>
          <w:szCs w:val="26"/>
          <w:lang w:val="en-US"/>
        </w:rPr>
        <w:t xml:space="preserve"> setting out</w:t>
      </w:r>
      <w:r w:rsidRPr="00F05B53">
        <w:rPr>
          <w:sz w:val="26"/>
          <w:szCs w:val="26"/>
          <w:lang w:val="en-US"/>
        </w:rPr>
        <w:t xml:space="preserve">: </w:t>
      </w:r>
    </w:p>
    <w:p w:rsidR="00EA452B" w:rsidRPr="00F05B53" w:rsidRDefault="00EA452B" w:rsidP="00EA452B">
      <w:pPr>
        <w:ind w:left="1560" w:hanging="851"/>
        <w:rPr>
          <w:sz w:val="26"/>
          <w:szCs w:val="26"/>
        </w:rPr>
      </w:pPr>
    </w:p>
    <w:p w:rsidR="002C2BB3" w:rsidRDefault="00EA452B" w:rsidP="002C2BB3">
      <w:pPr>
        <w:pStyle w:val="ListParagraph"/>
        <w:numPr>
          <w:ilvl w:val="2"/>
          <w:numId w:val="10"/>
        </w:numPr>
        <w:ind w:hanging="317"/>
        <w:rPr>
          <w:sz w:val="26"/>
          <w:szCs w:val="26"/>
        </w:rPr>
      </w:pPr>
      <w:r>
        <w:rPr>
          <w:sz w:val="26"/>
          <w:szCs w:val="26"/>
          <w:lang w:val="en-US"/>
        </w:rPr>
        <w:t>the decision of the primary universal service provider that the obligation to supply a standard telephone service does not apply to the request</w:t>
      </w:r>
      <w:r w:rsidRPr="00F05B53">
        <w:rPr>
          <w:sz w:val="26"/>
          <w:szCs w:val="26"/>
          <w:lang w:val="en-US"/>
        </w:rPr>
        <w:t>; and</w:t>
      </w:r>
    </w:p>
    <w:p w:rsidR="00EA452B" w:rsidRPr="00F05B53" w:rsidRDefault="00EA452B" w:rsidP="00EA452B">
      <w:pPr>
        <w:pStyle w:val="ListParagraph"/>
        <w:ind w:left="2160"/>
        <w:rPr>
          <w:sz w:val="26"/>
          <w:szCs w:val="26"/>
        </w:rPr>
      </w:pPr>
    </w:p>
    <w:p w:rsidR="002C2BB3" w:rsidRDefault="00EA452B" w:rsidP="002C2BB3">
      <w:pPr>
        <w:pStyle w:val="ListParagraph"/>
        <w:numPr>
          <w:ilvl w:val="2"/>
          <w:numId w:val="10"/>
        </w:numPr>
        <w:ind w:hanging="317"/>
        <w:rPr>
          <w:sz w:val="26"/>
          <w:szCs w:val="26"/>
          <w:lang w:val="en-US"/>
        </w:rPr>
      </w:pPr>
      <w:r w:rsidRPr="009549F5">
        <w:rPr>
          <w:sz w:val="26"/>
          <w:szCs w:val="26"/>
          <w:lang w:val="en-US"/>
        </w:rPr>
        <w:lastRenderedPageBreak/>
        <w:t>the reliance of the primary universal service provider in basing its decision not to supply a standard telephone service on:</w:t>
      </w:r>
    </w:p>
    <w:p w:rsidR="002C2BB3" w:rsidRDefault="00EA452B" w:rsidP="002C2BB3">
      <w:pPr>
        <w:pStyle w:val="ListParagraph"/>
        <w:numPr>
          <w:ilvl w:val="0"/>
          <w:numId w:val="11"/>
        </w:numPr>
        <w:ind w:left="3119" w:hanging="567"/>
        <w:rPr>
          <w:sz w:val="26"/>
          <w:szCs w:val="26"/>
          <w:lang w:val="en-US"/>
        </w:rPr>
      </w:pPr>
      <w:r w:rsidRPr="009549F5">
        <w:rPr>
          <w:sz w:val="26"/>
          <w:szCs w:val="26"/>
          <w:lang w:val="en-US"/>
        </w:rPr>
        <w:t xml:space="preserve">the personal credit history of the </w:t>
      </w:r>
      <w:r w:rsidR="00FE44DB">
        <w:rPr>
          <w:sz w:val="26"/>
          <w:szCs w:val="26"/>
          <w:lang w:val="en-US"/>
        </w:rPr>
        <w:t>person making the request</w:t>
      </w:r>
      <w:r w:rsidRPr="009549F5">
        <w:rPr>
          <w:sz w:val="26"/>
          <w:szCs w:val="26"/>
          <w:lang w:val="en-US"/>
        </w:rPr>
        <w:t>; or</w:t>
      </w:r>
    </w:p>
    <w:p w:rsidR="002C2BB3" w:rsidRDefault="00EA452B" w:rsidP="002C2BB3">
      <w:pPr>
        <w:pStyle w:val="ListParagraph"/>
        <w:numPr>
          <w:ilvl w:val="0"/>
          <w:numId w:val="11"/>
        </w:numPr>
        <w:ind w:left="3119" w:hanging="567"/>
        <w:rPr>
          <w:sz w:val="26"/>
          <w:szCs w:val="26"/>
          <w:lang w:val="en-US"/>
        </w:rPr>
      </w:pPr>
      <w:r w:rsidRPr="009549F5">
        <w:rPr>
          <w:sz w:val="26"/>
          <w:szCs w:val="26"/>
          <w:lang w:val="en-US"/>
        </w:rPr>
        <w:t>any other relevant grounds; and</w:t>
      </w:r>
    </w:p>
    <w:p w:rsidR="00EA452B" w:rsidRPr="009549F5" w:rsidRDefault="00EA452B" w:rsidP="00EA452B">
      <w:pPr>
        <w:rPr>
          <w:sz w:val="26"/>
          <w:szCs w:val="26"/>
          <w:lang w:val="en-US"/>
        </w:rPr>
      </w:pPr>
    </w:p>
    <w:p w:rsidR="002C2BB3" w:rsidRDefault="00EA452B" w:rsidP="002C2BB3">
      <w:pPr>
        <w:pStyle w:val="ListParagraph"/>
        <w:numPr>
          <w:ilvl w:val="2"/>
          <w:numId w:val="10"/>
        </w:numPr>
        <w:ind w:hanging="317"/>
        <w:rPr>
          <w:sz w:val="26"/>
          <w:szCs w:val="26"/>
          <w:lang w:val="en-US"/>
        </w:rPr>
      </w:pPr>
      <w:r w:rsidRPr="00A934B6">
        <w:rPr>
          <w:sz w:val="26"/>
          <w:szCs w:val="26"/>
          <w:lang w:val="en-US"/>
        </w:rPr>
        <w:t>the entitlement of the person making the request to dispute that the circumstance</w:t>
      </w:r>
      <w:r w:rsidR="00AB3535">
        <w:rPr>
          <w:sz w:val="26"/>
          <w:szCs w:val="26"/>
          <w:lang w:val="en-US"/>
        </w:rPr>
        <w:t xml:space="preserve"> in subparagraph 7(1)(a)(iv) </w:t>
      </w:r>
      <w:r w:rsidRPr="00A934B6">
        <w:rPr>
          <w:sz w:val="26"/>
          <w:szCs w:val="26"/>
          <w:lang w:val="en-US"/>
        </w:rPr>
        <w:t>applies to the request by:</w:t>
      </w:r>
    </w:p>
    <w:p w:rsidR="002C2BB3" w:rsidRPr="002C2BB3" w:rsidRDefault="002C2BB3" w:rsidP="002C2BB3">
      <w:pPr>
        <w:pStyle w:val="ListParagraph"/>
        <w:numPr>
          <w:ilvl w:val="0"/>
          <w:numId w:val="30"/>
        </w:numPr>
        <w:ind w:left="3119" w:hanging="567"/>
        <w:rPr>
          <w:sz w:val="26"/>
          <w:szCs w:val="26"/>
        </w:rPr>
      </w:pPr>
      <w:r w:rsidRPr="002C2BB3">
        <w:rPr>
          <w:sz w:val="26"/>
          <w:szCs w:val="26"/>
          <w:lang w:val="en-US"/>
        </w:rPr>
        <w:t>requesting</w:t>
      </w:r>
      <w:r w:rsidRPr="002C2BB3">
        <w:rPr>
          <w:spacing w:val="-3"/>
          <w:sz w:val="26"/>
          <w:szCs w:val="26"/>
          <w:lang w:val="en-US"/>
        </w:rPr>
        <w:t xml:space="preserve"> the primary universal service provider to reconsider whether the grounds referred to in paragraph (3B)(b) exist or are a proper basis for the primary universal service provider to form the view that the obligation to supply a standard telephone service does not arise; or</w:t>
      </w:r>
    </w:p>
    <w:p w:rsidR="002C2BB3" w:rsidRDefault="00EA452B" w:rsidP="002C2BB3">
      <w:pPr>
        <w:pStyle w:val="ListParagraph"/>
        <w:numPr>
          <w:ilvl w:val="0"/>
          <w:numId w:val="30"/>
        </w:numPr>
        <w:ind w:left="3119" w:hanging="567"/>
        <w:rPr>
          <w:sz w:val="26"/>
          <w:szCs w:val="26"/>
        </w:rPr>
      </w:pPr>
      <w:r w:rsidRPr="009549F5">
        <w:rPr>
          <w:spacing w:val="-3"/>
          <w:sz w:val="26"/>
          <w:szCs w:val="26"/>
          <w:lang w:val="en-US"/>
        </w:rPr>
        <w:t xml:space="preserve">complaining to </w:t>
      </w:r>
      <w:r w:rsidRPr="009549F5">
        <w:rPr>
          <w:sz w:val="26"/>
          <w:szCs w:val="26"/>
          <w:lang w:val="en-US"/>
        </w:rPr>
        <w:t>the</w:t>
      </w:r>
      <w:r w:rsidRPr="009549F5">
        <w:rPr>
          <w:spacing w:val="-3"/>
          <w:sz w:val="26"/>
          <w:szCs w:val="26"/>
          <w:lang w:val="en-US"/>
        </w:rPr>
        <w:t xml:space="preserve"> Telecommunications Industry Ombudsman, following such a </w:t>
      </w:r>
      <w:r>
        <w:rPr>
          <w:spacing w:val="-3"/>
          <w:sz w:val="26"/>
          <w:szCs w:val="26"/>
          <w:lang w:val="en-US"/>
        </w:rPr>
        <w:t>request for reconsideration; and</w:t>
      </w:r>
    </w:p>
    <w:p w:rsidR="004B4EB3" w:rsidRDefault="00564D4C" w:rsidP="004B4EB3">
      <w:pPr>
        <w:pStyle w:val="schedulenote"/>
        <w:ind w:left="2160"/>
        <w:rPr>
          <w:sz w:val="20"/>
          <w:szCs w:val="20"/>
        </w:rPr>
      </w:pPr>
      <w:r>
        <w:rPr>
          <w:rStyle w:val="italictext0"/>
          <w:i/>
          <w:sz w:val="20"/>
          <w:szCs w:val="20"/>
        </w:rPr>
        <w:t>Note</w:t>
      </w:r>
      <w:r w:rsidRPr="00F8665D">
        <w:rPr>
          <w:sz w:val="20"/>
          <w:szCs w:val="20"/>
        </w:rPr>
        <w:t>: </w:t>
      </w:r>
      <w:r>
        <w:rPr>
          <w:sz w:val="20"/>
          <w:szCs w:val="20"/>
        </w:rPr>
        <w:t>The Telecommunications Industry Ombudsman will not investigate or facilitate the resolution of a complaint made following a request for reconsideration where</w:t>
      </w:r>
      <w:r w:rsidRPr="00564D4C">
        <w:rPr>
          <w:sz w:val="20"/>
          <w:szCs w:val="20"/>
        </w:rPr>
        <w:t xml:space="preserve"> </w:t>
      </w:r>
      <w:r>
        <w:rPr>
          <w:sz w:val="20"/>
          <w:szCs w:val="20"/>
        </w:rPr>
        <w:t>it determines that:</w:t>
      </w:r>
    </w:p>
    <w:p w:rsidR="004B4EB3" w:rsidRDefault="00564D4C" w:rsidP="004B4EB3">
      <w:pPr>
        <w:pStyle w:val="schedulenotenumbered"/>
        <w:ind w:left="2716" w:hanging="556"/>
        <w:rPr>
          <w:sz w:val="20"/>
          <w:szCs w:val="20"/>
        </w:rPr>
      </w:pPr>
      <w:r w:rsidRPr="00F8665D">
        <w:rPr>
          <w:sz w:val="20"/>
          <w:szCs w:val="20"/>
        </w:rPr>
        <w:t>(a)      </w:t>
      </w:r>
      <w:r>
        <w:rPr>
          <w:sz w:val="20"/>
          <w:szCs w:val="20"/>
        </w:rPr>
        <w:tab/>
        <w:t>the person making the request is not a person who may make a complaint to the Telecommunications Industry Ombudsman</w:t>
      </w:r>
      <w:r w:rsidRPr="00F8665D">
        <w:rPr>
          <w:sz w:val="20"/>
          <w:szCs w:val="20"/>
        </w:rPr>
        <w:t xml:space="preserve">; </w:t>
      </w:r>
      <w:r>
        <w:rPr>
          <w:sz w:val="20"/>
          <w:szCs w:val="20"/>
        </w:rPr>
        <w:t>or</w:t>
      </w:r>
    </w:p>
    <w:p w:rsidR="004B4EB3" w:rsidRDefault="00564D4C" w:rsidP="004B4EB3">
      <w:pPr>
        <w:pStyle w:val="schedulenotenumbered"/>
        <w:ind w:left="2716" w:hanging="556"/>
        <w:rPr>
          <w:sz w:val="20"/>
          <w:szCs w:val="20"/>
        </w:rPr>
      </w:pPr>
      <w:r w:rsidRPr="00F8665D">
        <w:rPr>
          <w:sz w:val="20"/>
          <w:szCs w:val="20"/>
        </w:rPr>
        <w:t>(b)     </w:t>
      </w:r>
      <w:r>
        <w:rPr>
          <w:sz w:val="20"/>
          <w:szCs w:val="20"/>
        </w:rPr>
        <w:tab/>
        <w:t>the Telecommunications Industry Ombudsman does not have the jurisdiction to investigate or facilitate the resolution of that complaint</w:t>
      </w:r>
      <w:r w:rsidRPr="00F8665D">
        <w:rPr>
          <w:sz w:val="20"/>
          <w:szCs w:val="20"/>
        </w:rPr>
        <w:t>.</w:t>
      </w:r>
    </w:p>
    <w:p w:rsidR="002C2BB3" w:rsidRDefault="00EA452B" w:rsidP="002C2BB3">
      <w:pPr>
        <w:pStyle w:val="ListParagraph"/>
        <w:numPr>
          <w:ilvl w:val="2"/>
          <w:numId w:val="10"/>
        </w:numPr>
        <w:ind w:hanging="317"/>
        <w:rPr>
          <w:sz w:val="26"/>
          <w:szCs w:val="26"/>
        </w:rPr>
      </w:pPr>
      <w:r>
        <w:rPr>
          <w:sz w:val="26"/>
          <w:szCs w:val="26"/>
        </w:rPr>
        <w:t>how the person making the request can contact the primary universal service provider and the Telecommunications Industry Ombudsman</w:t>
      </w:r>
      <w:r w:rsidR="00AB3535">
        <w:rPr>
          <w:sz w:val="26"/>
          <w:szCs w:val="26"/>
        </w:rPr>
        <w:t>.</w:t>
      </w:r>
    </w:p>
    <w:p w:rsidR="00EA452B" w:rsidRDefault="00EA452B" w:rsidP="00EA452B">
      <w:pPr>
        <w:rPr>
          <w:sz w:val="26"/>
          <w:szCs w:val="26"/>
        </w:rPr>
      </w:pPr>
    </w:p>
    <w:p w:rsidR="00EA452B" w:rsidRDefault="00EA452B" w:rsidP="00EA452B">
      <w:pPr>
        <w:ind w:left="1560" w:hanging="851"/>
        <w:rPr>
          <w:sz w:val="26"/>
          <w:szCs w:val="26"/>
        </w:rPr>
      </w:pPr>
      <w:r>
        <w:rPr>
          <w:sz w:val="26"/>
          <w:szCs w:val="26"/>
        </w:rPr>
        <w:t xml:space="preserve">(3C) </w:t>
      </w:r>
      <w:r>
        <w:rPr>
          <w:sz w:val="26"/>
          <w:szCs w:val="26"/>
        </w:rPr>
        <w:tab/>
        <w:t xml:space="preserve">The primary universal service provider must, within 10 business days of deciding that the circumstance in subparagraph 7(1)(a)(v) applies to the request, </w:t>
      </w:r>
      <w:r w:rsidR="00FE44DB">
        <w:rPr>
          <w:sz w:val="26"/>
          <w:szCs w:val="26"/>
        </w:rPr>
        <w:t xml:space="preserve">send </w:t>
      </w:r>
      <w:r>
        <w:rPr>
          <w:sz w:val="26"/>
          <w:szCs w:val="26"/>
        </w:rPr>
        <w:t>to the person making the request a statement in writing setting out:</w:t>
      </w:r>
    </w:p>
    <w:p w:rsidR="00EA452B" w:rsidRDefault="00EA452B" w:rsidP="00EA452B">
      <w:pPr>
        <w:ind w:left="1560" w:hanging="851"/>
        <w:rPr>
          <w:sz w:val="26"/>
          <w:szCs w:val="26"/>
        </w:rPr>
      </w:pPr>
    </w:p>
    <w:p w:rsidR="002C2BB3" w:rsidRDefault="00EA452B" w:rsidP="002C2BB3">
      <w:pPr>
        <w:pStyle w:val="ListParagraph"/>
        <w:numPr>
          <w:ilvl w:val="2"/>
          <w:numId w:val="14"/>
        </w:numPr>
        <w:ind w:hanging="317"/>
        <w:rPr>
          <w:sz w:val="26"/>
          <w:szCs w:val="26"/>
        </w:rPr>
      </w:pPr>
      <w:r>
        <w:rPr>
          <w:sz w:val="26"/>
          <w:szCs w:val="26"/>
          <w:lang w:val="en-US"/>
        </w:rPr>
        <w:t>the decision of the primary universal service provider that</w:t>
      </w:r>
      <w:r w:rsidRPr="00F05B53">
        <w:rPr>
          <w:sz w:val="26"/>
          <w:szCs w:val="26"/>
          <w:lang w:val="en-US"/>
        </w:rPr>
        <w:t xml:space="preserve"> the obligation to supply a standard </w:t>
      </w:r>
      <w:r>
        <w:rPr>
          <w:sz w:val="26"/>
          <w:szCs w:val="26"/>
          <w:lang w:val="en-US"/>
        </w:rPr>
        <w:t>telephone service does not apply to the request</w:t>
      </w:r>
      <w:r w:rsidRPr="00F05B53">
        <w:rPr>
          <w:sz w:val="26"/>
          <w:szCs w:val="26"/>
          <w:lang w:val="en-US"/>
        </w:rPr>
        <w:t>; and</w:t>
      </w:r>
    </w:p>
    <w:p w:rsidR="00EA452B" w:rsidRPr="009549F5" w:rsidRDefault="00EA452B" w:rsidP="00EA452B">
      <w:pPr>
        <w:pStyle w:val="ListParagraph"/>
        <w:ind w:left="2160"/>
        <w:rPr>
          <w:sz w:val="26"/>
          <w:szCs w:val="26"/>
        </w:rPr>
      </w:pPr>
    </w:p>
    <w:p w:rsidR="006926F4" w:rsidRDefault="00EA452B" w:rsidP="006926F4">
      <w:pPr>
        <w:pStyle w:val="ListParagraph"/>
        <w:numPr>
          <w:ilvl w:val="2"/>
          <w:numId w:val="14"/>
        </w:numPr>
        <w:ind w:hanging="317"/>
        <w:rPr>
          <w:sz w:val="26"/>
          <w:szCs w:val="26"/>
        </w:rPr>
      </w:pPr>
      <w:r w:rsidRPr="009549F5">
        <w:rPr>
          <w:sz w:val="26"/>
          <w:szCs w:val="26"/>
          <w:lang w:val="en-US"/>
        </w:rPr>
        <w:t>the reliance of the primary universal service provider in basing its decision not to supply a standard telephone service on</w:t>
      </w:r>
      <w:r w:rsidR="00292610" w:rsidRPr="00292610">
        <w:rPr>
          <w:sz w:val="26"/>
          <w:szCs w:val="26"/>
          <w:lang w:val="en-US"/>
        </w:rPr>
        <w:t xml:space="preserve"> </w:t>
      </w:r>
      <w:r w:rsidR="00292610">
        <w:rPr>
          <w:sz w:val="26"/>
          <w:szCs w:val="26"/>
          <w:lang w:val="en-US"/>
        </w:rPr>
        <w:t>i</w:t>
      </w:r>
      <w:r w:rsidR="00292610" w:rsidRPr="009549F5">
        <w:rPr>
          <w:sz w:val="26"/>
          <w:szCs w:val="26"/>
          <w:lang w:val="en-US"/>
        </w:rPr>
        <w:t xml:space="preserve">nformation provided by the </w:t>
      </w:r>
      <w:r w:rsidR="00FE44DB">
        <w:rPr>
          <w:sz w:val="26"/>
          <w:szCs w:val="26"/>
          <w:lang w:val="en-US"/>
        </w:rPr>
        <w:t>person making the request</w:t>
      </w:r>
      <w:r w:rsidR="00292610" w:rsidRPr="009549F5">
        <w:rPr>
          <w:sz w:val="26"/>
          <w:szCs w:val="26"/>
          <w:lang w:val="en-US"/>
        </w:rPr>
        <w:t xml:space="preserve"> to the primary universal service provider</w:t>
      </w:r>
      <w:r w:rsidR="00292610">
        <w:rPr>
          <w:sz w:val="26"/>
          <w:szCs w:val="26"/>
          <w:lang w:val="en-US"/>
        </w:rPr>
        <w:t>; and</w:t>
      </w:r>
      <w:r w:rsidR="00292610" w:rsidDel="00292610">
        <w:rPr>
          <w:sz w:val="26"/>
          <w:szCs w:val="26"/>
        </w:rPr>
        <w:t xml:space="preserve"> </w:t>
      </w:r>
    </w:p>
    <w:p w:rsidR="006926F4" w:rsidRDefault="006926F4" w:rsidP="006926F4">
      <w:pPr>
        <w:pStyle w:val="ListParagraph"/>
        <w:ind w:left="2160"/>
        <w:rPr>
          <w:sz w:val="26"/>
          <w:szCs w:val="26"/>
          <w:lang w:val="en-US"/>
        </w:rPr>
      </w:pPr>
    </w:p>
    <w:p w:rsidR="002C2BB3" w:rsidRDefault="00EA452B" w:rsidP="002C2BB3">
      <w:pPr>
        <w:pStyle w:val="ListParagraph"/>
        <w:numPr>
          <w:ilvl w:val="2"/>
          <w:numId w:val="14"/>
        </w:numPr>
        <w:ind w:hanging="317"/>
        <w:rPr>
          <w:sz w:val="26"/>
          <w:szCs w:val="26"/>
          <w:lang w:val="en-US"/>
        </w:rPr>
      </w:pPr>
      <w:r w:rsidRPr="009549F5">
        <w:rPr>
          <w:sz w:val="26"/>
          <w:szCs w:val="26"/>
          <w:lang w:val="en-US"/>
        </w:rPr>
        <w:lastRenderedPageBreak/>
        <w:t xml:space="preserve">the entitlement of the person making the request to dispute </w:t>
      </w:r>
      <w:r w:rsidR="00AB3535">
        <w:rPr>
          <w:sz w:val="26"/>
          <w:szCs w:val="26"/>
          <w:lang w:val="en-US"/>
        </w:rPr>
        <w:t xml:space="preserve">the decision not to supply a standard telephone service </w:t>
      </w:r>
      <w:r w:rsidRPr="009549F5">
        <w:rPr>
          <w:sz w:val="26"/>
          <w:szCs w:val="26"/>
          <w:lang w:val="en-US"/>
        </w:rPr>
        <w:t>by:</w:t>
      </w:r>
    </w:p>
    <w:p w:rsidR="002C2BB3" w:rsidRDefault="00EA452B" w:rsidP="002C2BB3">
      <w:pPr>
        <w:pStyle w:val="ListParagraph"/>
        <w:numPr>
          <w:ilvl w:val="0"/>
          <w:numId w:val="16"/>
        </w:numPr>
        <w:ind w:left="3119" w:hanging="567"/>
        <w:rPr>
          <w:sz w:val="26"/>
          <w:szCs w:val="26"/>
        </w:rPr>
      </w:pPr>
      <w:r w:rsidRPr="009549F5">
        <w:rPr>
          <w:sz w:val="26"/>
          <w:szCs w:val="26"/>
          <w:lang w:val="en-US"/>
        </w:rPr>
        <w:t>requesting</w:t>
      </w:r>
      <w:r w:rsidRPr="009549F5">
        <w:rPr>
          <w:spacing w:val="-3"/>
          <w:sz w:val="26"/>
          <w:szCs w:val="26"/>
          <w:lang w:val="en-US"/>
        </w:rPr>
        <w:t xml:space="preserve"> the primary universal service provider to reconsider whether the grounds referred to in paragraph (3</w:t>
      </w:r>
      <w:r>
        <w:rPr>
          <w:spacing w:val="-3"/>
          <w:sz w:val="26"/>
          <w:szCs w:val="26"/>
          <w:lang w:val="en-US"/>
        </w:rPr>
        <w:t>C</w:t>
      </w:r>
      <w:r w:rsidRPr="009549F5">
        <w:rPr>
          <w:spacing w:val="-3"/>
          <w:sz w:val="26"/>
          <w:szCs w:val="26"/>
          <w:lang w:val="en-US"/>
        </w:rPr>
        <w:t>)(b) exist or are a proper basis for the primary universal service provider to form the view that the obligation to supply a standard telephone service does not arise; or</w:t>
      </w:r>
    </w:p>
    <w:p w:rsidR="002C2BB3" w:rsidRDefault="00EA452B" w:rsidP="002C2BB3">
      <w:pPr>
        <w:pStyle w:val="ListParagraph"/>
        <w:numPr>
          <w:ilvl w:val="0"/>
          <w:numId w:val="16"/>
        </w:numPr>
        <w:ind w:left="3119" w:hanging="567"/>
        <w:rPr>
          <w:sz w:val="26"/>
          <w:szCs w:val="26"/>
        </w:rPr>
      </w:pPr>
      <w:r w:rsidRPr="009549F5">
        <w:rPr>
          <w:spacing w:val="-3"/>
          <w:sz w:val="26"/>
          <w:szCs w:val="26"/>
          <w:lang w:val="en-US"/>
        </w:rPr>
        <w:t xml:space="preserve">complaining to </w:t>
      </w:r>
      <w:r w:rsidRPr="009549F5">
        <w:rPr>
          <w:sz w:val="26"/>
          <w:szCs w:val="26"/>
          <w:lang w:val="en-US"/>
        </w:rPr>
        <w:t>the</w:t>
      </w:r>
      <w:r w:rsidRPr="009549F5">
        <w:rPr>
          <w:spacing w:val="-3"/>
          <w:sz w:val="26"/>
          <w:szCs w:val="26"/>
          <w:lang w:val="en-US"/>
        </w:rPr>
        <w:t xml:space="preserve"> Telecommunications Industry Ombudsman, following such a </w:t>
      </w:r>
      <w:r>
        <w:rPr>
          <w:spacing w:val="-3"/>
          <w:sz w:val="26"/>
          <w:szCs w:val="26"/>
          <w:lang w:val="en-US"/>
        </w:rPr>
        <w:t>request for reconsideration; and</w:t>
      </w:r>
    </w:p>
    <w:p w:rsidR="004B4EB3" w:rsidRDefault="00564D4C" w:rsidP="004B4EB3">
      <w:pPr>
        <w:pStyle w:val="schedulenote"/>
        <w:ind w:left="2552"/>
        <w:rPr>
          <w:sz w:val="20"/>
          <w:szCs w:val="20"/>
        </w:rPr>
      </w:pPr>
      <w:r>
        <w:rPr>
          <w:rStyle w:val="italictext0"/>
          <w:i/>
          <w:sz w:val="20"/>
          <w:szCs w:val="20"/>
        </w:rPr>
        <w:t>Note</w:t>
      </w:r>
      <w:r w:rsidRPr="00F8665D">
        <w:rPr>
          <w:sz w:val="20"/>
          <w:szCs w:val="20"/>
        </w:rPr>
        <w:t>: </w:t>
      </w:r>
      <w:r>
        <w:rPr>
          <w:sz w:val="20"/>
          <w:szCs w:val="20"/>
        </w:rPr>
        <w:t>The Telecommunications Industry Ombudsman will not investigate or facilitate the resolution of a complaint made following a request for reconsideration where</w:t>
      </w:r>
      <w:r w:rsidRPr="00564D4C">
        <w:rPr>
          <w:sz w:val="20"/>
          <w:szCs w:val="20"/>
        </w:rPr>
        <w:t xml:space="preserve"> </w:t>
      </w:r>
      <w:r>
        <w:rPr>
          <w:sz w:val="20"/>
          <w:szCs w:val="20"/>
        </w:rPr>
        <w:t>it determines that:</w:t>
      </w:r>
    </w:p>
    <w:p w:rsidR="004B4EB3" w:rsidRDefault="00564D4C" w:rsidP="004B4EB3">
      <w:pPr>
        <w:pStyle w:val="schedulenotenumbered"/>
        <w:ind w:left="3108" w:hanging="556"/>
        <w:rPr>
          <w:sz w:val="20"/>
          <w:szCs w:val="20"/>
        </w:rPr>
      </w:pPr>
      <w:r w:rsidRPr="00F8665D">
        <w:rPr>
          <w:sz w:val="20"/>
          <w:szCs w:val="20"/>
        </w:rPr>
        <w:t>(a)      </w:t>
      </w:r>
      <w:r>
        <w:rPr>
          <w:sz w:val="20"/>
          <w:szCs w:val="20"/>
        </w:rPr>
        <w:tab/>
        <w:t>the person making the request is not a person who may make a complaint to the Telecommunications Industry Ombudsman</w:t>
      </w:r>
      <w:r w:rsidRPr="00F8665D">
        <w:rPr>
          <w:sz w:val="20"/>
          <w:szCs w:val="20"/>
        </w:rPr>
        <w:t xml:space="preserve">; </w:t>
      </w:r>
      <w:r>
        <w:rPr>
          <w:sz w:val="20"/>
          <w:szCs w:val="20"/>
        </w:rPr>
        <w:t>or</w:t>
      </w:r>
    </w:p>
    <w:p w:rsidR="004B4EB3" w:rsidRDefault="00564D4C" w:rsidP="004B4EB3">
      <w:pPr>
        <w:pStyle w:val="schedulenotenumbered"/>
        <w:ind w:left="3108" w:hanging="556"/>
        <w:rPr>
          <w:sz w:val="20"/>
          <w:szCs w:val="20"/>
        </w:rPr>
      </w:pPr>
      <w:r w:rsidRPr="00F8665D">
        <w:rPr>
          <w:sz w:val="20"/>
          <w:szCs w:val="20"/>
        </w:rPr>
        <w:t>(b)      </w:t>
      </w:r>
      <w:r>
        <w:rPr>
          <w:sz w:val="20"/>
          <w:szCs w:val="20"/>
        </w:rPr>
        <w:tab/>
        <w:t>the Telecommunications Industry Ombudsman does not have the jurisdiction to investigate or facilitate the resolution of that complaint</w:t>
      </w:r>
      <w:r w:rsidRPr="00F8665D">
        <w:rPr>
          <w:sz w:val="20"/>
          <w:szCs w:val="20"/>
        </w:rPr>
        <w:t>.</w:t>
      </w:r>
    </w:p>
    <w:p w:rsidR="002C2BB3" w:rsidRDefault="00EA452B" w:rsidP="002C2BB3">
      <w:pPr>
        <w:pStyle w:val="ListParagraph"/>
        <w:numPr>
          <w:ilvl w:val="2"/>
          <w:numId w:val="14"/>
        </w:numPr>
        <w:ind w:hanging="317"/>
        <w:rPr>
          <w:sz w:val="26"/>
          <w:szCs w:val="26"/>
        </w:rPr>
      </w:pPr>
      <w:r>
        <w:rPr>
          <w:sz w:val="26"/>
          <w:szCs w:val="26"/>
        </w:rPr>
        <w:t>how the person making the request can contact the primary universal service provider and the Telecommunications Industry Ombudsman.</w:t>
      </w:r>
    </w:p>
    <w:p w:rsidR="001F0B0F" w:rsidRDefault="001F0B0F" w:rsidP="00836F58">
      <w:pPr>
        <w:rPr>
          <w:rFonts w:ascii="Arial" w:hAnsi="Arial" w:cs="Arial"/>
          <w:b/>
          <w:szCs w:val="24"/>
        </w:rPr>
      </w:pPr>
    </w:p>
    <w:p w:rsidR="0099162F" w:rsidRDefault="0099162F" w:rsidP="00836F58">
      <w:pPr>
        <w:rPr>
          <w:rFonts w:ascii="Arial" w:hAnsi="Arial" w:cs="Arial"/>
          <w:b/>
          <w:szCs w:val="24"/>
        </w:rPr>
      </w:pPr>
      <w:r w:rsidRPr="007D64AA">
        <w:rPr>
          <w:rFonts w:ascii="Arial" w:hAnsi="Arial" w:cs="Arial"/>
          <w:b/>
          <w:szCs w:val="24"/>
        </w:rPr>
        <w:t>[</w:t>
      </w:r>
      <w:r w:rsidR="00564D4C">
        <w:rPr>
          <w:rFonts w:ascii="Arial" w:hAnsi="Arial" w:cs="Arial"/>
          <w:b/>
          <w:szCs w:val="24"/>
        </w:rPr>
        <w:t>22</w:t>
      </w:r>
      <w:r w:rsidRPr="007D64AA">
        <w:rPr>
          <w:rFonts w:ascii="Arial" w:hAnsi="Arial" w:cs="Arial"/>
          <w:b/>
          <w:szCs w:val="24"/>
        </w:rPr>
        <w:t>]</w:t>
      </w:r>
      <w:r w:rsidRPr="007D64AA">
        <w:rPr>
          <w:rFonts w:ascii="Arial" w:hAnsi="Arial" w:cs="Arial"/>
          <w:b/>
          <w:szCs w:val="24"/>
        </w:rPr>
        <w:tab/>
      </w:r>
      <w:r>
        <w:rPr>
          <w:rFonts w:ascii="Arial" w:hAnsi="Arial" w:cs="Arial"/>
          <w:b/>
          <w:szCs w:val="24"/>
        </w:rPr>
        <w:t>P</w:t>
      </w:r>
      <w:r w:rsidRPr="007D64AA">
        <w:rPr>
          <w:rFonts w:ascii="Arial" w:hAnsi="Arial" w:cs="Arial"/>
          <w:b/>
          <w:szCs w:val="24"/>
        </w:rPr>
        <w:t xml:space="preserve">aragraph </w:t>
      </w:r>
      <w:r>
        <w:rPr>
          <w:rFonts w:ascii="Arial" w:hAnsi="Arial" w:cs="Arial"/>
          <w:b/>
          <w:szCs w:val="24"/>
        </w:rPr>
        <w:t>8</w:t>
      </w:r>
      <w:r w:rsidRPr="007D64AA">
        <w:rPr>
          <w:rFonts w:ascii="Arial" w:hAnsi="Arial" w:cs="Arial"/>
          <w:b/>
          <w:szCs w:val="24"/>
        </w:rPr>
        <w:t>(4)(</w:t>
      </w:r>
      <w:r>
        <w:rPr>
          <w:rFonts w:ascii="Arial" w:hAnsi="Arial" w:cs="Arial"/>
          <w:b/>
          <w:szCs w:val="24"/>
        </w:rPr>
        <w:t>a</w:t>
      </w:r>
      <w:r w:rsidRPr="007D64AA">
        <w:rPr>
          <w:rFonts w:ascii="Arial" w:hAnsi="Arial" w:cs="Arial"/>
          <w:b/>
          <w:szCs w:val="24"/>
        </w:rPr>
        <w:t xml:space="preserve">) </w:t>
      </w:r>
    </w:p>
    <w:p w:rsidR="0099162F" w:rsidRDefault="0099162F" w:rsidP="0099162F">
      <w:pPr>
        <w:rPr>
          <w:rFonts w:ascii="Arial" w:hAnsi="Arial" w:cs="Arial"/>
          <w:b/>
          <w:szCs w:val="24"/>
        </w:rPr>
      </w:pPr>
    </w:p>
    <w:p w:rsidR="0099162F" w:rsidRDefault="0099162F" w:rsidP="0099162F">
      <w:pPr>
        <w:ind w:left="720"/>
        <w:rPr>
          <w:rFonts w:ascii="Arial" w:hAnsi="Arial" w:cs="Arial"/>
          <w:b/>
          <w:szCs w:val="24"/>
        </w:rPr>
      </w:pPr>
      <w:r>
        <w:rPr>
          <w:sz w:val="26"/>
          <w:szCs w:val="26"/>
        </w:rPr>
        <w:t>Omit “does not arise”, substitute “does not arise for a period”.</w:t>
      </w:r>
    </w:p>
    <w:p w:rsidR="0099162F" w:rsidRDefault="0099162F" w:rsidP="0099162F">
      <w:pPr>
        <w:rPr>
          <w:rFonts w:ascii="Arial" w:hAnsi="Arial" w:cs="Arial"/>
          <w:b/>
          <w:szCs w:val="24"/>
        </w:rPr>
      </w:pPr>
    </w:p>
    <w:p w:rsidR="0099162F" w:rsidRDefault="0099162F" w:rsidP="0099162F">
      <w:pPr>
        <w:rPr>
          <w:rFonts w:ascii="Arial" w:hAnsi="Arial" w:cs="Arial"/>
          <w:b/>
          <w:szCs w:val="24"/>
        </w:rPr>
      </w:pPr>
      <w:r w:rsidRPr="007D64AA">
        <w:rPr>
          <w:rFonts w:ascii="Arial" w:hAnsi="Arial" w:cs="Arial"/>
          <w:b/>
          <w:szCs w:val="24"/>
        </w:rPr>
        <w:t>[</w:t>
      </w:r>
      <w:r w:rsidR="00564D4C">
        <w:rPr>
          <w:rFonts w:ascii="Arial" w:hAnsi="Arial" w:cs="Arial"/>
          <w:b/>
          <w:szCs w:val="24"/>
        </w:rPr>
        <w:t>23</w:t>
      </w:r>
      <w:r w:rsidRPr="007D64AA">
        <w:rPr>
          <w:rFonts w:ascii="Arial" w:hAnsi="Arial" w:cs="Arial"/>
          <w:b/>
          <w:szCs w:val="24"/>
        </w:rPr>
        <w:t>]</w:t>
      </w:r>
      <w:r w:rsidRPr="007D64AA">
        <w:rPr>
          <w:rFonts w:ascii="Arial" w:hAnsi="Arial" w:cs="Arial"/>
          <w:b/>
          <w:szCs w:val="24"/>
        </w:rPr>
        <w:tab/>
      </w:r>
      <w:r>
        <w:rPr>
          <w:rFonts w:ascii="Arial" w:hAnsi="Arial" w:cs="Arial"/>
          <w:b/>
          <w:szCs w:val="24"/>
        </w:rPr>
        <w:t>After p</w:t>
      </w:r>
      <w:r w:rsidRPr="007D64AA">
        <w:rPr>
          <w:rFonts w:ascii="Arial" w:hAnsi="Arial" w:cs="Arial"/>
          <w:b/>
          <w:szCs w:val="24"/>
        </w:rPr>
        <w:t xml:space="preserve">aragraph </w:t>
      </w:r>
      <w:r>
        <w:rPr>
          <w:rFonts w:ascii="Arial" w:hAnsi="Arial" w:cs="Arial"/>
          <w:b/>
          <w:szCs w:val="24"/>
        </w:rPr>
        <w:t>8</w:t>
      </w:r>
      <w:r w:rsidRPr="007D64AA">
        <w:rPr>
          <w:rFonts w:ascii="Arial" w:hAnsi="Arial" w:cs="Arial"/>
          <w:b/>
          <w:szCs w:val="24"/>
        </w:rPr>
        <w:t>(4)(</w:t>
      </w:r>
      <w:r>
        <w:rPr>
          <w:rFonts w:ascii="Arial" w:hAnsi="Arial" w:cs="Arial"/>
          <w:b/>
          <w:szCs w:val="24"/>
        </w:rPr>
        <w:t>b</w:t>
      </w:r>
      <w:r w:rsidRPr="007D64AA">
        <w:rPr>
          <w:rFonts w:ascii="Arial" w:hAnsi="Arial" w:cs="Arial"/>
          <w:b/>
          <w:szCs w:val="24"/>
        </w:rPr>
        <w:t xml:space="preserve">) </w:t>
      </w:r>
    </w:p>
    <w:p w:rsidR="0099162F" w:rsidRDefault="0099162F" w:rsidP="0099162F">
      <w:pPr>
        <w:ind w:left="1560" w:hanging="840"/>
        <w:rPr>
          <w:sz w:val="26"/>
          <w:szCs w:val="26"/>
        </w:rPr>
      </w:pPr>
    </w:p>
    <w:p w:rsidR="0099162F" w:rsidRDefault="0099162F" w:rsidP="0099162F">
      <w:pPr>
        <w:ind w:left="720"/>
        <w:rPr>
          <w:sz w:val="26"/>
          <w:szCs w:val="26"/>
        </w:rPr>
      </w:pPr>
      <w:r>
        <w:rPr>
          <w:sz w:val="26"/>
          <w:szCs w:val="26"/>
        </w:rPr>
        <w:t>Insert:</w:t>
      </w:r>
    </w:p>
    <w:p w:rsidR="0099162F" w:rsidRDefault="0099162F" w:rsidP="0099162F">
      <w:pPr>
        <w:ind w:left="720"/>
        <w:rPr>
          <w:sz w:val="26"/>
          <w:szCs w:val="26"/>
        </w:rPr>
      </w:pPr>
    </w:p>
    <w:p w:rsidR="0099162F" w:rsidRPr="00CC0653" w:rsidRDefault="0099162F" w:rsidP="0099162F">
      <w:pPr>
        <w:ind w:left="1843" w:hanging="566"/>
        <w:rPr>
          <w:sz w:val="26"/>
          <w:szCs w:val="26"/>
        </w:rPr>
      </w:pPr>
      <w:r>
        <w:rPr>
          <w:sz w:val="26"/>
          <w:szCs w:val="26"/>
        </w:rPr>
        <w:t>(ba)</w:t>
      </w:r>
      <w:r>
        <w:rPr>
          <w:sz w:val="26"/>
          <w:szCs w:val="26"/>
        </w:rPr>
        <w:tab/>
      </w:r>
      <w:r w:rsidRPr="00CC0653">
        <w:rPr>
          <w:sz w:val="26"/>
          <w:szCs w:val="26"/>
        </w:rPr>
        <w:t>if practicable, an estimate by the primary universal service provider of the period of time for which that circumstance, or each of those circum</w:t>
      </w:r>
      <w:r>
        <w:rPr>
          <w:sz w:val="26"/>
          <w:szCs w:val="26"/>
        </w:rPr>
        <w:t>stances, applies to the request; and</w:t>
      </w:r>
    </w:p>
    <w:p w:rsidR="0099162F" w:rsidRDefault="0099162F" w:rsidP="0099162F">
      <w:pPr>
        <w:rPr>
          <w:sz w:val="26"/>
          <w:szCs w:val="26"/>
        </w:rPr>
      </w:pPr>
    </w:p>
    <w:p w:rsidR="00836F58" w:rsidRDefault="00836F58" w:rsidP="00836F58">
      <w:pPr>
        <w:rPr>
          <w:rFonts w:ascii="Arial" w:hAnsi="Arial" w:cs="Arial"/>
          <w:b/>
          <w:szCs w:val="24"/>
        </w:rPr>
      </w:pPr>
      <w:r>
        <w:rPr>
          <w:rFonts w:ascii="Arial" w:hAnsi="Arial" w:cs="Arial"/>
          <w:b/>
          <w:szCs w:val="24"/>
        </w:rPr>
        <w:t>[</w:t>
      </w:r>
      <w:r w:rsidR="00564D4C">
        <w:rPr>
          <w:rFonts w:ascii="Arial" w:hAnsi="Arial" w:cs="Arial"/>
          <w:b/>
          <w:szCs w:val="24"/>
        </w:rPr>
        <w:t>24</w:t>
      </w:r>
      <w:r>
        <w:rPr>
          <w:rFonts w:ascii="Arial" w:hAnsi="Arial" w:cs="Arial"/>
          <w:b/>
          <w:szCs w:val="24"/>
        </w:rPr>
        <w:t>]</w:t>
      </w:r>
      <w:r>
        <w:rPr>
          <w:rFonts w:ascii="Arial" w:hAnsi="Arial" w:cs="Arial"/>
          <w:b/>
          <w:szCs w:val="24"/>
        </w:rPr>
        <w:tab/>
        <w:t>Subparagraph 8(4</w:t>
      </w:r>
      <w:r w:rsidR="00785CDC">
        <w:rPr>
          <w:rFonts w:ascii="Arial" w:hAnsi="Arial" w:cs="Arial"/>
          <w:b/>
          <w:szCs w:val="24"/>
        </w:rPr>
        <w:t>)</w:t>
      </w:r>
      <w:r>
        <w:rPr>
          <w:rFonts w:ascii="Arial" w:hAnsi="Arial" w:cs="Arial"/>
          <w:b/>
          <w:szCs w:val="24"/>
        </w:rPr>
        <w:t>(c)(ii)</w:t>
      </w:r>
    </w:p>
    <w:p w:rsidR="00836F58" w:rsidRDefault="00836F58" w:rsidP="00836F58"/>
    <w:p w:rsidR="004B4EB3" w:rsidRDefault="00564D4C" w:rsidP="004B4EB3">
      <w:pPr>
        <w:ind w:left="720"/>
        <w:rPr>
          <w:sz w:val="26"/>
          <w:szCs w:val="26"/>
        </w:rPr>
      </w:pPr>
      <w:r>
        <w:rPr>
          <w:sz w:val="26"/>
          <w:szCs w:val="26"/>
        </w:rPr>
        <w:t>Insert:</w:t>
      </w:r>
    </w:p>
    <w:p w:rsidR="00564D4C" w:rsidRPr="00F8665D" w:rsidRDefault="00564D4C" w:rsidP="00564D4C">
      <w:pPr>
        <w:pStyle w:val="schedulenote"/>
        <w:ind w:left="720"/>
        <w:rPr>
          <w:sz w:val="20"/>
          <w:szCs w:val="20"/>
        </w:rPr>
      </w:pPr>
      <w:r>
        <w:rPr>
          <w:rStyle w:val="italictext0"/>
          <w:i/>
          <w:sz w:val="20"/>
          <w:szCs w:val="20"/>
        </w:rPr>
        <w:t>Note</w:t>
      </w:r>
      <w:r w:rsidRPr="00F8665D">
        <w:rPr>
          <w:sz w:val="20"/>
          <w:szCs w:val="20"/>
        </w:rPr>
        <w:t>: </w:t>
      </w:r>
      <w:r>
        <w:rPr>
          <w:sz w:val="20"/>
          <w:szCs w:val="20"/>
        </w:rPr>
        <w:t>The Telecommunications Industry Ombudsman will not investigate or facilitate the resolution of a complaint made following a request for reconsideration where</w:t>
      </w:r>
      <w:r w:rsidRPr="00564D4C">
        <w:rPr>
          <w:sz w:val="20"/>
          <w:szCs w:val="20"/>
        </w:rPr>
        <w:t xml:space="preserve"> </w:t>
      </w:r>
      <w:r>
        <w:rPr>
          <w:sz w:val="20"/>
          <w:szCs w:val="20"/>
        </w:rPr>
        <w:t>it determines that:</w:t>
      </w:r>
    </w:p>
    <w:p w:rsidR="00564D4C" w:rsidRPr="00F8665D" w:rsidRDefault="00564D4C" w:rsidP="00564D4C">
      <w:pPr>
        <w:pStyle w:val="schedulenotenumbered"/>
        <w:ind w:left="1276" w:hanging="556"/>
        <w:rPr>
          <w:sz w:val="20"/>
          <w:szCs w:val="20"/>
        </w:rPr>
      </w:pPr>
      <w:r w:rsidRPr="00F8665D">
        <w:rPr>
          <w:sz w:val="20"/>
          <w:szCs w:val="20"/>
        </w:rPr>
        <w:t>(a)      </w:t>
      </w:r>
      <w:r>
        <w:rPr>
          <w:sz w:val="20"/>
          <w:szCs w:val="20"/>
        </w:rPr>
        <w:tab/>
        <w:t>the person making the request is not a person who may make a complaint to the Telecommunications Industry Ombudsman</w:t>
      </w:r>
      <w:r w:rsidRPr="00F8665D">
        <w:rPr>
          <w:sz w:val="20"/>
          <w:szCs w:val="20"/>
        </w:rPr>
        <w:t xml:space="preserve">; </w:t>
      </w:r>
      <w:r>
        <w:rPr>
          <w:sz w:val="20"/>
          <w:szCs w:val="20"/>
        </w:rPr>
        <w:t>or</w:t>
      </w:r>
    </w:p>
    <w:p w:rsidR="00564D4C" w:rsidRPr="00F8665D" w:rsidRDefault="00564D4C" w:rsidP="00564D4C">
      <w:pPr>
        <w:pStyle w:val="schedulenotenumbered"/>
        <w:ind w:left="1276" w:hanging="556"/>
        <w:rPr>
          <w:sz w:val="20"/>
          <w:szCs w:val="20"/>
        </w:rPr>
      </w:pPr>
      <w:r w:rsidRPr="00F8665D">
        <w:rPr>
          <w:sz w:val="20"/>
          <w:szCs w:val="20"/>
        </w:rPr>
        <w:t>(b)      </w:t>
      </w:r>
      <w:r>
        <w:rPr>
          <w:sz w:val="20"/>
          <w:szCs w:val="20"/>
        </w:rPr>
        <w:tab/>
        <w:t>the Telecommunications Industry Ombudsman does not have the jurisdiction to investigate or facilitate the resolution of that complaint</w:t>
      </w:r>
      <w:r w:rsidRPr="00F8665D">
        <w:rPr>
          <w:sz w:val="20"/>
          <w:szCs w:val="20"/>
        </w:rPr>
        <w:t>.</w:t>
      </w:r>
    </w:p>
    <w:p w:rsidR="00836F58" w:rsidRDefault="00836F58" w:rsidP="00836F58">
      <w:pPr>
        <w:ind w:left="720"/>
      </w:pPr>
    </w:p>
    <w:p w:rsidR="00836F58" w:rsidRDefault="00836F58" w:rsidP="0099162F">
      <w:pPr>
        <w:rPr>
          <w:rFonts w:ascii="Arial" w:hAnsi="Arial" w:cs="Arial"/>
          <w:b/>
          <w:szCs w:val="24"/>
        </w:rPr>
      </w:pPr>
    </w:p>
    <w:p w:rsidR="0099162F" w:rsidRDefault="0099162F" w:rsidP="0099162F">
      <w:pPr>
        <w:rPr>
          <w:rFonts w:ascii="Arial" w:hAnsi="Arial" w:cs="Arial"/>
          <w:b/>
          <w:szCs w:val="24"/>
        </w:rPr>
      </w:pPr>
      <w:r w:rsidRPr="007D64AA">
        <w:rPr>
          <w:rFonts w:ascii="Arial" w:hAnsi="Arial" w:cs="Arial"/>
          <w:b/>
          <w:szCs w:val="24"/>
        </w:rPr>
        <w:t>[</w:t>
      </w:r>
      <w:r w:rsidR="00564D4C">
        <w:rPr>
          <w:rFonts w:ascii="Arial" w:hAnsi="Arial" w:cs="Arial"/>
          <w:b/>
          <w:szCs w:val="24"/>
        </w:rPr>
        <w:t>25</w:t>
      </w:r>
      <w:r w:rsidR="007A736C">
        <w:rPr>
          <w:rFonts w:ascii="Arial" w:hAnsi="Arial" w:cs="Arial"/>
          <w:b/>
          <w:szCs w:val="24"/>
        </w:rPr>
        <w:t>]</w:t>
      </w:r>
      <w:r w:rsidR="007A736C">
        <w:rPr>
          <w:rFonts w:ascii="Arial" w:hAnsi="Arial" w:cs="Arial"/>
          <w:b/>
          <w:szCs w:val="24"/>
        </w:rPr>
        <w:tab/>
        <w:t xml:space="preserve"> </w:t>
      </w:r>
      <w:r>
        <w:rPr>
          <w:rFonts w:ascii="Arial" w:hAnsi="Arial" w:cs="Arial"/>
          <w:b/>
          <w:szCs w:val="24"/>
        </w:rPr>
        <w:t>After subsection</w:t>
      </w:r>
      <w:r w:rsidRPr="007D64AA">
        <w:rPr>
          <w:rFonts w:ascii="Arial" w:hAnsi="Arial" w:cs="Arial"/>
          <w:b/>
          <w:szCs w:val="24"/>
        </w:rPr>
        <w:t xml:space="preserve"> </w:t>
      </w:r>
      <w:r>
        <w:rPr>
          <w:rFonts w:ascii="Arial" w:hAnsi="Arial" w:cs="Arial"/>
          <w:b/>
          <w:szCs w:val="24"/>
        </w:rPr>
        <w:t>8</w:t>
      </w:r>
      <w:r w:rsidRPr="007D64AA">
        <w:rPr>
          <w:rFonts w:ascii="Arial" w:hAnsi="Arial" w:cs="Arial"/>
          <w:b/>
          <w:szCs w:val="24"/>
        </w:rPr>
        <w:t>(4)</w:t>
      </w:r>
      <w:r>
        <w:rPr>
          <w:rFonts w:ascii="Arial" w:hAnsi="Arial" w:cs="Arial"/>
          <w:b/>
          <w:szCs w:val="24"/>
        </w:rPr>
        <w:t xml:space="preserve"> </w:t>
      </w:r>
    </w:p>
    <w:p w:rsidR="0099162F" w:rsidRDefault="0099162F" w:rsidP="0099162F">
      <w:pPr>
        <w:ind w:left="1276" w:hanging="556"/>
        <w:rPr>
          <w:sz w:val="26"/>
          <w:szCs w:val="26"/>
        </w:rPr>
      </w:pPr>
    </w:p>
    <w:p w:rsidR="0099162F" w:rsidRDefault="0099162F" w:rsidP="0099162F">
      <w:pPr>
        <w:ind w:left="720"/>
        <w:rPr>
          <w:sz w:val="26"/>
          <w:szCs w:val="26"/>
        </w:rPr>
      </w:pPr>
      <w:r>
        <w:rPr>
          <w:sz w:val="26"/>
          <w:szCs w:val="26"/>
        </w:rPr>
        <w:t>Insert:</w:t>
      </w:r>
    </w:p>
    <w:p w:rsidR="0099162F" w:rsidRDefault="0099162F" w:rsidP="0099162F">
      <w:pPr>
        <w:ind w:left="1276" w:hanging="556"/>
        <w:rPr>
          <w:sz w:val="26"/>
          <w:szCs w:val="26"/>
        </w:rPr>
      </w:pPr>
    </w:p>
    <w:p w:rsidR="00BE4853" w:rsidRDefault="0099162F" w:rsidP="00A67433">
      <w:pPr>
        <w:ind w:left="1276" w:hanging="556"/>
        <w:rPr>
          <w:sz w:val="26"/>
          <w:szCs w:val="26"/>
        </w:rPr>
      </w:pPr>
      <w:r>
        <w:rPr>
          <w:sz w:val="26"/>
          <w:szCs w:val="26"/>
        </w:rPr>
        <w:t>(5)</w:t>
      </w:r>
      <w:r>
        <w:rPr>
          <w:sz w:val="26"/>
          <w:szCs w:val="26"/>
        </w:rPr>
        <w:tab/>
        <w:t>In estimating, for the purposes of paragraph (4)(ba), the period of time for which the circumstance, or each of the circumstances, applies to the request, the primary universal service provider must have regard to</w:t>
      </w:r>
      <w:r w:rsidR="00BE4853">
        <w:rPr>
          <w:sz w:val="26"/>
          <w:szCs w:val="26"/>
        </w:rPr>
        <w:t>:</w:t>
      </w:r>
    </w:p>
    <w:p w:rsidR="00BE4853" w:rsidRDefault="00BE4853" w:rsidP="00A67433">
      <w:pPr>
        <w:ind w:left="1276" w:hanging="556"/>
        <w:rPr>
          <w:sz w:val="26"/>
          <w:szCs w:val="26"/>
        </w:rPr>
      </w:pPr>
    </w:p>
    <w:p w:rsidR="002C2BB3" w:rsidRDefault="00CA6813" w:rsidP="002C2BB3">
      <w:pPr>
        <w:pStyle w:val="ListParagraph"/>
        <w:numPr>
          <w:ilvl w:val="0"/>
          <w:numId w:val="9"/>
        </w:numPr>
        <w:ind w:left="1985" w:hanging="709"/>
        <w:rPr>
          <w:sz w:val="26"/>
          <w:szCs w:val="26"/>
        </w:rPr>
      </w:pPr>
      <w:r w:rsidRPr="00CA6813">
        <w:rPr>
          <w:sz w:val="26"/>
          <w:szCs w:val="26"/>
        </w:rPr>
        <w:t xml:space="preserve">the effect, on the ability of the provider to comply with the obligation to supply a standard telephone service on request under </w:t>
      </w:r>
      <w:r w:rsidR="00AB3535">
        <w:rPr>
          <w:sz w:val="26"/>
          <w:szCs w:val="26"/>
        </w:rPr>
        <w:t>paragraph</w:t>
      </w:r>
      <w:r w:rsidR="00AB3535" w:rsidRPr="00CA6813">
        <w:rPr>
          <w:sz w:val="26"/>
          <w:szCs w:val="26"/>
        </w:rPr>
        <w:t> </w:t>
      </w:r>
      <w:r w:rsidRPr="00CA6813">
        <w:rPr>
          <w:sz w:val="26"/>
          <w:szCs w:val="26"/>
        </w:rPr>
        <w:t>9(1)(a) or</w:t>
      </w:r>
      <w:r w:rsidR="00AB3535">
        <w:rPr>
          <w:sz w:val="26"/>
          <w:szCs w:val="26"/>
        </w:rPr>
        <w:t xml:space="preserve"> subsection</w:t>
      </w:r>
      <w:r w:rsidRPr="00CA6813">
        <w:rPr>
          <w:sz w:val="26"/>
          <w:szCs w:val="26"/>
        </w:rPr>
        <w:t xml:space="preserve"> 9(2) of the Act, of the grounds identified by the provider in paragraph (4)(b) on which it has based its judgment that the circumstance, or each of the circumstances</w:t>
      </w:r>
      <w:r w:rsidR="00AB3535">
        <w:rPr>
          <w:sz w:val="26"/>
          <w:szCs w:val="26"/>
        </w:rPr>
        <w:t>,</w:t>
      </w:r>
      <w:r w:rsidRPr="00CA6813">
        <w:rPr>
          <w:sz w:val="26"/>
          <w:szCs w:val="26"/>
        </w:rPr>
        <w:t xml:space="preserve"> applies to the </w:t>
      </w:r>
      <w:r w:rsidR="00BE4853">
        <w:rPr>
          <w:sz w:val="26"/>
          <w:szCs w:val="26"/>
        </w:rPr>
        <w:t>request</w:t>
      </w:r>
      <w:r w:rsidR="00D60B8E">
        <w:rPr>
          <w:sz w:val="26"/>
          <w:szCs w:val="26"/>
        </w:rPr>
        <w:t>;</w:t>
      </w:r>
      <w:r w:rsidR="00BE4853">
        <w:rPr>
          <w:sz w:val="26"/>
          <w:szCs w:val="26"/>
        </w:rPr>
        <w:t xml:space="preserve"> </w:t>
      </w:r>
      <w:r w:rsidR="00BE4853" w:rsidRPr="00104F31">
        <w:rPr>
          <w:sz w:val="26"/>
          <w:szCs w:val="26"/>
        </w:rPr>
        <w:t>and</w:t>
      </w:r>
    </w:p>
    <w:p w:rsidR="002C2BB3" w:rsidRDefault="002C2BB3" w:rsidP="002C2BB3">
      <w:pPr>
        <w:pStyle w:val="ListParagraph"/>
        <w:ind w:left="1985"/>
        <w:rPr>
          <w:sz w:val="26"/>
          <w:szCs w:val="26"/>
        </w:rPr>
      </w:pPr>
    </w:p>
    <w:p w:rsidR="002C2BB3" w:rsidRDefault="00CA6813" w:rsidP="002C2BB3">
      <w:pPr>
        <w:pStyle w:val="ListParagraph"/>
        <w:numPr>
          <w:ilvl w:val="0"/>
          <w:numId w:val="9"/>
        </w:numPr>
        <w:ind w:left="1985" w:hanging="709"/>
        <w:rPr>
          <w:sz w:val="26"/>
          <w:szCs w:val="26"/>
        </w:rPr>
      </w:pPr>
      <w:r w:rsidRPr="00104F31">
        <w:rPr>
          <w:sz w:val="26"/>
          <w:szCs w:val="26"/>
        </w:rPr>
        <w:t>to the extent practicable</w:t>
      </w:r>
      <w:r w:rsidR="00BE4853" w:rsidRPr="00104F31">
        <w:rPr>
          <w:sz w:val="26"/>
          <w:szCs w:val="26"/>
        </w:rPr>
        <w:t>,</w:t>
      </w:r>
      <w:r w:rsidR="00BE4853">
        <w:rPr>
          <w:sz w:val="26"/>
          <w:szCs w:val="26"/>
        </w:rPr>
        <w:t xml:space="preserve"> the resources that the provider would have to commit, proportionate to that effect, to:</w:t>
      </w:r>
    </w:p>
    <w:p w:rsidR="002C2BB3" w:rsidRDefault="00BE4853" w:rsidP="002C2BB3">
      <w:pPr>
        <w:pStyle w:val="ListParagraph"/>
        <w:numPr>
          <w:ilvl w:val="3"/>
          <w:numId w:val="8"/>
        </w:numPr>
        <w:ind w:left="2410" w:hanging="425"/>
        <w:rPr>
          <w:sz w:val="26"/>
          <w:szCs w:val="26"/>
        </w:rPr>
      </w:pPr>
      <w:r>
        <w:rPr>
          <w:sz w:val="26"/>
          <w:szCs w:val="26"/>
        </w:rPr>
        <w:t>mitigate the consequences of those grounds; and</w:t>
      </w:r>
    </w:p>
    <w:p w:rsidR="002C2BB3" w:rsidRDefault="00BE4853" w:rsidP="002C2BB3">
      <w:pPr>
        <w:pStyle w:val="ListParagraph"/>
        <w:numPr>
          <w:ilvl w:val="3"/>
          <w:numId w:val="8"/>
        </w:numPr>
        <w:ind w:left="2410" w:hanging="425"/>
        <w:rPr>
          <w:sz w:val="26"/>
          <w:szCs w:val="26"/>
        </w:rPr>
      </w:pPr>
      <w:r>
        <w:rPr>
          <w:sz w:val="26"/>
          <w:szCs w:val="26"/>
        </w:rPr>
        <w:t>minimise the duration of those grounds.</w:t>
      </w:r>
    </w:p>
    <w:p w:rsidR="0099162F" w:rsidRDefault="0099162F" w:rsidP="0099162F">
      <w:pPr>
        <w:rPr>
          <w:sz w:val="26"/>
          <w:szCs w:val="26"/>
        </w:rPr>
      </w:pPr>
    </w:p>
    <w:p w:rsidR="00DE08F0" w:rsidRDefault="00DE08F0" w:rsidP="001F0B0F">
      <w:pPr>
        <w:ind w:left="1134" w:hanging="425"/>
        <w:rPr>
          <w:sz w:val="26"/>
          <w:szCs w:val="26"/>
        </w:rPr>
      </w:pPr>
    </w:p>
    <w:sectPr w:rsidR="00DE08F0" w:rsidSect="00373E8F">
      <w:headerReference w:type="even" r:id="rId8"/>
      <w:footerReference w:type="default" r:id="rId9"/>
      <w:headerReference w:type="first" r:id="rId10"/>
      <w:pgSz w:w="11906" w:h="16838"/>
      <w:pgMar w:top="1440" w:right="1440" w:bottom="144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810" w:rsidRDefault="00536810" w:rsidP="00A45485">
      <w:r>
        <w:separator/>
      </w:r>
    </w:p>
  </w:endnote>
  <w:endnote w:type="continuationSeparator" w:id="0">
    <w:p w:rsidR="00536810" w:rsidRDefault="00536810" w:rsidP="00A45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3837"/>
      <w:docPartObj>
        <w:docPartGallery w:val="Page Numbers (Bottom of Page)"/>
        <w:docPartUnique/>
      </w:docPartObj>
    </w:sdtPr>
    <w:sdtContent>
      <w:p w:rsidR="00536810" w:rsidRDefault="00334A08">
        <w:pPr>
          <w:pStyle w:val="Footer"/>
          <w:jc w:val="center"/>
        </w:pPr>
        <w:fldSimple w:instr=" PAGE   \* MERGEFORMAT ">
          <w:r w:rsidR="00B80A4D">
            <w:rPr>
              <w:noProof/>
            </w:rPr>
            <w:t>2</w:t>
          </w:r>
        </w:fldSimple>
      </w:p>
    </w:sdtContent>
  </w:sdt>
  <w:p w:rsidR="00536810" w:rsidRPr="006E005A" w:rsidRDefault="00536810">
    <w:pPr>
      <w:pStyle w:val="Foo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810" w:rsidRDefault="00536810" w:rsidP="00A45485">
      <w:r>
        <w:separator/>
      </w:r>
    </w:p>
  </w:footnote>
  <w:footnote w:type="continuationSeparator" w:id="0">
    <w:p w:rsidR="00536810" w:rsidRDefault="00536810" w:rsidP="00A45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10" w:rsidRDefault="00334A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508903" o:spid="_x0000_s66562" type="#_x0000_t136" style="position:absolute;margin-left:0;margin-top:0;width:455.6pt;height:182.2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10" w:rsidRDefault="00334A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508902" o:spid="_x0000_s66561" type="#_x0000_t136" style="position:absolute;margin-left:0;margin-top:0;width:455.6pt;height:182.2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D1883"/>
    <w:multiLevelType w:val="multilevel"/>
    <w:tmpl w:val="9DE613D2"/>
    <w:numStyleLink w:val="Style1"/>
  </w:abstractNum>
  <w:abstractNum w:abstractNumId="1">
    <w:nsid w:val="06CC738B"/>
    <w:multiLevelType w:val="multilevel"/>
    <w:tmpl w:val="9DE613D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1440" w:hanging="360"/>
      </w:pPr>
      <w:rPr>
        <w:rFonts w:cs="Times New Roman" w:hint="default"/>
      </w:rPr>
    </w:lvl>
    <w:lvl w:ilvl="2">
      <w:start w:val="1"/>
      <w:numFmt w:val="lowerLetter"/>
      <w:lvlText w:val="(%3)"/>
      <w:lvlJc w:val="right"/>
      <w:pPr>
        <w:ind w:left="2160" w:hanging="180"/>
      </w:pPr>
      <w:rPr>
        <w:rFonts w:cs="Times New Roman" w:hint="default"/>
      </w:rPr>
    </w:lvl>
    <w:lvl w:ilvl="3">
      <w:start w:val="1"/>
      <w:numFmt w:val="lowerRoman"/>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nsid w:val="10B17CE5"/>
    <w:multiLevelType w:val="hybridMultilevel"/>
    <w:tmpl w:val="ECEC999E"/>
    <w:lvl w:ilvl="0" w:tplc="DEB69FFA">
      <w:start w:val="1"/>
      <w:numFmt w:val="lowerRoman"/>
      <w:lvlText w:val="(%1)"/>
      <w:lvlJc w:val="left"/>
      <w:pPr>
        <w:ind w:left="2912" w:hanging="360"/>
      </w:pPr>
      <w:rPr>
        <w:rFonts w:ascii="Times New Roman" w:eastAsia="Times New Roman" w:hAnsi="Times New Roman" w:cs="Times New Roman"/>
      </w:rPr>
    </w:lvl>
    <w:lvl w:ilvl="1" w:tplc="0C090019">
      <w:start w:val="1"/>
      <w:numFmt w:val="lowerLetter"/>
      <w:lvlText w:val="%2."/>
      <w:lvlJc w:val="left"/>
      <w:pPr>
        <w:ind w:left="3632" w:hanging="360"/>
      </w:pPr>
    </w:lvl>
    <w:lvl w:ilvl="2" w:tplc="0C09001B">
      <w:start w:val="1"/>
      <w:numFmt w:val="lowerRoman"/>
      <w:lvlText w:val="%3."/>
      <w:lvlJc w:val="right"/>
      <w:pPr>
        <w:ind w:left="4352" w:hanging="180"/>
      </w:pPr>
    </w:lvl>
    <w:lvl w:ilvl="3" w:tplc="0C09000F">
      <w:start w:val="1"/>
      <w:numFmt w:val="decimal"/>
      <w:lvlText w:val="%4."/>
      <w:lvlJc w:val="left"/>
      <w:pPr>
        <w:ind w:left="5072" w:hanging="360"/>
      </w:pPr>
    </w:lvl>
    <w:lvl w:ilvl="4" w:tplc="0C090019" w:tentative="1">
      <w:start w:val="1"/>
      <w:numFmt w:val="lowerLetter"/>
      <w:lvlText w:val="%5."/>
      <w:lvlJc w:val="left"/>
      <w:pPr>
        <w:ind w:left="5792" w:hanging="360"/>
      </w:pPr>
    </w:lvl>
    <w:lvl w:ilvl="5" w:tplc="0C09001B" w:tentative="1">
      <w:start w:val="1"/>
      <w:numFmt w:val="lowerRoman"/>
      <w:lvlText w:val="%6."/>
      <w:lvlJc w:val="right"/>
      <w:pPr>
        <w:ind w:left="6512" w:hanging="180"/>
      </w:pPr>
    </w:lvl>
    <w:lvl w:ilvl="6" w:tplc="0C09000F" w:tentative="1">
      <w:start w:val="1"/>
      <w:numFmt w:val="decimal"/>
      <w:lvlText w:val="%7."/>
      <w:lvlJc w:val="left"/>
      <w:pPr>
        <w:ind w:left="7232" w:hanging="360"/>
      </w:pPr>
    </w:lvl>
    <w:lvl w:ilvl="7" w:tplc="0C090019" w:tentative="1">
      <w:start w:val="1"/>
      <w:numFmt w:val="lowerLetter"/>
      <w:lvlText w:val="%8."/>
      <w:lvlJc w:val="left"/>
      <w:pPr>
        <w:ind w:left="7952" w:hanging="360"/>
      </w:pPr>
    </w:lvl>
    <w:lvl w:ilvl="8" w:tplc="0C09001B" w:tentative="1">
      <w:start w:val="1"/>
      <w:numFmt w:val="lowerRoman"/>
      <w:lvlText w:val="%9."/>
      <w:lvlJc w:val="right"/>
      <w:pPr>
        <w:ind w:left="8672" w:hanging="180"/>
      </w:pPr>
    </w:lvl>
  </w:abstractNum>
  <w:abstractNum w:abstractNumId="3">
    <w:nsid w:val="1B9A0E7E"/>
    <w:multiLevelType w:val="multilevel"/>
    <w:tmpl w:val="43AEB8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F2F128A"/>
    <w:multiLevelType w:val="multilevel"/>
    <w:tmpl w:val="9DE613D2"/>
    <w:styleLink w:val="Style1"/>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1440" w:hanging="360"/>
      </w:pPr>
      <w:rPr>
        <w:rFonts w:cs="Times New Roman" w:hint="default"/>
      </w:rPr>
    </w:lvl>
    <w:lvl w:ilvl="2">
      <w:start w:val="1"/>
      <w:numFmt w:val="lowerLetter"/>
      <w:lvlText w:val="(%3)"/>
      <w:lvlJc w:val="right"/>
      <w:pPr>
        <w:ind w:left="2160" w:hanging="180"/>
      </w:pPr>
      <w:rPr>
        <w:rFonts w:cs="Times New Roman" w:hint="default"/>
      </w:rPr>
    </w:lvl>
    <w:lvl w:ilvl="3">
      <w:start w:val="1"/>
      <w:numFmt w:val="lowerRoman"/>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nsid w:val="23467AA6"/>
    <w:multiLevelType w:val="hybridMultilevel"/>
    <w:tmpl w:val="ECEC999E"/>
    <w:lvl w:ilvl="0" w:tplc="DEB69FFA">
      <w:start w:val="1"/>
      <w:numFmt w:val="lowerRoman"/>
      <w:lvlText w:val="(%1)"/>
      <w:lvlJc w:val="left"/>
      <w:pPr>
        <w:ind w:left="2912" w:hanging="360"/>
      </w:pPr>
      <w:rPr>
        <w:rFonts w:ascii="Times New Roman" w:eastAsia="Times New Roman" w:hAnsi="Times New Roman" w:cs="Times New Roman"/>
      </w:rPr>
    </w:lvl>
    <w:lvl w:ilvl="1" w:tplc="0C090019">
      <w:start w:val="1"/>
      <w:numFmt w:val="lowerLetter"/>
      <w:lvlText w:val="%2."/>
      <w:lvlJc w:val="left"/>
      <w:pPr>
        <w:ind w:left="3632" w:hanging="360"/>
      </w:pPr>
    </w:lvl>
    <w:lvl w:ilvl="2" w:tplc="0C09001B">
      <w:start w:val="1"/>
      <w:numFmt w:val="lowerRoman"/>
      <w:lvlText w:val="%3."/>
      <w:lvlJc w:val="right"/>
      <w:pPr>
        <w:ind w:left="4352" w:hanging="180"/>
      </w:pPr>
    </w:lvl>
    <w:lvl w:ilvl="3" w:tplc="0C09000F">
      <w:start w:val="1"/>
      <w:numFmt w:val="decimal"/>
      <w:lvlText w:val="%4."/>
      <w:lvlJc w:val="left"/>
      <w:pPr>
        <w:ind w:left="5072" w:hanging="360"/>
      </w:pPr>
    </w:lvl>
    <w:lvl w:ilvl="4" w:tplc="0C090019" w:tentative="1">
      <w:start w:val="1"/>
      <w:numFmt w:val="lowerLetter"/>
      <w:lvlText w:val="%5."/>
      <w:lvlJc w:val="left"/>
      <w:pPr>
        <w:ind w:left="5792" w:hanging="360"/>
      </w:pPr>
    </w:lvl>
    <w:lvl w:ilvl="5" w:tplc="0C09001B" w:tentative="1">
      <w:start w:val="1"/>
      <w:numFmt w:val="lowerRoman"/>
      <w:lvlText w:val="%6."/>
      <w:lvlJc w:val="right"/>
      <w:pPr>
        <w:ind w:left="6512" w:hanging="180"/>
      </w:pPr>
    </w:lvl>
    <w:lvl w:ilvl="6" w:tplc="0C09000F" w:tentative="1">
      <w:start w:val="1"/>
      <w:numFmt w:val="decimal"/>
      <w:lvlText w:val="%7."/>
      <w:lvlJc w:val="left"/>
      <w:pPr>
        <w:ind w:left="7232" w:hanging="360"/>
      </w:pPr>
    </w:lvl>
    <w:lvl w:ilvl="7" w:tplc="0C090019" w:tentative="1">
      <w:start w:val="1"/>
      <w:numFmt w:val="lowerLetter"/>
      <w:lvlText w:val="%8."/>
      <w:lvlJc w:val="left"/>
      <w:pPr>
        <w:ind w:left="7952" w:hanging="360"/>
      </w:pPr>
    </w:lvl>
    <w:lvl w:ilvl="8" w:tplc="0C09001B" w:tentative="1">
      <w:start w:val="1"/>
      <w:numFmt w:val="lowerRoman"/>
      <w:lvlText w:val="%9."/>
      <w:lvlJc w:val="right"/>
      <w:pPr>
        <w:ind w:left="8672" w:hanging="180"/>
      </w:pPr>
    </w:lvl>
  </w:abstractNum>
  <w:abstractNum w:abstractNumId="6">
    <w:nsid w:val="26D91B7E"/>
    <w:multiLevelType w:val="multilevel"/>
    <w:tmpl w:val="5C802AB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1440" w:hanging="360"/>
      </w:pPr>
      <w:rPr>
        <w:rFonts w:cs="Times New Roman" w:hint="default"/>
      </w:rPr>
    </w:lvl>
    <w:lvl w:ilvl="2">
      <w:start w:val="1"/>
      <w:numFmt w:val="lowerLetter"/>
      <w:lvlText w:val="(%3)"/>
      <w:lvlJc w:val="right"/>
      <w:pPr>
        <w:ind w:left="2160" w:hanging="180"/>
      </w:pPr>
      <w:rPr>
        <w:rFonts w:ascii="Times New Roman" w:eastAsia="Times New Roman" w:hAnsi="Times New Roman" w:cs="Times New Roman"/>
      </w:rPr>
    </w:lvl>
    <w:lvl w:ilvl="3">
      <w:start w:val="1"/>
      <w:numFmt w:val="lowerRoman"/>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nsid w:val="3C512D65"/>
    <w:multiLevelType w:val="hybridMultilevel"/>
    <w:tmpl w:val="586C96EE"/>
    <w:lvl w:ilvl="0" w:tplc="A1DAD618">
      <w:start w:val="1"/>
      <w:numFmt w:val="lowerRoman"/>
      <w:lvlText w:val="(%1)"/>
      <w:lvlJc w:val="left"/>
      <w:pPr>
        <w:ind w:left="2673" w:hanging="405"/>
      </w:pPr>
      <w:rPr>
        <w:rFonts w:ascii="Times New Roman" w:eastAsia="Times New Roman" w:hAnsi="Times New Roman" w:cs="Times New Roman"/>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8">
    <w:nsid w:val="3E6E4064"/>
    <w:multiLevelType w:val="multilevel"/>
    <w:tmpl w:val="6B1EBD14"/>
    <w:lvl w:ilvl="0">
      <w:start w:val="1"/>
      <w:numFmt w:val="lowerLetter"/>
      <w:lvlText w:val="(%1)"/>
      <w:lvlJc w:val="left"/>
      <w:pPr>
        <w:ind w:left="1636" w:hanging="360"/>
      </w:pPr>
      <w:rPr>
        <w:rFonts w:hint="default"/>
      </w:rPr>
    </w:lvl>
    <w:lvl w:ilvl="1" w:tentative="1">
      <w:start w:val="1"/>
      <w:numFmt w:val="lowerLetter"/>
      <w:lvlText w:val="%2."/>
      <w:lvlJc w:val="left"/>
      <w:pPr>
        <w:ind w:left="2356" w:hanging="360"/>
      </w:pPr>
    </w:lvl>
    <w:lvl w:ilvl="2" w:tentative="1">
      <w:start w:val="1"/>
      <w:numFmt w:val="lowerRoman"/>
      <w:lvlText w:val="%3."/>
      <w:lvlJc w:val="right"/>
      <w:pPr>
        <w:ind w:left="3076" w:hanging="180"/>
      </w:pPr>
    </w:lvl>
    <w:lvl w:ilvl="3" w:tentative="1">
      <w:start w:val="1"/>
      <w:numFmt w:val="decimal"/>
      <w:lvlText w:val="%4."/>
      <w:lvlJc w:val="left"/>
      <w:pPr>
        <w:ind w:left="3796" w:hanging="360"/>
      </w:pPr>
    </w:lvl>
    <w:lvl w:ilvl="4" w:tentative="1">
      <w:start w:val="1"/>
      <w:numFmt w:val="lowerLetter"/>
      <w:lvlText w:val="%5."/>
      <w:lvlJc w:val="left"/>
      <w:pPr>
        <w:ind w:left="4516" w:hanging="360"/>
      </w:pPr>
    </w:lvl>
    <w:lvl w:ilvl="5" w:tentative="1">
      <w:start w:val="1"/>
      <w:numFmt w:val="lowerRoman"/>
      <w:lvlText w:val="%6."/>
      <w:lvlJc w:val="right"/>
      <w:pPr>
        <w:ind w:left="5236" w:hanging="180"/>
      </w:pPr>
    </w:lvl>
    <w:lvl w:ilvl="6" w:tentative="1">
      <w:start w:val="1"/>
      <w:numFmt w:val="decimal"/>
      <w:lvlText w:val="%7."/>
      <w:lvlJc w:val="left"/>
      <w:pPr>
        <w:ind w:left="5956" w:hanging="360"/>
      </w:pPr>
    </w:lvl>
    <w:lvl w:ilvl="7" w:tentative="1">
      <w:start w:val="1"/>
      <w:numFmt w:val="lowerLetter"/>
      <w:lvlText w:val="%8."/>
      <w:lvlJc w:val="left"/>
      <w:pPr>
        <w:ind w:left="6676" w:hanging="360"/>
      </w:pPr>
    </w:lvl>
    <w:lvl w:ilvl="8" w:tentative="1">
      <w:start w:val="1"/>
      <w:numFmt w:val="lowerRoman"/>
      <w:lvlText w:val="%9."/>
      <w:lvlJc w:val="right"/>
      <w:pPr>
        <w:ind w:left="7396" w:hanging="180"/>
      </w:pPr>
    </w:lvl>
  </w:abstractNum>
  <w:abstractNum w:abstractNumId="9">
    <w:nsid w:val="41BC046A"/>
    <w:multiLevelType w:val="multilevel"/>
    <w:tmpl w:val="B6C63960"/>
    <w:lvl w:ilvl="0">
      <w:start w:val="1"/>
      <w:numFmt w:val="upperLetter"/>
      <w:lvlText w:val="(%1)"/>
      <w:lvlJc w:val="left"/>
      <w:pPr>
        <w:ind w:left="2520" w:hanging="360"/>
      </w:pPr>
      <w:rPr>
        <w:rFonts w:ascii="Times New Roman" w:eastAsia="Times New Roman" w:hAnsi="Times New Roman" w:cs="Times New Roman"/>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0">
    <w:nsid w:val="41FB6E28"/>
    <w:multiLevelType w:val="hybridMultilevel"/>
    <w:tmpl w:val="22789A7E"/>
    <w:lvl w:ilvl="0" w:tplc="8EDC29C8">
      <w:start w:val="1"/>
      <w:numFmt w:val="upperLetter"/>
      <w:lvlText w:val="(%1)"/>
      <w:lvlJc w:val="left"/>
      <w:pPr>
        <w:ind w:left="3240" w:hanging="360"/>
      </w:pPr>
      <w:rPr>
        <w:rFonts w:hint="default"/>
      </w:rPr>
    </w:lvl>
    <w:lvl w:ilvl="1" w:tplc="0C090019">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nsid w:val="453D74DF"/>
    <w:multiLevelType w:val="hybridMultilevel"/>
    <w:tmpl w:val="6FE2BC4C"/>
    <w:lvl w:ilvl="0" w:tplc="8BACB06A">
      <w:start w:val="1"/>
      <w:numFmt w:val="lowerLetter"/>
      <w:lvlText w:val="(%1)"/>
      <w:lvlJc w:val="left"/>
      <w:pPr>
        <w:ind w:left="1920" w:hanging="360"/>
      </w:pPr>
      <w:rPr>
        <w:rFonts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12">
    <w:nsid w:val="4CFA46E2"/>
    <w:multiLevelType w:val="multilevel"/>
    <w:tmpl w:val="9DE613D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1440" w:hanging="360"/>
      </w:pPr>
      <w:rPr>
        <w:rFonts w:cs="Times New Roman" w:hint="default"/>
      </w:rPr>
    </w:lvl>
    <w:lvl w:ilvl="2">
      <w:start w:val="1"/>
      <w:numFmt w:val="lowerLetter"/>
      <w:lvlText w:val="(%3)"/>
      <w:lvlJc w:val="right"/>
      <w:pPr>
        <w:ind w:left="2160" w:hanging="180"/>
      </w:pPr>
      <w:rPr>
        <w:rFonts w:cs="Times New Roman" w:hint="default"/>
      </w:rPr>
    </w:lvl>
    <w:lvl w:ilvl="3">
      <w:start w:val="1"/>
      <w:numFmt w:val="lowerRoman"/>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nsid w:val="567D4911"/>
    <w:multiLevelType w:val="multilevel"/>
    <w:tmpl w:val="9DE613D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1440" w:hanging="360"/>
      </w:pPr>
      <w:rPr>
        <w:rFonts w:cs="Times New Roman" w:hint="default"/>
      </w:rPr>
    </w:lvl>
    <w:lvl w:ilvl="2">
      <w:start w:val="1"/>
      <w:numFmt w:val="lowerLetter"/>
      <w:lvlText w:val="(%3)"/>
      <w:lvlJc w:val="right"/>
      <w:pPr>
        <w:ind w:left="2160" w:hanging="180"/>
      </w:pPr>
      <w:rPr>
        <w:rFonts w:cs="Times New Roman" w:hint="default"/>
      </w:rPr>
    </w:lvl>
    <w:lvl w:ilvl="3">
      <w:start w:val="1"/>
      <w:numFmt w:val="lowerRoman"/>
      <w:lvlText w:val="(%4)"/>
      <w:lvlJc w:val="left"/>
      <w:pPr>
        <w:ind w:left="2204"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nsid w:val="5A3852D1"/>
    <w:multiLevelType w:val="hybridMultilevel"/>
    <w:tmpl w:val="8F9AB362"/>
    <w:lvl w:ilvl="0" w:tplc="28FA6CFE">
      <w:start w:val="1"/>
      <w:numFmt w:val="lowerRoman"/>
      <w:lvlText w:val="(%1)"/>
      <w:lvlJc w:val="left"/>
      <w:pPr>
        <w:ind w:left="3240" w:hanging="360"/>
      </w:pPr>
      <w:rPr>
        <w:rFonts w:ascii="Times New Roman" w:eastAsia="Times New Roman" w:hAnsi="Times New Roman" w:cs="Times New Roman"/>
      </w:rPr>
    </w:lvl>
    <w:lvl w:ilvl="1" w:tplc="0C090019">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nsid w:val="6FFE3023"/>
    <w:multiLevelType w:val="hybridMultilevel"/>
    <w:tmpl w:val="CF36F1E2"/>
    <w:lvl w:ilvl="0" w:tplc="1CD0DD72">
      <w:start w:val="1"/>
      <w:numFmt w:val="lowerRoman"/>
      <w:lvlText w:val="(%1)"/>
      <w:lvlJc w:val="left"/>
      <w:pPr>
        <w:ind w:left="3240" w:hanging="360"/>
      </w:pPr>
      <w:rPr>
        <w:rFonts w:ascii="Times New Roman" w:eastAsia="Times New Roman" w:hAnsi="Times New Roman" w:cs="Times New Roman"/>
      </w:rPr>
    </w:lvl>
    <w:lvl w:ilvl="1" w:tplc="0C090019">
      <w:start w:val="1"/>
      <w:numFmt w:val="lowerLetter"/>
      <w:lvlText w:val="%2."/>
      <w:lvlJc w:val="left"/>
      <w:pPr>
        <w:ind w:left="3960" w:hanging="360"/>
      </w:pPr>
    </w:lvl>
    <w:lvl w:ilvl="2" w:tplc="0C09001B">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nsid w:val="7F6C394D"/>
    <w:multiLevelType w:val="hybridMultilevel"/>
    <w:tmpl w:val="B6C63960"/>
    <w:lvl w:ilvl="0" w:tplc="87706136">
      <w:start w:val="1"/>
      <w:numFmt w:val="upperLetter"/>
      <w:lvlText w:val="(%1)"/>
      <w:lvlJc w:val="left"/>
      <w:pPr>
        <w:ind w:left="2520" w:hanging="360"/>
      </w:pPr>
      <w:rPr>
        <w:rFonts w:ascii="Times New Roman" w:eastAsia="Times New Roman" w:hAnsi="Times New Roman" w:cs="Times New Roman"/>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7">
    <w:nsid w:val="7FAF28CA"/>
    <w:multiLevelType w:val="multilevel"/>
    <w:tmpl w:val="B6C63960"/>
    <w:lvl w:ilvl="0">
      <w:start w:val="1"/>
      <w:numFmt w:val="upperLetter"/>
      <w:lvlText w:val="(%1)"/>
      <w:lvlJc w:val="left"/>
      <w:pPr>
        <w:ind w:left="2520" w:hanging="360"/>
      </w:pPr>
      <w:rPr>
        <w:rFonts w:ascii="Times New Roman" w:eastAsia="Times New Roman" w:hAnsi="Times New Roman" w:cs="Times New Roman"/>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num w:numId="1">
    <w:abstractNumId w:val="0"/>
  </w:num>
  <w:num w:numId="2">
    <w:abstractNumId w:val="4"/>
  </w:num>
  <w:num w:numId="3">
    <w:abstractNumId w:val="1"/>
  </w:num>
  <w:num w:numId="4">
    <w:abstractNumId w:val="16"/>
  </w:num>
  <w:num w:numId="5">
    <w:abstractNumId w:val="10"/>
  </w:num>
  <w:num w:numId="6">
    <w:abstractNumId w:val="9"/>
  </w:num>
  <w:num w:numId="7">
    <w:abstractNumId w:val="17"/>
  </w:num>
  <w:num w:numId="8">
    <w:abstractNumId w:val="12"/>
  </w:num>
  <w:num w:numId="9">
    <w:abstractNumId w:val="8"/>
  </w:num>
  <w:num w:numId="10">
    <w:abstractNumId w:val="13"/>
  </w:num>
  <w:num w:numId="11">
    <w:abstractNumId w:val="5"/>
  </w:num>
  <w:num w:numId="12">
    <w:abstractNumId w:val="7"/>
  </w:num>
  <w:num w:numId="13">
    <w:abstractNumId w:val="11"/>
  </w:num>
  <w:num w:numId="14">
    <w:abstractNumId w:val="6"/>
  </w:num>
  <w:num w:numId="15">
    <w:abstractNumId w:val="2"/>
  </w:num>
  <w:num w:numId="16">
    <w:abstractNumId w:val="15"/>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A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66563"/>
    <o:shapelayout v:ext="edit">
      <o:idmap v:ext="edit" data="65"/>
    </o:shapelayout>
  </w:hdrShapeDefaults>
  <w:footnotePr>
    <w:footnote w:id="-1"/>
    <w:footnote w:id="0"/>
  </w:footnotePr>
  <w:endnotePr>
    <w:endnote w:id="-1"/>
    <w:endnote w:id="0"/>
  </w:endnotePr>
  <w:compat/>
  <w:rsids>
    <w:rsidRoot w:val="00373E8F"/>
    <w:rsid w:val="000036B4"/>
    <w:rsid w:val="000057C0"/>
    <w:rsid w:val="000163EE"/>
    <w:rsid w:val="00021898"/>
    <w:rsid w:val="00044D84"/>
    <w:rsid w:val="00046D3B"/>
    <w:rsid w:val="00047F68"/>
    <w:rsid w:val="0007091C"/>
    <w:rsid w:val="0007115C"/>
    <w:rsid w:val="0007179C"/>
    <w:rsid w:val="00073D0B"/>
    <w:rsid w:val="00074C81"/>
    <w:rsid w:val="00076749"/>
    <w:rsid w:val="00082C69"/>
    <w:rsid w:val="00084C7A"/>
    <w:rsid w:val="00085DB0"/>
    <w:rsid w:val="0009583A"/>
    <w:rsid w:val="000B20F4"/>
    <w:rsid w:val="000C28AD"/>
    <w:rsid w:val="000C370A"/>
    <w:rsid w:val="000D172A"/>
    <w:rsid w:val="000D4011"/>
    <w:rsid w:val="000D503B"/>
    <w:rsid w:val="000D78BC"/>
    <w:rsid w:val="000E07AC"/>
    <w:rsid w:val="000E120C"/>
    <w:rsid w:val="000F389A"/>
    <w:rsid w:val="000F5711"/>
    <w:rsid w:val="000F7456"/>
    <w:rsid w:val="00103A28"/>
    <w:rsid w:val="00104F31"/>
    <w:rsid w:val="00107ADC"/>
    <w:rsid w:val="00114C35"/>
    <w:rsid w:val="0011650E"/>
    <w:rsid w:val="00120707"/>
    <w:rsid w:val="00120A02"/>
    <w:rsid w:val="00121151"/>
    <w:rsid w:val="00121A5F"/>
    <w:rsid w:val="001259B3"/>
    <w:rsid w:val="001264E0"/>
    <w:rsid w:val="001265E0"/>
    <w:rsid w:val="001378F7"/>
    <w:rsid w:val="00137EE5"/>
    <w:rsid w:val="0014034F"/>
    <w:rsid w:val="001418E5"/>
    <w:rsid w:val="00141F9E"/>
    <w:rsid w:val="0014331E"/>
    <w:rsid w:val="001478F0"/>
    <w:rsid w:val="0015166E"/>
    <w:rsid w:val="001520EA"/>
    <w:rsid w:val="0015623F"/>
    <w:rsid w:val="00156B8E"/>
    <w:rsid w:val="001625D4"/>
    <w:rsid w:val="00162A6B"/>
    <w:rsid w:val="00164356"/>
    <w:rsid w:val="00165411"/>
    <w:rsid w:val="00171B62"/>
    <w:rsid w:val="001759E0"/>
    <w:rsid w:val="00180CE3"/>
    <w:rsid w:val="00182239"/>
    <w:rsid w:val="001B1DBD"/>
    <w:rsid w:val="001B27EB"/>
    <w:rsid w:val="001B2C29"/>
    <w:rsid w:val="001B5703"/>
    <w:rsid w:val="001B7831"/>
    <w:rsid w:val="001C06B2"/>
    <w:rsid w:val="001D199F"/>
    <w:rsid w:val="001D22FA"/>
    <w:rsid w:val="001F047A"/>
    <w:rsid w:val="001F0B0F"/>
    <w:rsid w:val="001F68BB"/>
    <w:rsid w:val="001F7504"/>
    <w:rsid w:val="00203760"/>
    <w:rsid w:val="00210080"/>
    <w:rsid w:val="00215867"/>
    <w:rsid w:val="002166F8"/>
    <w:rsid w:val="0022184D"/>
    <w:rsid w:val="00222FCE"/>
    <w:rsid w:val="0022410D"/>
    <w:rsid w:val="002279ED"/>
    <w:rsid w:val="00234348"/>
    <w:rsid w:val="002346D0"/>
    <w:rsid w:val="00255318"/>
    <w:rsid w:val="00265061"/>
    <w:rsid w:val="00265CC6"/>
    <w:rsid w:val="002809B4"/>
    <w:rsid w:val="002814F6"/>
    <w:rsid w:val="00284876"/>
    <w:rsid w:val="00284C8A"/>
    <w:rsid w:val="002857BC"/>
    <w:rsid w:val="00290358"/>
    <w:rsid w:val="00292610"/>
    <w:rsid w:val="00295889"/>
    <w:rsid w:val="0029629A"/>
    <w:rsid w:val="002A4E1C"/>
    <w:rsid w:val="002B09ED"/>
    <w:rsid w:val="002B3159"/>
    <w:rsid w:val="002B5C8C"/>
    <w:rsid w:val="002C2BB3"/>
    <w:rsid w:val="002D6CF5"/>
    <w:rsid w:val="002D6F33"/>
    <w:rsid w:val="002E2941"/>
    <w:rsid w:val="002E5B6F"/>
    <w:rsid w:val="002F1F2C"/>
    <w:rsid w:val="002F4121"/>
    <w:rsid w:val="0030729F"/>
    <w:rsid w:val="00307F46"/>
    <w:rsid w:val="003113B4"/>
    <w:rsid w:val="0031201F"/>
    <w:rsid w:val="00312200"/>
    <w:rsid w:val="003179D1"/>
    <w:rsid w:val="00326E56"/>
    <w:rsid w:val="003271A1"/>
    <w:rsid w:val="00334A08"/>
    <w:rsid w:val="0033534A"/>
    <w:rsid w:val="00342780"/>
    <w:rsid w:val="00355EAD"/>
    <w:rsid w:val="00355EAF"/>
    <w:rsid w:val="00356336"/>
    <w:rsid w:val="00357023"/>
    <w:rsid w:val="00360D05"/>
    <w:rsid w:val="00373E8F"/>
    <w:rsid w:val="00377434"/>
    <w:rsid w:val="00386736"/>
    <w:rsid w:val="00386BBB"/>
    <w:rsid w:val="003876B3"/>
    <w:rsid w:val="00396593"/>
    <w:rsid w:val="00397DAE"/>
    <w:rsid w:val="003A2F2C"/>
    <w:rsid w:val="003B5D49"/>
    <w:rsid w:val="003B6052"/>
    <w:rsid w:val="003C17D6"/>
    <w:rsid w:val="003C4117"/>
    <w:rsid w:val="003D2665"/>
    <w:rsid w:val="003D37E1"/>
    <w:rsid w:val="003E3DF0"/>
    <w:rsid w:val="003E40FB"/>
    <w:rsid w:val="003F1DB9"/>
    <w:rsid w:val="003F33AE"/>
    <w:rsid w:val="003F3642"/>
    <w:rsid w:val="003F3EF5"/>
    <w:rsid w:val="003F6627"/>
    <w:rsid w:val="00407CE5"/>
    <w:rsid w:val="00412E09"/>
    <w:rsid w:val="004147F4"/>
    <w:rsid w:val="00415170"/>
    <w:rsid w:val="00416972"/>
    <w:rsid w:val="00420418"/>
    <w:rsid w:val="004245C7"/>
    <w:rsid w:val="004275AF"/>
    <w:rsid w:val="00430997"/>
    <w:rsid w:val="00435B6F"/>
    <w:rsid w:val="00437817"/>
    <w:rsid w:val="00437F5A"/>
    <w:rsid w:val="00442704"/>
    <w:rsid w:val="004428FF"/>
    <w:rsid w:val="00445B3B"/>
    <w:rsid w:val="00460EA3"/>
    <w:rsid w:val="00471652"/>
    <w:rsid w:val="0047225B"/>
    <w:rsid w:val="004755B9"/>
    <w:rsid w:val="0048052E"/>
    <w:rsid w:val="00482295"/>
    <w:rsid w:val="004856C6"/>
    <w:rsid w:val="00485DA3"/>
    <w:rsid w:val="00493A98"/>
    <w:rsid w:val="00494734"/>
    <w:rsid w:val="00495C73"/>
    <w:rsid w:val="00497FB1"/>
    <w:rsid w:val="004A00F8"/>
    <w:rsid w:val="004A0F39"/>
    <w:rsid w:val="004A545F"/>
    <w:rsid w:val="004B4EB3"/>
    <w:rsid w:val="004C41D5"/>
    <w:rsid w:val="004C4610"/>
    <w:rsid w:val="004D3003"/>
    <w:rsid w:val="004E0DCD"/>
    <w:rsid w:val="004E0E6C"/>
    <w:rsid w:val="004E40D0"/>
    <w:rsid w:val="004F4FF8"/>
    <w:rsid w:val="004F592F"/>
    <w:rsid w:val="004F7C5A"/>
    <w:rsid w:val="00501C27"/>
    <w:rsid w:val="0050512A"/>
    <w:rsid w:val="005100AA"/>
    <w:rsid w:val="005139D7"/>
    <w:rsid w:val="005254F4"/>
    <w:rsid w:val="00527A77"/>
    <w:rsid w:val="00530D3D"/>
    <w:rsid w:val="00536810"/>
    <w:rsid w:val="00544037"/>
    <w:rsid w:val="0054617A"/>
    <w:rsid w:val="00547F76"/>
    <w:rsid w:val="00556A0B"/>
    <w:rsid w:val="00560CF1"/>
    <w:rsid w:val="00561CDB"/>
    <w:rsid w:val="00564D4C"/>
    <w:rsid w:val="00565DB6"/>
    <w:rsid w:val="00567E0D"/>
    <w:rsid w:val="00572178"/>
    <w:rsid w:val="005A55DB"/>
    <w:rsid w:val="005A6330"/>
    <w:rsid w:val="005A7E21"/>
    <w:rsid w:val="005C22E7"/>
    <w:rsid w:val="005C3DFF"/>
    <w:rsid w:val="005C4B8F"/>
    <w:rsid w:val="005C6905"/>
    <w:rsid w:val="005C7EFA"/>
    <w:rsid w:val="005D28C4"/>
    <w:rsid w:val="005F1F60"/>
    <w:rsid w:val="005F337F"/>
    <w:rsid w:val="006021B6"/>
    <w:rsid w:val="006140F4"/>
    <w:rsid w:val="00616007"/>
    <w:rsid w:val="00620C16"/>
    <w:rsid w:val="0062443E"/>
    <w:rsid w:val="00625B42"/>
    <w:rsid w:val="00627140"/>
    <w:rsid w:val="00632CC4"/>
    <w:rsid w:val="006334D0"/>
    <w:rsid w:val="0064359D"/>
    <w:rsid w:val="0064632B"/>
    <w:rsid w:val="00652652"/>
    <w:rsid w:val="00655AF3"/>
    <w:rsid w:val="00661FD9"/>
    <w:rsid w:val="00672BF9"/>
    <w:rsid w:val="006734BD"/>
    <w:rsid w:val="00675992"/>
    <w:rsid w:val="00677191"/>
    <w:rsid w:val="006776F8"/>
    <w:rsid w:val="00677A5B"/>
    <w:rsid w:val="006926F4"/>
    <w:rsid w:val="00694EA9"/>
    <w:rsid w:val="00695F9F"/>
    <w:rsid w:val="00697C94"/>
    <w:rsid w:val="006A0AF4"/>
    <w:rsid w:val="006A1337"/>
    <w:rsid w:val="006A2CBF"/>
    <w:rsid w:val="006A3776"/>
    <w:rsid w:val="006A4C54"/>
    <w:rsid w:val="006B1260"/>
    <w:rsid w:val="006C3648"/>
    <w:rsid w:val="006D2AD3"/>
    <w:rsid w:val="006E005A"/>
    <w:rsid w:val="006E7547"/>
    <w:rsid w:val="006F2F9E"/>
    <w:rsid w:val="006F3EE3"/>
    <w:rsid w:val="006F55AA"/>
    <w:rsid w:val="0070144B"/>
    <w:rsid w:val="00702D80"/>
    <w:rsid w:val="0070487A"/>
    <w:rsid w:val="00704CA7"/>
    <w:rsid w:val="007231E1"/>
    <w:rsid w:val="00732E24"/>
    <w:rsid w:val="0074135B"/>
    <w:rsid w:val="007469DD"/>
    <w:rsid w:val="00746CCE"/>
    <w:rsid w:val="007523A4"/>
    <w:rsid w:val="00757544"/>
    <w:rsid w:val="007655EE"/>
    <w:rsid w:val="0077072F"/>
    <w:rsid w:val="0077399E"/>
    <w:rsid w:val="00774F8D"/>
    <w:rsid w:val="0078008E"/>
    <w:rsid w:val="00780141"/>
    <w:rsid w:val="00783651"/>
    <w:rsid w:val="00785CDC"/>
    <w:rsid w:val="00785D64"/>
    <w:rsid w:val="007901D7"/>
    <w:rsid w:val="007918D1"/>
    <w:rsid w:val="00793E6C"/>
    <w:rsid w:val="007951E3"/>
    <w:rsid w:val="007A1AC4"/>
    <w:rsid w:val="007A736C"/>
    <w:rsid w:val="007C3947"/>
    <w:rsid w:val="007C4874"/>
    <w:rsid w:val="007D64AA"/>
    <w:rsid w:val="007E037E"/>
    <w:rsid w:val="007E4397"/>
    <w:rsid w:val="007E4C0D"/>
    <w:rsid w:val="007E56F0"/>
    <w:rsid w:val="007E6E8F"/>
    <w:rsid w:val="007F4D42"/>
    <w:rsid w:val="007F5105"/>
    <w:rsid w:val="007F5E5B"/>
    <w:rsid w:val="00806002"/>
    <w:rsid w:val="00810D39"/>
    <w:rsid w:val="00814BCA"/>
    <w:rsid w:val="008229A0"/>
    <w:rsid w:val="00827AD3"/>
    <w:rsid w:val="00833FD2"/>
    <w:rsid w:val="008362A8"/>
    <w:rsid w:val="00836F58"/>
    <w:rsid w:val="00841D26"/>
    <w:rsid w:val="00843B9A"/>
    <w:rsid w:val="008505C3"/>
    <w:rsid w:val="00851B51"/>
    <w:rsid w:val="00851CD2"/>
    <w:rsid w:val="00852ED2"/>
    <w:rsid w:val="00855C06"/>
    <w:rsid w:val="00861E90"/>
    <w:rsid w:val="0087115A"/>
    <w:rsid w:val="0087235C"/>
    <w:rsid w:val="008763A7"/>
    <w:rsid w:val="008765F1"/>
    <w:rsid w:val="00876F67"/>
    <w:rsid w:val="008805A5"/>
    <w:rsid w:val="00886178"/>
    <w:rsid w:val="00894313"/>
    <w:rsid w:val="00895459"/>
    <w:rsid w:val="008A28C6"/>
    <w:rsid w:val="008D304C"/>
    <w:rsid w:val="008E636F"/>
    <w:rsid w:val="008F0268"/>
    <w:rsid w:val="008F0E8F"/>
    <w:rsid w:val="008F21F6"/>
    <w:rsid w:val="008F31B8"/>
    <w:rsid w:val="008F5101"/>
    <w:rsid w:val="00902ACE"/>
    <w:rsid w:val="0090490C"/>
    <w:rsid w:val="00915B61"/>
    <w:rsid w:val="00916062"/>
    <w:rsid w:val="00917813"/>
    <w:rsid w:val="009218F9"/>
    <w:rsid w:val="009253F2"/>
    <w:rsid w:val="009320B6"/>
    <w:rsid w:val="009333FB"/>
    <w:rsid w:val="00940674"/>
    <w:rsid w:val="009513F9"/>
    <w:rsid w:val="00960AB5"/>
    <w:rsid w:val="00971B2C"/>
    <w:rsid w:val="009777A3"/>
    <w:rsid w:val="009837AC"/>
    <w:rsid w:val="00985302"/>
    <w:rsid w:val="0099162F"/>
    <w:rsid w:val="00994A40"/>
    <w:rsid w:val="009956E8"/>
    <w:rsid w:val="009A340A"/>
    <w:rsid w:val="009C1A3C"/>
    <w:rsid w:val="009C5CFA"/>
    <w:rsid w:val="009C5ED9"/>
    <w:rsid w:val="009D3CB5"/>
    <w:rsid w:val="009D42FE"/>
    <w:rsid w:val="009D6101"/>
    <w:rsid w:val="009E4949"/>
    <w:rsid w:val="009E53E3"/>
    <w:rsid w:val="009E5942"/>
    <w:rsid w:val="009F7F69"/>
    <w:rsid w:val="00A0607F"/>
    <w:rsid w:val="00A061C0"/>
    <w:rsid w:val="00A105AD"/>
    <w:rsid w:val="00A1585E"/>
    <w:rsid w:val="00A16199"/>
    <w:rsid w:val="00A17897"/>
    <w:rsid w:val="00A17E00"/>
    <w:rsid w:val="00A22B5B"/>
    <w:rsid w:val="00A27BB4"/>
    <w:rsid w:val="00A379A4"/>
    <w:rsid w:val="00A41BFD"/>
    <w:rsid w:val="00A43D86"/>
    <w:rsid w:val="00A45485"/>
    <w:rsid w:val="00A4592C"/>
    <w:rsid w:val="00A57252"/>
    <w:rsid w:val="00A61AB1"/>
    <w:rsid w:val="00A67433"/>
    <w:rsid w:val="00A67922"/>
    <w:rsid w:val="00A71F02"/>
    <w:rsid w:val="00A72FB8"/>
    <w:rsid w:val="00A7419C"/>
    <w:rsid w:val="00A74E7A"/>
    <w:rsid w:val="00A813D6"/>
    <w:rsid w:val="00A913A2"/>
    <w:rsid w:val="00A921FE"/>
    <w:rsid w:val="00A94147"/>
    <w:rsid w:val="00AB3535"/>
    <w:rsid w:val="00AB59A7"/>
    <w:rsid w:val="00AC09E5"/>
    <w:rsid w:val="00AD2225"/>
    <w:rsid w:val="00AD6663"/>
    <w:rsid w:val="00AD716A"/>
    <w:rsid w:val="00AE0AB4"/>
    <w:rsid w:val="00AE1F0C"/>
    <w:rsid w:val="00AE3A90"/>
    <w:rsid w:val="00AF34DF"/>
    <w:rsid w:val="00AF6284"/>
    <w:rsid w:val="00B05897"/>
    <w:rsid w:val="00B101BC"/>
    <w:rsid w:val="00B15548"/>
    <w:rsid w:val="00B2066F"/>
    <w:rsid w:val="00B22F0B"/>
    <w:rsid w:val="00B240B7"/>
    <w:rsid w:val="00B327F2"/>
    <w:rsid w:val="00B35EE8"/>
    <w:rsid w:val="00B662D2"/>
    <w:rsid w:val="00B718C2"/>
    <w:rsid w:val="00B72338"/>
    <w:rsid w:val="00B7722C"/>
    <w:rsid w:val="00B80A4D"/>
    <w:rsid w:val="00B93BE6"/>
    <w:rsid w:val="00BA1345"/>
    <w:rsid w:val="00BA5E9B"/>
    <w:rsid w:val="00BB3EDC"/>
    <w:rsid w:val="00BB3FE5"/>
    <w:rsid w:val="00BB48CB"/>
    <w:rsid w:val="00BB4969"/>
    <w:rsid w:val="00BB7B0C"/>
    <w:rsid w:val="00BD39B6"/>
    <w:rsid w:val="00BE1460"/>
    <w:rsid w:val="00BE17DC"/>
    <w:rsid w:val="00BE4853"/>
    <w:rsid w:val="00BE619F"/>
    <w:rsid w:val="00BF54EB"/>
    <w:rsid w:val="00BF633D"/>
    <w:rsid w:val="00C06AFC"/>
    <w:rsid w:val="00C16C46"/>
    <w:rsid w:val="00C17CF3"/>
    <w:rsid w:val="00C22D14"/>
    <w:rsid w:val="00C236EA"/>
    <w:rsid w:val="00C26415"/>
    <w:rsid w:val="00C26C53"/>
    <w:rsid w:val="00C3245D"/>
    <w:rsid w:val="00C376A0"/>
    <w:rsid w:val="00C40155"/>
    <w:rsid w:val="00C4082B"/>
    <w:rsid w:val="00C541C1"/>
    <w:rsid w:val="00C62692"/>
    <w:rsid w:val="00C74403"/>
    <w:rsid w:val="00C7443E"/>
    <w:rsid w:val="00C758CF"/>
    <w:rsid w:val="00C76811"/>
    <w:rsid w:val="00C9262C"/>
    <w:rsid w:val="00C95067"/>
    <w:rsid w:val="00CA08A9"/>
    <w:rsid w:val="00CA0D36"/>
    <w:rsid w:val="00CA3AAC"/>
    <w:rsid w:val="00CA6813"/>
    <w:rsid w:val="00CB1387"/>
    <w:rsid w:val="00CB1628"/>
    <w:rsid w:val="00CB4F4D"/>
    <w:rsid w:val="00CC0608"/>
    <w:rsid w:val="00CC79A3"/>
    <w:rsid w:val="00CD1F6D"/>
    <w:rsid w:val="00CD23EF"/>
    <w:rsid w:val="00CD2565"/>
    <w:rsid w:val="00CD5867"/>
    <w:rsid w:val="00CE61B0"/>
    <w:rsid w:val="00CF7CE5"/>
    <w:rsid w:val="00D02934"/>
    <w:rsid w:val="00D0565B"/>
    <w:rsid w:val="00D0645D"/>
    <w:rsid w:val="00D06F9A"/>
    <w:rsid w:val="00D1276E"/>
    <w:rsid w:val="00D17A42"/>
    <w:rsid w:val="00D2555C"/>
    <w:rsid w:val="00D26A52"/>
    <w:rsid w:val="00D2793D"/>
    <w:rsid w:val="00D453FB"/>
    <w:rsid w:val="00D505D5"/>
    <w:rsid w:val="00D53E2F"/>
    <w:rsid w:val="00D60B8E"/>
    <w:rsid w:val="00D61FE5"/>
    <w:rsid w:val="00D672AC"/>
    <w:rsid w:val="00D67C55"/>
    <w:rsid w:val="00D90FE0"/>
    <w:rsid w:val="00D937F6"/>
    <w:rsid w:val="00D9583B"/>
    <w:rsid w:val="00DA1688"/>
    <w:rsid w:val="00DA3B97"/>
    <w:rsid w:val="00DB099B"/>
    <w:rsid w:val="00DB131A"/>
    <w:rsid w:val="00DB20D1"/>
    <w:rsid w:val="00DB42AD"/>
    <w:rsid w:val="00DB4915"/>
    <w:rsid w:val="00DB4A4C"/>
    <w:rsid w:val="00DC0E45"/>
    <w:rsid w:val="00DC5E85"/>
    <w:rsid w:val="00DD092B"/>
    <w:rsid w:val="00DD603B"/>
    <w:rsid w:val="00DD7687"/>
    <w:rsid w:val="00DE08F0"/>
    <w:rsid w:val="00DE45DE"/>
    <w:rsid w:val="00DE4DCA"/>
    <w:rsid w:val="00DE5901"/>
    <w:rsid w:val="00DF1797"/>
    <w:rsid w:val="00DF492F"/>
    <w:rsid w:val="00E14EF1"/>
    <w:rsid w:val="00E234EC"/>
    <w:rsid w:val="00E24DAB"/>
    <w:rsid w:val="00E30E2D"/>
    <w:rsid w:val="00E315D4"/>
    <w:rsid w:val="00E666A0"/>
    <w:rsid w:val="00E71288"/>
    <w:rsid w:val="00E719E1"/>
    <w:rsid w:val="00E7247A"/>
    <w:rsid w:val="00E82CC2"/>
    <w:rsid w:val="00E8363A"/>
    <w:rsid w:val="00EA0381"/>
    <w:rsid w:val="00EA3305"/>
    <w:rsid w:val="00EA3466"/>
    <w:rsid w:val="00EA4369"/>
    <w:rsid w:val="00EA452B"/>
    <w:rsid w:val="00EA66B0"/>
    <w:rsid w:val="00EB191D"/>
    <w:rsid w:val="00EB1BD2"/>
    <w:rsid w:val="00EC06F4"/>
    <w:rsid w:val="00EC1B35"/>
    <w:rsid w:val="00ED2A66"/>
    <w:rsid w:val="00ED7737"/>
    <w:rsid w:val="00EF7432"/>
    <w:rsid w:val="00F005E0"/>
    <w:rsid w:val="00F01596"/>
    <w:rsid w:val="00F02929"/>
    <w:rsid w:val="00F138AE"/>
    <w:rsid w:val="00F13994"/>
    <w:rsid w:val="00F14B9B"/>
    <w:rsid w:val="00F16BDF"/>
    <w:rsid w:val="00F23B60"/>
    <w:rsid w:val="00F26CDC"/>
    <w:rsid w:val="00F30FFF"/>
    <w:rsid w:val="00F47D20"/>
    <w:rsid w:val="00F50625"/>
    <w:rsid w:val="00F614C7"/>
    <w:rsid w:val="00F63494"/>
    <w:rsid w:val="00F66272"/>
    <w:rsid w:val="00F75026"/>
    <w:rsid w:val="00F81E32"/>
    <w:rsid w:val="00F85221"/>
    <w:rsid w:val="00F868BD"/>
    <w:rsid w:val="00F91601"/>
    <w:rsid w:val="00F91BB9"/>
    <w:rsid w:val="00F96A76"/>
    <w:rsid w:val="00F9710A"/>
    <w:rsid w:val="00FA1F9D"/>
    <w:rsid w:val="00FA22AA"/>
    <w:rsid w:val="00FA2CA5"/>
    <w:rsid w:val="00FA48EA"/>
    <w:rsid w:val="00FA51A8"/>
    <w:rsid w:val="00FB410B"/>
    <w:rsid w:val="00FC0309"/>
    <w:rsid w:val="00FC130A"/>
    <w:rsid w:val="00FE2138"/>
    <w:rsid w:val="00FE28FB"/>
    <w:rsid w:val="00FE3140"/>
    <w:rsid w:val="00FE44DB"/>
    <w:rsid w:val="00FF1A77"/>
    <w:rsid w:val="00FF2320"/>
    <w:rsid w:val="00FF31D8"/>
    <w:rsid w:val="00FF36A6"/>
    <w:rsid w:val="00FF5F22"/>
    <w:rsid w:val="00FF638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65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8F"/>
    <w:pPr>
      <w:spacing w:after="0" w:line="240" w:lineRule="auto"/>
    </w:pPr>
    <w:rPr>
      <w:rFonts w:ascii="Times New Roman" w:eastAsia="Times New Roman" w:hAnsi="Times New Roman" w:cs="Times New Roman"/>
      <w:sz w:val="24"/>
      <w:szCs w:val="20"/>
    </w:rPr>
  </w:style>
  <w:style w:type="paragraph" w:styleId="Heading6">
    <w:name w:val="heading 6"/>
    <w:basedOn w:val="Normal"/>
    <w:next w:val="Normal"/>
    <w:link w:val="Heading6Char"/>
    <w:uiPriority w:val="99"/>
    <w:qFormat/>
    <w:rsid w:val="00373E8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373E8F"/>
    <w:rPr>
      <w:rFonts w:ascii="Times New Roman" w:eastAsia="Times New Roman" w:hAnsi="Times New Roman" w:cs="Times New Roman"/>
      <w:b/>
      <w:bCs/>
    </w:rPr>
  </w:style>
  <w:style w:type="paragraph" w:styleId="Title">
    <w:name w:val="Title"/>
    <w:basedOn w:val="Normal"/>
    <w:next w:val="Normal"/>
    <w:link w:val="TitleChar"/>
    <w:qFormat/>
    <w:rsid w:val="00373E8F"/>
    <w:pPr>
      <w:autoSpaceDE w:val="0"/>
      <w:autoSpaceDN w:val="0"/>
      <w:spacing w:before="480"/>
      <w:jc w:val="center"/>
    </w:pPr>
    <w:rPr>
      <w:rFonts w:ascii="Times" w:hAnsi="Times" w:cs="Times"/>
      <w:b/>
      <w:bCs/>
      <w:sz w:val="36"/>
      <w:szCs w:val="36"/>
      <w:lang w:eastAsia="en-AU"/>
    </w:rPr>
  </w:style>
  <w:style w:type="character" w:customStyle="1" w:styleId="TitleChar">
    <w:name w:val="Title Char"/>
    <w:basedOn w:val="DefaultParagraphFont"/>
    <w:link w:val="Title"/>
    <w:uiPriority w:val="99"/>
    <w:rsid w:val="00373E8F"/>
    <w:rPr>
      <w:rFonts w:ascii="Times" w:eastAsia="Times New Roman" w:hAnsi="Times" w:cs="Times"/>
      <w:b/>
      <w:bCs/>
      <w:sz w:val="36"/>
      <w:szCs w:val="36"/>
      <w:lang w:eastAsia="en-AU"/>
    </w:rPr>
  </w:style>
  <w:style w:type="paragraph" w:customStyle="1" w:styleId="HP">
    <w:name w:val="HP"/>
    <w:aliases w:val="Part Heading"/>
    <w:basedOn w:val="Normal"/>
    <w:next w:val="Normal"/>
    <w:uiPriority w:val="99"/>
    <w:rsid w:val="00373E8F"/>
    <w:pPr>
      <w:keepNext/>
      <w:autoSpaceDE w:val="0"/>
      <w:autoSpaceDN w:val="0"/>
      <w:spacing w:before="480"/>
      <w:jc w:val="center"/>
    </w:pPr>
    <w:rPr>
      <w:rFonts w:ascii="Times" w:hAnsi="Times" w:cs="Times"/>
      <w:b/>
      <w:bCs/>
      <w:sz w:val="26"/>
      <w:szCs w:val="26"/>
      <w:lang w:eastAsia="en-AU"/>
    </w:rPr>
  </w:style>
  <w:style w:type="paragraph" w:customStyle="1" w:styleId="HR">
    <w:name w:val="HR"/>
    <w:aliases w:val="Regulation Heading"/>
    <w:basedOn w:val="Normal"/>
    <w:next w:val="Normal"/>
    <w:uiPriority w:val="99"/>
    <w:rsid w:val="00373E8F"/>
    <w:pPr>
      <w:keepNext/>
      <w:tabs>
        <w:tab w:val="left" w:pos="540"/>
      </w:tabs>
      <w:autoSpaceDE w:val="0"/>
      <w:autoSpaceDN w:val="0"/>
      <w:spacing w:before="240" w:after="120"/>
      <w:jc w:val="both"/>
    </w:pPr>
    <w:rPr>
      <w:rFonts w:ascii="Times" w:hAnsi="Times" w:cs="Times"/>
      <w:b/>
      <w:bCs/>
      <w:sz w:val="26"/>
      <w:szCs w:val="26"/>
      <w:lang w:eastAsia="en-AU"/>
    </w:rPr>
  </w:style>
  <w:style w:type="numbering" w:customStyle="1" w:styleId="Style1">
    <w:name w:val="Style1"/>
    <w:rsid w:val="00373E8F"/>
    <w:pPr>
      <w:numPr>
        <w:numId w:val="2"/>
      </w:numPr>
    </w:pPr>
  </w:style>
  <w:style w:type="paragraph" w:styleId="ListParagraph">
    <w:name w:val="List Paragraph"/>
    <w:basedOn w:val="Normal"/>
    <w:uiPriority w:val="34"/>
    <w:qFormat/>
    <w:rsid w:val="00373E8F"/>
    <w:pPr>
      <w:ind w:left="720"/>
      <w:contextualSpacing/>
    </w:pPr>
  </w:style>
  <w:style w:type="character" w:styleId="CommentReference">
    <w:name w:val="annotation reference"/>
    <w:basedOn w:val="DefaultParagraphFont"/>
    <w:uiPriority w:val="99"/>
    <w:semiHidden/>
    <w:unhideWhenUsed/>
    <w:rsid w:val="00ED2A66"/>
    <w:rPr>
      <w:sz w:val="16"/>
      <w:szCs w:val="16"/>
    </w:rPr>
  </w:style>
  <w:style w:type="paragraph" w:styleId="CommentText">
    <w:name w:val="annotation text"/>
    <w:basedOn w:val="Normal"/>
    <w:link w:val="CommentTextChar"/>
    <w:uiPriority w:val="99"/>
    <w:unhideWhenUsed/>
    <w:rsid w:val="00ED2A66"/>
    <w:rPr>
      <w:sz w:val="20"/>
    </w:rPr>
  </w:style>
  <w:style w:type="character" w:customStyle="1" w:styleId="CommentTextChar">
    <w:name w:val="Comment Text Char"/>
    <w:basedOn w:val="DefaultParagraphFont"/>
    <w:link w:val="CommentText"/>
    <w:uiPriority w:val="99"/>
    <w:rsid w:val="00ED2A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2A66"/>
    <w:rPr>
      <w:b/>
      <w:bCs/>
    </w:rPr>
  </w:style>
  <w:style w:type="character" w:customStyle="1" w:styleId="CommentSubjectChar">
    <w:name w:val="Comment Subject Char"/>
    <w:basedOn w:val="CommentTextChar"/>
    <w:link w:val="CommentSubject"/>
    <w:uiPriority w:val="99"/>
    <w:semiHidden/>
    <w:rsid w:val="00ED2A66"/>
    <w:rPr>
      <w:b/>
      <w:bCs/>
    </w:rPr>
  </w:style>
  <w:style w:type="paragraph" w:styleId="BalloonText">
    <w:name w:val="Balloon Text"/>
    <w:basedOn w:val="Normal"/>
    <w:link w:val="BalloonTextChar"/>
    <w:uiPriority w:val="99"/>
    <w:semiHidden/>
    <w:unhideWhenUsed/>
    <w:rsid w:val="00ED2A66"/>
    <w:rPr>
      <w:rFonts w:ascii="Tahoma" w:hAnsi="Tahoma" w:cs="Tahoma"/>
      <w:sz w:val="16"/>
      <w:szCs w:val="16"/>
    </w:rPr>
  </w:style>
  <w:style w:type="character" w:customStyle="1" w:styleId="BalloonTextChar">
    <w:name w:val="Balloon Text Char"/>
    <w:basedOn w:val="DefaultParagraphFont"/>
    <w:link w:val="BalloonText"/>
    <w:uiPriority w:val="99"/>
    <w:semiHidden/>
    <w:rsid w:val="00ED2A66"/>
    <w:rPr>
      <w:rFonts w:ascii="Tahoma" w:eastAsia="Times New Roman" w:hAnsi="Tahoma" w:cs="Tahoma"/>
      <w:sz w:val="16"/>
      <w:szCs w:val="16"/>
    </w:rPr>
  </w:style>
  <w:style w:type="paragraph" w:styleId="Header">
    <w:name w:val="header"/>
    <w:basedOn w:val="Normal"/>
    <w:link w:val="HeaderChar"/>
    <w:uiPriority w:val="99"/>
    <w:semiHidden/>
    <w:unhideWhenUsed/>
    <w:rsid w:val="00A45485"/>
    <w:pPr>
      <w:tabs>
        <w:tab w:val="center" w:pos="4513"/>
        <w:tab w:val="right" w:pos="9026"/>
      </w:tabs>
    </w:pPr>
  </w:style>
  <w:style w:type="character" w:customStyle="1" w:styleId="HeaderChar">
    <w:name w:val="Header Char"/>
    <w:basedOn w:val="DefaultParagraphFont"/>
    <w:link w:val="Header"/>
    <w:uiPriority w:val="99"/>
    <w:semiHidden/>
    <w:rsid w:val="00A4548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45485"/>
    <w:pPr>
      <w:tabs>
        <w:tab w:val="center" w:pos="4513"/>
        <w:tab w:val="right" w:pos="9026"/>
      </w:tabs>
    </w:pPr>
  </w:style>
  <w:style w:type="character" w:customStyle="1" w:styleId="FooterChar">
    <w:name w:val="Footer Char"/>
    <w:basedOn w:val="DefaultParagraphFont"/>
    <w:link w:val="Footer"/>
    <w:uiPriority w:val="99"/>
    <w:rsid w:val="00A45485"/>
    <w:rPr>
      <w:rFonts w:ascii="Times New Roman" w:eastAsia="Times New Roman" w:hAnsi="Times New Roman" w:cs="Times New Roman"/>
      <w:sz w:val="24"/>
      <w:szCs w:val="20"/>
    </w:rPr>
  </w:style>
  <w:style w:type="paragraph" w:customStyle="1" w:styleId="R1">
    <w:name w:val="R1"/>
    <w:aliases w:val="1. or 1.(1)"/>
    <w:basedOn w:val="Normal"/>
    <w:next w:val="Normal"/>
    <w:rsid w:val="00785D64"/>
    <w:pPr>
      <w:tabs>
        <w:tab w:val="right" w:pos="1134"/>
      </w:tabs>
      <w:autoSpaceDE w:val="0"/>
      <w:autoSpaceDN w:val="0"/>
      <w:spacing w:before="240"/>
      <w:ind w:left="851"/>
      <w:jc w:val="both"/>
    </w:pPr>
    <w:rPr>
      <w:rFonts w:ascii="Times" w:hAnsi="Times" w:cs="Times"/>
      <w:sz w:val="26"/>
      <w:szCs w:val="26"/>
      <w:lang w:eastAsia="en-AU"/>
    </w:rPr>
  </w:style>
  <w:style w:type="paragraph" w:customStyle="1" w:styleId="NoteBody2">
    <w:name w:val="Note Body 2"/>
    <w:basedOn w:val="Normal"/>
    <w:rsid w:val="001378F7"/>
    <w:pPr>
      <w:autoSpaceDE w:val="0"/>
      <w:autoSpaceDN w:val="0"/>
      <w:spacing w:before="120" w:after="120" w:line="260" w:lineRule="atLeast"/>
      <w:jc w:val="both"/>
    </w:pPr>
    <w:rPr>
      <w:rFonts w:ascii="Times" w:hAnsi="Times" w:cs="Times"/>
      <w:sz w:val="22"/>
      <w:szCs w:val="22"/>
      <w:lang w:eastAsia="en-AU"/>
    </w:rPr>
  </w:style>
  <w:style w:type="paragraph" w:styleId="Revision">
    <w:name w:val="Revision"/>
    <w:hidden/>
    <w:uiPriority w:val="99"/>
    <w:semiHidden/>
    <w:rsid w:val="003B6052"/>
    <w:pPr>
      <w:spacing w:after="0" w:line="240" w:lineRule="auto"/>
    </w:pPr>
    <w:rPr>
      <w:rFonts w:ascii="Times New Roman" w:eastAsia="Times New Roman" w:hAnsi="Times New Roman" w:cs="Times New Roman"/>
      <w:sz w:val="24"/>
      <w:szCs w:val="20"/>
    </w:rPr>
  </w:style>
  <w:style w:type="paragraph" w:customStyle="1" w:styleId="P1">
    <w:name w:val="P1"/>
    <w:aliases w:val="(a)"/>
    <w:basedOn w:val="Normal"/>
    <w:uiPriority w:val="99"/>
    <w:rsid w:val="00960AB5"/>
    <w:pPr>
      <w:tabs>
        <w:tab w:val="right" w:pos="1080"/>
      </w:tabs>
      <w:autoSpaceDE w:val="0"/>
      <w:autoSpaceDN w:val="0"/>
      <w:spacing w:before="40" w:line="260" w:lineRule="atLeast"/>
      <w:ind w:left="1276" w:hanging="1280"/>
      <w:jc w:val="both"/>
    </w:pPr>
    <w:rPr>
      <w:rFonts w:ascii="Times" w:hAnsi="Times" w:cs="Times"/>
      <w:sz w:val="26"/>
      <w:szCs w:val="26"/>
      <w:lang w:eastAsia="en-AU"/>
    </w:rPr>
  </w:style>
  <w:style w:type="paragraph" w:customStyle="1" w:styleId="schedulenote">
    <w:name w:val="schedulenote"/>
    <w:basedOn w:val="Normal"/>
    <w:rsid w:val="00564D4C"/>
    <w:pPr>
      <w:spacing w:before="100" w:beforeAutospacing="1" w:after="100" w:afterAutospacing="1"/>
    </w:pPr>
    <w:rPr>
      <w:szCs w:val="24"/>
      <w:lang w:eastAsia="en-AU"/>
    </w:rPr>
  </w:style>
  <w:style w:type="character" w:customStyle="1" w:styleId="italictext0">
    <w:name w:val="italictext0"/>
    <w:basedOn w:val="DefaultParagraphFont"/>
    <w:rsid w:val="00564D4C"/>
  </w:style>
  <w:style w:type="paragraph" w:customStyle="1" w:styleId="schedulenotenumbered">
    <w:name w:val="schedulenotenumbered"/>
    <w:basedOn w:val="Normal"/>
    <w:rsid w:val="00564D4C"/>
    <w:pPr>
      <w:spacing w:before="100" w:beforeAutospacing="1" w:after="100" w:afterAutospacing="1"/>
    </w:pPr>
    <w:rPr>
      <w:szCs w:val="24"/>
      <w:lang w:eastAsia="en-AU"/>
    </w:rPr>
  </w:style>
</w:styles>
</file>

<file path=word/webSettings.xml><?xml version="1.0" encoding="utf-8"?>
<w:webSettings xmlns:r="http://schemas.openxmlformats.org/officeDocument/2006/relationships" xmlns:w="http://schemas.openxmlformats.org/wordprocessingml/2006/main">
  <w:divs>
    <w:div w:id="713501730">
      <w:bodyDiv w:val="1"/>
      <w:marLeft w:val="0"/>
      <w:marRight w:val="0"/>
      <w:marTop w:val="0"/>
      <w:marBottom w:val="0"/>
      <w:divBdr>
        <w:top w:val="none" w:sz="0" w:space="0" w:color="auto"/>
        <w:left w:val="none" w:sz="0" w:space="0" w:color="auto"/>
        <w:bottom w:val="none" w:sz="0" w:space="0" w:color="auto"/>
        <w:right w:val="none" w:sz="0" w:space="0" w:color="auto"/>
      </w:divBdr>
      <w:divsChild>
        <w:div w:id="1593582599">
          <w:marLeft w:val="0"/>
          <w:marRight w:val="0"/>
          <w:marTop w:val="0"/>
          <w:marBottom w:val="0"/>
          <w:divBdr>
            <w:top w:val="none" w:sz="0" w:space="0" w:color="auto"/>
            <w:left w:val="none" w:sz="0" w:space="0" w:color="auto"/>
            <w:bottom w:val="none" w:sz="0" w:space="0" w:color="auto"/>
            <w:right w:val="none" w:sz="0" w:space="0" w:color="auto"/>
          </w:divBdr>
          <w:divsChild>
            <w:div w:id="1865710022">
              <w:marLeft w:val="0"/>
              <w:marRight w:val="0"/>
              <w:marTop w:val="0"/>
              <w:marBottom w:val="0"/>
              <w:divBdr>
                <w:top w:val="none" w:sz="0" w:space="0" w:color="auto"/>
                <w:left w:val="none" w:sz="0" w:space="0" w:color="auto"/>
                <w:bottom w:val="none" w:sz="0" w:space="0" w:color="auto"/>
                <w:right w:val="none" w:sz="0" w:space="0" w:color="auto"/>
              </w:divBdr>
              <w:divsChild>
                <w:div w:id="229115413">
                  <w:marLeft w:val="0"/>
                  <w:marRight w:val="0"/>
                  <w:marTop w:val="0"/>
                  <w:marBottom w:val="0"/>
                  <w:divBdr>
                    <w:top w:val="none" w:sz="0" w:space="0" w:color="auto"/>
                    <w:left w:val="none" w:sz="0" w:space="0" w:color="auto"/>
                    <w:bottom w:val="none" w:sz="0" w:space="0" w:color="auto"/>
                    <w:right w:val="none" w:sz="0" w:space="0" w:color="auto"/>
                  </w:divBdr>
                  <w:divsChild>
                    <w:div w:id="1745104686">
                      <w:marLeft w:val="0"/>
                      <w:marRight w:val="0"/>
                      <w:marTop w:val="0"/>
                      <w:marBottom w:val="0"/>
                      <w:divBdr>
                        <w:top w:val="none" w:sz="0" w:space="0" w:color="auto"/>
                        <w:left w:val="none" w:sz="0" w:space="0" w:color="auto"/>
                        <w:bottom w:val="none" w:sz="0" w:space="0" w:color="auto"/>
                        <w:right w:val="none" w:sz="0" w:space="0" w:color="auto"/>
                      </w:divBdr>
                      <w:divsChild>
                        <w:div w:id="296376309">
                          <w:marLeft w:val="0"/>
                          <w:marRight w:val="0"/>
                          <w:marTop w:val="0"/>
                          <w:marBottom w:val="0"/>
                          <w:divBdr>
                            <w:top w:val="single" w:sz="6" w:space="0" w:color="828282"/>
                            <w:left w:val="single" w:sz="6" w:space="0" w:color="828282"/>
                            <w:bottom w:val="single" w:sz="6" w:space="0" w:color="828282"/>
                            <w:right w:val="single" w:sz="6" w:space="0" w:color="828282"/>
                          </w:divBdr>
                          <w:divsChild>
                            <w:div w:id="1931348669">
                              <w:marLeft w:val="0"/>
                              <w:marRight w:val="0"/>
                              <w:marTop w:val="0"/>
                              <w:marBottom w:val="0"/>
                              <w:divBdr>
                                <w:top w:val="none" w:sz="0" w:space="0" w:color="auto"/>
                                <w:left w:val="none" w:sz="0" w:space="0" w:color="auto"/>
                                <w:bottom w:val="none" w:sz="0" w:space="0" w:color="auto"/>
                                <w:right w:val="none" w:sz="0" w:space="0" w:color="auto"/>
                              </w:divBdr>
                              <w:divsChild>
                                <w:div w:id="694623590">
                                  <w:marLeft w:val="0"/>
                                  <w:marRight w:val="0"/>
                                  <w:marTop w:val="0"/>
                                  <w:marBottom w:val="0"/>
                                  <w:divBdr>
                                    <w:top w:val="none" w:sz="0" w:space="0" w:color="auto"/>
                                    <w:left w:val="none" w:sz="0" w:space="0" w:color="auto"/>
                                    <w:bottom w:val="none" w:sz="0" w:space="0" w:color="auto"/>
                                    <w:right w:val="none" w:sz="0" w:space="0" w:color="auto"/>
                                  </w:divBdr>
                                  <w:divsChild>
                                    <w:div w:id="521935635">
                                      <w:marLeft w:val="0"/>
                                      <w:marRight w:val="0"/>
                                      <w:marTop w:val="0"/>
                                      <w:marBottom w:val="0"/>
                                      <w:divBdr>
                                        <w:top w:val="none" w:sz="0" w:space="0" w:color="auto"/>
                                        <w:left w:val="none" w:sz="0" w:space="0" w:color="auto"/>
                                        <w:bottom w:val="none" w:sz="0" w:space="0" w:color="auto"/>
                                        <w:right w:val="none" w:sz="0" w:space="0" w:color="auto"/>
                                      </w:divBdr>
                                      <w:divsChild>
                                        <w:div w:id="10186143">
                                          <w:marLeft w:val="0"/>
                                          <w:marRight w:val="0"/>
                                          <w:marTop w:val="0"/>
                                          <w:marBottom w:val="0"/>
                                          <w:divBdr>
                                            <w:top w:val="none" w:sz="0" w:space="0" w:color="auto"/>
                                            <w:left w:val="none" w:sz="0" w:space="0" w:color="auto"/>
                                            <w:bottom w:val="none" w:sz="0" w:space="0" w:color="auto"/>
                                            <w:right w:val="none" w:sz="0" w:space="0" w:color="auto"/>
                                          </w:divBdr>
                                          <w:divsChild>
                                            <w:div w:id="280498894">
                                              <w:marLeft w:val="0"/>
                                              <w:marRight w:val="0"/>
                                              <w:marTop w:val="0"/>
                                              <w:marBottom w:val="0"/>
                                              <w:divBdr>
                                                <w:top w:val="none" w:sz="0" w:space="0" w:color="auto"/>
                                                <w:left w:val="none" w:sz="0" w:space="0" w:color="auto"/>
                                                <w:bottom w:val="none" w:sz="0" w:space="0" w:color="auto"/>
                                                <w:right w:val="none" w:sz="0" w:space="0" w:color="auto"/>
                                              </w:divBdr>
                                              <w:divsChild>
                                                <w:div w:id="20667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057162">
      <w:bodyDiv w:val="1"/>
      <w:marLeft w:val="0"/>
      <w:marRight w:val="0"/>
      <w:marTop w:val="0"/>
      <w:marBottom w:val="0"/>
      <w:divBdr>
        <w:top w:val="none" w:sz="0" w:space="0" w:color="auto"/>
        <w:left w:val="none" w:sz="0" w:space="0" w:color="auto"/>
        <w:bottom w:val="none" w:sz="0" w:space="0" w:color="auto"/>
        <w:right w:val="none" w:sz="0" w:space="0" w:color="auto"/>
      </w:divBdr>
      <w:divsChild>
        <w:div w:id="540441226">
          <w:marLeft w:val="0"/>
          <w:marRight w:val="0"/>
          <w:marTop w:val="0"/>
          <w:marBottom w:val="0"/>
          <w:divBdr>
            <w:top w:val="none" w:sz="0" w:space="0" w:color="auto"/>
            <w:left w:val="none" w:sz="0" w:space="0" w:color="auto"/>
            <w:bottom w:val="none" w:sz="0" w:space="0" w:color="auto"/>
            <w:right w:val="none" w:sz="0" w:space="0" w:color="auto"/>
          </w:divBdr>
          <w:divsChild>
            <w:div w:id="363940303">
              <w:marLeft w:val="0"/>
              <w:marRight w:val="0"/>
              <w:marTop w:val="0"/>
              <w:marBottom w:val="0"/>
              <w:divBdr>
                <w:top w:val="none" w:sz="0" w:space="0" w:color="auto"/>
                <w:left w:val="none" w:sz="0" w:space="0" w:color="auto"/>
                <w:bottom w:val="none" w:sz="0" w:space="0" w:color="auto"/>
                <w:right w:val="none" w:sz="0" w:space="0" w:color="auto"/>
              </w:divBdr>
              <w:divsChild>
                <w:div w:id="1895967918">
                  <w:marLeft w:val="0"/>
                  <w:marRight w:val="0"/>
                  <w:marTop w:val="0"/>
                  <w:marBottom w:val="0"/>
                  <w:divBdr>
                    <w:top w:val="none" w:sz="0" w:space="0" w:color="auto"/>
                    <w:left w:val="none" w:sz="0" w:space="0" w:color="auto"/>
                    <w:bottom w:val="none" w:sz="0" w:space="0" w:color="auto"/>
                    <w:right w:val="none" w:sz="0" w:space="0" w:color="auto"/>
                  </w:divBdr>
                  <w:divsChild>
                    <w:div w:id="1210335132">
                      <w:marLeft w:val="0"/>
                      <w:marRight w:val="0"/>
                      <w:marTop w:val="0"/>
                      <w:marBottom w:val="0"/>
                      <w:divBdr>
                        <w:top w:val="none" w:sz="0" w:space="0" w:color="auto"/>
                        <w:left w:val="none" w:sz="0" w:space="0" w:color="auto"/>
                        <w:bottom w:val="none" w:sz="0" w:space="0" w:color="auto"/>
                        <w:right w:val="none" w:sz="0" w:space="0" w:color="auto"/>
                      </w:divBdr>
                      <w:divsChild>
                        <w:div w:id="1869026497">
                          <w:marLeft w:val="0"/>
                          <w:marRight w:val="0"/>
                          <w:marTop w:val="0"/>
                          <w:marBottom w:val="0"/>
                          <w:divBdr>
                            <w:top w:val="single" w:sz="6" w:space="0" w:color="828282"/>
                            <w:left w:val="single" w:sz="6" w:space="0" w:color="828282"/>
                            <w:bottom w:val="single" w:sz="6" w:space="0" w:color="828282"/>
                            <w:right w:val="single" w:sz="6" w:space="0" w:color="828282"/>
                          </w:divBdr>
                          <w:divsChild>
                            <w:div w:id="483013308">
                              <w:marLeft w:val="0"/>
                              <w:marRight w:val="0"/>
                              <w:marTop w:val="0"/>
                              <w:marBottom w:val="0"/>
                              <w:divBdr>
                                <w:top w:val="none" w:sz="0" w:space="0" w:color="auto"/>
                                <w:left w:val="none" w:sz="0" w:space="0" w:color="auto"/>
                                <w:bottom w:val="none" w:sz="0" w:space="0" w:color="auto"/>
                                <w:right w:val="none" w:sz="0" w:space="0" w:color="auto"/>
                              </w:divBdr>
                              <w:divsChild>
                                <w:div w:id="1820266484">
                                  <w:marLeft w:val="0"/>
                                  <w:marRight w:val="0"/>
                                  <w:marTop w:val="0"/>
                                  <w:marBottom w:val="0"/>
                                  <w:divBdr>
                                    <w:top w:val="none" w:sz="0" w:space="0" w:color="auto"/>
                                    <w:left w:val="none" w:sz="0" w:space="0" w:color="auto"/>
                                    <w:bottom w:val="none" w:sz="0" w:space="0" w:color="auto"/>
                                    <w:right w:val="none" w:sz="0" w:space="0" w:color="auto"/>
                                  </w:divBdr>
                                  <w:divsChild>
                                    <w:div w:id="2006083954">
                                      <w:marLeft w:val="0"/>
                                      <w:marRight w:val="0"/>
                                      <w:marTop w:val="0"/>
                                      <w:marBottom w:val="0"/>
                                      <w:divBdr>
                                        <w:top w:val="none" w:sz="0" w:space="0" w:color="auto"/>
                                        <w:left w:val="none" w:sz="0" w:space="0" w:color="auto"/>
                                        <w:bottom w:val="none" w:sz="0" w:space="0" w:color="auto"/>
                                        <w:right w:val="none" w:sz="0" w:space="0" w:color="auto"/>
                                      </w:divBdr>
                                      <w:divsChild>
                                        <w:div w:id="1712225001">
                                          <w:marLeft w:val="0"/>
                                          <w:marRight w:val="0"/>
                                          <w:marTop w:val="0"/>
                                          <w:marBottom w:val="0"/>
                                          <w:divBdr>
                                            <w:top w:val="none" w:sz="0" w:space="0" w:color="auto"/>
                                            <w:left w:val="none" w:sz="0" w:space="0" w:color="auto"/>
                                            <w:bottom w:val="none" w:sz="0" w:space="0" w:color="auto"/>
                                            <w:right w:val="none" w:sz="0" w:space="0" w:color="auto"/>
                                          </w:divBdr>
                                          <w:divsChild>
                                            <w:div w:id="1094744469">
                                              <w:marLeft w:val="0"/>
                                              <w:marRight w:val="0"/>
                                              <w:marTop w:val="0"/>
                                              <w:marBottom w:val="0"/>
                                              <w:divBdr>
                                                <w:top w:val="none" w:sz="0" w:space="0" w:color="auto"/>
                                                <w:left w:val="none" w:sz="0" w:space="0" w:color="auto"/>
                                                <w:bottom w:val="none" w:sz="0" w:space="0" w:color="auto"/>
                                                <w:right w:val="none" w:sz="0" w:space="0" w:color="auto"/>
                                              </w:divBdr>
                                              <w:divsChild>
                                                <w:div w:id="14313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012213">
      <w:bodyDiv w:val="1"/>
      <w:marLeft w:val="0"/>
      <w:marRight w:val="0"/>
      <w:marTop w:val="0"/>
      <w:marBottom w:val="0"/>
      <w:divBdr>
        <w:top w:val="none" w:sz="0" w:space="0" w:color="auto"/>
        <w:left w:val="none" w:sz="0" w:space="0" w:color="auto"/>
        <w:bottom w:val="none" w:sz="0" w:space="0" w:color="auto"/>
        <w:right w:val="none" w:sz="0" w:space="0" w:color="auto"/>
      </w:divBdr>
      <w:divsChild>
        <w:div w:id="1120339609">
          <w:marLeft w:val="0"/>
          <w:marRight w:val="0"/>
          <w:marTop w:val="0"/>
          <w:marBottom w:val="0"/>
          <w:divBdr>
            <w:top w:val="none" w:sz="0" w:space="0" w:color="auto"/>
            <w:left w:val="none" w:sz="0" w:space="0" w:color="auto"/>
            <w:bottom w:val="none" w:sz="0" w:space="0" w:color="auto"/>
            <w:right w:val="none" w:sz="0" w:space="0" w:color="auto"/>
          </w:divBdr>
          <w:divsChild>
            <w:div w:id="785276783">
              <w:marLeft w:val="0"/>
              <w:marRight w:val="0"/>
              <w:marTop w:val="0"/>
              <w:marBottom w:val="0"/>
              <w:divBdr>
                <w:top w:val="none" w:sz="0" w:space="0" w:color="auto"/>
                <w:left w:val="none" w:sz="0" w:space="0" w:color="auto"/>
                <w:bottom w:val="none" w:sz="0" w:space="0" w:color="auto"/>
                <w:right w:val="none" w:sz="0" w:space="0" w:color="auto"/>
              </w:divBdr>
              <w:divsChild>
                <w:div w:id="1946036912">
                  <w:marLeft w:val="0"/>
                  <w:marRight w:val="0"/>
                  <w:marTop w:val="0"/>
                  <w:marBottom w:val="0"/>
                  <w:divBdr>
                    <w:top w:val="none" w:sz="0" w:space="0" w:color="auto"/>
                    <w:left w:val="none" w:sz="0" w:space="0" w:color="auto"/>
                    <w:bottom w:val="none" w:sz="0" w:space="0" w:color="auto"/>
                    <w:right w:val="none" w:sz="0" w:space="0" w:color="auto"/>
                  </w:divBdr>
                  <w:divsChild>
                    <w:div w:id="1239824024">
                      <w:marLeft w:val="0"/>
                      <w:marRight w:val="0"/>
                      <w:marTop w:val="0"/>
                      <w:marBottom w:val="0"/>
                      <w:divBdr>
                        <w:top w:val="none" w:sz="0" w:space="0" w:color="auto"/>
                        <w:left w:val="none" w:sz="0" w:space="0" w:color="auto"/>
                        <w:bottom w:val="none" w:sz="0" w:space="0" w:color="auto"/>
                        <w:right w:val="none" w:sz="0" w:space="0" w:color="auto"/>
                      </w:divBdr>
                      <w:divsChild>
                        <w:div w:id="610480130">
                          <w:marLeft w:val="0"/>
                          <w:marRight w:val="0"/>
                          <w:marTop w:val="0"/>
                          <w:marBottom w:val="0"/>
                          <w:divBdr>
                            <w:top w:val="single" w:sz="6" w:space="0" w:color="828282"/>
                            <w:left w:val="single" w:sz="6" w:space="0" w:color="828282"/>
                            <w:bottom w:val="single" w:sz="6" w:space="0" w:color="828282"/>
                            <w:right w:val="single" w:sz="6" w:space="0" w:color="828282"/>
                          </w:divBdr>
                          <w:divsChild>
                            <w:div w:id="391317148">
                              <w:marLeft w:val="0"/>
                              <w:marRight w:val="0"/>
                              <w:marTop w:val="0"/>
                              <w:marBottom w:val="0"/>
                              <w:divBdr>
                                <w:top w:val="none" w:sz="0" w:space="0" w:color="auto"/>
                                <w:left w:val="none" w:sz="0" w:space="0" w:color="auto"/>
                                <w:bottom w:val="none" w:sz="0" w:space="0" w:color="auto"/>
                                <w:right w:val="none" w:sz="0" w:space="0" w:color="auto"/>
                              </w:divBdr>
                              <w:divsChild>
                                <w:div w:id="2057314567">
                                  <w:marLeft w:val="0"/>
                                  <w:marRight w:val="0"/>
                                  <w:marTop w:val="0"/>
                                  <w:marBottom w:val="0"/>
                                  <w:divBdr>
                                    <w:top w:val="none" w:sz="0" w:space="0" w:color="auto"/>
                                    <w:left w:val="none" w:sz="0" w:space="0" w:color="auto"/>
                                    <w:bottom w:val="none" w:sz="0" w:space="0" w:color="auto"/>
                                    <w:right w:val="none" w:sz="0" w:space="0" w:color="auto"/>
                                  </w:divBdr>
                                  <w:divsChild>
                                    <w:div w:id="1947619814">
                                      <w:marLeft w:val="0"/>
                                      <w:marRight w:val="0"/>
                                      <w:marTop w:val="0"/>
                                      <w:marBottom w:val="0"/>
                                      <w:divBdr>
                                        <w:top w:val="none" w:sz="0" w:space="0" w:color="auto"/>
                                        <w:left w:val="none" w:sz="0" w:space="0" w:color="auto"/>
                                        <w:bottom w:val="none" w:sz="0" w:space="0" w:color="auto"/>
                                        <w:right w:val="none" w:sz="0" w:space="0" w:color="auto"/>
                                      </w:divBdr>
                                      <w:divsChild>
                                        <w:div w:id="597520425">
                                          <w:marLeft w:val="0"/>
                                          <w:marRight w:val="0"/>
                                          <w:marTop w:val="0"/>
                                          <w:marBottom w:val="0"/>
                                          <w:divBdr>
                                            <w:top w:val="none" w:sz="0" w:space="0" w:color="auto"/>
                                            <w:left w:val="none" w:sz="0" w:space="0" w:color="auto"/>
                                            <w:bottom w:val="none" w:sz="0" w:space="0" w:color="auto"/>
                                            <w:right w:val="none" w:sz="0" w:space="0" w:color="auto"/>
                                          </w:divBdr>
                                          <w:divsChild>
                                            <w:div w:id="2017223204">
                                              <w:marLeft w:val="0"/>
                                              <w:marRight w:val="0"/>
                                              <w:marTop w:val="0"/>
                                              <w:marBottom w:val="0"/>
                                              <w:divBdr>
                                                <w:top w:val="none" w:sz="0" w:space="0" w:color="auto"/>
                                                <w:left w:val="none" w:sz="0" w:space="0" w:color="auto"/>
                                                <w:bottom w:val="none" w:sz="0" w:space="0" w:color="auto"/>
                                                <w:right w:val="none" w:sz="0" w:space="0" w:color="auto"/>
                                              </w:divBdr>
                                              <w:divsChild>
                                                <w:div w:id="166346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9DEAA-D6D1-49B4-9AC5-115FCDE63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1754</Words>
  <Characters>10002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DBCDE</Company>
  <LinksUpToDate>false</LinksUpToDate>
  <CharactersWithSpaces>11733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bmetschke</dc:creator>
  <cp:lastModifiedBy>bmetschke</cp:lastModifiedBy>
  <cp:revision>2</cp:revision>
  <cp:lastPrinted>2012-04-23T04:23:00Z</cp:lastPrinted>
  <dcterms:created xsi:type="dcterms:W3CDTF">2012-05-28T05:59:00Z</dcterms:created>
  <dcterms:modified xsi:type="dcterms:W3CDTF">2012-05-28T05:59:00Z</dcterms:modified>
</cp:coreProperties>
</file>