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BD" w:rsidRPr="00AB3AC0" w:rsidRDefault="001B26BD" w:rsidP="001B26BD">
      <w:pPr>
        <w:pStyle w:val="Title"/>
      </w:pPr>
      <w:r w:rsidRPr="00AB3AC0">
        <w:t>EXPLANATORY</w:t>
      </w:r>
      <w:r w:rsidR="00945945">
        <w:t xml:space="preserve"> </w:t>
      </w:r>
      <w:r w:rsidRPr="00AB3AC0">
        <w:t>STATEMENT</w:t>
      </w:r>
    </w:p>
    <w:p w:rsidR="001B26BD" w:rsidRPr="00AB3AC0" w:rsidRDefault="001B26BD" w:rsidP="001B26BD">
      <w:pPr>
        <w:rPr>
          <w:sz w:val="24"/>
        </w:rPr>
      </w:pPr>
    </w:p>
    <w:p w:rsidR="00A230D1" w:rsidRDefault="0062041F" w:rsidP="001B26BD">
      <w:pPr>
        <w:pStyle w:val="BodyText"/>
      </w:pPr>
      <w:r w:rsidRPr="00AB3AC0">
        <w:t>Issued</w:t>
      </w:r>
      <w:r w:rsidR="00945945">
        <w:t xml:space="preserve"> </w:t>
      </w:r>
      <w:r w:rsidRPr="00AB3AC0">
        <w:t>by</w:t>
      </w:r>
      <w:r w:rsidR="00945945">
        <w:t xml:space="preserve"> </w:t>
      </w:r>
      <w:r w:rsidRPr="00AB3AC0">
        <w:t>the</w:t>
      </w:r>
      <w:r w:rsidR="00945945">
        <w:t xml:space="preserve"> </w:t>
      </w:r>
      <w:r w:rsidRPr="00AB3AC0">
        <w:t>a</w:t>
      </w:r>
      <w:r w:rsidR="001B26BD" w:rsidRPr="00AB3AC0">
        <w:t>uthority</w:t>
      </w:r>
      <w:r w:rsidR="00945945">
        <w:t xml:space="preserve"> </w:t>
      </w:r>
      <w:r w:rsidR="001B26BD" w:rsidRPr="00AB3AC0">
        <w:t>of</w:t>
      </w:r>
      <w:r w:rsidR="00945945">
        <w:t xml:space="preserve"> </w:t>
      </w:r>
      <w:r w:rsidR="001B26BD" w:rsidRPr="00AB3AC0">
        <w:t>the</w:t>
      </w:r>
      <w:r w:rsidR="00945945">
        <w:t xml:space="preserve"> </w:t>
      </w:r>
      <w:r w:rsidR="001B26BD" w:rsidRPr="00AB3AC0">
        <w:t>Minister</w:t>
      </w:r>
      <w:r w:rsidR="00945945">
        <w:t xml:space="preserve"> </w:t>
      </w:r>
      <w:r w:rsidR="001B26BD" w:rsidRPr="00AB3AC0">
        <w:t>for</w:t>
      </w:r>
      <w:r w:rsidR="00945945">
        <w:t xml:space="preserve"> </w:t>
      </w:r>
      <w:r w:rsidR="00A230D1">
        <w:t>Broadband,</w:t>
      </w:r>
      <w:r w:rsidR="00945945">
        <w:t xml:space="preserve"> </w:t>
      </w:r>
      <w:r w:rsidR="001B26BD" w:rsidRPr="00AB3AC0">
        <w:t>Communications</w:t>
      </w:r>
      <w:r w:rsidR="00945945">
        <w:t xml:space="preserve"> </w:t>
      </w:r>
    </w:p>
    <w:p w:rsidR="001B26BD" w:rsidRPr="00AB3AC0" w:rsidRDefault="001B26BD" w:rsidP="001B26BD">
      <w:pPr>
        <w:pStyle w:val="BodyText"/>
      </w:pPr>
      <w:proofErr w:type="gramStart"/>
      <w:r w:rsidRPr="00AB3AC0">
        <w:t>and</w:t>
      </w:r>
      <w:proofErr w:type="gramEnd"/>
      <w:r w:rsidR="00945945">
        <w:t xml:space="preserve"> </w:t>
      </w:r>
      <w:r w:rsidRPr="00AB3AC0">
        <w:t>the</w:t>
      </w:r>
      <w:r w:rsidR="00945945">
        <w:t xml:space="preserve"> </w:t>
      </w:r>
      <w:r w:rsidR="00A230D1">
        <w:t>Digital</w:t>
      </w:r>
      <w:r w:rsidR="00945945">
        <w:t xml:space="preserve"> </w:t>
      </w:r>
      <w:r w:rsidR="00A230D1">
        <w:t>Economy</w:t>
      </w:r>
    </w:p>
    <w:p w:rsidR="001B26BD" w:rsidRPr="00AB3AC0" w:rsidRDefault="001B26BD" w:rsidP="001B26BD">
      <w:pPr>
        <w:rPr>
          <w:sz w:val="24"/>
        </w:rPr>
      </w:pPr>
    </w:p>
    <w:p w:rsidR="001B26BD" w:rsidRPr="00537E19" w:rsidRDefault="00537E19" w:rsidP="001B26BD">
      <w:pPr>
        <w:pStyle w:val="Heading1"/>
      </w:pPr>
      <w:r w:rsidRPr="00537E19">
        <w:t>Telecommunications</w:t>
      </w:r>
      <w:r w:rsidR="00945945">
        <w:t xml:space="preserve"> </w:t>
      </w:r>
      <w:r w:rsidRPr="00537E19">
        <w:t>Universal</w:t>
      </w:r>
      <w:r w:rsidR="00945945">
        <w:t xml:space="preserve"> </w:t>
      </w:r>
      <w:r w:rsidRPr="00537E19">
        <w:t>Service</w:t>
      </w:r>
      <w:r w:rsidR="00945945">
        <w:t xml:space="preserve"> </w:t>
      </w:r>
      <w:r w:rsidRPr="00537E19">
        <w:t>Management</w:t>
      </w:r>
      <w:r w:rsidR="00945945">
        <w:t xml:space="preserve"> </w:t>
      </w:r>
      <w:r w:rsidRPr="00537E19">
        <w:t>Agency</w:t>
      </w:r>
      <w:r w:rsidR="00945945">
        <w:t xml:space="preserve"> </w:t>
      </w:r>
      <w:r w:rsidRPr="00537E19">
        <w:t>Act</w:t>
      </w:r>
      <w:r w:rsidR="00945945">
        <w:t xml:space="preserve"> </w:t>
      </w:r>
      <w:r w:rsidRPr="00537E19">
        <w:t>2012</w:t>
      </w:r>
    </w:p>
    <w:p w:rsidR="001B26BD" w:rsidRPr="00AB3AC0" w:rsidRDefault="001B26BD" w:rsidP="001B26BD">
      <w:pPr>
        <w:jc w:val="center"/>
        <w:rPr>
          <w:i/>
          <w:sz w:val="24"/>
        </w:rPr>
      </w:pPr>
    </w:p>
    <w:p w:rsidR="001B26BD" w:rsidRPr="00AB3AC0" w:rsidRDefault="003137BC" w:rsidP="003137BC">
      <w:pPr>
        <w:jc w:val="center"/>
        <w:rPr>
          <w:sz w:val="24"/>
        </w:rPr>
      </w:pPr>
      <w:r w:rsidRPr="00AB3AC0">
        <w:rPr>
          <w:sz w:val="24"/>
        </w:rPr>
        <w:t>Proclamation</w:t>
      </w:r>
    </w:p>
    <w:p w:rsidR="00256B07" w:rsidRPr="00AB3AC0" w:rsidRDefault="00256B07" w:rsidP="003137BC">
      <w:pPr>
        <w:rPr>
          <w:sz w:val="24"/>
        </w:rPr>
      </w:pPr>
    </w:p>
    <w:p w:rsidR="003137BC" w:rsidRPr="00AB3AC0" w:rsidRDefault="00537E19" w:rsidP="007D1D2B">
      <w:pPr>
        <w:pStyle w:val="Heading1"/>
        <w:jc w:val="left"/>
        <w:rPr>
          <w:i w:val="0"/>
        </w:rPr>
      </w:pPr>
      <w:r w:rsidRPr="00537E19">
        <w:rPr>
          <w:i w:val="0"/>
        </w:rPr>
        <w:t>S</w:t>
      </w:r>
      <w:r w:rsidR="00E00E91">
        <w:rPr>
          <w:i w:val="0"/>
        </w:rPr>
        <w:t>ubs</w:t>
      </w:r>
      <w:r w:rsidRPr="00537E19">
        <w:rPr>
          <w:i w:val="0"/>
        </w:rPr>
        <w:t>ection</w:t>
      </w:r>
      <w:r w:rsidR="00945945">
        <w:rPr>
          <w:i w:val="0"/>
        </w:rPr>
        <w:t xml:space="preserve"> </w:t>
      </w:r>
      <w:r w:rsidRPr="00537E19">
        <w:rPr>
          <w:i w:val="0"/>
        </w:rPr>
        <w:t>2</w:t>
      </w:r>
      <w:r w:rsidR="00E00E91">
        <w:rPr>
          <w:i w:val="0"/>
        </w:rPr>
        <w:t>(1)</w:t>
      </w:r>
      <w:r w:rsidR="00945945">
        <w:rPr>
          <w:i w:val="0"/>
        </w:rPr>
        <w:t xml:space="preserve"> </w:t>
      </w:r>
      <w:r w:rsidR="003137BC" w:rsidRPr="00537E19">
        <w:rPr>
          <w:i w:val="0"/>
        </w:rPr>
        <w:t>of</w:t>
      </w:r>
      <w:r w:rsidR="00945945">
        <w:rPr>
          <w:i w:val="0"/>
        </w:rPr>
        <w:t xml:space="preserve"> </w:t>
      </w:r>
      <w:r w:rsidR="003137BC" w:rsidRPr="00537E19">
        <w:rPr>
          <w:i w:val="0"/>
        </w:rPr>
        <w:t>the</w:t>
      </w:r>
      <w:r w:rsidR="00945945">
        <w:rPr>
          <w:i w:val="0"/>
        </w:rPr>
        <w:t xml:space="preserve"> </w:t>
      </w:r>
      <w:r w:rsidR="00980CBF">
        <w:t>Telecommunications</w:t>
      </w:r>
      <w:r w:rsidR="00945945">
        <w:t xml:space="preserve"> </w:t>
      </w:r>
      <w:r w:rsidR="00980CBF">
        <w:t>Universal</w:t>
      </w:r>
      <w:r w:rsidR="00945945">
        <w:t xml:space="preserve"> </w:t>
      </w:r>
      <w:r w:rsidR="00980CBF">
        <w:t>Service</w:t>
      </w:r>
      <w:r w:rsidR="00945945">
        <w:t xml:space="preserve"> </w:t>
      </w:r>
      <w:r w:rsidR="00980CBF">
        <w:t>Management</w:t>
      </w:r>
      <w:r w:rsidR="00945945">
        <w:t xml:space="preserve"> </w:t>
      </w:r>
      <w:r w:rsidR="00542E56">
        <w:t xml:space="preserve">Agency </w:t>
      </w:r>
      <w:r w:rsidR="00AB3AC0" w:rsidRPr="00537E19">
        <w:t>Act</w:t>
      </w:r>
      <w:r w:rsidR="00945945">
        <w:t xml:space="preserve"> </w:t>
      </w:r>
      <w:r w:rsidR="00980CBF">
        <w:t>2012</w:t>
      </w:r>
      <w:r w:rsidR="00945945">
        <w:rPr>
          <w:i w:val="0"/>
        </w:rPr>
        <w:t xml:space="preserve"> </w:t>
      </w:r>
      <w:r w:rsidR="003137BC" w:rsidRPr="00537E19">
        <w:rPr>
          <w:i w:val="0"/>
        </w:rPr>
        <w:t>(the</w:t>
      </w:r>
      <w:r w:rsidR="00945945">
        <w:rPr>
          <w:i w:val="0"/>
        </w:rPr>
        <w:t xml:space="preserve"> </w:t>
      </w:r>
      <w:r w:rsidR="003137BC" w:rsidRPr="00537E19">
        <w:rPr>
          <w:i w:val="0"/>
        </w:rPr>
        <w:t>Act)</w:t>
      </w:r>
      <w:r w:rsidR="00945945">
        <w:rPr>
          <w:i w:val="0"/>
        </w:rPr>
        <w:t xml:space="preserve"> </w:t>
      </w:r>
      <w:r w:rsidR="003137BC" w:rsidRPr="00537E19">
        <w:rPr>
          <w:i w:val="0"/>
        </w:rPr>
        <w:t>provides</w:t>
      </w:r>
      <w:r w:rsidR="00945945">
        <w:rPr>
          <w:i w:val="0"/>
        </w:rPr>
        <w:t xml:space="preserve"> </w:t>
      </w:r>
      <w:r w:rsidR="003137BC" w:rsidRPr="00537E19">
        <w:rPr>
          <w:i w:val="0"/>
        </w:rPr>
        <w:t>that</w:t>
      </w:r>
      <w:r w:rsidR="00945945">
        <w:rPr>
          <w:i w:val="0"/>
        </w:rPr>
        <w:t xml:space="preserve"> </w:t>
      </w:r>
      <w:r w:rsidRPr="00537E19">
        <w:rPr>
          <w:i w:val="0"/>
        </w:rPr>
        <w:t>sections</w:t>
      </w:r>
      <w:r w:rsidR="00945945">
        <w:rPr>
          <w:i w:val="0"/>
        </w:rPr>
        <w:t xml:space="preserve"> </w:t>
      </w:r>
      <w:r w:rsidRPr="00537E19">
        <w:rPr>
          <w:i w:val="0"/>
        </w:rPr>
        <w:t>3</w:t>
      </w:r>
      <w:r w:rsidR="00945945">
        <w:rPr>
          <w:i w:val="0"/>
        </w:rPr>
        <w:t xml:space="preserve"> </w:t>
      </w:r>
      <w:r w:rsidRPr="00537E19">
        <w:rPr>
          <w:i w:val="0"/>
        </w:rPr>
        <w:t>to</w:t>
      </w:r>
      <w:r w:rsidR="00945945">
        <w:rPr>
          <w:i w:val="0"/>
        </w:rPr>
        <w:t xml:space="preserve"> </w:t>
      </w:r>
      <w:r w:rsidRPr="00537E19">
        <w:rPr>
          <w:i w:val="0"/>
        </w:rPr>
        <w:t>125</w:t>
      </w:r>
      <w:r w:rsidR="00945945">
        <w:rPr>
          <w:i w:val="0"/>
        </w:rPr>
        <w:t xml:space="preserve"> </w:t>
      </w:r>
      <w:r w:rsidRPr="00537E19">
        <w:rPr>
          <w:i w:val="0"/>
        </w:rPr>
        <w:t>of</w:t>
      </w:r>
      <w:r w:rsidR="00945945">
        <w:rPr>
          <w:i w:val="0"/>
        </w:rPr>
        <w:t xml:space="preserve"> </w:t>
      </w:r>
      <w:r w:rsidR="003137BC" w:rsidRPr="00AB3AC0">
        <w:rPr>
          <w:i w:val="0"/>
        </w:rPr>
        <w:t>the</w:t>
      </w:r>
      <w:r w:rsidR="00945945">
        <w:rPr>
          <w:i w:val="0"/>
        </w:rPr>
        <w:t xml:space="preserve"> </w:t>
      </w:r>
      <w:r w:rsidR="003137BC" w:rsidRPr="00AB3AC0">
        <w:rPr>
          <w:i w:val="0"/>
        </w:rPr>
        <w:t>Act</w:t>
      </w:r>
      <w:r w:rsidR="00945945">
        <w:rPr>
          <w:i w:val="0"/>
        </w:rPr>
        <w:t xml:space="preserve"> </w:t>
      </w:r>
      <w:r w:rsidR="003137BC" w:rsidRPr="00AB3AC0">
        <w:rPr>
          <w:i w:val="0"/>
        </w:rPr>
        <w:t>com</w:t>
      </w:r>
      <w:r w:rsidR="0062041F" w:rsidRPr="00AB3AC0">
        <w:rPr>
          <w:i w:val="0"/>
        </w:rPr>
        <w:t>mence</w:t>
      </w:r>
      <w:r w:rsidR="00945945">
        <w:rPr>
          <w:i w:val="0"/>
        </w:rPr>
        <w:t xml:space="preserve"> </w:t>
      </w:r>
      <w:r w:rsidR="0062041F" w:rsidRPr="00AB3AC0">
        <w:rPr>
          <w:i w:val="0"/>
        </w:rPr>
        <w:t>on</w:t>
      </w:r>
      <w:r w:rsidR="00945945">
        <w:rPr>
          <w:i w:val="0"/>
        </w:rPr>
        <w:t xml:space="preserve"> </w:t>
      </w:r>
      <w:r w:rsidR="0062041F" w:rsidRPr="00AB3AC0">
        <w:rPr>
          <w:i w:val="0"/>
        </w:rPr>
        <w:t>a</w:t>
      </w:r>
      <w:r w:rsidR="00945945">
        <w:rPr>
          <w:i w:val="0"/>
        </w:rPr>
        <w:t xml:space="preserve"> </w:t>
      </w:r>
      <w:r w:rsidR="00495649" w:rsidRPr="00AB3AC0">
        <w:rPr>
          <w:i w:val="0"/>
        </w:rPr>
        <w:t>single</w:t>
      </w:r>
      <w:r w:rsidR="00945945">
        <w:rPr>
          <w:i w:val="0"/>
        </w:rPr>
        <w:t xml:space="preserve"> </w:t>
      </w:r>
      <w:r w:rsidR="0062041F" w:rsidRPr="00AB3AC0">
        <w:rPr>
          <w:i w:val="0"/>
        </w:rPr>
        <w:t>day</w:t>
      </w:r>
      <w:r w:rsidR="00945945">
        <w:rPr>
          <w:i w:val="0"/>
        </w:rPr>
        <w:t xml:space="preserve"> </w:t>
      </w:r>
      <w:r w:rsidR="0062041F" w:rsidRPr="00AB3AC0">
        <w:rPr>
          <w:i w:val="0"/>
        </w:rPr>
        <w:t>to</w:t>
      </w:r>
      <w:r w:rsidR="00945945">
        <w:rPr>
          <w:i w:val="0"/>
        </w:rPr>
        <w:t xml:space="preserve"> </w:t>
      </w:r>
      <w:r w:rsidR="0062041F" w:rsidRPr="00AB3AC0">
        <w:rPr>
          <w:i w:val="0"/>
        </w:rPr>
        <w:t>be</w:t>
      </w:r>
      <w:r w:rsidR="00945945">
        <w:rPr>
          <w:i w:val="0"/>
        </w:rPr>
        <w:t xml:space="preserve"> </w:t>
      </w:r>
      <w:r w:rsidR="0062041F" w:rsidRPr="00AB3AC0">
        <w:rPr>
          <w:i w:val="0"/>
        </w:rPr>
        <w:t>fixed</w:t>
      </w:r>
      <w:r w:rsidR="00945945">
        <w:rPr>
          <w:i w:val="0"/>
        </w:rPr>
        <w:t xml:space="preserve"> </w:t>
      </w:r>
      <w:r w:rsidR="0062041F" w:rsidRPr="00AB3AC0">
        <w:rPr>
          <w:i w:val="0"/>
        </w:rPr>
        <w:t>by</w:t>
      </w:r>
      <w:r w:rsidR="00945945">
        <w:rPr>
          <w:i w:val="0"/>
        </w:rPr>
        <w:t xml:space="preserve"> </w:t>
      </w:r>
      <w:r w:rsidR="0062041F" w:rsidRPr="00AB3AC0">
        <w:rPr>
          <w:i w:val="0"/>
        </w:rPr>
        <w:t>P</w:t>
      </w:r>
      <w:r w:rsidR="003137BC" w:rsidRPr="00AB3AC0">
        <w:rPr>
          <w:i w:val="0"/>
        </w:rPr>
        <w:t>roclamation.</w:t>
      </w:r>
      <w:r w:rsidR="00945945">
        <w:rPr>
          <w:i w:val="0"/>
        </w:rPr>
        <w:t xml:space="preserve"> </w:t>
      </w:r>
    </w:p>
    <w:p w:rsidR="003137BC" w:rsidRPr="00537E19" w:rsidRDefault="003137BC" w:rsidP="007D1D2B">
      <w:pPr>
        <w:rPr>
          <w:sz w:val="24"/>
          <w:szCs w:val="24"/>
        </w:rPr>
      </w:pPr>
    </w:p>
    <w:p w:rsidR="003137BC" w:rsidRPr="00537E19" w:rsidRDefault="00256B07" w:rsidP="007D1D2B">
      <w:pPr>
        <w:ind w:right="91"/>
        <w:rPr>
          <w:color w:val="0000FF"/>
          <w:sz w:val="24"/>
          <w:szCs w:val="24"/>
        </w:rPr>
      </w:pPr>
      <w:r w:rsidRPr="00537E19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537E19">
        <w:rPr>
          <w:sz w:val="24"/>
          <w:szCs w:val="24"/>
        </w:rPr>
        <w:t>Act</w:t>
      </w:r>
      <w:r w:rsidR="00945945">
        <w:rPr>
          <w:sz w:val="24"/>
          <w:szCs w:val="24"/>
        </w:rPr>
        <w:t xml:space="preserve"> </w:t>
      </w:r>
      <w:r w:rsidRPr="00537E19">
        <w:rPr>
          <w:sz w:val="24"/>
          <w:szCs w:val="24"/>
        </w:rPr>
        <w:t>received</w:t>
      </w:r>
      <w:r w:rsidR="00945945">
        <w:rPr>
          <w:sz w:val="24"/>
          <w:szCs w:val="24"/>
        </w:rPr>
        <w:t xml:space="preserve"> </w:t>
      </w:r>
      <w:r w:rsidRPr="00537E19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537E19">
        <w:rPr>
          <w:sz w:val="24"/>
          <w:szCs w:val="24"/>
        </w:rPr>
        <w:t>Royal</w:t>
      </w:r>
      <w:r w:rsidR="00945945">
        <w:rPr>
          <w:sz w:val="24"/>
          <w:szCs w:val="24"/>
        </w:rPr>
        <w:t xml:space="preserve"> </w:t>
      </w:r>
      <w:r w:rsidRPr="00537E19">
        <w:rPr>
          <w:sz w:val="24"/>
          <w:szCs w:val="24"/>
        </w:rPr>
        <w:t>Assent</w:t>
      </w:r>
      <w:r w:rsidR="00945945">
        <w:rPr>
          <w:sz w:val="24"/>
          <w:szCs w:val="24"/>
        </w:rPr>
        <w:t xml:space="preserve"> </w:t>
      </w:r>
      <w:r w:rsidRPr="00F95057">
        <w:rPr>
          <w:sz w:val="24"/>
          <w:szCs w:val="24"/>
        </w:rPr>
        <w:t>on</w:t>
      </w:r>
      <w:r w:rsidR="00945945">
        <w:rPr>
          <w:sz w:val="24"/>
          <w:szCs w:val="24"/>
        </w:rPr>
        <w:t xml:space="preserve"> </w:t>
      </w:r>
      <w:r w:rsidR="009A5B8E" w:rsidRPr="009A5B8E">
        <w:rPr>
          <w:sz w:val="24"/>
          <w:szCs w:val="24"/>
        </w:rPr>
        <w:t>16 April 2012</w:t>
      </w:r>
      <w:r w:rsidR="00874AAD" w:rsidRPr="00F95057">
        <w:rPr>
          <w:color w:val="0000FF"/>
          <w:sz w:val="24"/>
          <w:szCs w:val="24"/>
        </w:rPr>
        <w:t>.</w:t>
      </w:r>
      <w:r w:rsidR="00945945">
        <w:rPr>
          <w:i/>
          <w:sz w:val="24"/>
          <w:szCs w:val="24"/>
        </w:rPr>
        <w:t xml:space="preserve"> </w:t>
      </w:r>
      <w:r w:rsidR="00537E19" w:rsidRPr="00F95057">
        <w:rPr>
          <w:sz w:val="24"/>
          <w:szCs w:val="24"/>
        </w:rPr>
        <w:t>Sections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1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and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2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Act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commenced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on</w:t>
      </w:r>
      <w:r w:rsidR="00945945">
        <w:rPr>
          <w:sz w:val="24"/>
          <w:szCs w:val="24"/>
        </w:rPr>
        <w:t xml:space="preserve"> </w:t>
      </w:r>
      <w:r w:rsidR="00537E19" w:rsidRPr="00537E19">
        <w:rPr>
          <w:sz w:val="24"/>
          <w:szCs w:val="24"/>
        </w:rPr>
        <w:t>th</w:t>
      </w:r>
      <w:r w:rsidR="00542E56">
        <w:rPr>
          <w:sz w:val="24"/>
          <w:szCs w:val="24"/>
        </w:rPr>
        <w:t>at</w:t>
      </w:r>
      <w:r w:rsidR="00945945">
        <w:rPr>
          <w:sz w:val="24"/>
          <w:szCs w:val="24"/>
        </w:rPr>
        <w:t xml:space="preserve"> </w:t>
      </w:r>
      <w:r w:rsidR="003A6DA1">
        <w:rPr>
          <w:sz w:val="24"/>
          <w:szCs w:val="24"/>
        </w:rPr>
        <w:t>day</w:t>
      </w:r>
      <w:r w:rsidR="00537E19" w:rsidRPr="00537E19">
        <w:rPr>
          <w:sz w:val="24"/>
          <w:szCs w:val="24"/>
        </w:rPr>
        <w:t>.</w:t>
      </w:r>
    </w:p>
    <w:p w:rsidR="00256B07" w:rsidRPr="00AB3AC0" w:rsidRDefault="00256B07" w:rsidP="007D1D2B">
      <w:pPr>
        <w:rPr>
          <w:sz w:val="24"/>
        </w:rPr>
      </w:pPr>
    </w:p>
    <w:p w:rsidR="00980CBF" w:rsidRDefault="00980CBF" w:rsidP="007D1D2B">
      <w:pPr>
        <w:ind w:right="91"/>
        <w:rPr>
          <w:sz w:val="24"/>
          <w:szCs w:val="24"/>
        </w:rPr>
      </w:pP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purpose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Proclamation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fix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1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July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2012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as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date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on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which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sections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5C73FE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Act</w:t>
      </w:r>
      <w:r w:rsidR="00945945">
        <w:rPr>
          <w:sz w:val="24"/>
          <w:szCs w:val="24"/>
        </w:rPr>
        <w:t xml:space="preserve"> </w:t>
      </w:r>
      <w:r w:rsidR="005E6D4A">
        <w:rPr>
          <w:sz w:val="24"/>
          <w:szCs w:val="24"/>
        </w:rPr>
        <w:t>commence</w:t>
      </w:r>
      <w:r>
        <w:rPr>
          <w:sz w:val="24"/>
          <w:szCs w:val="24"/>
        </w:rPr>
        <w:t>.</w:t>
      </w:r>
    </w:p>
    <w:p w:rsidR="00980CBF" w:rsidRDefault="00980CBF" w:rsidP="007D1D2B">
      <w:pPr>
        <w:ind w:right="91"/>
        <w:rPr>
          <w:sz w:val="24"/>
          <w:szCs w:val="24"/>
        </w:rPr>
      </w:pPr>
    </w:p>
    <w:p w:rsidR="00980CBF" w:rsidRDefault="0093442C" w:rsidP="007D1D2B">
      <w:pPr>
        <w:ind w:right="91"/>
        <w:rPr>
          <w:sz w:val="24"/>
          <w:szCs w:val="24"/>
        </w:rPr>
      </w:pPr>
      <w:r>
        <w:rPr>
          <w:sz w:val="24"/>
          <w:szCs w:val="24"/>
        </w:rPr>
        <w:t>Under</w:t>
      </w:r>
      <w:r w:rsidR="00945945">
        <w:rPr>
          <w:sz w:val="24"/>
          <w:szCs w:val="24"/>
        </w:rPr>
        <w:t xml:space="preserve"> sub</w:t>
      </w:r>
      <w:r>
        <w:rPr>
          <w:sz w:val="24"/>
          <w:szCs w:val="24"/>
        </w:rPr>
        <w:t>section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45945">
        <w:rPr>
          <w:sz w:val="24"/>
          <w:szCs w:val="24"/>
        </w:rPr>
        <w:t xml:space="preserve">(1)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Act,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proclamation</w:t>
      </w:r>
      <w:r w:rsidR="00945945">
        <w:rPr>
          <w:sz w:val="24"/>
          <w:szCs w:val="24"/>
        </w:rPr>
        <w:t xml:space="preserve"> </w:t>
      </w:r>
      <w:r w:rsidR="0048419D">
        <w:rPr>
          <w:sz w:val="24"/>
          <w:szCs w:val="24"/>
        </w:rPr>
        <w:t>in</w:t>
      </w:r>
      <w:r w:rsidR="00945945">
        <w:rPr>
          <w:sz w:val="24"/>
          <w:szCs w:val="24"/>
        </w:rPr>
        <w:t xml:space="preserve"> </w:t>
      </w:r>
      <w:r w:rsidR="0048419D">
        <w:rPr>
          <w:sz w:val="24"/>
          <w:szCs w:val="24"/>
        </w:rPr>
        <w:t>respect</w:t>
      </w:r>
      <w:r w:rsidR="00945945">
        <w:rPr>
          <w:sz w:val="24"/>
          <w:szCs w:val="24"/>
        </w:rPr>
        <w:t xml:space="preserve"> </w:t>
      </w:r>
      <w:r w:rsidR="0048419D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="0048419D">
        <w:rPr>
          <w:sz w:val="24"/>
          <w:szCs w:val="24"/>
        </w:rPr>
        <w:t>sections</w:t>
      </w:r>
      <w:r w:rsidR="00945945">
        <w:rPr>
          <w:sz w:val="24"/>
          <w:szCs w:val="24"/>
        </w:rPr>
        <w:t xml:space="preserve"> </w:t>
      </w:r>
      <w:r w:rsidR="0048419D">
        <w:rPr>
          <w:sz w:val="24"/>
          <w:szCs w:val="24"/>
        </w:rPr>
        <w:t>3</w:t>
      </w:r>
      <w:r w:rsidR="00945945">
        <w:rPr>
          <w:sz w:val="24"/>
          <w:szCs w:val="24"/>
        </w:rPr>
        <w:t xml:space="preserve"> </w:t>
      </w:r>
      <w:r w:rsidR="0048419D"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 w:rsidR="0048419D">
        <w:rPr>
          <w:sz w:val="24"/>
          <w:szCs w:val="24"/>
        </w:rPr>
        <w:t>125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occur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latest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events:</w:t>
      </w:r>
    </w:p>
    <w:p w:rsidR="0093442C" w:rsidRDefault="0093442C" w:rsidP="007D1D2B">
      <w:pPr>
        <w:numPr>
          <w:ilvl w:val="0"/>
          <w:numId w:val="8"/>
        </w:numPr>
        <w:ind w:right="91"/>
        <w:rPr>
          <w:sz w:val="24"/>
          <w:szCs w:val="24"/>
        </w:rPr>
      </w:pPr>
      <w:r>
        <w:rPr>
          <w:sz w:val="24"/>
          <w:szCs w:val="24"/>
        </w:rPr>
        <w:t>when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structural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separation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undertak</w:t>
      </w:r>
      <w:r w:rsidR="009A5B8E">
        <w:rPr>
          <w:sz w:val="24"/>
          <w:szCs w:val="24"/>
        </w:rPr>
        <w:t>ing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Corporation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Limited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(Telstra)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comes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force;</w:t>
      </w:r>
    </w:p>
    <w:p w:rsidR="0093442C" w:rsidRDefault="0093442C" w:rsidP="007D1D2B">
      <w:pPr>
        <w:numPr>
          <w:ilvl w:val="0"/>
          <w:numId w:val="8"/>
        </w:numPr>
        <w:ind w:right="91"/>
        <w:rPr>
          <w:sz w:val="24"/>
          <w:szCs w:val="24"/>
        </w:rPr>
      </w:pPr>
      <w:r>
        <w:rPr>
          <w:sz w:val="24"/>
          <w:szCs w:val="24"/>
        </w:rPr>
        <w:t>if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Telstra’s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structural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separation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undertaking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requires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550526">
        <w:rPr>
          <w:sz w:val="24"/>
          <w:szCs w:val="24"/>
        </w:rPr>
        <w:t>Australian Competition and Consumer Commission (</w:t>
      </w:r>
      <w:r>
        <w:rPr>
          <w:sz w:val="24"/>
          <w:szCs w:val="24"/>
        </w:rPr>
        <w:t>ACCC</w:t>
      </w:r>
      <w:r w:rsidR="00550526">
        <w:rPr>
          <w:sz w:val="24"/>
          <w:szCs w:val="24"/>
        </w:rPr>
        <w:t>)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draft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migration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plan,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ACCC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approves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draft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migration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plan;</w:t>
      </w:r>
    </w:p>
    <w:p w:rsidR="0093442C" w:rsidRDefault="0093442C" w:rsidP="007D1D2B">
      <w:pPr>
        <w:numPr>
          <w:ilvl w:val="0"/>
          <w:numId w:val="8"/>
        </w:numPr>
        <w:ind w:right="91"/>
        <w:rPr>
          <w:sz w:val="24"/>
          <w:szCs w:val="24"/>
        </w:rPr>
      </w:pPr>
      <w:r>
        <w:rPr>
          <w:sz w:val="24"/>
          <w:szCs w:val="24"/>
        </w:rPr>
        <w:t>if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extended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spectrum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regime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applies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Telstra,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undertaking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hybrid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fibre-coaxial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networks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comes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force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(unless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Minister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exempted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undertaking);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93442C" w:rsidRDefault="0093442C" w:rsidP="007D1D2B">
      <w:pPr>
        <w:numPr>
          <w:ilvl w:val="0"/>
          <w:numId w:val="8"/>
        </w:numPr>
        <w:ind w:right="91"/>
        <w:rPr>
          <w:sz w:val="24"/>
          <w:szCs w:val="24"/>
        </w:rPr>
      </w:pPr>
      <w:proofErr w:type="gramStart"/>
      <w:r>
        <w:rPr>
          <w:sz w:val="24"/>
          <w:szCs w:val="24"/>
        </w:rPr>
        <w:t>if</w:t>
      </w:r>
      <w:proofErr w:type="gramEnd"/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extended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spectrum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regime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applies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Telstra,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undertaking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subscription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television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broadcasting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licences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comes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force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(unless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Minister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exempted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Telstra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undertaking).</w:t>
      </w:r>
    </w:p>
    <w:p w:rsidR="0093442C" w:rsidRDefault="0093442C" w:rsidP="007D1D2B">
      <w:pPr>
        <w:ind w:right="91"/>
        <w:rPr>
          <w:sz w:val="24"/>
          <w:szCs w:val="24"/>
        </w:rPr>
      </w:pPr>
    </w:p>
    <w:p w:rsidR="00945945" w:rsidRDefault="00945945" w:rsidP="00945945">
      <w:pPr>
        <w:pStyle w:val="ListParagraph"/>
        <w:ind w:left="0" w:right="91"/>
        <w:rPr>
          <w:szCs w:val="24"/>
        </w:rPr>
      </w:pPr>
      <w:r>
        <w:rPr>
          <w:szCs w:val="24"/>
        </w:rPr>
        <w:t xml:space="preserve">Under subsection 2(1) of the Act, if sections 3 to 125 of the Act do not commence within the period of 6 months beginning on the latest of the events set out above, the </w:t>
      </w:r>
      <w:r w:rsidR="00835EF1">
        <w:rPr>
          <w:szCs w:val="24"/>
        </w:rPr>
        <w:t>provisions</w:t>
      </w:r>
      <w:r>
        <w:rPr>
          <w:szCs w:val="24"/>
        </w:rPr>
        <w:t xml:space="preserve"> will commence on the day after the end of that period.</w:t>
      </w:r>
    </w:p>
    <w:p w:rsidR="00945945" w:rsidRPr="00846CA7" w:rsidRDefault="00945945" w:rsidP="00945945">
      <w:pPr>
        <w:pStyle w:val="ListParagraph"/>
        <w:ind w:left="0" w:right="91"/>
        <w:rPr>
          <w:szCs w:val="24"/>
        </w:rPr>
      </w:pPr>
    </w:p>
    <w:p w:rsidR="00A828FC" w:rsidRDefault="00A828FC" w:rsidP="00A828FC">
      <w:pPr>
        <w:pStyle w:val="ListParagraph"/>
        <w:ind w:left="0"/>
        <w:rPr>
          <w:szCs w:val="24"/>
        </w:rPr>
      </w:pPr>
      <w:r>
        <w:rPr>
          <w:szCs w:val="24"/>
        </w:rPr>
        <w:t>Telstra’s structural separation undertaking came into force</w:t>
      </w:r>
      <w:r w:rsidRPr="00156B60">
        <w:rPr>
          <w:szCs w:val="24"/>
        </w:rPr>
        <w:t xml:space="preserve"> on 6 March 2012</w:t>
      </w:r>
      <w:r>
        <w:rPr>
          <w:szCs w:val="24"/>
        </w:rPr>
        <w:t xml:space="preserve">. Pursuant to that undertaking, the </w:t>
      </w:r>
      <w:r w:rsidR="00550526">
        <w:rPr>
          <w:szCs w:val="24"/>
        </w:rPr>
        <w:t>ACCC</w:t>
      </w:r>
      <w:r>
        <w:rPr>
          <w:szCs w:val="24"/>
        </w:rPr>
        <w:t xml:space="preserve"> approved the draft migration plan on the same day. On that day, the Minister made a declaration under subsections 577J(3)</w:t>
      </w:r>
      <w:r w:rsidRPr="00D37997">
        <w:rPr>
          <w:szCs w:val="24"/>
        </w:rPr>
        <w:t xml:space="preserve"> </w:t>
      </w:r>
      <w:r>
        <w:rPr>
          <w:szCs w:val="24"/>
        </w:rPr>
        <w:t xml:space="preserve">and (5) of the </w:t>
      </w:r>
      <w:r>
        <w:rPr>
          <w:i/>
          <w:szCs w:val="24"/>
        </w:rPr>
        <w:t>Telecommunications Act 1997</w:t>
      </w:r>
      <w:r>
        <w:rPr>
          <w:szCs w:val="24"/>
        </w:rPr>
        <w:t xml:space="preserve"> that Telstra is exempt from the requirement to have undertakings about hybrid fibre-coaxial networks </w:t>
      </w:r>
      <w:r w:rsidRPr="00D37997">
        <w:rPr>
          <w:szCs w:val="24"/>
        </w:rPr>
        <w:t xml:space="preserve">and subscription television broadcasting licences under, respectively, sections 577C and 577E of </w:t>
      </w:r>
      <w:r w:rsidR="002C2F53">
        <w:rPr>
          <w:szCs w:val="24"/>
        </w:rPr>
        <w:t>that</w:t>
      </w:r>
      <w:r w:rsidRPr="00D37997">
        <w:rPr>
          <w:szCs w:val="24"/>
        </w:rPr>
        <w:t xml:space="preserve"> Act</w:t>
      </w:r>
      <w:r>
        <w:rPr>
          <w:szCs w:val="24"/>
        </w:rPr>
        <w:t>.</w:t>
      </w:r>
      <w:r w:rsidRPr="00D37997">
        <w:rPr>
          <w:szCs w:val="24"/>
        </w:rPr>
        <w:t xml:space="preserve"> </w:t>
      </w:r>
    </w:p>
    <w:p w:rsidR="00542E56" w:rsidRPr="00D37997" w:rsidRDefault="00542E56" w:rsidP="00542E56">
      <w:pPr>
        <w:pStyle w:val="ListParagraph"/>
        <w:ind w:left="0"/>
        <w:rPr>
          <w:szCs w:val="24"/>
        </w:rPr>
      </w:pPr>
    </w:p>
    <w:p w:rsidR="00FC20BE" w:rsidRPr="00FC20BE" w:rsidRDefault="00542E56" w:rsidP="00FC20BE">
      <w:pPr>
        <w:ind w:right="9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C20BE" w:rsidRPr="00FC20BE">
        <w:rPr>
          <w:sz w:val="24"/>
          <w:szCs w:val="24"/>
        </w:rPr>
        <w:lastRenderedPageBreak/>
        <w:t>As a result of these actions, each of the events listed under subsection 2(1) of the Act</w:t>
      </w:r>
      <w:r w:rsidR="00F43A96">
        <w:rPr>
          <w:sz w:val="24"/>
          <w:szCs w:val="24"/>
        </w:rPr>
        <w:t>,</w:t>
      </w:r>
      <w:r w:rsidR="00FC20BE" w:rsidRPr="00FC20BE">
        <w:rPr>
          <w:sz w:val="24"/>
          <w:szCs w:val="24"/>
        </w:rPr>
        <w:t xml:space="preserve"> which must occur before the day specified in the Proclamation</w:t>
      </w:r>
      <w:r w:rsidR="00F43A96">
        <w:rPr>
          <w:sz w:val="24"/>
          <w:szCs w:val="24"/>
        </w:rPr>
        <w:t>,</w:t>
      </w:r>
      <w:r w:rsidR="00FC20BE" w:rsidRPr="00FC20BE">
        <w:rPr>
          <w:sz w:val="24"/>
          <w:szCs w:val="24"/>
        </w:rPr>
        <w:t xml:space="preserve"> occurred on 6 March 2012.</w:t>
      </w:r>
    </w:p>
    <w:p w:rsidR="00667ADA" w:rsidRDefault="00667ADA" w:rsidP="007D1D2B">
      <w:pPr>
        <w:ind w:right="91"/>
        <w:rPr>
          <w:sz w:val="24"/>
          <w:szCs w:val="24"/>
        </w:rPr>
      </w:pPr>
    </w:p>
    <w:p w:rsidR="00666CE3" w:rsidRDefault="00667ADA" w:rsidP="007D1D2B">
      <w:pPr>
        <w:ind w:right="91"/>
        <w:rPr>
          <w:sz w:val="24"/>
          <w:szCs w:val="24"/>
        </w:rPr>
      </w:pP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effect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Proclamation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that,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1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July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2012</w:t>
      </w:r>
      <w:r>
        <w:rPr>
          <w:sz w:val="24"/>
          <w:szCs w:val="24"/>
        </w:rPr>
        <w:t>,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Telecommunications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Universal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Management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Agency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(TUSMA)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established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statutory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agency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responsibility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effective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implementation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agreements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grants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deliver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universal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policy</w:t>
      </w:r>
      <w:r w:rsidR="00945945">
        <w:rPr>
          <w:sz w:val="24"/>
          <w:szCs w:val="24"/>
        </w:rPr>
        <w:t xml:space="preserve"> </w:t>
      </w:r>
      <w:r w:rsidR="005E2243">
        <w:rPr>
          <w:sz w:val="24"/>
          <w:szCs w:val="24"/>
        </w:rPr>
        <w:t xml:space="preserve">telecommunications </w:t>
      </w:r>
      <w:r>
        <w:rPr>
          <w:sz w:val="24"/>
          <w:szCs w:val="24"/>
        </w:rPr>
        <w:t>outcomes.</w:t>
      </w:r>
      <w:r w:rsidR="00945945">
        <w:rPr>
          <w:sz w:val="24"/>
          <w:szCs w:val="24"/>
        </w:rPr>
        <w:t xml:space="preserve"> </w:t>
      </w:r>
    </w:p>
    <w:p w:rsidR="00542E56" w:rsidRDefault="00542E56" w:rsidP="007D1D2B">
      <w:pPr>
        <w:ind w:right="91"/>
        <w:rPr>
          <w:sz w:val="24"/>
          <w:szCs w:val="24"/>
        </w:rPr>
      </w:pPr>
    </w:p>
    <w:p w:rsidR="00666CE3" w:rsidRDefault="00666CE3" w:rsidP="007D1D2B">
      <w:pPr>
        <w:ind w:right="91"/>
        <w:rPr>
          <w:sz w:val="24"/>
          <w:szCs w:val="24"/>
        </w:rPr>
      </w:pPr>
      <w:r>
        <w:rPr>
          <w:sz w:val="24"/>
          <w:szCs w:val="24"/>
        </w:rPr>
        <w:t>As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result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A75C65">
        <w:rPr>
          <w:sz w:val="24"/>
          <w:szCs w:val="24"/>
        </w:rPr>
        <w:t>P</w:t>
      </w:r>
      <w:r>
        <w:rPr>
          <w:sz w:val="24"/>
          <w:szCs w:val="24"/>
        </w:rPr>
        <w:t>roclamation,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5E2243">
        <w:rPr>
          <w:sz w:val="24"/>
          <w:szCs w:val="24"/>
        </w:rPr>
        <w:t xml:space="preserve">substantive provisions of the </w:t>
      </w:r>
      <w:r>
        <w:rPr>
          <w:i/>
          <w:sz w:val="24"/>
          <w:szCs w:val="24"/>
        </w:rPr>
        <w:t>Telecommunications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Legislation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Amendment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(Universal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Service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Reform)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Act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2012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Reform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Act)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Telecommunications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(Industry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Levy)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Act</w:t>
      </w:r>
      <w:r w:rsidR="0094594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2012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Levy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Act)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commence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1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July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2012</w:t>
      </w:r>
      <w:r w:rsidRPr="00666CE3">
        <w:rPr>
          <w:sz w:val="24"/>
          <w:szCs w:val="24"/>
        </w:rPr>
        <w:t>.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Reform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introduce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framework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 w:rsidR="005E2243">
        <w:rPr>
          <w:sz w:val="24"/>
          <w:szCs w:val="24"/>
        </w:rPr>
        <w:t xml:space="preserve"> the universal service regime established by</w:t>
      </w:r>
      <w:r w:rsidR="00945945">
        <w:rPr>
          <w:sz w:val="24"/>
          <w:szCs w:val="24"/>
        </w:rPr>
        <w:t xml:space="preserve"> </w:t>
      </w:r>
      <w:r w:rsidR="000B1C65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0B1C65">
        <w:rPr>
          <w:i/>
          <w:sz w:val="24"/>
          <w:szCs w:val="24"/>
        </w:rPr>
        <w:t>Telecommunications</w:t>
      </w:r>
      <w:r w:rsidR="00945945">
        <w:rPr>
          <w:i/>
          <w:sz w:val="24"/>
          <w:szCs w:val="24"/>
        </w:rPr>
        <w:t xml:space="preserve"> </w:t>
      </w:r>
      <w:r w:rsidR="000B1C65">
        <w:rPr>
          <w:i/>
          <w:sz w:val="24"/>
          <w:szCs w:val="24"/>
        </w:rPr>
        <w:t>(Consumer</w:t>
      </w:r>
      <w:r w:rsidR="00945945">
        <w:rPr>
          <w:i/>
          <w:sz w:val="24"/>
          <w:szCs w:val="24"/>
        </w:rPr>
        <w:t xml:space="preserve"> </w:t>
      </w:r>
      <w:r w:rsidR="000B1C65">
        <w:rPr>
          <w:i/>
          <w:sz w:val="24"/>
          <w:szCs w:val="24"/>
        </w:rPr>
        <w:t>Protection</w:t>
      </w:r>
      <w:r w:rsidR="00945945">
        <w:rPr>
          <w:i/>
          <w:sz w:val="24"/>
          <w:szCs w:val="24"/>
        </w:rPr>
        <w:t xml:space="preserve"> </w:t>
      </w:r>
      <w:r w:rsidR="000B1C65">
        <w:rPr>
          <w:i/>
          <w:sz w:val="24"/>
          <w:szCs w:val="24"/>
        </w:rPr>
        <w:t>and</w:t>
      </w:r>
      <w:r w:rsidR="00945945">
        <w:rPr>
          <w:i/>
          <w:sz w:val="24"/>
          <w:szCs w:val="24"/>
        </w:rPr>
        <w:t xml:space="preserve"> </w:t>
      </w:r>
      <w:r w:rsidR="000B1C65">
        <w:rPr>
          <w:i/>
          <w:sz w:val="24"/>
          <w:szCs w:val="24"/>
        </w:rPr>
        <w:t>Service</w:t>
      </w:r>
      <w:r w:rsidR="00945945">
        <w:rPr>
          <w:i/>
          <w:sz w:val="24"/>
          <w:szCs w:val="24"/>
        </w:rPr>
        <w:t xml:space="preserve"> </w:t>
      </w:r>
      <w:r w:rsidR="000B1C65">
        <w:rPr>
          <w:i/>
          <w:sz w:val="24"/>
          <w:szCs w:val="24"/>
        </w:rPr>
        <w:t>Standards)</w:t>
      </w:r>
      <w:r w:rsidR="00945945">
        <w:rPr>
          <w:i/>
          <w:sz w:val="24"/>
          <w:szCs w:val="24"/>
        </w:rPr>
        <w:t xml:space="preserve"> </w:t>
      </w:r>
      <w:r w:rsidR="000B1C65">
        <w:rPr>
          <w:i/>
          <w:sz w:val="24"/>
          <w:szCs w:val="24"/>
        </w:rPr>
        <w:t>Act</w:t>
      </w:r>
      <w:r w:rsidR="00945945">
        <w:rPr>
          <w:i/>
          <w:sz w:val="24"/>
          <w:szCs w:val="24"/>
        </w:rPr>
        <w:t xml:space="preserve"> </w:t>
      </w:r>
      <w:r w:rsidR="000B1C65">
        <w:rPr>
          <w:i/>
          <w:sz w:val="24"/>
          <w:szCs w:val="24"/>
        </w:rPr>
        <w:t>1999</w:t>
      </w:r>
      <w:r w:rsidR="00945945">
        <w:rPr>
          <w:sz w:val="24"/>
          <w:szCs w:val="24"/>
        </w:rPr>
        <w:t xml:space="preserve"> </w:t>
      </w:r>
      <w:r w:rsidR="007D1D2B">
        <w:rPr>
          <w:sz w:val="24"/>
          <w:szCs w:val="24"/>
        </w:rPr>
        <w:t>(the</w:t>
      </w:r>
      <w:r w:rsidR="00945945">
        <w:rPr>
          <w:sz w:val="24"/>
          <w:szCs w:val="24"/>
        </w:rPr>
        <w:t xml:space="preserve"> </w:t>
      </w:r>
      <w:r w:rsidR="007D1D2B">
        <w:rPr>
          <w:sz w:val="24"/>
          <w:szCs w:val="24"/>
        </w:rPr>
        <w:t>Consumer</w:t>
      </w:r>
      <w:r w:rsidR="00945945">
        <w:rPr>
          <w:sz w:val="24"/>
          <w:szCs w:val="24"/>
        </w:rPr>
        <w:t xml:space="preserve"> </w:t>
      </w:r>
      <w:r w:rsidR="007D1D2B">
        <w:rPr>
          <w:sz w:val="24"/>
          <w:szCs w:val="24"/>
        </w:rPr>
        <w:t>Protection</w:t>
      </w:r>
      <w:r w:rsidR="00945945">
        <w:rPr>
          <w:sz w:val="24"/>
          <w:szCs w:val="24"/>
        </w:rPr>
        <w:t xml:space="preserve"> </w:t>
      </w:r>
      <w:r w:rsidR="007D1D2B">
        <w:rPr>
          <w:sz w:val="24"/>
          <w:szCs w:val="24"/>
        </w:rPr>
        <w:t>Act)</w:t>
      </w:r>
      <w:r w:rsidR="00945945">
        <w:rPr>
          <w:sz w:val="24"/>
          <w:szCs w:val="24"/>
        </w:rPr>
        <w:t xml:space="preserve"> </w:t>
      </w:r>
      <w:r w:rsidR="005E2243">
        <w:rPr>
          <w:sz w:val="24"/>
          <w:szCs w:val="24"/>
        </w:rPr>
        <w:t>will be phased out and replaced by alternative contractual arrangements under the Act</w:t>
      </w:r>
      <w:r w:rsidR="007D1D2B">
        <w:rPr>
          <w:sz w:val="24"/>
          <w:szCs w:val="24"/>
        </w:rPr>
        <w:t>.</w:t>
      </w:r>
    </w:p>
    <w:p w:rsidR="007D1D2B" w:rsidRDefault="007D1D2B" w:rsidP="007D1D2B">
      <w:pPr>
        <w:ind w:right="91"/>
        <w:rPr>
          <w:sz w:val="24"/>
          <w:szCs w:val="24"/>
        </w:rPr>
      </w:pPr>
    </w:p>
    <w:p w:rsidR="00910514" w:rsidRPr="007D1D2B" w:rsidRDefault="007D1D2B" w:rsidP="007D1D2B">
      <w:pPr>
        <w:ind w:right="91"/>
      </w:pPr>
      <w:r>
        <w:rPr>
          <w:sz w:val="24"/>
          <w:szCs w:val="24"/>
        </w:rPr>
        <w:t>From</w:t>
      </w:r>
      <w:r w:rsidR="00945945">
        <w:rPr>
          <w:color w:val="E36C0A"/>
          <w:sz w:val="24"/>
          <w:szCs w:val="24"/>
        </w:rPr>
        <w:t xml:space="preserve"> </w:t>
      </w:r>
      <w:r w:rsidR="00F95057">
        <w:rPr>
          <w:sz w:val="24"/>
          <w:szCs w:val="24"/>
        </w:rPr>
        <w:t>1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July</w:t>
      </w:r>
      <w:r w:rsidR="00945945">
        <w:rPr>
          <w:sz w:val="24"/>
          <w:szCs w:val="24"/>
        </w:rPr>
        <w:t xml:space="preserve"> </w:t>
      </w:r>
      <w:r w:rsidR="00F95057">
        <w:rPr>
          <w:sz w:val="24"/>
          <w:szCs w:val="24"/>
        </w:rPr>
        <w:t>2012</w:t>
      </w:r>
      <w:r w:rsidRPr="007D1D2B">
        <w:rPr>
          <w:sz w:val="24"/>
          <w:szCs w:val="24"/>
        </w:rPr>
        <w:t>,</w:t>
      </w:r>
      <w:r w:rsidR="00945945">
        <w:rPr>
          <w:sz w:val="24"/>
          <w:szCs w:val="24"/>
        </w:rPr>
        <w:t xml:space="preserve"> </w:t>
      </w:r>
      <w:r w:rsidRPr="007D1D2B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7D1D2B">
        <w:rPr>
          <w:sz w:val="24"/>
          <w:szCs w:val="24"/>
        </w:rPr>
        <w:t>Reform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amend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Consumer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Protection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telecommunications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legislation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phase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5E2243">
        <w:rPr>
          <w:sz w:val="24"/>
          <w:szCs w:val="24"/>
        </w:rPr>
        <w:t>universal service obligation (</w:t>
      </w:r>
      <w:r>
        <w:rPr>
          <w:sz w:val="24"/>
          <w:szCs w:val="24"/>
        </w:rPr>
        <w:t>USO</w:t>
      </w:r>
      <w:r w:rsidR="005E2243">
        <w:rPr>
          <w:sz w:val="24"/>
          <w:szCs w:val="24"/>
        </w:rPr>
        <w:t>)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National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Relay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(NRS)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levy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regimes.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place,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Levy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Act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impose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consolidated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levy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industry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participants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contribute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costs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TUSMA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dedicated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Budget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funding.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As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2C2F53">
        <w:rPr>
          <w:sz w:val="24"/>
          <w:szCs w:val="24"/>
        </w:rPr>
        <w:t xml:space="preserve">current </w:t>
      </w:r>
      <w:r w:rsidR="00CF54DA">
        <w:rPr>
          <w:sz w:val="24"/>
          <w:szCs w:val="24"/>
        </w:rPr>
        <w:t>USO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and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NRS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levies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are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based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on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assessment,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collection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and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recovery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levy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in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respect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financial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year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periods,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t</w:t>
      </w:r>
      <w:r w:rsidR="00910514">
        <w:rPr>
          <w:sz w:val="24"/>
          <w:szCs w:val="24"/>
        </w:rPr>
        <w:t>he</w:t>
      </w:r>
      <w:r w:rsidR="00945945">
        <w:rPr>
          <w:sz w:val="24"/>
          <w:szCs w:val="24"/>
        </w:rPr>
        <w:t xml:space="preserve"> </w:t>
      </w:r>
      <w:r w:rsidR="00910514">
        <w:rPr>
          <w:sz w:val="24"/>
          <w:szCs w:val="24"/>
        </w:rPr>
        <w:t>commencement</w:t>
      </w:r>
      <w:r w:rsidR="00945945">
        <w:rPr>
          <w:sz w:val="24"/>
          <w:szCs w:val="24"/>
        </w:rPr>
        <w:t xml:space="preserve"> </w:t>
      </w:r>
      <w:r w:rsidR="00910514">
        <w:rPr>
          <w:sz w:val="24"/>
          <w:szCs w:val="24"/>
        </w:rPr>
        <w:t>date</w:t>
      </w:r>
      <w:r w:rsidR="00945945">
        <w:rPr>
          <w:sz w:val="24"/>
          <w:szCs w:val="24"/>
        </w:rPr>
        <w:t xml:space="preserve"> </w:t>
      </w:r>
      <w:r w:rsidR="00910514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="00910514">
        <w:rPr>
          <w:sz w:val="24"/>
          <w:szCs w:val="24"/>
        </w:rPr>
        <w:t>1</w:t>
      </w:r>
      <w:r w:rsidR="0064704F">
        <w:rPr>
          <w:sz w:val="24"/>
          <w:szCs w:val="24"/>
        </w:rPr>
        <w:t> </w:t>
      </w:r>
      <w:r w:rsidR="00910514">
        <w:rPr>
          <w:sz w:val="24"/>
          <w:szCs w:val="24"/>
        </w:rPr>
        <w:t>July</w:t>
      </w:r>
      <w:r w:rsidR="00945945">
        <w:rPr>
          <w:sz w:val="24"/>
          <w:szCs w:val="24"/>
        </w:rPr>
        <w:t xml:space="preserve"> </w:t>
      </w:r>
      <w:r w:rsidR="00910514">
        <w:rPr>
          <w:sz w:val="24"/>
          <w:szCs w:val="24"/>
        </w:rPr>
        <w:t>2012</w:t>
      </w:r>
      <w:r w:rsidR="00945945">
        <w:rPr>
          <w:sz w:val="24"/>
          <w:szCs w:val="24"/>
        </w:rPr>
        <w:t xml:space="preserve"> </w:t>
      </w:r>
      <w:r w:rsidR="00910514">
        <w:rPr>
          <w:sz w:val="24"/>
          <w:szCs w:val="24"/>
        </w:rPr>
        <w:t>will</w:t>
      </w:r>
      <w:r w:rsidR="00945945">
        <w:rPr>
          <w:sz w:val="24"/>
          <w:szCs w:val="24"/>
        </w:rPr>
        <w:t xml:space="preserve"> </w:t>
      </w:r>
      <w:r w:rsidR="00910514">
        <w:rPr>
          <w:sz w:val="24"/>
          <w:szCs w:val="24"/>
        </w:rPr>
        <w:t>enable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an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efficient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transition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new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consolidated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levy</w:t>
      </w:r>
      <w:r w:rsidR="00945945">
        <w:rPr>
          <w:sz w:val="24"/>
          <w:szCs w:val="24"/>
        </w:rPr>
        <w:t xml:space="preserve"> </w:t>
      </w:r>
      <w:r w:rsidR="00CF54DA">
        <w:rPr>
          <w:sz w:val="24"/>
          <w:szCs w:val="24"/>
        </w:rPr>
        <w:t>arrangements.</w:t>
      </w:r>
    </w:p>
    <w:p w:rsidR="00666CE3" w:rsidRPr="00AB3AC0" w:rsidRDefault="00666CE3" w:rsidP="007D1D2B">
      <w:pPr>
        <w:ind w:right="91"/>
        <w:rPr>
          <w:sz w:val="24"/>
          <w:szCs w:val="24"/>
        </w:rPr>
      </w:pPr>
    </w:p>
    <w:p w:rsidR="0099264F" w:rsidRPr="003A6DA1" w:rsidRDefault="0099264F" w:rsidP="007D1D2B">
      <w:pPr>
        <w:ind w:right="91"/>
        <w:rPr>
          <w:sz w:val="24"/>
          <w:szCs w:val="24"/>
        </w:rPr>
      </w:pPr>
      <w:r w:rsidRPr="003A6DA1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Proclamation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is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a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legislative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instrument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for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purposes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Pr="003A6DA1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3A6DA1">
        <w:rPr>
          <w:i/>
          <w:iCs/>
          <w:sz w:val="24"/>
          <w:szCs w:val="24"/>
        </w:rPr>
        <w:t>Legislative</w:t>
      </w:r>
      <w:r w:rsidR="00945945">
        <w:rPr>
          <w:i/>
          <w:iCs/>
          <w:sz w:val="24"/>
          <w:szCs w:val="24"/>
        </w:rPr>
        <w:t xml:space="preserve"> </w:t>
      </w:r>
      <w:r w:rsidRPr="003A6DA1">
        <w:rPr>
          <w:i/>
          <w:iCs/>
          <w:sz w:val="24"/>
          <w:szCs w:val="24"/>
        </w:rPr>
        <w:t>Instruments</w:t>
      </w:r>
      <w:r w:rsidR="00945945">
        <w:rPr>
          <w:i/>
          <w:iCs/>
          <w:sz w:val="24"/>
          <w:szCs w:val="24"/>
        </w:rPr>
        <w:t xml:space="preserve"> </w:t>
      </w:r>
      <w:r w:rsidRPr="003A6DA1">
        <w:rPr>
          <w:i/>
          <w:iCs/>
          <w:sz w:val="24"/>
          <w:szCs w:val="24"/>
        </w:rPr>
        <w:t>Act</w:t>
      </w:r>
      <w:r w:rsidR="00945945">
        <w:rPr>
          <w:i/>
          <w:iCs/>
          <w:sz w:val="24"/>
          <w:szCs w:val="24"/>
        </w:rPr>
        <w:t xml:space="preserve"> </w:t>
      </w:r>
      <w:r w:rsidRPr="003A6DA1">
        <w:rPr>
          <w:i/>
          <w:iCs/>
          <w:sz w:val="24"/>
          <w:szCs w:val="24"/>
        </w:rPr>
        <w:t>2003</w:t>
      </w:r>
      <w:r w:rsidR="00945945">
        <w:rPr>
          <w:iCs/>
          <w:sz w:val="24"/>
          <w:szCs w:val="24"/>
        </w:rPr>
        <w:t xml:space="preserve"> </w:t>
      </w:r>
      <w:r w:rsidR="00667ADA" w:rsidRPr="003A6DA1">
        <w:rPr>
          <w:iCs/>
          <w:sz w:val="24"/>
          <w:szCs w:val="24"/>
        </w:rPr>
        <w:t>(the</w:t>
      </w:r>
      <w:r w:rsidR="00945945">
        <w:rPr>
          <w:iCs/>
          <w:sz w:val="24"/>
          <w:szCs w:val="24"/>
        </w:rPr>
        <w:t xml:space="preserve"> </w:t>
      </w:r>
      <w:r w:rsidR="00667ADA" w:rsidRPr="003A6DA1">
        <w:rPr>
          <w:iCs/>
          <w:sz w:val="24"/>
          <w:szCs w:val="24"/>
        </w:rPr>
        <w:t>LI</w:t>
      </w:r>
      <w:r w:rsidR="00945945">
        <w:rPr>
          <w:iCs/>
          <w:sz w:val="24"/>
          <w:szCs w:val="24"/>
        </w:rPr>
        <w:t xml:space="preserve"> </w:t>
      </w:r>
      <w:r w:rsidR="00667ADA" w:rsidRPr="003A6DA1">
        <w:rPr>
          <w:iCs/>
          <w:sz w:val="24"/>
          <w:szCs w:val="24"/>
        </w:rPr>
        <w:t>Act)</w:t>
      </w:r>
      <w:r w:rsidR="00667ADA" w:rsidRPr="003A6DA1">
        <w:rPr>
          <w:sz w:val="24"/>
          <w:szCs w:val="24"/>
        </w:rPr>
        <w:t>.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As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Proclamation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provides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solely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for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commencement</w:t>
      </w:r>
      <w:r w:rsidR="00945945">
        <w:rPr>
          <w:sz w:val="24"/>
          <w:szCs w:val="24"/>
        </w:rPr>
        <w:t xml:space="preserve"> </w:t>
      </w:r>
      <w:r w:rsidR="005E2243">
        <w:rPr>
          <w:sz w:val="24"/>
          <w:szCs w:val="24"/>
        </w:rPr>
        <w:t xml:space="preserve">of </w:t>
      </w:r>
      <w:r w:rsidR="00667ADA" w:rsidRPr="003A6DA1">
        <w:rPr>
          <w:sz w:val="24"/>
          <w:szCs w:val="24"/>
        </w:rPr>
        <w:t>sections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3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125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Act,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Proclamation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is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not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subject</w:t>
      </w:r>
      <w:r w:rsidR="00945945">
        <w:rPr>
          <w:sz w:val="24"/>
          <w:szCs w:val="24"/>
        </w:rPr>
        <w:t xml:space="preserve"> </w:t>
      </w:r>
      <w:r w:rsidR="00667ADA" w:rsidRPr="003A6DA1">
        <w:rPr>
          <w:sz w:val="24"/>
          <w:szCs w:val="24"/>
        </w:rPr>
        <w:t>to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Parliamentary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disallowance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under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section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42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LI</w:t>
      </w:r>
      <w:r w:rsidR="00945945">
        <w:rPr>
          <w:sz w:val="24"/>
          <w:szCs w:val="24"/>
        </w:rPr>
        <w:t xml:space="preserve"> </w:t>
      </w:r>
      <w:r w:rsidR="003A6DA1" w:rsidRPr="003A6DA1">
        <w:rPr>
          <w:sz w:val="24"/>
          <w:szCs w:val="24"/>
        </w:rPr>
        <w:t>Act.</w:t>
      </w:r>
    </w:p>
    <w:p w:rsidR="00980CBF" w:rsidRDefault="00980CBF" w:rsidP="007D1D2B">
      <w:pPr>
        <w:ind w:right="91"/>
        <w:rPr>
          <w:sz w:val="24"/>
          <w:szCs w:val="24"/>
        </w:rPr>
      </w:pPr>
    </w:p>
    <w:p w:rsidR="00CD4957" w:rsidRPr="00CD4957" w:rsidRDefault="00CD4957" w:rsidP="007D1D2B">
      <w:pPr>
        <w:rPr>
          <w:sz w:val="24"/>
          <w:szCs w:val="24"/>
          <w:u w:val="single"/>
        </w:rPr>
      </w:pPr>
      <w:r w:rsidRPr="00CD4957">
        <w:rPr>
          <w:sz w:val="24"/>
          <w:szCs w:val="24"/>
          <w:u w:val="single"/>
        </w:rPr>
        <w:t>Regulation</w:t>
      </w:r>
      <w:r w:rsidR="00945945">
        <w:rPr>
          <w:sz w:val="24"/>
          <w:szCs w:val="24"/>
          <w:u w:val="single"/>
        </w:rPr>
        <w:t xml:space="preserve"> </w:t>
      </w:r>
      <w:r w:rsidRPr="00CD4957">
        <w:rPr>
          <w:sz w:val="24"/>
          <w:szCs w:val="24"/>
          <w:u w:val="single"/>
        </w:rPr>
        <w:t>Impact</w:t>
      </w:r>
      <w:r w:rsidR="00945945">
        <w:rPr>
          <w:sz w:val="24"/>
          <w:szCs w:val="24"/>
          <w:u w:val="single"/>
        </w:rPr>
        <w:t xml:space="preserve"> </w:t>
      </w:r>
      <w:r w:rsidRPr="00CD4957">
        <w:rPr>
          <w:sz w:val="24"/>
          <w:szCs w:val="24"/>
          <w:u w:val="single"/>
        </w:rPr>
        <w:t>Statement</w:t>
      </w:r>
    </w:p>
    <w:p w:rsidR="007D1D2B" w:rsidRPr="00082C1A" w:rsidRDefault="00CD4957" w:rsidP="00082C1A">
      <w:pPr>
        <w:rPr>
          <w:sz w:val="24"/>
          <w:szCs w:val="24"/>
        </w:rPr>
      </w:pPr>
      <w:r w:rsidRPr="00CD4957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Office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Best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Practice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Regulation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(OBPR)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was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consulted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about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making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of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>
        <w:rPr>
          <w:sz w:val="24"/>
          <w:szCs w:val="24"/>
        </w:rPr>
        <w:t>Proclamation</w:t>
      </w:r>
      <w:r w:rsidRPr="00CD4957">
        <w:rPr>
          <w:sz w:val="24"/>
          <w:szCs w:val="24"/>
        </w:rPr>
        <w:t>.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The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OBPR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considered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that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no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regulatory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impact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statement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is</w:t>
      </w:r>
      <w:r w:rsidR="00945945">
        <w:rPr>
          <w:sz w:val="24"/>
          <w:szCs w:val="24"/>
        </w:rPr>
        <w:t xml:space="preserve"> </w:t>
      </w:r>
      <w:r w:rsidRPr="00CD4957">
        <w:rPr>
          <w:sz w:val="24"/>
          <w:szCs w:val="24"/>
        </w:rPr>
        <w:t>required.</w:t>
      </w:r>
    </w:p>
    <w:sectPr w:rsidR="007D1D2B" w:rsidRPr="00082C1A" w:rsidSect="00B65F86">
      <w:headerReference w:type="default" r:id="rId7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D3" w:rsidRDefault="009F43D3">
      <w:r>
        <w:separator/>
      </w:r>
    </w:p>
  </w:endnote>
  <w:endnote w:type="continuationSeparator" w:id="0">
    <w:p w:rsidR="009F43D3" w:rsidRDefault="009F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D3" w:rsidRDefault="009F43D3">
      <w:r>
        <w:separator/>
      </w:r>
    </w:p>
  </w:footnote>
  <w:footnote w:type="continuationSeparator" w:id="0">
    <w:p w:rsidR="009F43D3" w:rsidRDefault="009F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91" w:rsidRDefault="00E00E91">
    <w:pPr>
      <w:pStyle w:val="Header"/>
    </w:pPr>
    <w:r>
      <w:tab/>
    </w:r>
    <w:r w:rsidR="001D254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D2549">
      <w:rPr>
        <w:rStyle w:val="PageNumber"/>
      </w:rPr>
      <w:fldChar w:fldCharType="separate"/>
    </w:r>
    <w:r w:rsidR="004A2CEA">
      <w:rPr>
        <w:rStyle w:val="PageNumber"/>
        <w:noProof/>
      </w:rPr>
      <w:t>2</w:t>
    </w:r>
    <w:r w:rsidR="001D2549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2EB"/>
    <w:multiLevelType w:val="hybridMultilevel"/>
    <w:tmpl w:val="4FE0D290"/>
    <w:lvl w:ilvl="0" w:tplc="386A90E0">
      <w:start w:val="1"/>
      <w:numFmt w:val="bullet"/>
      <w:lvlText w:val="-"/>
      <w:lvlJc w:val="left"/>
      <w:pPr>
        <w:tabs>
          <w:tab w:val="num" w:pos="547"/>
        </w:tabs>
        <w:ind w:left="734" w:hanging="187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3A1E"/>
    <w:multiLevelType w:val="hybridMultilevel"/>
    <w:tmpl w:val="B02E4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3D29"/>
    <w:multiLevelType w:val="hybridMultilevel"/>
    <w:tmpl w:val="E5CEC41E"/>
    <w:lvl w:ilvl="0" w:tplc="54A488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86DDB"/>
    <w:multiLevelType w:val="hybridMultilevel"/>
    <w:tmpl w:val="5B5099D4"/>
    <w:lvl w:ilvl="0" w:tplc="939408F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1395C"/>
    <w:multiLevelType w:val="hybridMultilevel"/>
    <w:tmpl w:val="90E4F4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8356F"/>
    <w:multiLevelType w:val="hybridMultilevel"/>
    <w:tmpl w:val="30C6AB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F2CD2"/>
    <w:multiLevelType w:val="hybridMultilevel"/>
    <w:tmpl w:val="5FAA91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3008B"/>
    <w:multiLevelType w:val="multilevel"/>
    <w:tmpl w:val="4FE0D290"/>
    <w:lvl w:ilvl="0">
      <w:start w:val="1"/>
      <w:numFmt w:val="bullet"/>
      <w:lvlText w:val="-"/>
      <w:lvlJc w:val="left"/>
      <w:pPr>
        <w:tabs>
          <w:tab w:val="num" w:pos="547"/>
        </w:tabs>
        <w:ind w:left="734" w:hanging="18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E70DD"/>
    <w:multiLevelType w:val="hybridMultilevel"/>
    <w:tmpl w:val="56FA112E"/>
    <w:lvl w:ilvl="0" w:tplc="125CCE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F86"/>
    <w:rsid w:val="00003EAB"/>
    <w:rsid w:val="00006502"/>
    <w:rsid w:val="00070476"/>
    <w:rsid w:val="00073AE2"/>
    <w:rsid w:val="00076B18"/>
    <w:rsid w:val="000805C5"/>
    <w:rsid w:val="00081ACE"/>
    <w:rsid w:val="00082C1A"/>
    <w:rsid w:val="000B1C65"/>
    <w:rsid w:val="000D5482"/>
    <w:rsid w:val="000E68CF"/>
    <w:rsid w:val="000E6BF0"/>
    <w:rsid w:val="000E6D7B"/>
    <w:rsid w:val="000F3CD3"/>
    <w:rsid w:val="00105AE5"/>
    <w:rsid w:val="00126AE6"/>
    <w:rsid w:val="00130AD8"/>
    <w:rsid w:val="00131DFB"/>
    <w:rsid w:val="00150FAC"/>
    <w:rsid w:val="00154322"/>
    <w:rsid w:val="00155781"/>
    <w:rsid w:val="00162FBF"/>
    <w:rsid w:val="001829B6"/>
    <w:rsid w:val="001830C0"/>
    <w:rsid w:val="001873BD"/>
    <w:rsid w:val="001919FC"/>
    <w:rsid w:val="001B1465"/>
    <w:rsid w:val="001B26BD"/>
    <w:rsid w:val="001D18BF"/>
    <w:rsid w:val="001D2549"/>
    <w:rsid w:val="001D7DEE"/>
    <w:rsid w:val="001F2155"/>
    <w:rsid w:val="001F5062"/>
    <w:rsid w:val="001F685D"/>
    <w:rsid w:val="00201BD3"/>
    <w:rsid w:val="002240FA"/>
    <w:rsid w:val="00241142"/>
    <w:rsid w:val="00244441"/>
    <w:rsid w:val="00256B07"/>
    <w:rsid w:val="002574B7"/>
    <w:rsid w:val="0028468C"/>
    <w:rsid w:val="002A4B83"/>
    <w:rsid w:val="002A7B8A"/>
    <w:rsid w:val="002C2F53"/>
    <w:rsid w:val="00305C60"/>
    <w:rsid w:val="00312A3C"/>
    <w:rsid w:val="003137BC"/>
    <w:rsid w:val="00320925"/>
    <w:rsid w:val="00341911"/>
    <w:rsid w:val="00351C2B"/>
    <w:rsid w:val="0035743A"/>
    <w:rsid w:val="00361057"/>
    <w:rsid w:val="00395C01"/>
    <w:rsid w:val="003A6DA1"/>
    <w:rsid w:val="003B4183"/>
    <w:rsid w:val="003B5799"/>
    <w:rsid w:val="003D212C"/>
    <w:rsid w:val="003E4249"/>
    <w:rsid w:val="003E5BDB"/>
    <w:rsid w:val="003F4A9A"/>
    <w:rsid w:val="00400799"/>
    <w:rsid w:val="0040684B"/>
    <w:rsid w:val="00414C28"/>
    <w:rsid w:val="004236F0"/>
    <w:rsid w:val="004327E1"/>
    <w:rsid w:val="00440D2A"/>
    <w:rsid w:val="00447569"/>
    <w:rsid w:val="00455CD5"/>
    <w:rsid w:val="00461D33"/>
    <w:rsid w:val="00473EF2"/>
    <w:rsid w:val="00474B2F"/>
    <w:rsid w:val="0048075D"/>
    <w:rsid w:val="00483B84"/>
    <w:rsid w:val="0048419D"/>
    <w:rsid w:val="00495649"/>
    <w:rsid w:val="004A0985"/>
    <w:rsid w:val="004A1ECA"/>
    <w:rsid w:val="004A2CEA"/>
    <w:rsid w:val="004A2DBF"/>
    <w:rsid w:val="004B03A7"/>
    <w:rsid w:val="004B4733"/>
    <w:rsid w:val="004C5E11"/>
    <w:rsid w:val="004C7EEF"/>
    <w:rsid w:val="004E48E7"/>
    <w:rsid w:val="004F78A4"/>
    <w:rsid w:val="00505955"/>
    <w:rsid w:val="0051206F"/>
    <w:rsid w:val="00523A28"/>
    <w:rsid w:val="00537E19"/>
    <w:rsid w:val="00542E56"/>
    <w:rsid w:val="00546A75"/>
    <w:rsid w:val="00550526"/>
    <w:rsid w:val="00550F88"/>
    <w:rsid w:val="00556BF0"/>
    <w:rsid w:val="005931D8"/>
    <w:rsid w:val="005A223D"/>
    <w:rsid w:val="005A3F1F"/>
    <w:rsid w:val="005A568C"/>
    <w:rsid w:val="005A7567"/>
    <w:rsid w:val="005B0D7E"/>
    <w:rsid w:val="005C1EBF"/>
    <w:rsid w:val="005C46F7"/>
    <w:rsid w:val="005C73FE"/>
    <w:rsid w:val="005E2243"/>
    <w:rsid w:val="005E5504"/>
    <w:rsid w:val="005E6D4A"/>
    <w:rsid w:val="005F53DB"/>
    <w:rsid w:val="005F65FD"/>
    <w:rsid w:val="006023B7"/>
    <w:rsid w:val="0062041F"/>
    <w:rsid w:val="0062130E"/>
    <w:rsid w:val="00623F76"/>
    <w:rsid w:val="006377EE"/>
    <w:rsid w:val="00641348"/>
    <w:rsid w:val="0064704F"/>
    <w:rsid w:val="00647D31"/>
    <w:rsid w:val="0066628E"/>
    <w:rsid w:val="00666CE3"/>
    <w:rsid w:val="00667473"/>
    <w:rsid w:val="00667ADA"/>
    <w:rsid w:val="00680634"/>
    <w:rsid w:val="00685436"/>
    <w:rsid w:val="00696BDC"/>
    <w:rsid w:val="006A1D0D"/>
    <w:rsid w:val="006C2D2D"/>
    <w:rsid w:val="006F5B8F"/>
    <w:rsid w:val="00716F02"/>
    <w:rsid w:val="007170CF"/>
    <w:rsid w:val="007217DC"/>
    <w:rsid w:val="00726385"/>
    <w:rsid w:val="0073344B"/>
    <w:rsid w:val="00735941"/>
    <w:rsid w:val="00735BF5"/>
    <w:rsid w:val="007378B0"/>
    <w:rsid w:val="007568B0"/>
    <w:rsid w:val="00777B26"/>
    <w:rsid w:val="00793D2D"/>
    <w:rsid w:val="00794C38"/>
    <w:rsid w:val="007A04C2"/>
    <w:rsid w:val="007A1D57"/>
    <w:rsid w:val="007C449C"/>
    <w:rsid w:val="007D1D2B"/>
    <w:rsid w:val="007D6DCF"/>
    <w:rsid w:val="007D7B51"/>
    <w:rsid w:val="007E7DD3"/>
    <w:rsid w:val="007F6E9E"/>
    <w:rsid w:val="007F6F4C"/>
    <w:rsid w:val="00800B00"/>
    <w:rsid w:val="00800E5D"/>
    <w:rsid w:val="00821DAD"/>
    <w:rsid w:val="00821E8C"/>
    <w:rsid w:val="00835EF1"/>
    <w:rsid w:val="00842EED"/>
    <w:rsid w:val="00843561"/>
    <w:rsid w:val="00844845"/>
    <w:rsid w:val="00874AAD"/>
    <w:rsid w:val="00893321"/>
    <w:rsid w:val="008B0830"/>
    <w:rsid w:val="008C1240"/>
    <w:rsid w:val="008E0581"/>
    <w:rsid w:val="008F1192"/>
    <w:rsid w:val="008F2E53"/>
    <w:rsid w:val="008F43D0"/>
    <w:rsid w:val="009027F5"/>
    <w:rsid w:val="00910514"/>
    <w:rsid w:val="0093442C"/>
    <w:rsid w:val="00943BFF"/>
    <w:rsid w:val="00945945"/>
    <w:rsid w:val="0098041D"/>
    <w:rsid w:val="00980CBF"/>
    <w:rsid w:val="009854CE"/>
    <w:rsid w:val="0099264F"/>
    <w:rsid w:val="009A162B"/>
    <w:rsid w:val="009A5B8E"/>
    <w:rsid w:val="009B1021"/>
    <w:rsid w:val="009C7F5D"/>
    <w:rsid w:val="009D595B"/>
    <w:rsid w:val="009F43D3"/>
    <w:rsid w:val="00A03CE2"/>
    <w:rsid w:val="00A110B3"/>
    <w:rsid w:val="00A1404E"/>
    <w:rsid w:val="00A177C4"/>
    <w:rsid w:val="00A230D1"/>
    <w:rsid w:val="00A30DA9"/>
    <w:rsid w:val="00A4655A"/>
    <w:rsid w:val="00A70BC9"/>
    <w:rsid w:val="00A75C65"/>
    <w:rsid w:val="00A828FC"/>
    <w:rsid w:val="00AB2DE8"/>
    <w:rsid w:val="00AB3AC0"/>
    <w:rsid w:val="00AD3E9E"/>
    <w:rsid w:val="00AD434D"/>
    <w:rsid w:val="00AD46E6"/>
    <w:rsid w:val="00AE6148"/>
    <w:rsid w:val="00B00C30"/>
    <w:rsid w:val="00B062DA"/>
    <w:rsid w:val="00B13288"/>
    <w:rsid w:val="00B138E1"/>
    <w:rsid w:val="00B268D3"/>
    <w:rsid w:val="00B30B5F"/>
    <w:rsid w:val="00B33825"/>
    <w:rsid w:val="00B354FA"/>
    <w:rsid w:val="00B40278"/>
    <w:rsid w:val="00B402A1"/>
    <w:rsid w:val="00B46C21"/>
    <w:rsid w:val="00B5388E"/>
    <w:rsid w:val="00B64A43"/>
    <w:rsid w:val="00B65F86"/>
    <w:rsid w:val="00B73C66"/>
    <w:rsid w:val="00B94B4C"/>
    <w:rsid w:val="00B94EAD"/>
    <w:rsid w:val="00BB1950"/>
    <w:rsid w:val="00BC3C9A"/>
    <w:rsid w:val="00BE516D"/>
    <w:rsid w:val="00C02B77"/>
    <w:rsid w:val="00C2411D"/>
    <w:rsid w:val="00C3681B"/>
    <w:rsid w:val="00C42D1A"/>
    <w:rsid w:val="00C43002"/>
    <w:rsid w:val="00C63FB3"/>
    <w:rsid w:val="00C70FBA"/>
    <w:rsid w:val="00C74DE2"/>
    <w:rsid w:val="00C80012"/>
    <w:rsid w:val="00C858EA"/>
    <w:rsid w:val="00CC40F3"/>
    <w:rsid w:val="00CD4957"/>
    <w:rsid w:val="00CE0D2C"/>
    <w:rsid w:val="00CF29F6"/>
    <w:rsid w:val="00CF54DA"/>
    <w:rsid w:val="00D060DE"/>
    <w:rsid w:val="00D23B8D"/>
    <w:rsid w:val="00D26B16"/>
    <w:rsid w:val="00D30E35"/>
    <w:rsid w:val="00D35622"/>
    <w:rsid w:val="00D40127"/>
    <w:rsid w:val="00D60655"/>
    <w:rsid w:val="00D62EDC"/>
    <w:rsid w:val="00DA1AC3"/>
    <w:rsid w:val="00DD330B"/>
    <w:rsid w:val="00DE37D7"/>
    <w:rsid w:val="00DE6EA2"/>
    <w:rsid w:val="00E00E91"/>
    <w:rsid w:val="00E22575"/>
    <w:rsid w:val="00E2464B"/>
    <w:rsid w:val="00E25F21"/>
    <w:rsid w:val="00E516D7"/>
    <w:rsid w:val="00E56CAE"/>
    <w:rsid w:val="00E57993"/>
    <w:rsid w:val="00E62547"/>
    <w:rsid w:val="00E712B3"/>
    <w:rsid w:val="00E7736E"/>
    <w:rsid w:val="00E91EFF"/>
    <w:rsid w:val="00EA0B74"/>
    <w:rsid w:val="00EA6A5C"/>
    <w:rsid w:val="00EB761B"/>
    <w:rsid w:val="00F04C6D"/>
    <w:rsid w:val="00F111B6"/>
    <w:rsid w:val="00F41DCC"/>
    <w:rsid w:val="00F43A96"/>
    <w:rsid w:val="00F54C37"/>
    <w:rsid w:val="00F55A84"/>
    <w:rsid w:val="00F709E1"/>
    <w:rsid w:val="00F71701"/>
    <w:rsid w:val="00F774A3"/>
    <w:rsid w:val="00F866C5"/>
    <w:rsid w:val="00F95057"/>
    <w:rsid w:val="00F96B3A"/>
    <w:rsid w:val="00FB6134"/>
    <w:rsid w:val="00FC20BE"/>
    <w:rsid w:val="00FE056F"/>
    <w:rsid w:val="00FE12DF"/>
    <w:rsid w:val="00FE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86"/>
  </w:style>
  <w:style w:type="paragraph" w:styleId="Heading1">
    <w:name w:val="heading 1"/>
    <w:basedOn w:val="Normal"/>
    <w:next w:val="Normal"/>
    <w:qFormat/>
    <w:rsid w:val="00B65F86"/>
    <w:pPr>
      <w:keepNext/>
      <w:jc w:val="center"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F86"/>
    <w:pPr>
      <w:jc w:val="center"/>
    </w:pPr>
    <w:rPr>
      <w:b/>
      <w:sz w:val="24"/>
      <w:u w:val="single"/>
      <w:lang w:val="en-GB" w:eastAsia="en-US"/>
    </w:rPr>
  </w:style>
  <w:style w:type="paragraph" w:styleId="BodyText3">
    <w:name w:val="Body Text 3"/>
    <w:basedOn w:val="Normal"/>
    <w:rsid w:val="00B65F86"/>
    <w:rPr>
      <w:sz w:val="24"/>
      <w:u w:val="single"/>
      <w:lang w:val="en-GB" w:eastAsia="en-US"/>
    </w:rPr>
  </w:style>
  <w:style w:type="paragraph" w:styleId="BodyText">
    <w:name w:val="Body Text"/>
    <w:basedOn w:val="Normal"/>
    <w:rsid w:val="00B65F86"/>
    <w:pPr>
      <w:jc w:val="center"/>
    </w:pPr>
    <w:rPr>
      <w:sz w:val="24"/>
    </w:rPr>
  </w:style>
  <w:style w:type="paragraph" w:styleId="BodyText2">
    <w:name w:val="Body Text 2"/>
    <w:basedOn w:val="Normal"/>
    <w:rsid w:val="00B65F86"/>
    <w:rPr>
      <w:snapToGrid w:val="0"/>
      <w:sz w:val="24"/>
      <w:lang w:eastAsia="en-US"/>
    </w:rPr>
  </w:style>
  <w:style w:type="paragraph" w:styleId="Header">
    <w:name w:val="header"/>
    <w:basedOn w:val="Normal"/>
    <w:rsid w:val="00B65F86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65F86"/>
  </w:style>
  <w:style w:type="paragraph" w:customStyle="1" w:styleId="Default">
    <w:name w:val="Default"/>
    <w:rsid w:val="00CD49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D1D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1D2B"/>
  </w:style>
  <w:style w:type="character" w:customStyle="1" w:styleId="CommentTextChar">
    <w:name w:val="Comment Text Char"/>
    <w:basedOn w:val="DefaultParagraphFont"/>
    <w:link w:val="CommentText"/>
    <w:rsid w:val="007D1D2B"/>
  </w:style>
  <w:style w:type="paragraph" w:styleId="CommentSubject">
    <w:name w:val="annotation subject"/>
    <w:basedOn w:val="CommentText"/>
    <w:next w:val="CommentText"/>
    <w:link w:val="CommentSubjectChar"/>
    <w:rsid w:val="007D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1D2B"/>
    <w:rPr>
      <w:b/>
      <w:bCs/>
    </w:rPr>
  </w:style>
  <w:style w:type="paragraph" w:styleId="BalloonText">
    <w:name w:val="Balloon Text"/>
    <w:basedOn w:val="Normal"/>
    <w:link w:val="BalloonTextChar"/>
    <w:rsid w:val="007D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945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3793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STATEMENT</vt:lpstr>
    </vt:vector>
  </TitlesOfParts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STATEMENT</dc:title>
  <dc:creator>bmetschke</dc:creator>
  <cp:lastModifiedBy/>
  <cp:revision>1</cp:revision>
  <cp:lastPrinted>2007-02-22T01:45:00Z</cp:lastPrinted>
  <dcterms:created xsi:type="dcterms:W3CDTF">2012-04-27T03:32:00Z</dcterms:created>
  <dcterms:modified xsi:type="dcterms:W3CDTF">2012-04-27T03:32:00Z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