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E28" w:rsidRDefault="007E2E28" w:rsidP="007E2E28">
      <w:pPr>
        <w:tabs>
          <w:tab w:val="right" w:pos="9072"/>
        </w:tabs>
        <w:spacing w:before="0" w:line="240" w:lineRule="exact"/>
        <w:ind w:right="91"/>
        <w:rPr>
          <w:b/>
        </w:rPr>
      </w:pPr>
    </w:p>
    <w:p w:rsidR="007E2E28" w:rsidRDefault="007E2E28" w:rsidP="007E2E28">
      <w:pPr>
        <w:tabs>
          <w:tab w:val="right" w:pos="9072"/>
        </w:tabs>
        <w:spacing w:before="0" w:line="240" w:lineRule="exact"/>
        <w:ind w:right="91"/>
        <w:rPr>
          <w:b/>
        </w:rPr>
      </w:pPr>
    </w:p>
    <w:p w:rsidR="007E2E28" w:rsidRDefault="007E2E28" w:rsidP="007E2E28">
      <w:pPr>
        <w:spacing w:before="0"/>
        <w:ind w:right="91"/>
        <w:jc w:val="center"/>
      </w:pPr>
      <w:r>
        <w:rPr>
          <w:b/>
          <w:u w:val="single"/>
        </w:rPr>
        <w:t>EXPLANATORY STATEMENT</w:t>
      </w:r>
    </w:p>
    <w:p w:rsidR="007E2E28" w:rsidRDefault="007E2E28" w:rsidP="007E2E28">
      <w:pPr>
        <w:spacing w:before="0"/>
        <w:ind w:right="91"/>
        <w:jc w:val="center"/>
      </w:pPr>
    </w:p>
    <w:p w:rsidR="007E2E28" w:rsidRPr="007B2CBB" w:rsidRDefault="00B66C8A" w:rsidP="00B66C8A">
      <w:pPr>
        <w:pStyle w:val="Heading6"/>
        <w:spacing w:before="0"/>
        <w:jc w:val="center"/>
        <w:rPr>
          <w:b/>
        </w:rPr>
      </w:pPr>
      <w:r w:rsidRPr="007B2CBB">
        <w:rPr>
          <w:b/>
        </w:rPr>
        <w:t>Select Legislative Instrument 2012 No.</w:t>
      </w:r>
      <w:r w:rsidR="007B2CBB" w:rsidRPr="007B2CBB">
        <w:rPr>
          <w:b/>
        </w:rPr>
        <w:t xml:space="preserve"> 62</w:t>
      </w:r>
    </w:p>
    <w:p w:rsidR="00B66C8A" w:rsidRPr="00B66C8A" w:rsidRDefault="00B66C8A" w:rsidP="00B66C8A">
      <w:pPr>
        <w:jc w:val="center"/>
      </w:pPr>
      <w:r>
        <w:t>Issued by authority of the Attorney-General</w:t>
      </w:r>
    </w:p>
    <w:p w:rsidR="007E2E28" w:rsidRDefault="007E2E28" w:rsidP="00B66C8A">
      <w:pPr>
        <w:spacing w:before="0"/>
        <w:ind w:right="91"/>
        <w:jc w:val="center"/>
      </w:pPr>
    </w:p>
    <w:p w:rsidR="007E2E28" w:rsidRDefault="007E2E28" w:rsidP="00B66C8A">
      <w:pPr>
        <w:spacing w:before="0"/>
        <w:ind w:right="91"/>
        <w:jc w:val="center"/>
        <w:rPr>
          <w:i/>
        </w:rPr>
      </w:pPr>
      <w:r>
        <w:rPr>
          <w:i/>
        </w:rPr>
        <w:t>Federal Magistrates Act 1999</w:t>
      </w:r>
    </w:p>
    <w:p w:rsidR="00B66C8A" w:rsidRDefault="00B66C8A" w:rsidP="00B66C8A">
      <w:pPr>
        <w:spacing w:before="0"/>
        <w:ind w:right="91"/>
        <w:jc w:val="center"/>
      </w:pPr>
    </w:p>
    <w:p w:rsidR="007E2E28" w:rsidRPr="00547901" w:rsidRDefault="007E2E28" w:rsidP="00B66C8A">
      <w:pPr>
        <w:spacing w:before="0"/>
        <w:ind w:right="91"/>
        <w:jc w:val="center"/>
        <w:rPr>
          <w:i/>
        </w:rPr>
      </w:pPr>
      <w:r>
        <w:rPr>
          <w:i/>
        </w:rPr>
        <w:t xml:space="preserve">Federal Magistrates </w:t>
      </w:r>
      <w:r w:rsidRPr="00547901">
        <w:rPr>
          <w:i/>
        </w:rPr>
        <w:t xml:space="preserve">Amendment Regulation </w:t>
      </w:r>
      <w:r>
        <w:rPr>
          <w:i/>
        </w:rPr>
        <w:t xml:space="preserve">2012 </w:t>
      </w:r>
      <w:r w:rsidR="007B2CBB">
        <w:rPr>
          <w:i/>
        </w:rPr>
        <w:t>(No. 1</w:t>
      </w:r>
      <w:r w:rsidRPr="00547901">
        <w:rPr>
          <w:i/>
        </w:rPr>
        <w:t>)</w:t>
      </w:r>
    </w:p>
    <w:p w:rsidR="007E2E28" w:rsidRDefault="007E2E28" w:rsidP="007E2E28">
      <w:pPr>
        <w:spacing w:before="0"/>
        <w:ind w:right="91"/>
      </w:pPr>
    </w:p>
    <w:p w:rsidR="007E2E28" w:rsidRDefault="007E2E28" w:rsidP="007E2E28">
      <w:pPr>
        <w:spacing w:before="0" w:after="120"/>
        <w:ind w:right="91"/>
      </w:pPr>
      <w:r>
        <w:t xml:space="preserve">The </w:t>
      </w:r>
      <w:r>
        <w:rPr>
          <w:i/>
        </w:rPr>
        <w:t>Federal Magistrates Act 1999</w:t>
      </w:r>
      <w:r>
        <w:t xml:space="preserve"> (the Act) establishes the Federal Magistrates Court (the Court) as a federal court under Chapter III of the Constitution. </w:t>
      </w:r>
    </w:p>
    <w:p w:rsidR="007E2E28" w:rsidRDefault="007E2E28" w:rsidP="007E2E28">
      <w:pPr>
        <w:spacing w:after="120"/>
        <w:ind w:right="91"/>
      </w:pPr>
      <w:r>
        <w:t>Subsection 120(1) of the Act provides that the Governor-General may make regulations prescribing matters required or permitted by the Act to be prescribed or necessary or convenient to be prescribed for carrying out or giving effect to the Act.  In particular, s</w:t>
      </w:r>
      <w:r w:rsidRPr="00222F32">
        <w:t xml:space="preserve">ubsection 120(4) of the Act </w:t>
      </w:r>
      <w:r>
        <w:t>allows the regulations to modify or adapt</w:t>
      </w:r>
      <w:r w:rsidRPr="00222F32">
        <w:t xml:space="preserve"> provisions of the </w:t>
      </w:r>
      <w:r w:rsidRPr="00222F32">
        <w:rPr>
          <w:i/>
        </w:rPr>
        <w:t>Legislative Instruments Act 2003</w:t>
      </w:r>
      <w:r w:rsidRPr="00222F32">
        <w:t xml:space="preserve"> (ot</w:t>
      </w:r>
      <w:r>
        <w:t>her than the provisions of Part </w:t>
      </w:r>
      <w:r w:rsidRPr="00222F32">
        <w:t>5 of that Act or any other provisions whose modifications or adaptation would affect the operation of that Part) in their application to the Court.</w:t>
      </w:r>
      <w:r>
        <w:t xml:space="preserve">  </w:t>
      </w:r>
    </w:p>
    <w:p w:rsidR="007E2E28" w:rsidRDefault="007E2E28" w:rsidP="007E2E28">
      <w:r w:rsidRPr="00893B48">
        <w:t xml:space="preserve">The </w:t>
      </w:r>
      <w:r>
        <w:t>Regulation</w:t>
      </w:r>
      <w:r w:rsidRPr="00893B48">
        <w:t xml:space="preserve"> amend</w:t>
      </w:r>
      <w:r>
        <w:t>s</w:t>
      </w:r>
      <w:r w:rsidRPr="00893B48">
        <w:t xml:space="preserve"> the </w:t>
      </w:r>
      <w:r>
        <w:rPr>
          <w:i/>
        </w:rPr>
        <w:t xml:space="preserve">Federal Magistrates Regulations 2000 </w:t>
      </w:r>
      <w:r>
        <w:t>(</w:t>
      </w:r>
      <w:r w:rsidRPr="00893B48">
        <w:t>Principal Reg</w:t>
      </w:r>
      <w:r>
        <w:t xml:space="preserve">ulations) to modify the provisions of the </w:t>
      </w:r>
      <w:r>
        <w:rPr>
          <w:i/>
        </w:rPr>
        <w:t>Legislative Instruments Act 2003</w:t>
      </w:r>
      <w:r>
        <w:t xml:space="preserve"> in their application to the Court to allow any rules of the Court to apply, adopt or incorporate, with or without modification, any rules of other courts, as in force from time to time.  This adds to the capacity </w:t>
      </w:r>
      <w:r w:rsidR="001F6BC7">
        <w:t xml:space="preserve">for rules of the Court </w:t>
      </w:r>
      <w:r>
        <w:t xml:space="preserve">to apply, adopt or incorporate other court </w:t>
      </w:r>
      <w:r w:rsidRPr="006F18B5">
        <w:t xml:space="preserve">rules </w:t>
      </w:r>
      <w:r w:rsidRPr="00F6754F">
        <w:t>as in force or exis</w:t>
      </w:r>
      <w:r>
        <w:t>ting at the time when the rules of the Court took effect or were amended.</w:t>
      </w:r>
    </w:p>
    <w:p w:rsidR="007E2E28" w:rsidRDefault="007E2E28" w:rsidP="007E2E28">
      <w:r>
        <w:t xml:space="preserve">Paragraph 14(1)(a) </w:t>
      </w:r>
      <w:r w:rsidRPr="00BB70F0">
        <w:t xml:space="preserve">of the </w:t>
      </w:r>
      <w:bookmarkStart w:id="0" w:name="OLE_LINK1"/>
      <w:bookmarkStart w:id="1" w:name="OLE_LINK2"/>
      <w:r w:rsidRPr="00BB70F0">
        <w:rPr>
          <w:i/>
        </w:rPr>
        <w:t>Legislative Instruments Act 2003</w:t>
      </w:r>
      <w:r w:rsidRPr="00BB70F0">
        <w:t xml:space="preserve"> </w:t>
      </w:r>
      <w:bookmarkEnd w:id="0"/>
      <w:bookmarkEnd w:id="1"/>
      <w:r w:rsidRPr="00BB70F0">
        <w:t xml:space="preserve">allows the </w:t>
      </w:r>
      <w:r w:rsidRPr="005804E5">
        <w:rPr>
          <w:i/>
        </w:rPr>
        <w:t>Federal Magistrates Court Rules 2001</w:t>
      </w:r>
      <w:r>
        <w:rPr>
          <w:i/>
        </w:rPr>
        <w:t xml:space="preserve"> </w:t>
      </w:r>
      <w:r>
        <w:t xml:space="preserve">(the Rules) </w:t>
      </w:r>
      <w:r w:rsidRPr="00BB70F0">
        <w:t xml:space="preserve">to incorporate </w:t>
      </w:r>
      <w:r>
        <w:t xml:space="preserve">the provisions of any Act or </w:t>
      </w:r>
      <w:r w:rsidRPr="00BB70F0">
        <w:t>disal</w:t>
      </w:r>
      <w:r>
        <w:t xml:space="preserve">lowable legislative instrument </w:t>
      </w:r>
      <w:r w:rsidRPr="00BB70F0">
        <w:t>as amended from time to time</w:t>
      </w:r>
      <w:r>
        <w:t>.  However, court rules are not disallowable legislative instruments.</w:t>
      </w:r>
    </w:p>
    <w:p w:rsidR="007E2E28" w:rsidRDefault="007E2E28" w:rsidP="007E2E28">
      <w:r>
        <w:t xml:space="preserve">The amendments are in response to the decision in </w:t>
      </w:r>
      <w:r>
        <w:rPr>
          <w:i/>
        </w:rPr>
        <w:t xml:space="preserve">Beasley v </w:t>
      </w:r>
      <w:r w:rsidR="001F6BC7">
        <w:rPr>
          <w:i/>
        </w:rPr>
        <w:t xml:space="preserve">The </w:t>
      </w:r>
      <w:r>
        <w:rPr>
          <w:i/>
        </w:rPr>
        <w:t xml:space="preserve">Australian National University </w:t>
      </w:r>
      <w:r w:rsidRPr="005804E5">
        <w:t>[2011] FMCA 792</w:t>
      </w:r>
      <w:r>
        <w:rPr>
          <w:i/>
        </w:rPr>
        <w:t xml:space="preserve"> </w:t>
      </w:r>
      <w:r>
        <w:t xml:space="preserve">where the Court found that, due to the operation of section 14 of the </w:t>
      </w:r>
      <w:r w:rsidRPr="009D3A7C">
        <w:rPr>
          <w:i/>
        </w:rPr>
        <w:t>Legislative Instruments Act 2003</w:t>
      </w:r>
      <w:r>
        <w:t xml:space="preserve">, the Rules </w:t>
      </w:r>
      <w:r w:rsidR="00C61D70">
        <w:t>did</w:t>
      </w:r>
      <w:r>
        <w:t xml:space="preserve"> not incorporate the rules of the Federal Court of Australia as in force from time to time but reference</w:t>
      </w:r>
      <w:r w:rsidR="00C61D70">
        <w:t>d</w:t>
      </w:r>
      <w:r>
        <w:t xml:space="preserve"> them in the form </w:t>
      </w:r>
      <w:r w:rsidRPr="005804E5">
        <w:t xml:space="preserve">they stood at the time they were adopted for application in </w:t>
      </w:r>
      <w:r>
        <w:t xml:space="preserve">the </w:t>
      </w:r>
      <w:r w:rsidRPr="005804E5">
        <w:t>Court</w:t>
      </w:r>
      <w:r>
        <w:t>.</w:t>
      </w:r>
    </w:p>
    <w:p w:rsidR="007E2E28" w:rsidRDefault="007E2E28" w:rsidP="007E2E28">
      <w:r>
        <w:t xml:space="preserve">The amendments enable the Rules to incorporate other court rules in any amended and updated form.  Where the Rules incorporate other court rules as in force, litigants in proceedings before the Court </w:t>
      </w:r>
      <w:bookmarkStart w:id="2" w:name="OLE_LINK5"/>
      <w:bookmarkStart w:id="3" w:name="OLE_LINK6"/>
      <w:r>
        <w:t xml:space="preserve">will </w:t>
      </w:r>
      <w:bookmarkEnd w:id="2"/>
      <w:bookmarkEnd w:id="3"/>
      <w:r>
        <w:t>be able to consult the current form of the incorporated rules that apply instead of historical versions.  This assists in simplifying</w:t>
      </w:r>
      <w:r w:rsidRPr="00823590">
        <w:t xml:space="preserve"> the application of court rules</w:t>
      </w:r>
      <w:r>
        <w:t xml:space="preserve"> in proceedings before the Court.</w:t>
      </w:r>
    </w:p>
    <w:p w:rsidR="007E2E28" w:rsidRDefault="007E2E28" w:rsidP="007E2E28">
      <w:r>
        <w:t>The Act specifies no conditions that need to be satisfied before the power to make the Regulation may be exercised.</w:t>
      </w:r>
    </w:p>
    <w:p w:rsidR="007E2E28" w:rsidRDefault="007E2E28" w:rsidP="007E2E28">
      <w:pPr>
        <w:tabs>
          <w:tab w:val="left" w:pos="6521"/>
        </w:tabs>
        <w:spacing w:before="0"/>
        <w:ind w:right="91"/>
      </w:pPr>
    </w:p>
    <w:p w:rsidR="007E2E28" w:rsidRDefault="007E2E28" w:rsidP="007E2E28">
      <w:pPr>
        <w:tabs>
          <w:tab w:val="left" w:pos="6521"/>
        </w:tabs>
        <w:spacing w:before="0"/>
        <w:ind w:right="91"/>
      </w:pPr>
      <w:r>
        <w:t xml:space="preserve">The Regulation </w:t>
      </w:r>
      <w:r w:rsidR="00C61D70">
        <w:t>is</w:t>
      </w:r>
      <w:r>
        <w:t xml:space="preserve"> a legislative instrument for the purposes of the </w:t>
      </w:r>
      <w:r w:rsidRPr="00B63B3C">
        <w:rPr>
          <w:i/>
        </w:rPr>
        <w:t>Legislative Instruments Act 2003</w:t>
      </w:r>
      <w:r>
        <w:t>.</w:t>
      </w:r>
    </w:p>
    <w:p w:rsidR="007E2E28" w:rsidRDefault="007E2E28" w:rsidP="007E2E28">
      <w:pPr>
        <w:tabs>
          <w:tab w:val="left" w:pos="6521"/>
        </w:tabs>
        <w:spacing w:before="0"/>
        <w:ind w:right="91"/>
      </w:pPr>
    </w:p>
    <w:p w:rsidR="007E2E28" w:rsidRDefault="007E2E28" w:rsidP="007E2E28">
      <w:pPr>
        <w:tabs>
          <w:tab w:val="left" w:pos="6521"/>
        </w:tabs>
        <w:spacing w:before="0"/>
        <w:ind w:right="91"/>
      </w:pPr>
      <w:r>
        <w:t>The Regulation will commence on the day after registration on the Federal Register of Legislative Instruments.</w:t>
      </w:r>
    </w:p>
    <w:p w:rsidR="007E2E28" w:rsidRPr="007E2E28" w:rsidRDefault="007E2E28" w:rsidP="007E2E28">
      <w:r w:rsidRPr="007E2E28">
        <w:t xml:space="preserve">The Federal </w:t>
      </w:r>
      <w:r>
        <w:t xml:space="preserve">Magistrates Court </w:t>
      </w:r>
      <w:r w:rsidRPr="007E2E28">
        <w:t>of Australi</w:t>
      </w:r>
      <w:r>
        <w:t>a has been consulted about this Regulation</w:t>
      </w:r>
      <w:r w:rsidRPr="007E2E28">
        <w:t xml:space="preserve">.  This level of consultation is appropriate because the amendments are minor and technical in nature. </w:t>
      </w:r>
    </w:p>
    <w:p w:rsidR="007E2E28" w:rsidRDefault="007E2E28" w:rsidP="007E2E28">
      <w:pPr>
        <w:tabs>
          <w:tab w:val="left" w:pos="6521"/>
        </w:tabs>
        <w:spacing w:before="0"/>
        <w:ind w:right="91"/>
      </w:pPr>
    </w:p>
    <w:p w:rsidR="007E2E28" w:rsidRDefault="007E2E28" w:rsidP="007E2E28">
      <w:pPr>
        <w:tabs>
          <w:tab w:val="left" w:pos="6521"/>
        </w:tabs>
        <w:spacing w:before="0"/>
        <w:ind w:right="91"/>
      </w:pPr>
    </w:p>
    <w:p w:rsidR="007E2E28" w:rsidRDefault="007E2E28" w:rsidP="007E2E28">
      <w:pPr>
        <w:tabs>
          <w:tab w:val="left" w:pos="6521"/>
        </w:tabs>
        <w:spacing w:before="0"/>
        <w:ind w:right="91"/>
      </w:pPr>
    </w:p>
    <w:p w:rsidR="007E2E28" w:rsidRDefault="007E2E28" w:rsidP="007E2E28">
      <w:pPr>
        <w:tabs>
          <w:tab w:val="left" w:pos="3969"/>
          <w:tab w:val="left" w:pos="5245"/>
        </w:tabs>
        <w:spacing w:before="0"/>
        <w:ind w:right="91"/>
        <w:jc w:val="right"/>
        <w:rPr>
          <w:i/>
        </w:rPr>
      </w:pPr>
      <w:r>
        <w:tab/>
      </w:r>
      <w:r>
        <w:rPr>
          <w:u w:val="single"/>
        </w:rPr>
        <w:t>Authority:</w:t>
      </w:r>
      <w:r>
        <w:tab/>
        <w:t xml:space="preserve">Subsection 120(1) of the </w:t>
      </w:r>
      <w:r>
        <w:rPr>
          <w:i/>
        </w:rPr>
        <w:t>Federal Magistrates Act 1999</w:t>
      </w:r>
    </w:p>
    <w:p w:rsidR="007E2E28" w:rsidRDefault="007E2E28" w:rsidP="007E2E28">
      <w:pPr>
        <w:spacing w:before="100" w:beforeAutospacing="1" w:after="100" w:afterAutospacing="1"/>
      </w:pPr>
    </w:p>
    <w:p w:rsidR="007E2E28" w:rsidRDefault="007E2E28" w:rsidP="007E2E28">
      <w:pPr>
        <w:spacing w:before="0"/>
        <w:ind w:right="91"/>
      </w:pPr>
    </w:p>
    <w:p w:rsidR="00E674BF" w:rsidRDefault="00E674BF">
      <w:pPr>
        <w:sectPr w:rsidR="00E674BF" w:rsidSect="00D04291">
          <w:footerReference w:type="even" r:id="rId7"/>
          <w:footerReference w:type="default" r:id="rId8"/>
          <w:footerReference w:type="first" r:id="rId9"/>
          <w:pgSz w:w="11907" w:h="16840" w:code="9"/>
          <w:pgMar w:top="1134" w:right="1797" w:bottom="1134" w:left="1797" w:header="720" w:footer="720" w:gutter="0"/>
          <w:cols w:space="720"/>
          <w:titlePg/>
        </w:sectPr>
      </w:pPr>
    </w:p>
    <w:p w:rsidR="00E674BF" w:rsidRDefault="00E674BF" w:rsidP="00E674BF">
      <w:pPr>
        <w:ind w:left="720" w:hanging="720"/>
      </w:pPr>
      <w:bookmarkStart w:id="4" w:name="_Toc290210739"/>
      <w:r>
        <w:rPr>
          <w:noProof/>
        </w:rPr>
        <w:lastRenderedPageBreak/>
        <w:pict>
          <v:rect id="_x0000_s1027" style="position:absolute;left:0;text-align:left;margin-left:.85pt;margin-top:14.1pt;width:481.8pt;height:712.8pt;z-index:251657728" strokeweight="6pt">
            <v:stroke linestyle="thickBetweenThin"/>
            <v:textbox style="mso-next-textbox:#_x0000_s1027" inset="5mm,,5mm">
              <w:txbxContent>
                <w:p w:rsidR="00E674BF" w:rsidRPr="00E4135E" w:rsidRDefault="00E674BF" w:rsidP="00E674BF">
                  <w:pPr>
                    <w:spacing w:before="360" w:after="120"/>
                    <w:jc w:val="center"/>
                    <w:rPr>
                      <w:b/>
                      <w:sz w:val="28"/>
                      <w:szCs w:val="28"/>
                    </w:rPr>
                  </w:pPr>
                  <w:r w:rsidRPr="00E4135E">
                    <w:rPr>
                      <w:b/>
                      <w:sz w:val="28"/>
                      <w:szCs w:val="28"/>
                    </w:rPr>
                    <w:t>Statement of Compatibility with Human Rights</w:t>
                  </w:r>
                </w:p>
                <w:p w:rsidR="00E674BF" w:rsidRPr="00A376CE" w:rsidRDefault="00E674BF" w:rsidP="00A376CE">
                  <w:pPr>
                    <w:spacing w:before="120" w:after="120" w:line="276" w:lineRule="auto"/>
                    <w:jc w:val="center"/>
                    <w:rPr>
                      <w:rFonts w:eastAsia="Calibri"/>
                      <w:i/>
                      <w:szCs w:val="24"/>
                      <w:lang w:eastAsia="en-US"/>
                    </w:rPr>
                  </w:pPr>
                  <w:r w:rsidRPr="00A376CE">
                    <w:rPr>
                      <w:rFonts w:eastAsia="Calibri"/>
                      <w:i/>
                      <w:szCs w:val="24"/>
                      <w:lang w:eastAsia="en-US"/>
                    </w:rPr>
                    <w:t>Prepared in accordance with Part 3 of the Human Rights (Parliamentary Scrutiny) Act 2011</w:t>
                  </w:r>
                </w:p>
                <w:p w:rsidR="00E674BF" w:rsidRPr="00A376CE" w:rsidRDefault="00E674BF" w:rsidP="00A376CE">
                  <w:pPr>
                    <w:spacing w:before="120" w:after="120" w:line="276" w:lineRule="auto"/>
                    <w:jc w:val="center"/>
                    <w:rPr>
                      <w:rFonts w:eastAsia="Calibri"/>
                      <w:szCs w:val="24"/>
                      <w:lang w:eastAsia="en-US"/>
                    </w:rPr>
                  </w:pPr>
                </w:p>
                <w:p w:rsidR="00E674BF" w:rsidRPr="00A376CE" w:rsidRDefault="00E674BF" w:rsidP="00A376CE">
                  <w:pPr>
                    <w:spacing w:before="120" w:after="120" w:line="276" w:lineRule="auto"/>
                    <w:jc w:val="center"/>
                    <w:rPr>
                      <w:rFonts w:eastAsia="Calibri"/>
                      <w:b/>
                      <w:i/>
                      <w:szCs w:val="24"/>
                      <w:lang w:eastAsia="en-US"/>
                    </w:rPr>
                  </w:pPr>
                  <w:r w:rsidRPr="00A376CE">
                    <w:rPr>
                      <w:rFonts w:eastAsia="Calibri"/>
                      <w:b/>
                      <w:i/>
                      <w:szCs w:val="24"/>
                      <w:lang w:eastAsia="en-US"/>
                    </w:rPr>
                    <w:t>Federal Magistrates Am</w:t>
                  </w:r>
                  <w:r w:rsidR="007B2CBB">
                    <w:rPr>
                      <w:rFonts w:eastAsia="Calibri"/>
                      <w:b/>
                      <w:i/>
                      <w:szCs w:val="24"/>
                      <w:lang w:eastAsia="en-US"/>
                    </w:rPr>
                    <w:t>endment Regulation 2012 (No. 1</w:t>
                  </w:r>
                  <w:r w:rsidRPr="00A376CE">
                    <w:rPr>
                      <w:rFonts w:eastAsia="Calibri"/>
                      <w:b/>
                      <w:i/>
                      <w:szCs w:val="24"/>
                      <w:lang w:eastAsia="en-US"/>
                    </w:rPr>
                    <w:t>)</w:t>
                  </w:r>
                </w:p>
                <w:p w:rsidR="00E674BF" w:rsidRPr="00571A39" w:rsidRDefault="00E674BF" w:rsidP="00571A39">
                  <w:pPr>
                    <w:spacing w:before="120" w:after="120" w:line="276" w:lineRule="auto"/>
                    <w:jc w:val="center"/>
                    <w:rPr>
                      <w:rFonts w:eastAsia="Calibri"/>
                      <w:szCs w:val="24"/>
                      <w:lang w:eastAsia="en-US"/>
                    </w:rPr>
                  </w:pPr>
                </w:p>
                <w:p w:rsidR="00E674BF" w:rsidRPr="00571A39" w:rsidRDefault="00E674BF" w:rsidP="00571A39">
                  <w:pPr>
                    <w:spacing w:before="120" w:after="120" w:line="276" w:lineRule="auto"/>
                    <w:jc w:val="center"/>
                    <w:rPr>
                      <w:rFonts w:eastAsia="Calibri"/>
                      <w:szCs w:val="24"/>
                      <w:lang w:eastAsia="en-US"/>
                    </w:rPr>
                  </w:pPr>
                  <w:r w:rsidRPr="00571A39">
                    <w:rPr>
                      <w:rFonts w:eastAsia="Calibri"/>
                      <w:szCs w:val="24"/>
                      <w:lang w:eastAsia="en-US"/>
                    </w:rPr>
                    <w:t xml:space="preserve">This Legislative Instrument is compatible with the human rights and freedoms recognised or declared in the international instruments listed in section 3 of the </w:t>
                  </w:r>
                  <w:r w:rsidRPr="00571A39">
                    <w:rPr>
                      <w:rFonts w:eastAsia="Calibri"/>
                      <w:i/>
                      <w:szCs w:val="24"/>
                      <w:lang w:eastAsia="en-US"/>
                    </w:rPr>
                    <w:t>Human Rights (Parliamentary Scrutiny) Act 2011.</w:t>
                  </w:r>
                </w:p>
                <w:p w:rsidR="00E674BF" w:rsidRPr="00571A39" w:rsidRDefault="00E674BF" w:rsidP="00571A39">
                  <w:pPr>
                    <w:spacing w:before="120" w:after="120" w:line="276" w:lineRule="auto"/>
                    <w:jc w:val="center"/>
                    <w:rPr>
                      <w:rFonts w:eastAsia="Calibri"/>
                      <w:szCs w:val="24"/>
                      <w:lang w:eastAsia="en-US"/>
                    </w:rPr>
                  </w:pPr>
                </w:p>
                <w:p w:rsidR="00E674BF" w:rsidRPr="00571A39" w:rsidRDefault="00E674BF" w:rsidP="00571A39">
                  <w:pPr>
                    <w:spacing w:before="120" w:after="120" w:line="276" w:lineRule="auto"/>
                    <w:jc w:val="center"/>
                    <w:rPr>
                      <w:rFonts w:eastAsia="Calibri"/>
                      <w:szCs w:val="24"/>
                      <w:lang w:eastAsia="en-US"/>
                    </w:rPr>
                  </w:pPr>
                </w:p>
                <w:p w:rsidR="00E674BF" w:rsidRPr="00571A39" w:rsidRDefault="00E674BF" w:rsidP="00571A39">
                  <w:pPr>
                    <w:spacing w:before="120" w:after="120" w:line="276" w:lineRule="auto"/>
                    <w:jc w:val="both"/>
                    <w:rPr>
                      <w:rFonts w:eastAsia="Calibri"/>
                      <w:b/>
                      <w:szCs w:val="24"/>
                      <w:lang w:eastAsia="en-US"/>
                    </w:rPr>
                  </w:pPr>
                  <w:r w:rsidRPr="00571A39">
                    <w:rPr>
                      <w:rFonts w:eastAsia="Calibri"/>
                      <w:b/>
                      <w:szCs w:val="24"/>
                      <w:lang w:eastAsia="en-US"/>
                    </w:rPr>
                    <w:t>Overview of the Legislative Instrument</w:t>
                  </w:r>
                </w:p>
                <w:p w:rsidR="00E674BF" w:rsidRPr="00571A39" w:rsidRDefault="00E674BF" w:rsidP="00571A39">
                  <w:pPr>
                    <w:spacing w:before="120" w:after="120" w:line="276" w:lineRule="auto"/>
                    <w:rPr>
                      <w:rFonts w:eastAsia="Calibri"/>
                      <w:szCs w:val="24"/>
                      <w:lang w:eastAsia="en-US"/>
                    </w:rPr>
                  </w:pPr>
                  <w:r w:rsidRPr="00571A39">
                    <w:rPr>
                      <w:rFonts w:eastAsia="Calibri"/>
                      <w:szCs w:val="24"/>
                      <w:lang w:eastAsia="en-US"/>
                    </w:rPr>
                    <w:t xml:space="preserve">This Legislative Instrument amends the </w:t>
                  </w:r>
                  <w:r w:rsidRPr="00571A39">
                    <w:rPr>
                      <w:rFonts w:eastAsia="Calibri"/>
                      <w:i/>
                      <w:szCs w:val="24"/>
                      <w:lang w:eastAsia="en-US"/>
                    </w:rPr>
                    <w:t>Federal Magistrates Regulations 2000</w:t>
                  </w:r>
                  <w:r w:rsidRPr="00571A39">
                    <w:rPr>
                      <w:rFonts w:eastAsia="Calibri"/>
                      <w:szCs w:val="24"/>
                      <w:lang w:eastAsia="en-US"/>
                    </w:rPr>
                    <w:t xml:space="preserve"> by modifying the provisions of the </w:t>
                  </w:r>
                  <w:r w:rsidRPr="00571A39">
                    <w:rPr>
                      <w:rFonts w:eastAsia="Calibri"/>
                      <w:i/>
                      <w:szCs w:val="24"/>
                      <w:lang w:eastAsia="en-US"/>
                    </w:rPr>
                    <w:t>Legislative Instruments Act 2003</w:t>
                  </w:r>
                  <w:r w:rsidRPr="00571A39">
                    <w:rPr>
                      <w:rFonts w:eastAsia="Calibri"/>
                      <w:szCs w:val="24"/>
                      <w:lang w:eastAsia="en-US"/>
                    </w:rPr>
                    <w:t xml:space="preserve"> in their application to the Federal Magistrates Court of Australia (Court) to allow any rules of the Court to apply, adopt or incorporate, with or without modification, any rules of other courts, as in force from time to time.  </w:t>
                  </w:r>
                </w:p>
                <w:p w:rsidR="00E674BF" w:rsidRPr="00571A39" w:rsidRDefault="00E674BF" w:rsidP="00571A39">
                  <w:pPr>
                    <w:spacing w:before="0" w:line="276" w:lineRule="auto"/>
                    <w:rPr>
                      <w:rFonts w:eastAsia="Calibri"/>
                      <w:szCs w:val="24"/>
                      <w:lang w:eastAsia="en-US"/>
                    </w:rPr>
                  </w:pPr>
                  <w:r w:rsidRPr="00571A39">
                    <w:rPr>
                      <w:rFonts w:eastAsia="Calibri"/>
                      <w:szCs w:val="24"/>
                      <w:lang w:eastAsia="en-US"/>
                    </w:rPr>
                    <w:t>This amendment does not make any substantive changes to the law.</w:t>
                  </w:r>
                </w:p>
                <w:p w:rsidR="00E674BF" w:rsidRPr="00571A39" w:rsidRDefault="00E674BF" w:rsidP="00571A39">
                  <w:pPr>
                    <w:spacing w:before="120" w:after="120" w:line="276" w:lineRule="auto"/>
                    <w:rPr>
                      <w:rFonts w:eastAsia="Calibri"/>
                      <w:szCs w:val="24"/>
                      <w:lang w:eastAsia="en-US"/>
                    </w:rPr>
                  </w:pPr>
                </w:p>
                <w:p w:rsidR="00E674BF" w:rsidRPr="00571A39" w:rsidRDefault="00E674BF" w:rsidP="00571A39">
                  <w:pPr>
                    <w:spacing w:before="120" w:after="120" w:line="276" w:lineRule="auto"/>
                    <w:rPr>
                      <w:rFonts w:eastAsia="Calibri"/>
                      <w:b/>
                      <w:szCs w:val="24"/>
                      <w:lang w:eastAsia="en-US"/>
                    </w:rPr>
                  </w:pPr>
                  <w:r w:rsidRPr="00571A39">
                    <w:rPr>
                      <w:rFonts w:eastAsia="Calibri"/>
                      <w:b/>
                      <w:szCs w:val="24"/>
                      <w:lang w:eastAsia="en-US"/>
                    </w:rPr>
                    <w:t>Human rights implications</w:t>
                  </w:r>
                </w:p>
                <w:p w:rsidR="00E674BF" w:rsidRPr="00571A39" w:rsidRDefault="00E674BF" w:rsidP="00571A39">
                  <w:pPr>
                    <w:spacing w:before="120" w:after="120" w:line="276" w:lineRule="auto"/>
                    <w:rPr>
                      <w:rFonts w:eastAsia="Calibri"/>
                      <w:szCs w:val="24"/>
                      <w:lang w:eastAsia="en-US"/>
                    </w:rPr>
                  </w:pPr>
                  <w:r w:rsidRPr="00571A39">
                    <w:rPr>
                      <w:rFonts w:eastAsia="Calibri"/>
                      <w:szCs w:val="24"/>
                      <w:lang w:eastAsia="en-US"/>
                    </w:rPr>
                    <w:t>This Legislative Instrument does not engage any of the applicable rights or freedoms.</w:t>
                  </w:r>
                </w:p>
                <w:p w:rsidR="00E674BF" w:rsidRPr="00E4135E" w:rsidRDefault="00E674BF" w:rsidP="00571A39">
                  <w:pPr>
                    <w:spacing w:before="120" w:after="120" w:line="276" w:lineRule="auto"/>
                    <w:rPr>
                      <w:szCs w:val="24"/>
                    </w:rPr>
                  </w:pPr>
                </w:p>
                <w:p w:rsidR="00E674BF" w:rsidRPr="00571A39" w:rsidRDefault="00E674BF" w:rsidP="00571A39">
                  <w:pPr>
                    <w:spacing w:before="120" w:after="120" w:line="276" w:lineRule="auto"/>
                    <w:rPr>
                      <w:rFonts w:eastAsia="Calibri"/>
                      <w:b/>
                      <w:szCs w:val="24"/>
                      <w:lang w:eastAsia="en-US"/>
                    </w:rPr>
                  </w:pPr>
                  <w:r w:rsidRPr="00571A39">
                    <w:rPr>
                      <w:rFonts w:eastAsia="Calibri"/>
                      <w:b/>
                      <w:szCs w:val="24"/>
                      <w:lang w:eastAsia="en-US"/>
                    </w:rPr>
                    <w:t>Conclusion</w:t>
                  </w:r>
                </w:p>
                <w:p w:rsidR="00E674BF" w:rsidRPr="00571A39" w:rsidRDefault="00E674BF" w:rsidP="00571A39">
                  <w:pPr>
                    <w:spacing w:before="120" w:after="120" w:line="276" w:lineRule="auto"/>
                    <w:rPr>
                      <w:rFonts w:eastAsia="Calibri"/>
                      <w:szCs w:val="24"/>
                      <w:lang w:eastAsia="en-US"/>
                    </w:rPr>
                  </w:pPr>
                  <w:r w:rsidRPr="00571A39">
                    <w:rPr>
                      <w:rFonts w:eastAsia="Calibri"/>
                      <w:szCs w:val="24"/>
                      <w:lang w:eastAsia="en-US"/>
                    </w:rPr>
                    <w:t>This Legislative Instrument is compatible with human rights as it does not raise any human rights issues.</w:t>
                  </w:r>
                </w:p>
                <w:p w:rsidR="00E674BF" w:rsidRPr="00571A39" w:rsidRDefault="00E674BF" w:rsidP="00571A39">
                  <w:pPr>
                    <w:spacing w:before="120" w:after="120" w:line="276" w:lineRule="auto"/>
                    <w:jc w:val="center"/>
                    <w:rPr>
                      <w:rFonts w:eastAsia="Calibri"/>
                      <w:szCs w:val="24"/>
                      <w:lang w:eastAsia="en-US"/>
                    </w:rPr>
                  </w:pPr>
                </w:p>
                <w:p w:rsidR="00E674BF" w:rsidRPr="00571A39" w:rsidRDefault="00E674BF" w:rsidP="00571A39">
                  <w:pPr>
                    <w:spacing w:before="120" w:after="120" w:line="276" w:lineRule="auto"/>
                    <w:jc w:val="center"/>
                    <w:rPr>
                      <w:rFonts w:eastAsia="Calibri"/>
                      <w:szCs w:val="24"/>
                      <w:lang w:eastAsia="en-US"/>
                    </w:rPr>
                  </w:pPr>
                </w:p>
                <w:p w:rsidR="00E674BF" w:rsidRPr="00571A39" w:rsidRDefault="00E674BF" w:rsidP="00571A39">
                  <w:pPr>
                    <w:spacing w:before="120" w:after="120" w:line="276" w:lineRule="auto"/>
                    <w:jc w:val="center"/>
                    <w:rPr>
                      <w:rFonts w:eastAsia="Calibri"/>
                      <w:szCs w:val="24"/>
                      <w:lang w:eastAsia="en-US"/>
                    </w:rPr>
                  </w:pPr>
                </w:p>
                <w:p w:rsidR="00571A39" w:rsidRPr="00571A39" w:rsidRDefault="00571A39" w:rsidP="00571A39">
                  <w:pPr>
                    <w:spacing w:before="120" w:after="120" w:line="276" w:lineRule="auto"/>
                    <w:jc w:val="center"/>
                    <w:rPr>
                      <w:rFonts w:eastAsia="Calibri"/>
                      <w:szCs w:val="24"/>
                      <w:lang w:eastAsia="en-US"/>
                    </w:rPr>
                  </w:pPr>
                </w:p>
                <w:p w:rsidR="00E674BF" w:rsidRPr="00571A39" w:rsidRDefault="00E674BF" w:rsidP="00571A39">
                  <w:pPr>
                    <w:spacing w:before="120" w:after="120" w:line="276" w:lineRule="auto"/>
                    <w:jc w:val="center"/>
                    <w:rPr>
                      <w:rFonts w:eastAsia="Calibri"/>
                      <w:szCs w:val="24"/>
                      <w:lang w:eastAsia="en-US"/>
                    </w:rPr>
                  </w:pPr>
                </w:p>
                <w:p w:rsidR="00E674BF" w:rsidRPr="00571A39" w:rsidRDefault="00E674BF" w:rsidP="00571A39">
                  <w:pPr>
                    <w:spacing w:before="120" w:after="120" w:line="276" w:lineRule="auto"/>
                    <w:jc w:val="center"/>
                    <w:rPr>
                      <w:rFonts w:eastAsia="Calibri"/>
                      <w:szCs w:val="24"/>
                      <w:lang w:eastAsia="en-US"/>
                    </w:rPr>
                  </w:pPr>
                </w:p>
                <w:p w:rsidR="00E674BF" w:rsidRPr="00571A39" w:rsidRDefault="00E674BF" w:rsidP="00571A39">
                  <w:pPr>
                    <w:spacing w:before="120" w:after="120" w:line="276" w:lineRule="auto"/>
                    <w:jc w:val="center"/>
                    <w:rPr>
                      <w:rFonts w:eastAsia="Calibri"/>
                      <w:b/>
                      <w:szCs w:val="24"/>
                      <w:lang w:eastAsia="en-US"/>
                    </w:rPr>
                  </w:pPr>
                  <w:r w:rsidRPr="00571A39">
                    <w:rPr>
                      <w:rFonts w:eastAsia="Calibri"/>
                      <w:b/>
                      <w:szCs w:val="24"/>
                      <w:lang w:eastAsia="en-US"/>
                    </w:rPr>
                    <w:t>Nicola Roxon</w:t>
                  </w:r>
                </w:p>
                <w:p w:rsidR="00E674BF" w:rsidRPr="00571A39" w:rsidRDefault="00E674BF" w:rsidP="00571A39">
                  <w:pPr>
                    <w:spacing w:before="120" w:after="120" w:line="276" w:lineRule="auto"/>
                    <w:jc w:val="center"/>
                    <w:rPr>
                      <w:rFonts w:eastAsia="Calibri"/>
                      <w:b/>
                      <w:szCs w:val="24"/>
                      <w:lang w:eastAsia="en-US"/>
                    </w:rPr>
                  </w:pPr>
                  <w:r w:rsidRPr="00571A39">
                    <w:rPr>
                      <w:rFonts w:eastAsia="Calibri"/>
                      <w:b/>
                      <w:szCs w:val="24"/>
                      <w:lang w:eastAsia="en-US"/>
                    </w:rPr>
                    <w:t>Commonwealth Attorney-General</w:t>
                  </w:r>
                </w:p>
              </w:txbxContent>
            </v:textbox>
          </v:rect>
        </w:pict>
      </w:r>
    </w:p>
    <w:p w:rsidR="00E674BF" w:rsidRDefault="00E674BF" w:rsidP="00E674BF">
      <w:pPr>
        <w:ind w:left="720" w:hanging="720"/>
      </w:pPr>
    </w:p>
    <w:p w:rsidR="00E674BF" w:rsidRDefault="00E674BF" w:rsidP="00E674BF">
      <w:pPr>
        <w:ind w:left="720" w:hanging="720"/>
      </w:pPr>
    </w:p>
    <w:p w:rsidR="00E674BF" w:rsidRDefault="00E674BF" w:rsidP="00E674BF">
      <w:pPr>
        <w:ind w:left="720" w:hanging="720"/>
      </w:pPr>
    </w:p>
    <w:p w:rsidR="00E674BF" w:rsidRDefault="00E674BF" w:rsidP="00E674BF">
      <w:pPr>
        <w:ind w:left="720" w:hanging="720"/>
      </w:pPr>
    </w:p>
    <w:p w:rsidR="00E674BF" w:rsidRDefault="00E674BF" w:rsidP="00E674BF">
      <w:pPr>
        <w:ind w:left="720" w:hanging="720"/>
      </w:pPr>
    </w:p>
    <w:p w:rsidR="00E674BF" w:rsidRDefault="00E674BF" w:rsidP="00E674BF">
      <w:pPr>
        <w:ind w:left="720" w:hanging="720"/>
      </w:pPr>
    </w:p>
    <w:p w:rsidR="00E674BF" w:rsidRDefault="00E674BF" w:rsidP="00E674BF">
      <w:pPr>
        <w:ind w:left="720" w:hanging="720"/>
      </w:pPr>
    </w:p>
    <w:p w:rsidR="00E674BF" w:rsidRDefault="00E674BF" w:rsidP="00E674BF">
      <w:pPr>
        <w:ind w:left="720" w:hanging="720"/>
      </w:pPr>
    </w:p>
    <w:p w:rsidR="00E674BF" w:rsidRDefault="00E674BF" w:rsidP="00E674BF">
      <w:pPr>
        <w:ind w:left="720" w:hanging="720"/>
      </w:pPr>
    </w:p>
    <w:p w:rsidR="00E674BF" w:rsidRDefault="00E674BF" w:rsidP="00E674BF">
      <w:pPr>
        <w:ind w:left="720" w:hanging="720"/>
      </w:pPr>
    </w:p>
    <w:p w:rsidR="00E674BF" w:rsidRDefault="00E674BF" w:rsidP="00E674BF">
      <w:pPr>
        <w:ind w:left="720" w:hanging="720"/>
      </w:pPr>
    </w:p>
    <w:p w:rsidR="00E674BF" w:rsidRDefault="00E674BF" w:rsidP="00E674BF">
      <w:pPr>
        <w:ind w:left="720" w:hanging="720"/>
      </w:pPr>
    </w:p>
    <w:p w:rsidR="00E674BF" w:rsidRDefault="00E674BF" w:rsidP="00E674BF">
      <w:pPr>
        <w:ind w:left="720" w:hanging="720"/>
      </w:pPr>
    </w:p>
    <w:p w:rsidR="00E674BF" w:rsidRDefault="00E674BF" w:rsidP="00E674BF">
      <w:pPr>
        <w:ind w:left="720" w:hanging="720"/>
      </w:pPr>
    </w:p>
    <w:p w:rsidR="00E674BF" w:rsidRDefault="00E674BF" w:rsidP="00E674BF">
      <w:pPr>
        <w:ind w:left="720" w:hanging="720"/>
      </w:pPr>
    </w:p>
    <w:p w:rsidR="00E674BF" w:rsidRDefault="00E674BF" w:rsidP="00E674BF">
      <w:pPr>
        <w:ind w:left="720" w:hanging="720"/>
      </w:pPr>
    </w:p>
    <w:p w:rsidR="00E674BF" w:rsidRDefault="00E674BF" w:rsidP="00E674BF">
      <w:pPr>
        <w:ind w:left="720" w:hanging="720"/>
      </w:pPr>
    </w:p>
    <w:p w:rsidR="00E674BF" w:rsidRDefault="00E674BF" w:rsidP="00E674BF">
      <w:pPr>
        <w:ind w:left="720" w:hanging="720"/>
      </w:pPr>
    </w:p>
    <w:p w:rsidR="00E674BF" w:rsidRDefault="00E674BF" w:rsidP="00E674BF">
      <w:pPr>
        <w:ind w:left="720" w:hanging="720"/>
      </w:pPr>
    </w:p>
    <w:p w:rsidR="00E674BF" w:rsidRDefault="00E674BF" w:rsidP="00E674BF">
      <w:pPr>
        <w:ind w:left="720" w:hanging="720"/>
      </w:pPr>
    </w:p>
    <w:bookmarkEnd w:id="4"/>
    <w:p w:rsidR="00E674BF" w:rsidRDefault="00E674BF" w:rsidP="00E674BF">
      <w:pPr>
        <w:ind w:left="720" w:hanging="720"/>
      </w:pPr>
    </w:p>
    <w:p w:rsidR="00344954" w:rsidRDefault="00344954"/>
    <w:sectPr w:rsidR="00344954" w:rsidSect="00135646">
      <w:headerReference w:type="default" r:id="rId10"/>
      <w:footerReference w:type="default" r:id="rId11"/>
      <w:pgSz w:w="11906" w:h="16838"/>
      <w:pgMar w:top="1077" w:right="1077" w:bottom="1077" w:left="1077"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646" w:rsidRDefault="00135646" w:rsidP="005F5C9D">
      <w:pPr>
        <w:spacing w:before="0"/>
      </w:pPr>
      <w:r>
        <w:separator/>
      </w:r>
    </w:p>
  </w:endnote>
  <w:endnote w:type="continuationSeparator" w:id="0">
    <w:p w:rsidR="00135646" w:rsidRDefault="00135646" w:rsidP="005F5C9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91" w:rsidRDefault="00D04291" w:rsidP="00D042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04291" w:rsidRDefault="00D042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91" w:rsidRDefault="00D04291" w:rsidP="00D04291">
    <w:pPr>
      <w:pStyle w:val="Footer"/>
      <w:framePr w:wrap="around" w:vAnchor="text" w:hAnchor="margin" w:xAlign="center" w:y="1"/>
    </w:pPr>
    <w:fldSimple w:instr="PAGE  ">
      <w:r w:rsidR="007B2CBB">
        <w:rPr>
          <w:noProof/>
        </w:rPr>
        <w:t>2</w:t>
      </w:r>
    </w:fldSimple>
  </w:p>
  <w:p w:rsidR="00D04291" w:rsidRDefault="00D042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291" w:rsidRDefault="00D04291" w:rsidP="00D04291">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6CE" w:rsidRDefault="00A376CE" w:rsidP="00D04291">
    <w:pPr>
      <w:pStyle w:val="Footer"/>
      <w:framePr w:wrap="around" w:vAnchor="text" w:hAnchor="margin" w:xAlign="center" w:y="1"/>
    </w:pPr>
  </w:p>
  <w:p w:rsidR="00A376CE" w:rsidRDefault="00A376CE" w:rsidP="00A376CE">
    <w:pPr>
      <w:pStyle w:val="Footer"/>
      <w:tabs>
        <w:tab w:val="clear" w:pos="4153"/>
        <w:tab w:val="clear" w:pos="8306"/>
        <w:tab w:val="left" w:pos="535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646" w:rsidRDefault="00135646" w:rsidP="005F5C9D">
      <w:pPr>
        <w:spacing w:before="0"/>
      </w:pPr>
      <w:r>
        <w:separator/>
      </w:r>
    </w:p>
  </w:footnote>
  <w:footnote w:type="continuationSeparator" w:id="0">
    <w:p w:rsidR="00135646" w:rsidRDefault="00135646" w:rsidP="005F5C9D">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646" w:rsidRPr="00F75F6E" w:rsidRDefault="00135646" w:rsidP="00135646">
    <w:pPr>
      <w:pStyle w:val="Header"/>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2E28"/>
    <w:rsid w:val="000E34CA"/>
    <w:rsid w:val="00135646"/>
    <w:rsid w:val="001F6BC7"/>
    <w:rsid w:val="00232277"/>
    <w:rsid w:val="002A6CA4"/>
    <w:rsid w:val="00344954"/>
    <w:rsid w:val="003F429A"/>
    <w:rsid w:val="004C1637"/>
    <w:rsid w:val="005433D1"/>
    <w:rsid w:val="00571A39"/>
    <w:rsid w:val="005F5C9D"/>
    <w:rsid w:val="006A5D15"/>
    <w:rsid w:val="007B2CBB"/>
    <w:rsid w:val="007E2E28"/>
    <w:rsid w:val="00825A36"/>
    <w:rsid w:val="009C7AF2"/>
    <w:rsid w:val="009D17DF"/>
    <w:rsid w:val="00A376CE"/>
    <w:rsid w:val="00B66C8A"/>
    <w:rsid w:val="00BA2428"/>
    <w:rsid w:val="00C1408E"/>
    <w:rsid w:val="00C32308"/>
    <w:rsid w:val="00C61D70"/>
    <w:rsid w:val="00D04291"/>
    <w:rsid w:val="00E674BF"/>
    <w:rsid w:val="00EA580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E28"/>
    <w:pPr>
      <w:spacing w:before="240"/>
    </w:pPr>
    <w:rPr>
      <w:rFonts w:ascii="Times New Roman" w:eastAsia="Times New Roman" w:hAnsi="Times New Roman"/>
      <w:sz w:val="24"/>
    </w:rPr>
  </w:style>
  <w:style w:type="paragraph" w:styleId="Heading6">
    <w:name w:val="heading 6"/>
    <w:basedOn w:val="Normal"/>
    <w:next w:val="Normal"/>
    <w:link w:val="Heading6Char"/>
    <w:qFormat/>
    <w:rsid w:val="007E2E28"/>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7E2E28"/>
    <w:rPr>
      <w:rFonts w:ascii="Times New Roman" w:eastAsia="Times New Roman" w:hAnsi="Times New Roman" w:cs="Times New Roman"/>
      <w:sz w:val="24"/>
      <w:szCs w:val="20"/>
      <w:u w:val="single"/>
      <w:lang w:eastAsia="en-AU"/>
    </w:rPr>
  </w:style>
  <w:style w:type="paragraph" w:styleId="Footer">
    <w:name w:val="footer"/>
    <w:basedOn w:val="Normal"/>
    <w:link w:val="FooterChar"/>
    <w:rsid w:val="007E2E28"/>
    <w:pPr>
      <w:tabs>
        <w:tab w:val="center" w:pos="4153"/>
        <w:tab w:val="right" w:pos="8306"/>
      </w:tabs>
    </w:pPr>
  </w:style>
  <w:style w:type="character" w:customStyle="1" w:styleId="FooterChar">
    <w:name w:val="Footer Char"/>
    <w:link w:val="Footer"/>
    <w:rsid w:val="007E2E28"/>
    <w:rPr>
      <w:rFonts w:ascii="Times New Roman" w:eastAsia="Times New Roman" w:hAnsi="Times New Roman" w:cs="Times New Roman"/>
      <w:sz w:val="24"/>
      <w:szCs w:val="20"/>
      <w:lang w:eastAsia="en-AU"/>
    </w:rPr>
  </w:style>
  <w:style w:type="character" w:styleId="PageNumber">
    <w:name w:val="page number"/>
    <w:basedOn w:val="DefaultParagraphFont"/>
    <w:rsid w:val="007E2E28"/>
  </w:style>
  <w:style w:type="paragraph" w:styleId="Header">
    <w:name w:val="header"/>
    <w:basedOn w:val="Normal"/>
    <w:link w:val="HeaderChar"/>
    <w:uiPriority w:val="99"/>
    <w:unhideWhenUsed/>
    <w:rsid w:val="00E674BF"/>
    <w:pPr>
      <w:tabs>
        <w:tab w:val="center" w:pos="4513"/>
        <w:tab w:val="right" w:pos="9026"/>
      </w:tabs>
      <w:spacing w:before="0" w:after="200" w:line="276" w:lineRule="auto"/>
    </w:pPr>
    <w:rPr>
      <w:rFonts w:ascii="Calibri" w:eastAsia="Calibri" w:hAnsi="Calibri"/>
      <w:sz w:val="22"/>
      <w:szCs w:val="22"/>
      <w:lang w:eastAsia="en-US"/>
    </w:rPr>
  </w:style>
  <w:style w:type="character" w:customStyle="1" w:styleId="HeaderChar">
    <w:name w:val="Header Char"/>
    <w:link w:val="Header"/>
    <w:uiPriority w:val="99"/>
    <w:rsid w:val="00E674BF"/>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0961F-D418-44F7-A38A-22EF829B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2638</Characters>
  <Application>Microsoft Office Word</Application>
  <DocSecurity>0</DocSecurity>
  <Lines>82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ngthuh</dc:creator>
  <cp:keywords/>
  <dc:description/>
  <cp:lastModifiedBy>hilhma</cp:lastModifiedBy>
  <cp:revision>2</cp:revision>
  <cp:lastPrinted>2012-05-09T04:11:00Z</cp:lastPrinted>
  <dcterms:created xsi:type="dcterms:W3CDTF">2012-05-09T05:12:00Z</dcterms:created>
  <dcterms:modified xsi:type="dcterms:W3CDTF">2012-05-09T05:12:00Z</dcterms:modified>
</cp:coreProperties>
</file>