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07" w:rsidRDefault="00546407" w:rsidP="00546407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7" w:rsidRPr="003B295D" w:rsidRDefault="00546407" w:rsidP="00546407">
      <w:pPr>
        <w:pStyle w:val="Title"/>
        <w:pBdr>
          <w:bottom w:val="single" w:sz="4" w:space="3" w:color="auto"/>
        </w:pBdr>
        <w:rPr>
          <w:sz w:val="36"/>
          <w:szCs w:val="36"/>
        </w:rPr>
      </w:pPr>
      <w:r>
        <w:rPr>
          <w:snapToGrid w:val="0"/>
          <w:sz w:val="36"/>
          <w:szCs w:val="36"/>
        </w:rPr>
        <w:t>Telecommunications Cabling Provider Amendment Rules 201</w:t>
      </w:r>
      <w:r w:rsidR="005D24F6">
        <w:rPr>
          <w:snapToGrid w:val="0"/>
          <w:sz w:val="36"/>
          <w:szCs w:val="36"/>
        </w:rPr>
        <w:t>2</w:t>
      </w:r>
      <w:r>
        <w:rPr>
          <w:snapToGrid w:val="0"/>
          <w:sz w:val="36"/>
          <w:szCs w:val="36"/>
        </w:rPr>
        <w:t xml:space="preserve"> (No.</w:t>
      </w:r>
      <w:r w:rsidR="0012634B">
        <w:rPr>
          <w:snapToGrid w:val="0"/>
          <w:sz w:val="36"/>
          <w:szCs w:val="36"/>
        </w:rPr>
        <w:t xml:space="preserve"> </w:t>
      </w:r>
      <w:r>
        <w:rPr>
          <w:snapToGrid w:val="0"/>
          <w:sz w:val="36"/>
          <w:szCs w:val="36"/>
        </w:rPr>
        <w:t xml:space="preserve">1) </w:t>
      </w:r>
    </w:p>
    <w:p w:rsidR="00546407" w:rsidRPr="00702D9A" w:rsidRDefault="00546407" w:rsidP="00546407">
      <w:pPr>
        <w:pBdr>
          <w:bottom w:val="single" w:sz="4" w:space="3" w:color="auto"/>
        </w:pBdr>
        <w:spacing w:before="480"/>
        <w:outlineLvl w:val="0"/>
        <w:rPr>
          <w:rFonts w:ascii="Arial" w:hAnsi="Arial" w:cs="Arial"/>
          <w:i/>
          <w:sz w:val="28"/>
          <w:szCs w:val="28"/>
          <w:lang w:val="en-US"/>
        </w:rPr>
      </w:pPr>
      <w:r w:rsidRPr="00702D9A">
        <w:rPr>
          <w:rFonts w:ascii="Arial" w:hAnsi="Arial" w:cs="Arial"/>
          <w:i/>
          <w:sz w:val="28"/>
          <w:szCs w:val="28"/>
          <w:lang w:val="en-US"/>
        </w:rPr>
        <w:t xml:space="preserve">Telecommunications </w:t>
      </w:r>
      <w:r>
        <w:rPr>
          <w:rFonts w:ascii="Arial" w:hAnsi="Arial" w:cs="Arial"/>
          <w:i/>
          <w:sz w:val="28"/>
          <w:szCs w:val="28"/>
          <w:lang w:val="en-US"/>
        </w:rPr>
        <w:t>Act 1997</w:t>
      </w:r>
    </w:p>
    <w:p w:rsidR="00546407" w:rsidRPr="0073309B" w:rsidRDefault="00546407" w:rsidP="00546407">
      <w:pPr>
        <w:spacing w:before="360"/>
        <w:jc w:val="both"/>
      </w:pPr>
      <w:r w:rsidRPr="00702D9A">
        <w:t xml:space="preserve">The AUSTRALIAN COMMUNICATIONS AND MEDIA AUTHORITY makes these </w:t>
      </w:r>
      <w:r>
        <w:t xml:space="preserve">Rules </w:t>
      </w:r>
      <w:r w:rsidRPr="00702D9A">
        <w:t xml:space="preserve">under </w:t>
      </w:r>
      <w:r>
        <w:t>subsection 421</w:t>
      </w:r>
      <w:r w:rsidR="005B5295">
        <w:t xml:space="preserve"> </w:t>
      </w:r>
      <w:r>
        <w:t xml:space="preserve">(1) of the </w:t>
      </w:r>
      <w:r>
        <w:rPr>
          <w:i/>
        </w:rPr>
        <w:t>Telecommunications Act 1997</w:t>
      </w:r>
      <w:r w:rsidR="0073309B">
        <w:t>.</w:t>
      </w:r>
    </w:p>
    <w:p w:rsidR="00546407" w:rsidRPr="00702D9A" w:rsidRDefault="00546407" w:rsidP="00546407">
      <w:pPr>
        <w:tabs>
          <w:tab w:val="left" w:pos="3119"/>
        </w:tabs>
        <w:spacing w:before="300" w:after="600" w:line="300" w:lineRule="atLeast"/>
      </w:pPr>
      <w:r w:rsidRPr="00702D9A">
        <w:t xml:space="preserve">Dated </w:t>
      </w:r>
      <w:r w:rsidR="007F4F0E" w:rsidRPr="007F4F0E">
        <w:rPr>
          <w:i/>
        </w:rPr>
        <w:t>16</w:t>
      </w:r>
      <w:r w:rsidR="007F4F0E" w:rsidRPr="007F4F0E">
        <w:rPr>
          <w:i/>
          <w:vertAlign w:val="superscript"/>
        </w:rPr>
        <w:t>th</w:t>
      </w:r>
      <w:r w:rsidR="007F4F0E" w:rsidRPr="007F4F0E">
        <w:rPr>
          <w:i/>
        </w:rPr>
        <w:t xml:space="preserve"> April 2012</w:t>
      </w:r>
    </w:p>
    <w:p w:rsidR="00546407" w:rsidRPr="00702D9A" w:rsidRDefault="00546407" w:rsidP="00546407">
      <w:pPr>
        <w:tabs>
          <w:tab w:val="left" w:pos="3119"/>
        </w:tabs>
        <w:spacing w:after="600" w:line="300" w:lineRule="atLeast"/>
        <w:jc w:val="right"/>
      </w:pPr>
      <w:r>
        <w:br/>
      </w:r>
      <w:r w:rsidR="007F4F0E" w:rsidRPr="007F4F0E">
        <w:rPr>
          <w:i/>
        </w:rPr>
        <w:t xml:space="preserve">Chris </w:t>
      </w:r>
      <w:proofErr w:type="gramStart"/>
      <w:r w:rsidR="007F4F0E" w:rsidRPr="007F4F0E">
        <w:rPr>
          <w:i/>
        </w:rPr>
        <w:t>Chapman</w:t>
      </w:r>
      <w:proofErr w:type="gramEnd"/>
      <w:r w:rsidR="007F4F0E">
        <w:br/>
        <w:t>[signed]</w:t>
      </w:r>
      <w:r w:rsidR="007F4F0E">
        <w:br/>
      </w:r>
      <w:r w:rsidRPr="00702D9A">
        <w:t>Member</w:t>
      </w:r>
    </w:p>
    <w:p w:rsidR="00546407" w:rsidRPr="00702D9A" w:rsidRDefault="00546407" w:rsidP="00546407">
      <w:pPr>
        <w:tabs>
          <w:tab w:val="left" w:pos="3119"/>
        </w:tabs>
        <w:spacing w:before="600" w:line="300" w:lineRule="atLeast"/>
        <w:jc w:val="right"/>
      </w:pPr>
      <w:r>
        <w:rPr>
          <w:strike/>
        </w:rPr>
        <w:br/>
      </w:r>
      <w:r w:rsidR="007F4F0E" w:rsidRPr="007F4F0E">
        <w:rPr>
          <w:i/>
        </w:rPr>
        <w:t>Giles Tanner</w:t>
      </w:r>
      <w:r w:rsidR="007F4F0E" w:rsidRPr="007F4F0E">
        <w:t xml:space="preserve"> </w:t>
      </w:r>
      <w:r w:rsidR="007F4F0E" w:rsidRPr="007F4F0E">
        <w:br/>
        <w:t>[signed</w:t>
      </w:r>
      <w:proofErr w:type="gramStart"/>
      <w:r w:rsidR="007F4F0E" w:rsidRPr="007F4F0E">
        <w:t>]</w:t>
      </w:r>
      <w:proofErr w:type="gramEnd"/>
      <w:r w:rsidR="007F4F0E">
        <w:rPr>
          <w:strike/>
        </w:rPr>
        <w:br/>
      </w:r>
      <w:r w:rsidRPr="007F4F0E">
        <w:rPr>
          <w:strike/>
        </w:rPr>
        <w:t>Member</w:t>
      </w:r>
      <w:r w:rsidRPr="00FC626B">
        <w:t>/</w:t>
      </w:r>
      <w:r>
        <w:t>General Manager</w:t>
      </w:r>
    </w:p>
    <w:p w:rsidR="00546407" w:rsidRPr="00BC747B" w:rsidRDefault="00546407" w:rsidP="00546407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outlineLvl w:val="0"/>
        <w:rPr>
          <w:b/>
        </w:rPr>
      </w:pPr>
      <w:bookmarkStart w:id="0" w:name="Minister"/>
      <w:r w:rsidRPr="00702D9A">
        <w:t>Australian Communications and Media Authority</w:t>
      </w:r>
      <w:bookmarkEnd w:id="0"/>
      <w:r>
        <w:t xml:space="preserve"> </w:t>
      </w:r>
    </w:p>
    <w:p w:rsidR="00546407" w:rsidRPr="00702D9A" w:rsidRDefault="00546407" w:rsidP="00546407">
      <w:pPr>
        <w:pStyle w:val="HR"/>
        <w:spacing w:before="240"/>
        <w:outlineLvl w:val="0"/>
      </w:pPr>
      <w:bookmarkStart w:id="1" w:name="_Toc240080936"/>
      <w:r w:rsidRPr="00C56E40">
        <w:rPr>
          <w:rStyle w:val="CharSectno"/>
        </w:rPr>
        <w:t>1</w:t>
      </w:r>
      <w:r w:rsidRPr="00702D9A">
        <w:tab/>
        <w:t xml:space="preserve">Name of </w:t>
      </w:r>
      <w:bookmarkEnd w:id="1"/>
      <w:r>
        <w:t>Rules</w:t>
      </w:r>
    </w:p>
    <w:p w:rsidR="00546407" w:rsidRPr="00702D9A" w:rsidRDefault="00546407" w:rsidP="00546407">
      <w:pPr>
        <w:pStyle w:val="R1"/>
      </w:pPr>
      <w:r>
        <w:tab/>
      </w:r>
      <w:r>
        <w:tab/>
        <w:t xml:space="preserve">These Rules are the </w:t>
      </w:r>
      <w:r>
        <w:rPr>
          <w:i/>
        </w:rPr>
        <w:t>Telecommunications Cabling Provider Amendment Rules 201</w:t>
      </w:r>
      <w:r w:rsidR="005D24F6">
        <w:rPr>
          <w:i/>
        </w:rPr>
        <w:t>2</w:t>
      </w:r>
      <w:r>
        <w:rPr>
          <w:i/>
        </w:rPr>
        <w:t xml:space="preserve"> (No.</w:t>
      </w:r>
      <w:r w:rsidR="0012634B">
        <w:rPr>
          <w:i/>
        </w:rPr>
        <w:t xml:space="preserve"> </w:t>
      </w:r>
      <w:r>
        <w:rPr>
          <w:i/>
        </w:rPr>
        <w:t xml:space="preserve">1). </w:t>
      </w:r>
    </w:p>
    <w:p w:rsidR="00546407" w:rsidRPr="00702D9A" w:rsidRDefault="00546407" w:rsidP="00546407">
      <w:pPr>
        <w:pStyle w:val="HR"/>
        <w:spacing w:before="300"/>
        <w:outlineLvl w:val="0"/>
      </w:pPr>
      <w:bookmarkStart w:id="2" w:name="_Toc240080937"/>
      <w:r w:rsidRPr="00C56E40">
        <w:rPr>
          <w:rStyle w:val="CharSectno"/>
        </w:rPr>
        <w:t>2</w:t>
      </w:r>
      <w:r w:rsidRPr="00702D9A">
        <w:tab/>
        <w:t>Commencement</w:t>
      </w:r>
      <w:bookmarkEnd w:id="2"/>
    </w:p>
    <w:p w:rsidR="007165F0" w:rsidRDefault="00546407" w:rsidP="00E008C7">
      <w:pPr>
        <w:pStyle w:val="R1"/>
      </w:pPr>
      <w:r w:rsidRPr="00702D9A">
        <w:tab/>
      </w:r>
      <w:r w:rsidRPr="00702D9A">
        <w:tab/>
      </w:r>
      <w:r>
        <w:t>These Rules</w:t>
      </w:r>
      <w:r w:rsidRPr="00702D9A">
        <w:t xml:space="preserve"> commence on</w:t>
      </w:r>
      <w:r w:rsidR="00CC1D55">
        <w:t xml:space="preserve"> </w:t>
      </w:r>
      <w:r w:rsidR="00372DB8">
        <w:t>1 July 2012</w:t>
      </w:r>
      <w:r w:rsidRPr="00702D9A">
        <w:t>.</w:t>
      </w:r>
    </w:p>
    <w:p w:rsidR="00546407" w:rsidRPr="005B5295" w:rsidRDefault="007165F0" w:rsidP="007165F0">
      <w:pPr>
        <w:pStyle w:val="R1"/>
      </w:pPr>
      <w:r>
        <w:tab/>
      </w:r>
      <w:r>
        <w:tab/>
      </w:r>
      <w:r w:rsidR="00546407">
        <w:rPr>
          <w:i/>
          <w:iCs/>
          <w:color w:val="000000"/>
          <w:sz w:val="20"/>
          <w:szCs w:val="20"/>
        </w:rPr>
        <w:t>Note</w:t>
      </w:r>
      <w:r w:rsidR="006A5C0E">
        <w:rPr>
          <w:i/>
          <w:iCs/>
          <w:color w:val="000000"/>
          <w:sz w:val="20"/>
          <w:szCs w:val="20"/>
        </w:rPr>
        <w:tab/>
      </w:r>
      <w:r w:rsidR="00EA6703" w:rsidRPr="00EA6703">
        <w:rPr>
          <w:iCs/>
          <w:color w:val="000000"/>
          <w:sz w:val="20"/>
          <w:szCs w:val="20"/>
        </w:rPr>
        <w:t>All legislative instruments and compilations are registered on the Federal Register of Legislative Instruments kept under the</w:t>
      </w:r>
      <w:r w:rsidR="00546407">
        <w:rPr>
          <w:i/>
          <w:iCs/>
          <w:color w:val="000000"/>
          <w:sz w:val="20"/>
          <w:szCs w:val="20"/>
        </w:rPr>
        <w:t xml:space="preserve"> Legislative Instruments Act 2003.</w:t>
      </w:r>
      <w:r w:rsidR="00EA6703" w:rsidRPr="00EA6703">
        <w:rPr>
          <w:iCs/>
          <w:color w:val="000000"/>
          <w:sz w:val="20"/>
          <w:szCs w:val="20"/>
        </w:rPr>
        <w:t xml:space="preserve"> See </w:t>
      </w:r>
      <w:hyperlink r:id="rId9" w:history="1">
        <w:r w:rsidR="00EA6703" w:rsidRPr="00EA6703">
          <w:rPr>
            <w:rStyle w:val="Hyperlink"/>
            <w:iCs/>
            <w:sz w:val="20"/>
            <w:szCs w:val="20"/>
          </w:rPr>
          <w:t>http://www.frli.gov.au</w:t>
        </w:r>
      </w:hyperlink>
      <w:r w:rsidR="00EA6703" w:rsidRPr="00EA6703">
        <w:rPr>
          <w:iCs/>
          <w:color w:val="000000"/>
          <w:sz w:val="20"/>
          <w:szCs w:val="20"/>
          <w:u w:val="single"/>
        </w:rPr>
        <w:t>.</w:t>
      </w:r>
    </w:p>
    <w:p w:rsidR="00546407" w:rsidRPr="00702D9A" w:rsidRDefault="00546407" w:rsidP="00546407">
      <w:pPr>
        <w:pStyle w:val="HR"/>
        <w:spacing w:before="300"/>
        <w:outlineLvl w:val="0"/>
      </w:pPr>
      <w:bookmarkStart w:id="3" w:name="_Toc240080938"/>
      <w:r w:rsidRPr="00C56E40">
        <w:rPr>
          <w:rStyle w:val="CharSectno"/>
        </w:rPr>
        <w:t>3</w:t>
      </w:r>
      <w:r w:rsidRPr="00702D9A">
        <w:tab/>
      </w:r>
      <w:bookmarkEnd w:id="3"/>
      <w:r>
        <w:t>Amendment</w:t>
      </w:r>
    </w:p>
    <w:p w:rsidR="00546407" w:rsidRPr="00546407" w:rsidRDefault="00546407" w:rsidP="00546407">
      <w:pPr>
        <w:pStyle w:val="R1"/>
        <w:rPr>
          <w:snapToGrid w:val="0"/>
        </w:rPr>
      </w:pPr>
      <w:r w:rsidRPr="00702D9A">
        <w:tab/>
      </w:r>
      <w:r w:rsidRPr="00702D9A">
        <w:tab/>
      </w:r>
      <w:r>
        <w:t xml:space="preserve">Schedule 1 amends the </w:t>
      </w:r>
      <w:r>
        <w:rPr>
          <w:i/>
          <w:snapToGrid w:val="0"/>
        </w:rPr>
        <w:t>Telecommunications Cabling Provider Rules 2000</w:t>
      </w:r>
      <w:r>
        <w:rPr>
          <w:snapToGrid w:val="0"/>
        </w:rPr>
        <w:t xml:space="preserve">. </w:t>
      </w:r>
    </w:p>
    <w:p w:rsidR="00546407" w:rsidRPr="00546407" w:rsidRDefault="00546407" w:rsidP="00546407">
      <w:pPr>
        <w:pStyle w:val="R2"/>
        <w:rPr>
          <w:b/>
        </w:rPr>
      </w:pPr>
    </w:p>
    <w:p w:rsidR="00546407" w:rsidRPr="00986291" w:rsidRDefault="00546407" w:rsidP="00546407">
      <w:pPr>
        <w:pStyle w:val="R2"/>
        <w:rPr>
          <w:rFonts w:ascii="Arial" w:hAnsi="Arial" w:cs="Arial"/>
          <w:b/>
        </w:rPr>
      </w:pPr>
      <w:r w:rsidRPr="00986291">
        <w:rPr>
          <w:rFonts w:ascii="Arial" w:hAnsi="Arial" w:cs="Arial"/>
          <w:b/>
        </w:rPr>
        <w:lastRenderedPageBreak/>
        <w:t>Schedule 1</w:t>
      </w:r>
      <w:r w:rsidRPr="00986291">
        <w:rPr>
          <w:rFonts w:ascii="Arial" w:hAnsi="Arial" w:cs="Arial"/>
          <w:b/>
        </w:rPr>
        <w:tab/>
        <w:t>Amendments</w:t>
      </w:r>
    </w:p>
    <w:p w:rsidR="00546407" w:rsidRDefault="00546407" w:rsidP="00546407">
      <w:pPr>
        <w:pStyle w:val="R2"/>
      </w:pPr>
      <w:r>
        <w:tab/>
      </w:r>
      <w:r>
        <w:tab/>
      </w:r>
      <w:r>
        <w:tab/>
        <w:t>(section 3)</w:t>
      </w:r>
      <w:bookmarkStart w:id="4" w:name="_Toc240080942"/>
    </w:p>
    <w:bookmarkEnd w:id="4"/>
    <w:p w:rsidR="006151FC" w:rsidRDefault="006151FC" w:rsidP="00CD52BF">
      <w:pPr>
        <w:pStyle w:val="R2"/>
        <w:ind w:left="0" w:firstLine="0"/>
        <w:rPr>
          <w:rStyle w:val="CharPartNo"/>
        </w:rPr>
      </w:pPr>
    </w:p>
    <w:p w:rsidR="005B5295" w:rsidRPr="008C6F7A" w:rsidRDefault="005B5295" w:rsidP="005B5295">
      <w:pPr>
        <w:pStyle w:val="R2"/>
        <w:rPr>
          <w:rStyle w:val="CharPartNo"/>
        </w:rPr>
      </w:pPr>
      <w:r>
        <w:rPr>
          <w:rStyle w:val="CharPartNo"/>
          <w:rFonts w:ascii="Arial" w:hAnsi="Arial" w:cs="Arial"/>
          <w:b/>
        </w:rPr>
        <w:t>[1]</w:t>
      </w:r>
      <w:r>
        <w:rPr>
          <w:rStyle w:val="CharPartNo"/>
          <w:rFonts w:ascii="Arial" w:hAnsi="Arial" w:cs="Arial"/>
          <w:b/>
        </w:rPr>
        <w:tab/>
      </w:r>
      <w:r>
        <w:rPr>
          <w:rStyle w:val="CharPartNo"/>
          <w:rFonts w:ascii="Arial" w:hAnsi="Arial" w:cs="Arial"/>
          <w:b/>
        </w:rPr>
        <w:tab/>
        <w:t xml:space="preserve">Section 1.3 </w:t>
      </w:r>
    </w:p>
    <w:p w:rsidR="005B5295" w:rsidRDefault="005B5295" w:rsidP="00667D27">
      <w:pPr>
        <w:pStyle w:val="R2"/>
        <w:ind w:left="1928"/>
        <w:rPr>
          <w:rStyle w:val="CharPartNo"/>
          <w:i/>
        </w:rPr>
      </w:pPr>
      <w:r>
        <w:rPr>
          <w:rStyle w:val="CharPartNo"/>
          <w:i/>
        </w:rPr>
        <w:t>i</w:t>
      </w:r>
      <w:r w:rsidRPr="00BB46DF">
        <w:rPr>
          <w:rStyle w:val="CharPartNo"/>
          <w:i/>
        </w:rPr>
        <w:t>nsert</w:t>
      </w:r>
    </w:p>
    <w:p w:rsidR="005B5295" w:rsidRPr="00366EB1" w:rsidRDefault="005B5295" w:rsidP="005B5295">
      <w:pPr>
        <w:pStyle w:val="R2"/>
        <w:ind w:left="1928"/>
        <w:rPr>
          <w:rStyle w:val="CharPartNo"/>
        </w:rPr>
      </w:pPr>
      <w:r>
        <w:rPr>
          <w:rStyle w:val="CharPartNo"/>
          <w:b/>
          <w:i/>
        </w:rPr>
        <w:t>c</w:t>
      </w:r>
      <w:r w:rsidRPr="00366EB1">
        <w:rPr>
          <w:rStyle w:val="CharPartNo"/>
          <w:b/>
          <w:i/>
        </w:rPr>
        <w:t>ustomer cabling</w:t>
      </w:r>
      <w:r w:rsidRPr="00366EB1">
        <w:rPr>
          <w:rStyle w:val="CharPartNo"/>
          <w:i/>
        </w:rPr>
        <w:t xml:space="preserve"> </w:t>
      </w:r>
      <w:r w:rsidRPr="00366EB1">
        <w:rPr>
          <w:rStyle w:val="CharPartNo"/>
        </w:rPr>
        <w:t xml:space="preserve">has the same meaning as in section 20 of the Act. </w:t>
      </w:r>
    </w:p>
    <w:p w:rsidR="005B5295" w:rsidRDefault="005B5295" w:rsidP="008C6F7A">
      <w:pPr>
        <w:pStyle w:val="R2"/>
        <w:rPr>
          <w:rStyle w:val="CharPartNo"/>
          <w:rFonts w:ascii="Arial" w:hAnsi="Arial" w:cs="Arial"/>
          <w:b/>
        </w:rPr>
      </w:pPr>
    </w:p>
    <w:p w:rsidR="009F0451" w:rsidRDefault="00CD52BF" w:rsidP="008C6F7A">
      <w:pPr>
        <w:pStyle w:val="R2"/>
        <w:rPr>
          <w:rStyle w:val="CharPartNo"/>
          <w:rFonts w:ascii="Arial" w:hAnsi="Arial" w:cs="Arial"/>
          <w:b/>
        </w:rPr>
      </w:pPr>
      <w:r>
        <w:rPr>
          <w:rStyle w:val="CharPartNo"/>
          <w:rFonts w:ascii="Arial" w:hAnsi="Arial" w:cs="Arial"/>
          <w:b/>
        </w:rPr>
        <w:t>[</w:t>
      </w:r>
      <w:r w:rsidR="005B5295">
        <w:rPr>
          <w:rStyle w:val="CharPartNo"/>
          <w:rFonts w:ascii="Arial" w:hAnsi="Arial" w:cs="Arial"/>
          <w:b/>
        </w:rPr>
        <w:t>2</w:t>
      </w:r>
      <w:r w:rsidR="00DD1611" w:rsidRPr="00EC25F9">
        <w:rPr>
          <w:rStyle w:val="CharPartNo"/>
          <w:rFonts w:ascii="Arial" w:hAnsi="Arial" w:cs="Arial"/>
          <w:b/>
        </w:rPr>
        <w:t>]</w:t>
      </w:r>
      <w:r w:rsidR="00DD1611" w:rsidRPr="00EC25F9">
        <w:rPr>
          <w:rStyle w:val="CharPartNo"/>
          <w:rFonts w:ascii="Arial" w:hAnsi="Arial" w:cs="Arial"/>
          <w:b/>
        </w:rPr>
        <w:tab/>
      </w:r>
      <w:r w:rsidR="00EC25F9" w:rsidRPr="00EC25F9">
        <w:rPr>
          <w:rStyle w:val="CharPartNo"/>
          <w:rFonts w:ascii="Arial" w:hAnsi="Arial" w:cs="Arial"/>
          <w:b/>
        </w:rPr>
        <w:tab/>
      </w:r>
      <w:r w:rsidR="0012634B">
        <w:rPr>
          <w:rStyle w:val="CharPartNo"/>
          <w:rFonts w:ascii="Arial" w:hAnsi="Arial" w:cs="Arial"/>
          <w:b/>
        </w:rPr>
        <w:t xml:space="preserve">Section </w:t>
      </w:r>
      <w:r w:rsidR="009F0451">
        <w:rPr>
          <w:rStyle w:val="CharPartNo"/>
          <w:rFonts w:ascii="Arial" w:hAnsi="Arial" w:cs="Arial"/>
          <w:b/>
        </w:rPr>
        <w:t>1.3, definition of ‘Labelling Notice’</w:t>
      </w:r>
    </w:p>
    <w:p w:rsidR="00F01C33" w:rsidRDefault="0012634B" w:rsidP="00403C94">
      <w:pPr>
        <w:pStyle w:val="R2"/>
        <w:spacing w:after="120"/>
        <w:ind w:left="1928"/>
        <w:rPr>
          <w:rStyle w:val="CharPartNo"/>
          <w:i/>
        </w:rPr>
      </w:pPr>
      <w:r>
        <w:rPr>
          <w:rStyle w:val="CharPartNo"/>
          <w:i/>
        </w:rPr>
        <w:t>substitute</w:t>
      </w:r>
    </w:p>
    <w:p w:rsidR="009F0451" w:rsidRDefault="009F0451" w:rsidP="009F0451">
      <w:pPr>
        <w:pStyle w:val="ZDefinition"/>
      </w:pPr>
      <w:r>
        <w:rPr>
          <w:b/>
          <w:bCs/>
          <w:i/>
          <w:iCs/>
        </w:rPr>
        <w:t>Labelling Notice</w:t>
      </w:r>
      <w:r>
        <w:t xml:space="preserve"> means:</w:t>
      </w:r>
    </w:p>
    <w:p w:rsidR="009F0451" w:rsidRDefault="009F0451" w:rsidP="009F0451">
      <w:pPr>
        <w:pStyle w:val="P1"/>
      </w:pPr>
      <w:r>
        <w:tab/>
        <w:t>(a)</w:t>
      </w:r>
      <w:r>
        <w:tab/>
        <w:t xml:space="preserve">the </w:t>
      </w:r>
      <w:r>
        <w:rPr>
          <w:i/>
          <w:iCs/>
        </w:rPr>
        <w:t>Telecommunications Labelling (Customer Equipment and Customer Cabling) Notice 2001</w:t>
      </w:r>
      <w:r>
        <w:t xml:space="preserve"> as amended from time to time; or</w:t>
      </w:r>
    </w:p>
    <w:p w:rsidR="009F0451" w:rsidRDefault="009F0451" w:rsidP="009F0451">
      <w:pPr>
        <w:pStyle w:val="P1"/>
      </w:pPr>
      <w:r>
        <w:tab/>
        <w:t>(b)</w:t>
      </w:r>
      <w:r>
        <w:tab/>
        <w:t>a Notice made in substitution for that Notice.</w:t>
      </w:r>
    </w:p>
    <w:p w:rsidR="008813EB" w:rsidRDefault="008813EB" w:rsidP="009F0451">
      <w:pPr>
        <w:pStyle w:val="P1"/>
      </w:pPr>
    </w:p>
    <w:p w:rsidR="006F2A6F" w:rsidRDefault="006F2A6F" w:rsidP="006F2A6F">
      <w:pPr>
        <w:pStyle w:val="R2"/>
        <w:rPr>
          <w:rStyle w:val="CharPartNo"/>
          <w:rFonts w:ascii="Arial" w:hAnsi="Arial" w:cs="Arial"/>
          <w:b/>
        </w:rPr>
      </w:pPr>
      <w:r>
        <w:rPr>
          <w:rStyle w:val="CharPartNo"/>
          <w:rFonts w:ascii="Arial" w:hAnsi="Arial" w:cs="Arial"/>
          <w:b/>
        </w:rPr>
        <w:t>[3]</w:t>
      </w:r>
      <w:r>
        <w:rPr>
          <w:rStyle w:val="CharPartNo"/>
          <w:rFonts w:ascii="Arial" w:hAnsi="Arial" w:cs="Arial"/>
          <w:b/>
        </w:rPr>
        <w:tab/>
      </w:r>
      <w:r>
        <w:rPr>
          <w:rStyle w:val="CharPartNo"/>
          <w:rFonts w:ascii="Arial" w:hAnsi="Arial" w:cs="Arial"/>
          <w:b/>
        </w:rPr>
        <w:tab/>
        <w:t>Section 1.3, definition of ‘Wiring Rules’</w:t>
      </w:r>
    </w:p>
    <w:p w:rsidR="006F2A6F" w:rsidRPr="00534AC9" w:rsidRDefault="006F2A6F" w:rsidP="00403C94">
      <w:pPr>
        <w:pStyle w:val="R2"/>
        <w:spacing w:after="120"/>
        <w:rPr>
          <w:rStyle w:val="CharPartNo"/>
          <w:i/>
        </w:rPr>
      </w:pPr>
      <w:r>
        <w:rPr>
          <w:rStyle w:val="CharPartNo"/>
          <w:rFonts w:ascii="Arial" w:hAnsi="Arial" w:cs="Arial"/>
          <w:b/>
        </w:rPr>
        <w:tab/>
      </w:r>
      <w:r w:rsidR="003A6C3D">
        <w:rPr>
          <w:rStyle w:val="CharPartNo"/>
          <w:rFonts w:ascii="Arial" w:hAnsi="Arial" w:cs="Arial"/>
          <w:b/>
        </w:rPr>
        <w:tab/>
      </w:r>
      <w:r w:rsidR="00534AC9">
        <w:rPr>
          <w:rStyle w:val="CharPartNo"/>
          <w:i/>
        </w:rPr>
        <w:t>s</w:t>
      </w:r>
      <w:r w:rsidR="00EA6703" w:rsidRPr="00EA6703">
        <w:rPr>
          <w:rStyle w:val="CharPartNo"/>
          <w:i/>
        </w:rPr>
        <w:t>ubstitute</w:t>
      </w:r>
    </w:p>
    <w:p w:rsidR="00EA6703" w:rsidRDefault="001B5AA5" w:rsidP="00A74AA6">
      <w:pPr>
        <w:pStyle w:val="ZDefinition"/>
      </w:pPr>
      <w:r w:rsidRPr="001B5AA5">
        <w:rPr>
          <w:b/>
          <w:bCs/>
          <w:i/>
          <w:iCs/>
        </w:rPr>
        <w:t>Wiring Rules</w:t>
      </w:r>
      <w:r w:rsidRPr="001B5AA5">
        <w:t xml:space="preserve"> means:</w:t>
      </w:r>
    </w:p>
    <w:p w:rsidR="00017272" w:rsidRDefault="001B5AA5" w:rsidP="00A74AA6">
      <w:pPr>
        <w:pStyle w:val="definition"/>
        <w:numPr>
          <w:ilvl w:val="0"/>
          <w:numId w:val="12"/>
        </w:numPr>
        <w:spacing w:before="120" w:beforeAutospacing="0"/>
        <w:ind w:left="1673" w:hanging="709"/>
        <w:jc w:val="both"/>
      </w:pPr>
      <w:r w:rsidRPr="001B5AA5">
        <w:t xml:space="preserve">the </w:t>
      </w:r>
      <w:r w:rsidRPr="001B5AA5">
        <w:rPr>
          <w:rFonts w:hint="eastAsia"/>
        </w:rPr>
        <w:t>“</w:t>
      </w:r>
      <w:r w:rsidRPr="001B5AA5">
        <w:t>Australian Standard AS/ACIF S009:2006 - Installation Requirements for Customer Cabling (Wiring Rules)</w:t>
      </w:r>
      <w:r w:rsidRPr="001B5AA5">
        <w:rPr>
          <w:rFonts w:hint="eastAsia"/>
        </w:rPr>
        <w:t>”</w:t>
      </w:r>
      <w:r w:rsidRPr="001B5AA5">
        <w:t>;</w:t>
      </w:r>
      <w:r w:rsidR="00EC5FC3">
        <w:t xml:space="preserve"> or</w:t>
      </w:r>
    </w:p>
    <w:p w:rsidR="00017272" w:rsidRDefault="00EA6703" w:rsidP="00A74AA6">
      <w:pPr>
        <w:pStyle w:val="definition"/>
        <w:numPr>
          <w:ilvl w:val="0"/>
          <w:numId w:val="12"/>
        </w:numPr>
        <w:spacing w:before="120" w:beforeAutospacing="0" w:after="0" w:afterAutospacing="0"/>
        <w:ind w:left="1673" w:hanging="709"/>
        <w:jc w:val="both"/>
      </w:pPr>
      <w:r w:rsidRPr="00EA6703">
        <w:t xml:space="preserve">a standard </w:t>
      </w:r>
      <w:r w:rsidR="00350D16">
        <w:t>published</w:t>
      </w:r>
      <w:r w:rsidR="00350D16" w:rsidRPr="00EA6703">
        <w:t xml:space="preserve"> </w:t>
      </w:r>
      <w:r w:rsidRPr="00EA6703">
        <w:t>in substitution for the standard mentioned in paragraph (a);</w:t>
      </w:r>
    </w:p>
    <w:p w:rsidR="00EA6703" w:rsidRPr="00EA6703" w:rsidRDefault="00EA6703" w:rsidP="00A74AA6">
      <w:pPr>
        <w:pStyle w:val="R2"/>
        <w:tabs>
          <w:tab w:val="clear" w:pos="794"/>
          <w:tab w:val="left" w:pos="993"/>
        </w:tabs>
        <w:spacing w:before="120"/>
        <w:ind w:left="993" w:firstLine="0"/>
        <w:rPr>
          <w:rStyle w:val="CharPartNo"/>
          <w:i/>
        </w:rPr>
      </w:pPr>
      <w:r w:rsidRPr="00EA6703">
        <w:t>as in force from time to time</w:t>
      </w:r>
      <w:r w:rsidR="005B5295">
        <w:t>.</w:t>
      </w:r>
    </w:p>
    <w:p w:rsidR="006F2A6F" w:rsidRDefault="006F2A6F">
      <w:pPr>
        <w:spacing w:after="200" w:line="276" w:lineRule="auto"/>
      </w:pPr>
    </w:p>
    <w:p w:rsidR="00017272" w:rsidRDefault="001B5AA5">
      <w:pPr>
        <w:pStyle w:val="R2"/>
        <w:rPr>
          <w:rFonts w:ascii="Arial" w:hAnsi="Arial" w:cs="Arial"/>
          <w:b/>
        </w:rPr>
      </w:pPr>
      <w:r w:rsidRPr="001B5AA5">
        <w:rPr>
          <w:rFonts w:ascii="Arial" w:hAnsi="Arial" w:cs="Arial"/>
          <w:b/>
        </w:rPr>
        <w:t>[4]</w:t>
      </w:r>
      <w:r w:rsidRPr="001B5AA5">
        <w:rPr>
          <w:rFonts w:ascii="Arial" w:hAnsi="Arial" w:cs="Arial"/>
          <w:b/>
        </w:rPr>
        <w:tab/>
      </w:r>
      <w:r w:rsidR="005B5295">
        <w:rPr>
          <w:rFonts w:ascii="Arial" w:hAnsi="Arial" w:cs="Arial"/>
          <w:b/>
        </w:rPr>
        <w:tab/>
      </w:r>
      <w:r w:rsidRPr="001B5AA5">
        <w:rPr>
          <w:rFonts w:ascii="Arial" w:hAnsi="Arial" w:cs="Arial"/>
          <w:b/>
        </w:rPr>
        <w:t>Section 1.5</w:t>
      </w:r>
    </w:p>
    <w:p w:rsidR="005B5295" w:rsidRPr="00534AC9" w:rsidRDefault="005B5295" w:rsidP="00403C94">
      <w:pPr>
        <w:pStyle w:val="R2"/>
        <w:spacing w:after="120"/>
        <w:rPr>
          <w:rStyle w:val="CharPartNo"/>
          <w:i/>
        </w:rPr>
      </w:pPr>
      <w:r>
        <w:rPr>
          <w:rStyle w:val="CharPartNo"/>
          <w:rFonts w:ascii="Arial" w:hAnsi="Arial" w:cs="Arial"/>
          <w:b/>
        </w:rPr>
        <w:tab/>
      </w:r>
      <w:r>
        <w:rPr>
          <w:rStyle w:val="CharPartNo"/>
          <w:rFonts w:ascii="Arial" w:hAnsi="Arial" w:cs="Arial"/>
          <w:b/>
        </w:rPr>
        <w:tab/>
      </w:r>
      <w:r>
        <w:rPr>
          <w:rStyle w:val="CharPartNo"/>
          <w:i/>
        </w:rPr>
        <w:t>s</w:t>
      </w:r>
      <w:r w:rsidRPr="007070B6">
        <w:rPr>
          <w:rStyle w:val="CharPartNo"/>
          <w:i/>
        </w:rPr>
        <w:t>ubstitute</w:t>
      </w:r>
    </w:p>
    <w:p w:rsidR="00017272" w:rsidRDefault="004E0901" w:rsidP="00A74AA6">
      <w:pPr>
        <w:pStyle w:val="p10"/>
        <w:tabs>
          <w:tab w:val="left" w:pos="1701"/>
        </w:tabs>
        <w:spacing w:after="0" w:afterAutospacing="0"/>
        <w:ind w:firstLine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="00017272">
        <w:rPr>
          <w:rFonts w:ascii="Arial" w:hAnsi="Arial" w:cs="Arial"/>
          <w:b/>
        </w:rPr>
        <w:tab/>
      </w:r>
      <w:r w:rsidR="001B5AA5" w:rsidRPr="001B5AA5">
        <w:rPr>
          <w:rFonts w:ascii="Arial" w:hAnsi="Arial" w:cs="Arial"/>
          <w:b/>
        </w:rPr>
        <w:t>Application of the Rules</w:t>
      </w:r>
    </w:p>
    <w:p w:rsidR="00017272" w:rsidRDefault="00017272" w:rsidP="00A74AA6">
      <w:pPr>
        <w:pStyle w:val="ZDefinition"/>
        <w:tabs>
          <w:tab w:val="left" w:pos="1418"/>
          <w:tab w:val="left" w:pos="1701"/>
        </w:tabs>
      </w:pPr>
      <w:r>
        <w:rPr>
          <w:rStyle w:val="CharPartNo"/>
        </w:rPr>
        <w:tab/>
      </w:r>
      <w:r w:rsidR="00337095">
        <w:rPr>
          <w:rStyle w:val="CharPartNo"/>
        </w:rPr>
        <w:tab/>
      </w:r>
      <w:r w:rsidR="00B100FF">
        <w:t>These Rules apply to any person who:</w:t>
      </w:r>
    </w:p>
    <w:p w:rsidR="00017272" w:rsidRDefault="00B100FF" w:rsidP="00A74AA6">
      <w:pPr>
        <w:pStyle w:val="ListParagraph"/>
        <w:numPr>
          <w:ilvl w:val="0"/>
          <w:numId w:val="13"/>
        </w:numPr>
        <w:spacing w:before="120" w:line="276" w:lineRule="auto"/>
        <w:ind w:left="2127" w:hanging="426"/>
        <w:jc w:val="both"/>
      </w:pPr>
      <w:r>
        <w:t>performs any of the types of cabling work specified in Part 2; or</w:t>
      </w:r>
    </w:p>
    <w:p w:rsidR="00017272" w:rsidRDefault="00B100FF" w:rsidP="00A74AA6">
      <w:pPr>
        <w:pStyle w:val="ListParagraph"/>
        <w:numPr>
          <w:ilvl w:val="0"/>
          <w:numId w:val="13"/>
        </w:numPr>
        <w:spacing w:before="120" w:line="276" w:lineRule="auto"/>
        <w:ind w:left="2127" w:hanging="426"/>
        <w:jc w:val="both"/>
      </w:pPr>
      <w:r>
        <w:t xml:space="preserve">supervises the performance of any of the types of cabling work specified in Part 2. </w:t>
      </w:r>
    </w:p>
    <w:p w:rsidR="003A6C3D" w:rsidRDefault="003A6C3D">
      <w:pPr>
        <w:spacing w:after="200" w:line="276" w:lineRule="auto"/>
      </w:pPr>
      <w:r>
        <w:br w:type="page"/>
      </w:r>
    </w:p>
    <w:p w:rsidR="009453B8" w:rsidRDefault="009453B8" w:rsidP="009453B8">
      <w:pPr>
        <w:pStyle w:val="R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[</w:t>
      </w:r>
      <w:r w:rsidR="00E513D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]</w:t>
      </w:r>
      <w:r w:rsidR="002021D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6AE0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2.2</w:t>
      </w:r>
    </w:p>
    <w:p w:rsidR="00ED2150" w:rsidRDefault="00151A23" w:rsidP="00A74AA6">
      <w:pPr>
        <w:pStyle w:val="R2"/>
        <w:spacing w:after="120"/>
      </w:pPr>
      <w:r>
        <w:rPr>
          <w:i/>
        </w:rPr>
        <w:tab/>
      </w:r>
      <w:r>
        <w:rPr>
          <w:i/>
        </w:rPr>
        <w:tab/>
      </w:r>
      <w:r w:rsidR="00ED2150">
        <w:rPr>
          <w:i/>
        </w:rPr>
        <w:t>o</w:t>
      </w:r>
      <w:r>
        <w:rPr>
          <w:i/>
        </w:rPr>
        <w:t>mit</w:t>
      </w:r>
      <w:r>
        <w:t xml:space="preserve"> </w:t>
      </w:r>
    </w:p>
    <w:p w:rsidR="00ED2150" w:rsidRDefault="00ED2150" w:rsidP="00A74AA6">
      <w:pPr>
        <w:pStyle w:val="R2"/>
      </w:pPr>
      <w:r>
        <w:tab/>
      </w:r>
      <w:r>
        <w:tab/>
      </w:r>
      <w:r w:rsidR="00151A23">
        <w:t>“</w:t>
      </w:r>
      <w:r w:rsidR="00151A23" w:rsidRPr="00151A23">
        <w:t>any type of cabling work (including aerial or underground</w:t>
      </w:r>
      <w:r w:rsidR="00151A23">
        <w:t xml:space="preserve">” </w:t>
      </w:r>
    </w:p>
    <w:p w:rsidR="00ED2150" w:rsidRDefault="00ED2150" w:rsidP="00A74AA6">
      <w:pPr>
        <w:pStyle w:val="R2"/>
        <w:spacing w:after="120"/>
      </w:pPr>
      <w:r>
        <w:tab/>
      </w:r>
      <w:r>
        <w:tab/>
      </w:r>
      <w:r w:rsidR="006749DB">
        <w:rPr>
          <w:i/>
        </w:rPr>
        <w:t>insert</w:t>
      </w:r>
      <w:r w:rsidR="006749DB">
        <w:t xml:space="preserve"> </w:t>
      </w:r>
    </w:p>
    <w:p w:rsidR="00C06AE0" w:rsidRPr="00151A23" w:rsidRDefault="00ED2150" w:rsidP="00A74AA6">
      <w:pPr>
        <w:pStyle w:val="R2"/>
      </w:pPr>
      <w:r>
        <w:tab/>
      </w:r>
      <w:r>
        <w:tab/>
      </w:r>
      <w:r w:rsidR="00151A23">
        <w:t>“</w:t>
      </w:r>
      <w:r w:rsidR="00151A23" w:rsidRPr="00151A23">
        <w:t xml:space="preserve">cabling work (including aerial, underground, </w:t>
      </w:r>
      <w:r w:rsidR="002F6FA4">
        <w:t>structured</w:t>
      </w:r>
      <w:r w:rsidR="00017272">
        <w:t>,</w:t>
      </w:r>
      <w:r w:rsidR="00534AC9">
        <w:t xml:space="preserve"> coaxial</w:t>
      </w:r>
      <w:r w:rsidR="00151A23" w:rsidRPr="00151A23">
        <w:t xml:space="preserve"> and </w:t>
      </w:r>
      <w:r w:rsidR="00534AC9">
        <w:t xml:space="preserve">optical </w:t>
      </w:r>
      <w:r w:rsidR="00151A23" w:rsidRPr="00151A23">
        <w:t>fibre</w:t>
      </w:r>
      <w:r w:rsidR="00151A23">
        <w:t>”</w:t>
      </w:r>
    </w:p>
    <w:p w:rsidR="002021D2" w:rsidRDefault="002021D2" w:rsidP="00A74AA6">
      <w:pPr>
        <w:jc w:val="both"/>
        <w:rPr>
          <w:i/>
        </w:rPr>
      </w:pPr>
    </w:p>
    <w:p w:rsidR="002021D2" w:rsidRDefault="002021D2" w:rsidP="002021D2">
      <w:pPr>
        <w:pStyle w:val="R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E513D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1A23">
        <w:rPr>
          <w:rFonts w:ascii="Arial" w:hAnsi="Arial" w:cs="Arial"/>
          <w:b/>
        </w:rPr>
        <w:t xml:space="preserve">Paragraph </w:t>
      </w:r>
      <w:r>
        <w:rPr>
          <w:rFonts w:ascii="Arial" w:hAnsi="Arial" w:cs="Arial"/>
          <w:b/>
        </w:rPr>
        <w:t>2.3</w:t>
      </w:r>
      <w:r w:rsidR="00A82996">
        <w:rPr>
          <w:rFonts w:ascii="Arial" w:hAnsi="Arial" w:cs="Arial"/>
          <w:b/>
        </w:rPr>
        <w:t xml:space="preserve"> </w:t>
      </w:r>
      <w:r w:rsidR="00151A23">
        <w:rPr>
          <w:rFonts w:ascii="Arial" w:hAnsi="Arial" w:cs="Arial"/>
          <w:b/>
        </w:rPr>
        <w:t>(1)</w:t>
      </w:r>
      <w:r w:rsidR="00A82996">
        <w:rPr>
          <w:rFonts w:ascii="Arial" w:hAnsi="Arial" w:cs="Arial"/>
          <w:b/>
        </w:rPr>
        <w:t xml:space="preserve"> </w:t>
      </w:r>
      <w:r w:rsidR="00151A23">
        <w:rPr>
          <w:rFonts w:ascii="Arial" w:hAnsi="Arial" w:cs="Arial"/>
          <w:b/>
        </w:rPr>
        <w:t>(a)</w:t>
      </w:r>
    </w:p>
    <w:p w:rsidR="00151A23" w:rsidRDefault="00151A23" w:rsidP="002021D2">
      <w:pPr>
        <w:rPr>
          <w:i/>
        </w:rPr>
      </w:pPr>
    </w:p>
    <w:p w:rsidR="00ED2150" w:rsidRDefault="00ED2150" w:rsidP="00A74AA6">
      <w:pPr>
        <w:spacing w:after="120"/>
        <w:ind w:left="964"/>
        <w:jc w:val="both"/>
        <w:rPr>
          <w:i/>
        </w:rPr>
      </w:pPr>
      <w:r>
        <w:rPr>
          <w:i/>
        </w:rPr>
        <w:t>o</w:t>
      </w:r>
      <w:r w:rsidR="00151A23">
        <w:rPr>
          <w:i/>
        </w:rPr>
        <w:t>mit</w:t>
      </w:r>
    </w:p>
    <w:p w:rsidR="00ED2150" w:rsidRDefault="00151A23" w:rsidP="00A74AA6">
      <w:pPr>
        <w:ind w:left="964"/>
        <w:jc w:val="both"/>
      </w:pPr>
      <w:r>
        <w:t>“</w:t>
      </w:r>
      <w:r w:rsidRPr="00151A23">
        <w:t>aerial or underground</w:t>
      </w:r>
      <w:r>
        <w:t xml:space="preserve">” </w:t>
      </w:r>
    </w:p>
    <w:p w:rsidR="00ED2150" w:rsidRDefault="00ED2150" w:rsidP="00A74AA6">
      <w:pPr>
        <w:ind w:left="964"/>
        <w:jc w:val="both"/>
      </w:pPr>
    </w:p>
    <w:p w:rsidR="00ED2150" w:rsidRDefault="006749DB" w:rsidP="00A74AA6">
      <w:pPr>
        <w:spacing w:after="120"/>
        <w:ind w:left="964"/>
        <w:jc w:val="both"/>
        <w:rPr>
          <w:i/>
        </w:rPr>
      </w:pPr>
      <w:r>
        <w:rPr>
          <w:i/>
        </w:rPr>
        <w:t>insert</w:t>
      </w:r>
    </w:p>
    <w:p w:rsidR="00F01C33" w:rsidRDefault="00151A23" w:rsidP="00A74AA6">
      <w:pPr>
        <w:ind w:left="964"/>
        <w:jc w:val="both"/>
      </w:pPr>
      <w:r>
        <w:t>“aerial, underground</w:t>
      </w:r>
      <w:r w:rsidR="00534AC9">
        <w:t>, coaxial</w:t>
      </w:r>
      <w:r w:rsidR="002F6FA4">
        <w:t xml:space="preserve"> and </w:t>
      </w:r>
      <w:r w:rsidR="00534AC9">
        <w:t>broadband</w:t>
      </w:r>
      <w:r>
        <w:t>”</w:t>
      </w:r>
    </w:p>
    <w:p w:rsidR="00F01C33" w:rsidRDefault="00F01C33">
      <w:pPr>
        <w:pStyle w:val="ExampleBody"/>
        <w:ind w:left="1080"/>
      </w:pPr>
    </w:p>
    <w:p w:rsidR="00B100FF" w:rsidRDefault="00B100FF" w:rsidP="00B100FF">
      <w:pPr>
        <w:pStyle w:val="R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E513D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82996">
        <w:rPr>
          <w:rFonts w:ascii="Arial" w:hAnsi="Arial" w:cs="Arial"/>
          <w:b/>
        </w:rPr>
        <w:t>Subsection</w:t>
      </w:r>
      <w:r>
        <w:rPr>
          <w:rFonts w:ascii="Arial" w:hAnsi="Arial" w:cs="Arial"/>
          <w:b/>
        </w:rPr>
        <w:t xml:space="preserve"> 3.1</w:t>
      </w:r>
      <w:r w:rsidR="00A829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(2)</w:t>
      </w:r>
    </w:p>
    <w:p w:rsidR="00017272" w:rsidRDefault="00B100FF" w:rsidP="00A74AA6">
      <w:pPr>
        <w:spacing w:before="120" w:after="120"/>
        <w:ind w:left="244" w:firstLine="720"/>
        <w:jc w:val="both"/>
        <w:rPr>
          <w:i/>
        </w:rPr>
      </w:pPr>
      <w:r w:rsidRPr="00B100FF">
        <w:rPr>
          <w:i/>
        </w:rPr>
        <w:t>s</w:t>
      </w:r>
      <w:r w:rsidR="001B5AA5" w:rsidRPr="001B5AA5">
        <w:rPr>
          <w:i/>
        </w:rPr>
        <w:t>ubstitute</w:t>
      </w:r>
    </w:p>
    <w:p w:rsidR="00017272" w:rsidRDefault="00EC5FC3" w:rsidP="00A74AA6">
      <w:pPr>
        <w:spacing w:before="120"/>
        <w:ind w:left="964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(2)</w:t>
      </w:r>
      <w:r>
        <w:rPr>
          <w:rFonts w:ascii="Helvetica Neue" w:hAnsi="Helvetica Neue"/>
        </w:rPr>
        <w:tab/>
      </w:r>
      <w:r w:rsidR="00A82996">
        <w:rPr>
          <w:rFonts w:ascii="Helvetica Neue" w:hAnsi="Helvetica Neue"/>
        </w:rPr>
        <w:t xml:space="preserve">The </w:t>
      </w:r>
      <w:r w:rsidR="00A82996">
        <w:rPr>
          <w:rFonts w:eastAsiaTheme="minorHAnsi"/>
          <w:lang w:eastAsia="en-US"/>
        </w:rPr>
        <w:t>registration system must include the following matters:</w:t>
      </w:r>
    </w:p>
    <w:p w:rsidR="00A9682E" w:rsidRDefault="001B5AA5" w:rsidP="00A74AA6">
      <w:pPr>
        <w:pStyle w:val="ListParagraph"/>
        <w:numPr>
          <w:ilvl w:val="0"/>
          <w:numId w:val="14"/>
        </w:numPr>
        <w:spacing w:before="120"/>
        <w:ind w:left="1843" w:hanging="425"/>
        <w:jc w:val="both"/>
        <w:rPr>
          <w:b/>
          <w:i/>
        </w:rPr>
      </w:pPr>
      <w:r w:rsidRPr="001B5AA5">
        <w:rPr>
          <w:rFonts w:ascii="Helvetica Neue" w:hAnsi="Helvetica Neue"/>
        </w:rPr>
        <w:t>the publication of competency requirements with which a cabling provider must have evidence of compliance before being eligible for registration</w:t>
      </w:r>
      <w:r w:rsidR="00B100FF">
        <w:rPr>
          <w:rFonts w:ascii="Helvetica Neue" w:hAnsi="Helvetica Neue"/>
        </w:rPr>
        <w:t xml:space="preserve"> or renewal of registration</w:t>
      </w:r>
      <w:r w:rsidRPr="001B5AA5">
        <w:rPr>
          <w:rFonts w:ascii="Helvetica Neue" w:hAnsi="Helvetica Neue"/>
        </w:rPr>
        <w:t>;</w:t>
      </w:r>
    </w:p>
    <w:p w:rsidR="00EA6703" w:rsidRDefault="001B5AA5" w:rsidP="00A74AA6">
      <w:pPr>
        <w:pStyle w:val="ListParagraph"/>
        <w:numPr>
          <w:ilvl w:val="0"/>
          <w:numId w:val="14"/>
        </w:numPr>
        <w:spacing w:before="120"/>
        <w:ind w:left="1843" w:hanging="425"/>
        <w:jc w:val="both"/>
      </w:pPr>
      <w:r w:rsidRPr="001B5AA5">
        <w:t xml:space="preserve">the </w:t>
      </w:r>
      <w:r w:rsidR="00A82996">
        <w:t>registration, by a registrar, of cabling providers who comply with those requirements.</w:t>
      </w:r>
    </w:p>
    <w:p w:rsidR="00B100FF" w:rsidRPr="00B100FF" w:rsidRDefault="00B100FF" w:rsidP="00A74AA6">
      <w:pPr>
        <w:jc w:val="both"/>
        <w:rPr>
          <w:rFonts w:ascii="Arial" w:hAnsi="Arial" w:cs="Arial"/>
          <w:b/>
        </w:rPr>
      </w:pPr>
    </w:p>
    <w:p w:rsidR="00E72895" w:rsidRDefault="00E72895" w:rsidP="00E72895">
      <w:pPr>
        <w:pStyle w:val="R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E513D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23E3D">
        <w:rPr>
          <w:rFonts w:ascii="Arial" w:hAnsi="Arial" w:cs="Arial"/>
          <w:b/>
        </w:rPr>
        <w:t xml:space="preserve">Subsection </w:t>
      </w:r>
      <w:r>
        <w:rPr>
          <w:rFonts w:ascii="Arial" w:hAnsi="Arial" w:cs="Arial"/>
          <w:b/>
        </w:rPr>
        <w:t>3.1</w:t>
      </w:r>
      <w:r w:rsidR="004842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(6)</w:t>
      </w:r>
    </w:p>
    <w:p w:rsidR="00F01C33" w:rsidRDefault="009A653A" w:rsidP="0073641C">
      <w:pPr>
        <w:spacing w:before="180" w:after="120"/>
        <w:ind w:left="964"/>
        <w:rPr>
          <w:i/>
        </w:rPr>
      </w:pPr>
      <w:r>
        <w:rPr>
          <w:i/>
        </w:rPr>
        <w:t>substitute</w:t>
      </w:r>
    </w:p>
    <w:p w:rsidR="00EA6703" w:rsidRDefault="00A9682E" w:rsidP="00A74AA6">
      <w:pPr>
        <w:spacing w:before="180" w:after="120"/>
        <w:ind w:left="964"/>
        <w:jc w:val="both"/>
      </w:pPr>
      <w:r>
        <w:t>(6)</w:t>
      </w:r>
      <w:r>
        <w:tab/>
      </w:r>
      <w:r w:rsidR="00623E3D">
        <w:t>The ACMA:</w:t>
      </w:r>
    </w:p>
    <w:p w:rsidR="00EA6703" w:rsidRDefault="00623E3D" w:rsidP="00A74AA6">
      <w:pPr>
        <w:pStyle w:val="ListParagraph"/>
        <w:numPr>
          <w:ilvl w:val="0"/>
          <w:numId w:val="29"/>
        </w:numPr>
        <w:tabs>
          <w:tab w:val="left" w:pos="1843"/>
        </w:tabs>
        <w:spacing w:after="100" w:afterAutospacing="1"/>
        <w:ind w:hanging="22"/>
        <w:jc w:val="both"/>
      </w:pPr>
      <w:r w:rsidRPr="00623E3D">
        <w:t>may operate the registration system itself;</w:t>
      </w:r>
    </w:p>
    <w:p w:rsidR="00EA6703" w:rsidRDefault="00A9682E" w:rsidP="00A74AA6">
      <w:pPr>
        <w:pStyle w:val="ListParagraph"/>
        <w:numPr>
          <w:ilvl w:val="0"/>
          <w:numId w:val="29"/>
        </w:numPr>
        <w:tabs>
          <w:tab w:val="left" w:pos="1843"/>
        </w:tabs>
        <w:spacing w:before="180" w:after="100" w:afterAutospacing="1"/>
        <w:ind w:hanging="22"/>
        <w:jc w:val="both"/>
      </w:pPr>
      <w:r>
        <w:t xml:space="preserve">may </w:t>
      </w:r>
      <w:r w:rsidR="00E72895">
        <w:t>engage 1 or more persons to:</w:t>
      </w:r>
    </w:p>
    <w:p w:rsidR="0026289C" w:rsidRDefault="00E72895" w:rsidP="00A74AA6">
      <w:pPr>
        <w:pStyle w:val="ListParagraph"/>
        <w:numPr>
          <w:ilvl w:val="0"/>
          <w:numId w:val="31"/>
        </w:numPr>
        <w:tabs>
          <w:tab w:val="left" w:pos="1843"/>
        </w:tabs>
        <w:spacing w:before="180"/>
        <w:ind w:left="2268" w:hanging="425"/>
        <w:jc w:val="both"/>
      </w:pPr>
      <w:r>
        <w:t>operate the registration system</w:t>
      </w:r>
      <w:r w:rsidR="00251623">
        <w:t>;</w:t>
      </w:r>
    </w:p>
    <w:p w:rsidR="0026289C" w:rsidRDefault="00E72895" w:rsidP="00A74AA6">
      <w:pPr>
        <w:pStyle w:val="ListParagraph"/>
        <w:numPr>
          <w:ilvl w:val="0"/>
          <w:numId w:val="31"/>
        </w:numPr>
        <w:tabs>
          <w:tab w:val="left" w:pos="1843"/>
        </w:tabs>
        <w:spacing w:before="180"/>
        <w:ind w:left="2268" w:hanging="425"/>
        <w:jc w:val="both"/>
      </w:pPr>
      <w:r>
        <w:t>operate the registration system and act as a registrar</w:t>
      </w:r>
      <w:r w:rsidR="00251623">
        <w:t>;</w:t>
      </w:r>
      <w:r>
        <w:t xml:space="preserve"> or</w:t>
      </w:r>
    </w:p>
    <w:p w:rsidR="00EA6703" w:rsidRDefault="00E72895" w:rsidP="00A74AA6">
      <w:pPr>
        <w:pStyle w:val="ListParagraph"/>
        <w:numPr>
          <w:ilvl w:val="0"/>
          <w:numId w:val="31"/>
        </w:numPr>
        <w:tabs>
          <w:tab w:val="left" w:pos="1843"/>
          <w:tab w:val="left" w:pos="2268"/>
        </w:tabs>
        <w:spacing w:before="180"/>
        <w:ind w:left="2268" w:hanging="425"/>
        <w:jc w:val="both"/>
      </w:pPr>
      <w:r>
        <w:t>act as registrars; and</w:t>
      </w:r>
    </w:p>
    <w:p w:rsidR="00EA6703" w:rsidRDefault="00623E3D" w:rsidP="00A74AA6">
      <w:pPr>
        <w:pStyle w:val="ListParagraph"/>
        <w:numPr>
          <w:ilvl w:val="0"/>
          <w:numId w:val="29"/>
        </w:numPr>
        <w:tabs>
          <w:tab w:val="left" w:pos="1843"/>
          <w:tab w:val="left" w:pos="2127"/>
        </w:tabs>
        <w:spacing w:before="180"/>
        <w:ind w:hanging="22"/>
        <w:jc w:val="both"/>
      </w:pPr>
      <w:r w:rsidRPr="00623E3D">
        <w:t>is not required to act as a registrar.</w:t>
      </w:r>
    </w:p>
    <w:p w:rsidR="0026289C" w:rsidRDefault="0026289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EA6703" w:rsidRDefault="002225CC" w:rsidP="0026289C">
      <w:pPr>
        <w:tabs>
          <w:tab w:val="left" w:pos="993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E513D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1C0A1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ection 4.2</w:t>
      </w:r>
    </w:p>
    <w:p w:rsidR="00EA6703" w:rsidRDefault="003240F3" w:rsidP="0073641C">
      <w:pPr>
        <w:spacing w:before="120" w:after="120" w:line="276" w:lineRule="auto"/>
        <w:ind w:left="698" w:firstLine="295"/>
        <w:rPr>
          <w:i/>
        </w:rPr>
      </w:pPr>
      <w:r>
        <w:rPr>
          <w:i/>
        </w:rPr>
        <w:t>substitute</w:t>
      </w:r>
    </w:p>
    <w:p w:rsidR="00C67B09" w:rsidRDefault="00484262" w:rsidP="0073641C">
      <w:pPr>
        <w:pStyle w:val="zr10"/>
        <w:numPr>
          <w:ilvl w:val="1"/>
          <w:numId w:val="32"/>
        </w:numPr>
        <w:tabs>
          <w:tab w:val="left" w:pos="1701"/>
        </w:tabs>
        <w:spacing w:before="120" w:beforeAutospacing="0" w:after="0" w:afterAutospacing="0"/>
        <w:ind w:left="993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A6703" w:rsidRPr="00EA6703">
        <w:rPr>
          <w:rFonts w:ascii="Arial" w:hAnsi="Arial" w:cs="Arial"/>
          <w:b/>
        </w:rPr>
        <w:t>ompliance with Wiring Rules</w:t>
      </w:r>
    </w:p>
    <w:p w:rsidR="00C67B09" w:rsidRDefault="00EA6703" w:rsidP="00A74AA6">
      <w:pPr>
        <w:pStyle w:val="zr10"/>
        <w:numPr>
          <w:ilvl w:val="0"/>
          <w:numId w:val="25"/>
        </w:numPr>
        <w:spacing w:before="120" w:beforeAutospacing="0"/>
        <w:ind w:left="1701" w:hanging="425"/>
        <w:jc w:val="both"/>
      </w:pPr>
      <w:r w:rsidRPr="00EA6703">
        <w:t>Subject to subsection (2), cabling work of any of the types mentio</w:t>
      </w:r>
      <w:r w:rsidR="00026B28">
        <w:t>ned in Part 2 must be performed</w:t>
      </w:r>
      <w:r w:rsidR="00541EBD">
        <w:t>,</w:t>
      </w:r>
      <w:r w:rsidRPr="00EA6703">
        <w:t xml:space="preserve"> </w:t>
      </w:r>
      <w:r w:rsidR="00056C50">
        <w:t>and supervised</w:t>
      </w:r>
      <w:r w:rsidR="00541EBD">
        <w:t>,</w:t>
      </w:r>
      <w:r w:rsidR="00056C50">
        <w:t xml:space="preserve"> </w:t>
      </w:r>
      <w:r w:rsidRPr="00EA6703">
        <w:t>in accordance with</w:t>
      </w:r>
      <w:r w:rsidR="00026B28">
        <w:t xml:space="preserve"> the Wiring Rules.</w:t>
      </w:r>
    </w:p>
    <w:p w:rsidR="0026289C" w:rsidRDefault="00026B28" w:rsidP="0073641C">
      <w:pPr>
        <w:pStyle w:val="zr10"/>
        <w:numPr>
          <w:ilvl w:val="0"/>
          <w:numId w:val="25"/>
        </w:numPr>
        <w:spacing w:before="120" w:beforeAutospacing="0"/>
        <w:ind w:left="1701" w:hanging="425"/>
        <w:jc w:val="both"/>
      </w:pPr>
      <w:r w:rsidRPr="006F5866">
        <w:t>Cabling work that complies with clause 1 or 2 of Schedule 1 is not required to comply with clauses 9.1.2.1, 9.1.2.2 and 9.1.2.3 of the Wiring Rules.</w:t>
      </w:r>
    </w:p>
    <w:p w:rsidR="0026289C" w:rsidRDefault="0026289C" w:rsidP="0026289C">
      <w:pPr>
        <w:spacing w:after="200" w:line="276" w:lineRule="auto"/>
      </w:pPr>
    </w:p>
    <w:p w:rsidR="00026B28" w:rsidRPr="00424427" w:rsidRDefault="001B5AA5" w:rsidP="00A74AA6">
      <w:pPr>
        <w:pStyle w:val="p10"/>
        <w:tabs>
          <w:tab w:val="left" w:pos="993"/>
        </w:tabs>
        <w:rPr>
          <w:rFonts w:ascii="Arial" w:hAnsi="Arial" w:cs="Arial"/>
          <w:b/>
        </w:rPr>
      </w:pPr>
      <w:r w:rsidRPr="001B5AA5">
        <w:rPr>
          <w:rFonts w:ascii="Arial" w:hAnsi="Arial" w:cs="Arial"/>
          <w:b/>
        </w:rPr>
        <w:t>[</w:t>
      </w:r>
      <w:r w:rsidR="00E513D3">
        <w:rPr>
          <w:rFonts w:ascii="Arial" w:hAnsi="Arial" w:cs="Arial"/>
          <w:b/>
        </w:rPr>
        <w:t>10</w:t>
      </w:r>
      <w:r w:rsidRPr="001B5AA5">
        <w:rPr>
          <w:rFonts w:ascii="Arial" w:hAnsi="Arial" w:cs="Arial"/>
          <w:b/>
        </w:rPr>
        <w:t>]</w:t>
      </w:r>
      <w:r w:rsidRPr="001B5AA5">
        <w:rPr>
          <w:rFonts w:ascii="Arial" w:hAnsi="Arial" w:cs="Arial"/>
          <w:b/>
        </w:rPr>
        <w:tab/>
        <w:t>After section 4.2</w:t>
      </w:r>
    </w:p>
    <w:p w:rsidR="00017272" w:rsidRDefault="00941E7A" w:rsidP="00A74AA6">
      <w:pPr>
        <w:pStyle w:val="p10"/>
        <w:tabs>
          <w:tab w:val="left" w:pos="2127"/>
        </w:tabs>
        <w:ind w:left="720" w:firstLine="273"/>
        <w:rPr>
          <w:i/>
        </w:rPr>
      </w:pPr>
      <w:r>
        <w:rPr>
          <w:i/>
        </w:rPr>
        <w:t>i</w:t>
      </w:r>
      <w:r w:rsidR="00026B28">
        <w:rPr>
          <w:i/>
        </w:rPr>
        <w:t>nsert</w:t>
      </w:r>
    </w:p>
    <w:p w:rsidR="00017272" w:rsidRDefault="001B5AA5" w:rsidP="0073641C">
      <w:pPr>
        <w:pStyle w:val="p10"/>
        <w:tabs>
          <w:tab w:val="left" w:pos="1701"/>
        </w:tabs>
        <w:spacing w:after="0" w:afterAutospacing="0"/>
        <w:ind w:firstLine="993"/>
        <w:jc w:val="both"/>
        <w:rPr>
          <w:rFonts w:ascii="Arial" w:hAnsi="Arial" w:cs="Arial"/>
          <w:b/>
        </w:rPr>
      </w:pPr>
      <w:r w:rsidRPr="001B5AA5">
        <w:rPr>
          <w:rFonts w:ascii="Arial" w:hAnsi="Arial" w:cs="Arial"/>
          <w:b/>
        </w:rPr>
        <w:t>4.2A</w:t>
      </w:r>
      <w:r w:rsidRPr="001B5AA5">
        <w:rPr>
          <w:rFonts w:ascii="Arial" w:hAnsi="Arial" w:cs="Arial"/>
          <w:b/>
        </w:rPr>
        <w:tab/>
      </w:r>
      <w:r w:rsidR="003A6C3D">
        <w:rPr>
          <w:rFonts w:ascii="Arial" w:hAnsi="Arial" w:cs="Arial"/>
          <w:b/>
        </w:rPr>
        <w:t>Compliance with c</w:t>
      </w:r>
      <w:r w:rsidRPr="001B5AA5">
        <w:rPr>
          <w:rFonts w:ascii="Arial" w:hAnsi="Arial" w:cs="Arial"/>
          <w:b/>
        </w:rPr>
        <w:t xml:space="preserve">ompetency requirements </w:t>
      </w:r>
    </w:p>
    <w:p w:rsidR="00EA6703" w:rsidRDefault="00660DC6" w:rsidP="00B239BA">
      <w:pPr>
        <w:pStyle w:val="zr10"/>
        <w:spacing w:before="120" w:beforeAutospacing="0" w:after="0" w:afterAutospacing="0"/>
        <w:ind w:left="1701"/>
        <w:jc w:val="both"/>
      </w:pPr>
      <w:r>
        <w:t xml:space="preserve">Cabling work of any of the types </w:t>
      </w:r>
      <w:r w:rsidRPr="006F5866">
        <w:t>mentio</w:t>
      </w:r>
      <w:r>
        <w:t>ned in Part 2 must be performed</w:t>
      </w:r>
      <w:r w:rsidR="00541EBD">
        <w:t>,</w:t>
      </w:r>
      <w:r w:rsidR="00791EA1">
        <w:t xml:space="preserve"> and</w:t>
      </w:r>
      <w:r>
        <w:t xml:space="preserve"> supervised</w:t>
      </w:r>
      <w:r w:rsidR="00541EBD">
        <w:t>,</w:t>
      </w:r>
      <w:r>
        <w:t xml:space="preserve"> </w:t>
      </w:r>
      <w:r w:rsidRPr="006F5866">
        <w:t>in accordance with</w:t>
      </w:r>
      <w:r>
        <w:t xml:space="preserve"> the competency requirements m</w:t>
      </w:r>
      <w:r w:rsidR="00A478D6">
        <w:t>entioned in paragraph 3.1</w:t>
      </w:r>
      <w:r w:rsidR="00484262">
        <w:t xml:space="preserve"> </w:t>
      </w:r>
      <w:r w:rsidR="00A478D6">
        <w:t>(2)</w:t>
      </w:r>
      <w:r w:rsidR="00484262">
        <w:t xml:space="preserve"> </w:t>
      </w:r>
      <w:r w:rsidR="00A478D6">
        <w:t>(a)</w:t>
      </w:r>
      <w:r w:rsidR="00484262">
        <w:t xml:space="preserve"> that are specific to that type of cabling work</w:t>
      </w:r>
      <w:r w:rsidR="00A478D6">
        <w:t xml:space="preserve">. </w:t>
      </w:r>
    </w:p>
    <w:p w:rsidR="00EA6703" w:rsidRDefault="00EA6703" w:rsidP="00EA6703">
      <w:pPr>
        <w:pStyle w:val="zr10"/>
        <w:spacing w:before="0" w:beforeAutospacing="0" w:after="0" w:afterAutospacing="0"/>
        <w:ind w:left="1080"/>
      </w:pPr>
    </w:p>
    <w:p w:rsidR="005371F0" w:rsidRPr="00E513D3" w:rsidRDefault="00EA6703" w:rsidP="00C14DD1">
      <w:pPr>
        <w:pStyle w:val="p10"/>
        <w:tabs>
          <w:tab w:val="left" w:pos="993"/>
        </w:tabs>
        <w:rPr>
          <w:rFonts w:ascii="Arial" w:hAnsi="Arial" w:cs="Arial"/>
          <w:b/>
        </w:rPr>
      </w:pPr>
      <w:r w:rsidRPr="00EA6703">
        <w:rPr>
          <w:rFonts w:ascii="Arial" w:hAnsi="Arial" w:cs="Arial"/>
          <w:b/>
        </w:rPr>
        <w:t>[11]</w:t>
      </w:r>
      <w:r w:rsidRPr="00EA6703">
        <w:rPr>
          <w:rFonts w:ascii="Arial" w:hAnsi="Arial" w:cs="Arial"/>
          <w:b/>
        </w:rPr>
        <w:tab/>
        <w:t>After Part 5</w:t>
      </w:r>
    </w:p>
    <w:p w:rsidR="005371F0" w:rsidRDefault="0072348E" w:rsidP="00C14DD1">
      <w:pPr>
        <w:pStyle w:val="p10"/>
        <w:tabs>
          <w:tab w:val="left" w:pos="993"/>
        </w:tabs>
        <w:rPr>
          <w:i/>
        </w:rPr>
      </w:pPr>
      <w:r>
        <w:tab/>
      </w:r>
      <w:r>
        <w:rPr>
          <w:i/>
        </w:rPr>
        <w:t>insert</w:t>
      </w:r>
    </w:p>
    <w:p w:rsidR="00EA6703" w:rsidRPr="00EA6703" w:rsidRDefault="00EA6703" w:rsidP="00C14DD1">
      <w:pPr>
        <w:pStyle w:val="p10"/>
        <w:ind w:left="1440" w:hanging="447"/>
        <w:rPr>
          <w:rFonts w:ascii="Arial" w:hAnsi="Arial" w:cs="Arial"/>
          <w:b/>
        </w:rPr>
      </w:pPr>
      <w:r w:rsidRPr="00EA6703">
        <w:rPr>
          <w:rFonts w:ascii="Arial" w:hAnsi="Arial" w:cs="Arial"/>
          <w:b/>
        </w:rPr>
        <w:t>Part 6</w:t>
      </w:r>
      <w:r w:rsidR="00ED0C4C">
        <w:rPr>
          <w:rFonts w:ascii="Arial" w:hAnsi="Arial" w:cs="Arial"/>
          <w:b/>
        </w:rPr>
        <w:tab/>
      </w:r>
      <w:r w:rsidRPr="00EA6703">
        <w:rPr>
          <w:rFonts w:ascii="Arial" w:hAnsi="Arial" w:cs="Arial"/>
          <w:b/>
        </w:rPr>
        <w:t xml:space="preserve">Transitional </w:t>
      </w:r>
      <w:r w:rsidR="00ED0C4C">
        <w:rPr>
          <w:rFonts w:ascii="Arial" w:hAnsi="Arial" w:cs="Arial"/>
          <w:b/>
        </w:rPr>
        <w:t>arrangements</w:t>
      </w:r>
      <w:r w:rsidRPr="00EA6703">
        <w:rPr>
          <w:rFonts w:ascii="Arial" w:hAnsi="Arial" w:cs="Arial"/>
          <w:b/>
        </w:rPr>
        <w:t xml:space="preserve"> </w:t>
      </w:r>
    </w:p>
    <w:p w:rsidR="00ED0C4C" w:rsidRDefault="00ED0C4C" w:rsidP="0073641C">
      <w:pPr>
        <w:pStyle w:val="p10"/>
        <w:ind w:firstLine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</w:t>
      </w:r>
      <w:r w:rsidRPr="007070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Definitions for Part 6</w:t>
      </w:r>
      <w:r w:rsidRPr="007070B6">
        <w:rPr>
          <w:rFonts w:ascii="Arial" w:hAnsi="Arial" w:cs="Arial"/>
          <w:b/>
        </w:rPr>
        <w:t xml:space="preserve"> </w:t>
      </w:r>
    </w:p>
    <w:p w:rsidR="00017272" w:rsidRDefault="0016566E" w:rsidP="00B239BA">
      <w:pPr>
        <w:pStyle w:val="p10"/>
        <w:spacing w:before="120" w:beforeAutospacing="0" w:after="120" w:afterAutospacing="0"/>
        <w:ind w:left="1440"/>
        <w:jc w:val="both"/>
      </w:pPr>
      <w:r>
        <w:t xml:space="preserve">In this </w:t>
      </w:r>
      <w:r w:rsidR="00ED0C4C">
        <w:t>Part</w:t>
      </w:r>
      <w:r>
        <w:t>:</w:t>
      </w:r>
    </w:p>
    <w:p w:rsidR="00017272" w:rsidRDefault="001151C7" w:rsidP="00A74AA6">
      <w:pPr>
        <w:pStyle w:val="p10"/>
        <w:spacing w:before="120" w:beforeAutospacing="0" w:after="0" w:afterAutospacing="0"/>
        <w:ind w:left="1440"/>
        <w:jc w:val="both"/>
      </w:pPr>
      <w:proofErr w:type="gramStart"/>
      <w:r w:rsidRPr="00ED0C4C">
        <w:rPr>
          <w:b/>
          <w:i/>
        </w:rPr>
        <w:t>f</w:t>
      </w:r>
      <w:r w:rsidR="0016566E" w:rsidRPr="00ED0C4C">
        <w:rPr>
          <w:b/>
          <w:i/>
        </w:rPr>
        <w:t>ormer</w:t>
      </w:r>
      <w:proofErr w:type="gramEnd"/>
      <w:r w:rsidR="0016566E" w:rsidRPr="00ED0C4C">
        <w:rPr>
          <w:b/>
          <w:i/>
        </w:rPr>
        <w:t xml:space="preserve"> competency requirements</w:t>
      </w:r>
      <w:r w:rsidR="001B5AA5" w:rsidRPr="001B5AA5">
        <w:t xml:space="preserve"> </w:t>
      </w:r>
      <w:r w:rsidR="0016566E">
        <w:t>means the competency requirements mentioned in paragraph 3.1</w:t>
      </w:r>
      <w:r w:rsidR="00541EBD">
        <w:t xml:space="preserve"> </w:t>
      </w:r>
      <w:r w:rsidR="0016566E">
        <w:t>(2)</w:t>
      </w:r>
      <w:r w:rsidR="00541EBD">
        <w:t xml:space="preserve"> </w:t>
      </w:r>
      <w:r w:rsidR="0016566E">
        <w:t xml:space="preserve">(a) </w:t>
      </w:r>
      <w:r w:rsidR="002F687E">
        <w:t>as</w:t>
      </w:r>
      <w:r w:rsidR="0016566E">
        <w:t xml:space="preserve"> in force immediately before </w:t>
      </w:r>
      <w:r w:rsidR="005B141D">
        <w:t>1 July 2012</w:t>
      </w:r>
      <w:r w:rsidR="0016566E">
        <w:t xml:space="preserve">. </w:t>
      </w:r>
    </w:p>
    <w:p w:rsidR="00EA6703" w:rsidRDefault="00AB2D61" w:rsidP="00A74AA6">
      <w:pPr>
        <w:pStyle w:val="p10"/>
        <w:spacing w:before="120" w:beforeAutospacing="0" w:after="0" w:afterAutospacing="0"/>
        <w:ind w:left="1440"/>
        <w:jc w:val="both"/>
      </w:pPr>
      <w:proofErr w:type="gramStart"/>
      <w:r>
        <w:rPr>
          <w:b/>
          <w:i/>
        </w:rPr>
        <w:t>new</w:t>
      </w:r>
      <w:proofErr w:type="gramEnd"/>
      <w:r>
        <w:rPr>
          <w:b/>
          <w:i/>
        </w:rPr>
        <w:t xml:space="preserve"> competency requirements </w:t>
      </w:r>
      <w:r w:rsidR="00081802">
        <w:t xml:space="preserve">means </w:t>
      </w:r>
      <w:r>
        <w:t xml:space="preserve">the competency requirements mentioned in paragraph 3.1 (2) (a) that are in force on </w:t>
      </w:r>
      <w:r w:rsidR="005B141D">
        <w:t>1 July 2012</w:t>
      </w:r>
      <w:r w:rsidR="00081802">
        <w:t>.</w:t>
      </w:r>
    </w:p>
    <w:p w:rsidR="00EA6703" w:rsidRDefault="005F571E" w:rsidP="00A74AA6">
      <w:pPr>
        <w:pStyle w:val="R2"/>
        <w:ind w:left="1418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>
        <w:rPr>
          <w:b/>
          <w:i/>
        </w:rPr>
        <w:t>transitional</w:t>
      </w:r>
      <w:proofErr w:type="gramEnd"/>
      <w:r>
        <w:rPr>
          <w:b/>
          <w:i/>
        </w:rPr>
        <w:t xml:space="preserve"> period </w:t>
      </w:r>
      <w:r>
        <w:t xml:space="preserve">means the period of time commencing on </w:t>
      </w:r>
      <w:r w:rsidR="00CD5975">
        <w:t>1 July 2012</w:t>
      </w:r>
      <w:r>
        <w:t xml:space="preserve"> and ending </w:t>
      </w:r>
      <w:r w:rsidR="005D3CC0">
        <w:t>on 30 June 2014</w:t>
      </w:r>
      <w:r>
        <w:t xml:space="preserve">. </w:t>
      </w:r>
    </w:p>
    <w:p w:rsidR="005D3CC0" w:rsidRDefault="005D3CC0">
      <w:pPr>
        <w:spacing w:after="200" w:line="276" w:lineRule="auto"/>
      </w:pPr>
      <w:r>
        <w:br w:type="page"/>
      </w:r>
    </w:p>
    <w:p w:rsidR="005F571E" w:rsidRDefault="005F571E" w:rsidP="00A74AA6">
      <w:pPr>
        <w:pStyle w:val="p10"/>
        <w:spacing w:before="120" w:beforeAutospacing="0"/>
        <w:ind w:left="1440"/>
        <w:jc w:val="both"/>
      </w:pPr>
    </w:p>
    <w:p w:rsidR="00EA6703" w:rsidRDefault="00ED0C4C" w:rsidP="0073641C">
      <w:pPr>
        <w:pStyle w:val="p10"/>
        <w:spacing w:after="0" w:afterAutospacing="0"/>
        <w:ind w:left="144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</w:t>
      </w:r>
      <w:r>
        <w:rPr>
          <w:rFonts w:ascii="Arial" w:hAnsi="Arial" w:cs="Arial"/>
          <w:b/>
        </w:rPr>
        <w:tab/>
        <w:t>R</w:t>
      </w:r>
      <w:r w:rsidR="006E6B81">
        <w:rPr>
          <w:rFonts w:ascii="Arial" w:hAnsi="Arial" w:cs="Arial"/>
          <w:b/>
        </w:rPr>
        <w:t>enewal of r</w:t>
      </w:r>
      <w:r>
        <w:rPr>
          <w:rFonts w:ascii="Arial" w:hAnsi="Arial" w:cs="Arial"/>
          <w:b/>
        </w:rPr>
        <w:t xml:space="preserve">egistration – </w:t>
      </w:r>
      <w:r w:rsidR="00A02100">
        <w:rPr>
          <w:rFonts w:ascii="Arial" w:hAnsi="Arial" w:cs="Arial"/>
          <w:b/>
        </w:rPr>
        <w:t>reliance on paragraph</w:t>
      </w:r>
      <w:r w:rsidR="00AE04CB">
        <w:rPr>
          <w:rFonts w:ascii="Arial" w:hAnsi="Arial" w:cs="Arial"/>
          <w:b/>
        </w:rPr>
        <w:t>s</w:t>
      </w:r>
      <w:r w:rsidR="00A02100">
        <w:rPr>
          <w:rFonts w:ascii="Arial" w:hAnsi="Arial" w:cs="Arial"/>
          <w:b/>
        </w:rPr>
        <w:t xml:space="preserve"> 3.1 (4) (a)</w:t>
      </w:r>
      <w:r w:rsidR="00AE04CB">
        <w:rPr>
          <w:rFonts w:ascii="Arial" w:hAnsi="Arial" w:cs="Arial"/>
          <w:b/>
        </w:rPr>
        <w:t xml:space="preserve"> and (b)</w:t>
      </w:r>
    </w:p>
    <w:p w:rsidR="006E6B81" w:rsidRDefault="00F84213" w:rsidP="0073641C">
      <w:pPr>
        <w:pStyle w:val="p10"/>
        <w:spacing w:before="120" w:beforeAutospacing="0" w:after="0" w:afterAutospacing="0"/>
        <w:ind w:left="1440"/>
        <w:jc w:val="both"/>
      </w:pPr>
      <w:r>
        <w:t xml:space="preserve">After </w:t>
      </w:r>
      <w:r w:rsidR="005F571E">
        <w:t>the transitional period,</w:t>
      </w:r>
      <w:r w:rsidR="00EA6703" w:rsidRPr="00EA6703">
        <w:t xml:space="preserve"> paragraph</w:t>
      </w:r>
      <w:r w:rsidR="00305C24">
        <w:t>s</w:t>
      </w:r>
      <w:r w:rsidR="00EA6703" w:rsidRPr="00EA6703">
        <w:t xml:space="preserve"> 3.1 (4) (a) </w:t>
      </w:r>
      <w:r w:rsidR="00AE04CB">
        <w:t xml:space="preserve">and 3.1 (4) (b) </w:t>
      </w:r>
      <w:r w:rsidR="00EA6703" w:rsidRPr="00EA6703">
        <w:t>will not apply if the cabling provider’s current registration</w:t>
      </w:r>
      <w:r w:rsidR="008748D9">
        <w:t>, or expired registration, as the case may be,</w:t>
      </w:r>
      <w:r w:rsidR="00EA6703" w:rsidRPr="00EA6703">
        <w:t xml:space="preserve"> was granted on the basis that the cabling provider had complied with the former competency requirements.</w:t>
      </w:r>
    </w:p>
    <w:p w:rsidR="00EA6703" w:rsidRDefault="00ED0C4C" w:rsidP="0073641C">
      <w:pPr>
        <w:pStyle w:val="p10"/>
        <w:keepNext/>
        <w:spacing w:after="0" w:afterAutospacing="0"/>
        <w:ind w:firstLine="720"/>
        <w:jc w:val="both"/>
      </w:pPr>
      <w:r>
        <w:rPr>
          <w:rFonts w:ascii="Arial" w:hAnsi="Arial" w:cs="Arial"/>
          <w:b/>
        </w:rPr>
        <w:t>6.</w:t>
      </w:r>
      <w:r w:rsidR="008748D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Compliance with competency requirements</w:t>
      </w:r>
    </w:p>
    <w:p w:rsidR="00017272" w:rsidRDefault="00523C4B" w:rsidP="0073641C">
      <w:pPr>
        <w:pStyle w:val="p10"/>
        <w:tabs>
          <w:tab w:val="left" w:pos="1418"/>
        </w:tabs>
        <w:spacing w:before="120" w:beforeAutospacing="0" w:after="0" w:afterAutospacing="0"/>
        <w:ind w:left="1418" w:hanging="425"/>
        <w:jc w:val="both"/>
      </w:pPr>
      <w:r>
        <w:t>(1)</w:t>
      </w:r>
      <w:r>
        <w:tab/>
      </w:r>
      <w:r w:rsidR="00424427">
        <w:t xml:space="preserve">For </w:t>
      </w:r>
      <w:r w:rsidR="002004C2">
        <w:t xml:space="preserve">the purposes of </w:t>
      </w:r>
      <w:r w:rsidR="00424427">
        <w:t>section 4.2A, t</w:t>
      </w:r>
      <w:r w:rsidR="007165F0">
        <w:t xml:space="preserve">he </w:t>
      </w:r>
      <w:r w:rsidR="001151C7">
        <w:t>cabling work may</w:t>
      </w:r>
      <w:r w:rsidR="00424427">
        <w:t xml:space="preserve"> </w:t>
      </w:r>
      <w:r w:rsidR="007165F0">
        <w:t>comply with</w:t>
      </w:r>
      <w:r w:rsidR="00424427">
        <w:t xml:space="preserve"> either</w:t>
      </w:r>
      <w:r w:rsidR="007165F0">
        <w:t>:</w:t>
      </w:r>
    </w:p>
    <w:p w:rsidR="00017272" w:rsidRDefault="00AB28A6" w:rsidP="00523C4B">
      <w:pPr>
        <w:pStyle w:val="p10"/>
        <w:numPr>
          <w:ilvl w:val="0"/>
          <w:numId w:val="19"/>
        </w:numPr>
        <w:spacing w:before="120" w:beforeAutospacing="0"/>
        <w:ind w:left="1418" w:firstLine="0"/>
        <w:jc w:val="both"/>
      </w:pPr>
      <w:r>
        <w:t>t</w:t>
      </w:r>
      <w:r w:rsidR="007165F0">
        <w:t>he</w:t>
      </w:r>
      <w:r>
        <w:t xml:space="preserve"> new</w:t>
      </w:r>
      <w:r w:rsidR="007165F0">
        <w:t xml:space="preserve"> competency requirements; or</w:t>
      </w:r>
    </w:p>
    <w:p w:rsidR="00017272" w:rsidRDefault="007165F0" w:rsidP="00523C4B">
      <w:pPr>
        <w:pStyle w:val="p10"/>
        <w:numPr>
          <w:ilvl w:val="0"/>
          <w:numId w:val="19"/>
        </w:numPr>
        <w:spacing w:before="120" w:beforeAutospacing="0" w:after="0" w:afterAutospacing="0"/>
        <w:ind w:left="1418" w:firstLine="0"/>
        <w:jc w:val="both"/>
      </w:pPr>
      <w:r>
        <w:t xml:space="preserve">the former </w:t>
      </w:r>
      <w:r w:rsidR="00E008C7">
        <w:t>competency</w:t>
      </w:r>
      <w:r w:rsidR="00424427">
        <w:t xml:space="preserve"> requirements;</w:t>
      </w:r>
    </w:p>
    <w:p w:rsidR="00EA6703" w:rsidRDefault="005F571E" w:rsidP="00523C4B">
      <w:pPr>
        <w:pStyle w:val="p10"/>
        <w:spacing w:before="120" w:beforeAutospacing="0"/>
        <w:ind w:left="1418"/>
        <w:jc w:val="both"/>
      </w:pPr>
      <w:r>
        <w:t>during the transitional period</w:t>
      </w:r>
      <w:r w:rsidR="00424427">
        <w:t xml:space="preserve">. </w:t>
      </w:r>
    </w:p>
    <w:p w:rsidR="00017272" w:rsidRDefault="00A478D6" w:rsidP="00CC6EF9">
      <w:pPr>
        <w:pStyle w:val="p10"/>
        <w:numPr>
          <w:ilvl w:val="0"/>
          <w:numId w:val="33"/>
        </w:numPr>
        <w:tabs>
          <w:tab w:val="left" w:pos="993"/>
          <w:tab w:val="left" w:pos="1418"/>
        </w:tabs>
        <w:spacing w:after="0" w:afterAutospacing="0"/>
        <w:ind w:left="1418"/>
        <w:jc w:val="both"/>
      </w:pPr>
      <w:r>
        <w:t xml:space="preserve">For </w:t>
      </w:r>
      <w:r w:rsidR="008748D9">
        <w:t xml:space="preserve">the purposes of </w:t>
      </w:r>
      <w:r>
        <w:t>subparagraph 4.4</w:t>
      </w:r>
      <w:r w:rsidR="008748D9">
        <w:t xml:space="preserve"> </w:t>
      </w:r>
      <w:r>
        <w:t>(c)</w:t>
      </w:r>
      <w:r w:rsidR="008748D9">
        <w:t xml:space="preserve"> </w:t>
      </w:r>
      <w:r>
        <w:t xml:space="preserve">(i), the registered cabling provider must ensure that all work performed under supervision during </w:t>
      </w:r>
      <w:r w:rsidR="005F571E">
        <w:t>the transitional period</w:t>
      </w:r>
      <w:r>
        <w:t xml:space="preserve"> complies with either:</w:t>
      </w:r>
    </w:p>
    <w:p w:rsidR="00EA6703" w:rsidRDefault="00A478D6" w:rsidP="0073641C">
      <w:pPr>
        <w:pStyle w:val="p10"/>
        <w:numPr>
          <w:ilvl w:val="0"/>
          <w:numId w:val="26"/>
        </w:numPr>
        <w:spacing w:before="120" w:beforeAutospacing="0"/>
        <w:ind w:hanging="736"/>
        <w:jc w:val="both"/>
      </w:pPr>
      <w:r>
        <w:t xml:space="preserve">the </w:t>
      </w:r>
      <w:r w:rsidR="008748D9">
        <w:t xml:space="preserve">new </w:t>
      </w:r>
      <w:r>
        <w:t>competency requirements; or</w:t>
      </w:r>
    </w:p>
    <w:p w:rsidR="00EA6703" w:rsidRDefault="00A478D6" w:rsidP="00CC6EF9">
      <w:pPr>
        <w:pStyle w:val="p10"/>
        <w:numPr>
          <w:ilvl w:val="0"/>
          <w:numId w:val="26"/>
        </w:numPr>
        <w:spacing w:before="120" w:beforeAutospacing="0"/>
        <w:ind w:hanging="736"/>
        <w:jc w:val="both"/>
      </w:pPr>
      <w:r>
        <w:t>the</w:t>
      </w:r>
      <w:r w:rsidR="00791EA1">
        <w:t xml:space="preserve"> former competency requirements.</w:t>
      </w:r>
    </w:p>
    <w:p w:rsidR="00EA6703" w:rsidRPr="00EA6703" w:rsidRDefault="00EA6703" w:rsidP="00CC6EF9">
      <w:pPr>
        <w:pStyle w:val="p10"/>
        <w:ind w:left="1440"/>
      </w:pPr>
    </w:p>
    <w:sectPr w:rsidR="00EA6703" w:rsidRPr="00EA6703" w:rsidSect="00652919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B8" w:rsidRDefault="00372DB8" w:rsidP="00546407">
      <w:r>
        <w:separator/>
      </w:r>
    </w:p>
  </w:endnote>
  <w:endnote w:type="continuationSeparator" w:id="0">
    <w:p w:rsidR="00372DB8" w:rsidRDefault="00372DB8" w:rsidP="0054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B8" w:rsidRDefault="00372DB8" w:rsidP="001C266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72DB8">
      <w:tc>
        <w:tcPr>
          <w:tcW w:w="1134" w:type="dxa"/>
          <w:shd w:val="clear" w:color="auto" w:fill="auto"/>
        </w:tcPr>
        <w:p w:rsidR="00372DB8" w:rsidRPr="003D7214" w:rsidRDefault="00F1054F" w:rsidP="001C2666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372DB8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72DB8">
            <w:rPr>
              <w:rStyle w:val="PageNumber"/>
              <w:rFonts w:cs="Arial"/>
              <w:noProof/>
            </w:rPr>
            <w:t>66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72DB8" w:rsidRPr="004F5D6D" w:rsidRDefault="00F1054F" w:rsidP="001C2666">
          <w:pPr>
            <w:pStyle w:val="FooterCitation"/>
          </w:pPr>
          <w:r>
            <w:fldChar w:fldCharType="begin"/>
          </w:r>
          <w:r w:rsidR="00372DB8">
            <w:instrText xml:space="preserve"> REF  Citation\*charformat </w:instrText>
          </w:r>
          <w:r>
            <w:fldChar w:fldCharType="separate"/>
          </w:r>
          <w:r w:rsidR="00372DB8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372DB8" w:rsidRPr="00451BF5" w:rsidRDefault="00372DB8" w:rsidP="001C266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72DB8" w:rsidRDefault="00372DB8" w:rsidP="001C2666">
    <w:pPr>
      <w:pStyle w:val="FooterDraft"/>
      <w:ind w:right="360" w:firstLine="360"/>
    </w:pPr>
  </w:p>
  <w:p w:rsidR="00372DB8" w:rsidRDefault="00372DB8" w:rsidP="001C2666">
    <w:pPr>
      <w:pStyle w:val="FooterInfo"/>
    </w:pPr>
  </w:p>
  <w:p w:rsidR="00372DB8" w:rsidRPr="0055794B" w:rsidRDefault="00372DB8" w:rsidP="001C26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B8" w:rsidRDefault="00372DB8" w:rsidP="001C266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72DB8">
      <w:tc>
        <w:tcPr>
          <w:tcW w:w="1134" w:type="dxa"/>
          <w:shd w:val="clear" w:color="auto" w:fill="auto"/>
        </w:tcPr>
        <w:p w:rsidR="00372DB8" w:rsidRDefault="00372DB8" w:rsidP="001C266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72DB8" w:rsidRPr="004F5D6D" w:rsidRDefault="00372DB8" w:rsidP="005D24F6">
          <w:pPr>
            <w:pStyle w:val="FooterCitation"/>
          </w:pPr>
          <w:r>
            <w:t>Telecommunications Cabling Provider Amendment Rules 2012 (No. 1)</w:t>
          </w:r>
        </w:p>
      </w:tc>
      <w:tc>
        <w:tcPr>
          <w:tcW w:w="1134" w:type="dxa"/>
          <w:shd w:val="clear" w:color="auto" w:fill="auto"/>
        </w:tcPr>
        <w:p w:rsidR="00372DB8" w:rsidRPr="008813EB" w:rsidRDefault="00F1054F" w:rsidP="001C2666">
          <w:pPr>
            <w:spacing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EA6703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="00372DB8" w:rsidRPr="00EA6703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EA6703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7F4F0E">
            <w:rPr>
              <w:rStyle w:val="PageNumber"/>
              <w:rFonts w:cs="Arial"/>
              <w:noProof/>
              <w:sz w:val="18"/>
              <w:szCs w:val="18"/>
            </w:rPr>
            <w:t>4</w:t>
          </w:r>
          <w:r w:rsidRPr="00EA6703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372DB8" w:rsidRDefault="00372DB8" w:rsidP="001C2666">
    <w:pPr>
      <w:pStyle w:val="FooterInfo"/>
    </w:pPr>
  </w:p>
  <w:p w:rsidR="00372DB8" w:rsidRPr="00C83A6D" w:rsidRDefault="00372DB8" w:rsidP="001C26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B8" w:rsidRDefault="00372DB8" w:rsidP="00546407">
      <w:r>
        <w:separator/>
      </w:r>
    </w:p>
  </w:footnote>
  <w:footnote w:type="continuationSeparator" w:id="0">
    <w:p w:rsidR="00372DB8" w:rsidRDefault="00372DB8" w:rsidP="00546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372DB8">
      <w:tc>
        <w:tcPr>
          <w:tcW w:w="1546" w:type="dxa"/>
        </w:tcPr>
        <w:p w:rsidR="00372DB8" w:rsidRDefault="00F1054F" w:rsidP="001C2666">
          <w:pPr>
            <w:pStyle w:val="HeaderLiteEven"/>
          </w:pPr>
          <w:r>
            <w:fldChar w:fldCharType="begin"/>
          </w:r>
          <w:r w:rsidR="00372DB8">
            <w:instrText xml:space="preserve"> STYLEREF CharSchNo \*Charformat \l </w:instrText>
          </w:r>
          <w:r>
            <w:fldChar w:fldCharType="separate"/>
          </w:r>
          <w:r w:rsidR="00372DB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6797" w:type="dxa"/>
          <w:vAlign w:val="bottom"/>
        </w:tcPr>
        <w:p w:rsidR="00372DB8" w:rsidRDefault="00F1054F" w:rsidP="001C2666">
          <w:pPr>
            <w:pStyle w:val="HeaderLiteEven"/>
          </w:pPr>
          <w:r>
            <w:fldChar w:fldCharType="begin"/>
          </w:r>
          <w:r w:rsidR="00372DB8">
            <w:instrText xml:space="preserve"> STYLEREF CharSchText \*Charformat \l </w:instrText>
          </w:r>
          <w:r>
            <w:fldChar w:fldCharType="separate"/>
          </w:r>
          <w:r w:rsidR="00372DB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372DB8">
      <w:tc>
        <w:tcPr>
          <w:tcW w:w="1546" w:type="dxa"/>
        </w:tcPr>
        <w:p w:rsidR="00372DB8" w:rsidRDefault="00372DB8" w:rsidP="001C2666">
          <w:pPr>
            <w:pStyle w:val="HeaderLiteEven"/>
          </w:pPr>
        </w:p>
      </w:tc>
      <w:tc>
        <w:tcPr>
          <w:tcW w:w="6797" w:type="dxa"/>
          <w:vAlign w:val="bottom"/>
        </w:tcPr>
        <w:p w:rsidR="00372DB8" w:rsidRDefault="00372DB8" w:rsidP="001C2666">
          <w:pPr>
            <w:pStyle w:val="HeaderLiteEven"/>
          </w:pPr>
        </w:p>
      </w:tc>
    </w:tr>
    <w:tr w:rsidR="00372DB8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72DB8" w:rsidRDefault="00372DB8" w:rsidP="001C2666">
          <w:pPr>
            <w:pStyle w:val="HeaderLiteEven"/>
            <w:spacing w:before="120" w:after="60"/>
            <w:ind w:right="-108"/>
          </w:pPr>
        </w:p>
      </w:tc>
    </w:tr>
  </w:tbl>
  <w:p w:rsidR="00372DB8" w:rsidRDefault="00372DB8" w:rsidP="001C26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372DB8">
      <w:tc>
        <w:tcPr>
          <w:tcW w:w="6868" w:type="dxa"/>
          <w:vAlign w:val="bottom"/>
        </w:tcPr>
        <w:p w:rsidR="00372DB8" w:rsidRDefault="00372DB8" w:rsidP="001C2666">
          <w:pPr>
            <w:pStyle w:val="HeaderLiteOdd"/>
          </w:pPr>
        </w:p>
      </w:tc>
      <w:tc>
        <w:tcPr>
          <w:tcW w:w="1546" w:type="dxa"/>
        </w:tcPr>
        <w:p w:rsidR="00372DB8" w:rsidRDefault="00372DB8" w:rsidP="001C2666">
          <w:pPr>
            <w:pStyle w:val="HeaderLiteOdd"/>
          </w:pPr>
        </w:p>
      </w:tc>
    </w:tr>
  </w:tbl>
  <w:p w:rsidR="00372DB8" w:rsidRDefault="00372DB8" w:rsidP="001C26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A48"/>
    <w:multiLevelType w:val="hybridMultilevel"/>
    <w:tmpl w:val="A092980C"/>
    <w:lvl w:ilvl="0" w:tplc="13B672C0">
      <w:start w:val="1"/>
      <w:numFmt w:val="lowerLetter"/>
      <w:lvlText w:val="(%1)"/>
      <w:lvlJc w:val="left"/>
      <w:pPr>
        <w:ind w:left="2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74" w:hanging="360"/>
      </w:pPr>
    </w:lvl>
    <w:lvl w:ilvl="2" w:tplc="0C09001B" w:tentative="1">
      <w:start w:val="1"/>
      <w:numFmt w:val="lowerRoman"/>
      <w:lvlText w:val="%3."/>
      <w:lvlJc w:val="right"/>
      <w:pPr>
        <w:ind w:left="3594" w:hanging="180"/>
      </w:pPr>
    </w:lvl>
    <w:lvl w:ilvl="3" w:tplc="0C09000F" w:tentative="1">
      <w:start w:val="1"/>
      <w:numFmt w:val="decimal"/>
      <w:lvlText w:val="%4."/>
      <w:lvlJc w:val="left"/>
      <w:pPr>
        <w:ind w:left="4314" w:hanging="360"/>
      </w:pPr>
    </w:lvl>
    <w:lvl w:ilvl="4" w:tplc="0C090019" w:tentative="1">
      <w:start w:val="1"/>
      <w:numFmt w:val="lowerLetter"/>
      <w:lvlText w:val="%5."/>
      <w:lvlJc w:val="left"/>
      <w:pPr>
        <w:ind w:left="5034" w:hanging="360"/>
      </w:pPr>
    </w:lvl>
    <w:lvl w:ilvl="5" w:tplc="0C09001B" w:tentative="1">
      <w:start w:val="1"/>
      <w:numFmt w:val="lowerRoman"/>
      <w:lvlText w:val="%6."/>
      <w:lvlJc w:val="right"/>
      <w:pPr>
        <w:ind w:left="5754" w:hanging="180"/>
      </w:pPr>
    </w:lvl>
    <w:lvl w:ilvl="6" w:tplc="0C09000F" w:tentative="1">
      <w:start w:val="1"/>
      <w:numFmt w:val="decimal"/>
      <w:lvlText w:val="%7."/>
      <w:lvlJc w:val="left"/>
      <w:pPr>
        <w:ind w:left="6474" w:hanging="360"/>
      </w:pPr>
    </w:lvl>
    <w:lvl w:ilvl="7" w:tplc="0C090019" w:tentative="1">
      <w:start w:val="1"/>
      <w:numFmt w:val="lowerLetter"/>
      <w:lvlText w:val="%8."/>
      <w:lvlJc w:val="left"/>
      <w:pPr>
        <w:ind w:left="7194" w:hanging="360"/>
      </w:pPr>
    </w:lvl>
    <w:lvl w:ilvl="8" w:tplc="0C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0D867BEE"/>
    <w:multiLevelType w:val="hybridMultilevel"/>
    <w:tmpl w:val="4F5AA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D5A1A"/>
    <w:multiLevelType w:val="hybridMultilevel"/>
    <w:tmpl w:val="F9CA7B00"/>
    <w:lvl w:ilvl="0" w:tplc="D02CE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038"/>
    <w:multiLevelType w:val="hybridMultilevel"/>
    <w:tmpl w:val="B8DC8708"/>
    <w:lvl w:ilvl="0" w:tplc="88AA5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D4F4A"/>
    <w:multiLevelType w:val="hybridMultilevel"/>
    <w:tmpl w:val="2AC8959A"/>
    <w:lvl w:ilvl="0" w:tplc="53BE18E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4D0518"/>
    <w:multiLevelType w:val="hybridMultilevel"/>
    <w:tmpl w:val="AA8E98B0"/>
    <w:lvl w:ilvl="0" w:tplc="94CCE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8532D"/>
    <w:multiLevelType w:val="hybridMultilevel"/>
    <w:tmpl w:val="7BAAB9BA"/>
    <w:lvl w:ilvl="0" w:tplc="D02CE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C6995"/>
    <w:multiLevelType w:val="hybridMultilevel"/>
    <w:tmpl w:val="47E0E902"/>
    <w:lvl w:ilvl="0" w:tplc="9B0CAB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495B63"/>
    <w:multiLevelType w:val="hybridMultilevel"/>
    <w:tmpl w:val="9976AB2E"/>
    <w:lvl w:ilvl="0" w:tplc="90D48D28">
      <w:start w:val="1"/>
      <w:numFmt w:val="lowerRoman"/>
      <w:lvlText w:val="(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33D8107A"/>
    <w:multiLevelType w:val="hybridMultilevel"/>
    <w:tmpl w:val="928C68C2"/>
    <w:lvl w:ilvl="0" w:tplc="AC18C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B6FC0"/>
    <w:multiLevelType w:val="hybridMultilevel"/>
    <w:tmpl w:val="06E26746"/>
    <w:lvl w:ilvl="0" w:tplc="249E2D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C0B40E0"/>
    <w:multiLevelType w:val="hybridMultilevel"/>
    <w:tmpl w:val="2A5A09CA"/>
    <w:lvl w:ilvl="0" w:tplc="BA9445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423C07"/>
    <w:multiLevelType w:val="hybridMultilevel"/>
    <w:tmpl w:val="163A1B88"/>
    <w:lvl w:ilvl="0" w:tplc="0C09000F">
      <w:start w:val="1"/>
      <w:numFmt w:val="decimal"/>
      <w:lvlText w:val="%1."/>
      <w:lvlJc w:val="left"/>
      <w:pPr>
        <w:ind w:left="1684" w:hanging="360"/>
      </w:p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>
    <w:nsid w:val="3E55746F"/>
    <w:multiLevelType w:val="hybridMultilevel"/>
    <w:tmpl w:val="2D7A07D6"/>
    <w:lvl w:ilvl="0" w:tplc="C4187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36980"/>
    <w:multiLevelType w:val="hybridMultilevel"/>
    <w:tmpl w:val="26EA67EA"/>
    <w:lvl w:ilvl="0" w:tplc="BA944504">
      <w:start w:val="1"/>
      <w:numFmt w:val="lowerLetter"/>
      <w:lvlText w:val="(%1)"/>
      <w:lvlJc w:val="left"/>
      <w:pPr>
        <w:ind w:left="26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28" w:hanging="360"/>
      </w:pPr>
    </w:lvl>
    <w:lvl w:ilvl="2" w:tplc="0C09001B" w:tentative="1">
      <w:start w:val="1"/>
      <w:numFmt w:val="lowerRoman"/>
      <w:lvlText w:val="%3."/>
      <w:lvlJc w:val="right"/>
      <w:pPr>
        <w:ind w:left="4048" w:hanging="180"/>
      </w:pPr>
    </w:lvl>
    <w:lvl w:ilvl="3" w:tplc="0C09000F" w:tentative="1">
      <w:start w:val="1"/>
      <w:numFmt w:val="decimal"/>
      <w:lvlText w:val="%4."/>
      <w:lvlJc w:val="left"/>
      <w:pPr>
        <w:ind w:left="4768" w:hanging="360"/>
      </w:pPr>
    </w:lvl>
    <w:lvl w:ilvl="4" w:tplc="0C090019" w:tentative="1">
      <w:start w:val="1"/>
      <w:numFmt w:val="lowerLetter"/>
      <w:lvlText w:val="%5."/>
      <w:lvlJc w:val="left"/>
      <w:pPr>
        <w:ind w:left="5488" w:hanging="360"/>
      </w:pPr>
    </w:lvl>
    <w:lvl w:ilvl="5" w:tplc="0C09001B" w:tentative="1">
      <w:start w:val="1"/>
      <w:numFmt w:val="lowerRoman"/>
      <w:lvlText w:val="%6."/>
      <w:lvlJc w:val="right"/>
      <w:pPr>
        <w:ind w:left="6208" w:hanging="180"/>
      </w:pPr>
    </w:lvl>
    <w:lvl w:ilvl="6" w:tplc="0C09000F" w:tentative="1">
      <w:start w:val="1"/>
      <w:numFmt w:val="decimal"/>
      <w:lvlText w:val="%7."/>
      <w:lvlJc w:val="left"/>
      <w:pPr>
        <w:ind w:left="6928" w:hanging="360"/>
      </w:pPr>
    </w:lvl>
    <w:lvl w:ilvl="7" w:tplc="0C090019" w:tentative="1">
      <w:start w:val="1"/>
      <w:numFmt w:val="lowerLetter"/>
      <w:lvlText w:val="%8."/>
      <w:lvlJc w:val="left"/>
      <w:pPr>
        <w:ind w:left="7648" w:hanging="360"/>
      </w:pPr>
    </w:lvl>
    <w:lvl w:ilvl="8" w:tplc="0C09001B" w:tentative="1">
      <w:start w:val="1"/>
      <w:numFmt w:val="lowerRoman"/>
      <w:lvlText w:val="%9."/>
      <w:lvlJc w:val="right"/>
      <w:pPr>
        <w:ind w:left="8368" w:hanging="180"/>
      </w:pPr>
    </w:lvl>
  </w:abstractNum>
  <w:abstractNum w:abstractNumId="15">
    <w:nsid w:val="4FE70D70"/>
    <w:multiLevelType w:val="hybridMultilevel"/>
    <w:tmpl w:val="1D6C0FB6"/>
    <w:lvl w:ilvl="0" w:tplc="BA9445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B063C"/>
    <w:multiLevelType w:val="hybridMultilevel"/>
    <w:tmpl w:val="7BAAB9BA"/>
    <w:lvl w:ilvl="0" w:tplc="D02CE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84BA1"/>
    <w:multiLevelType w:val="hybridMultilevel"/>
    <w:tmpl w:val="5366E070"/>
    <w:lvl w:ilvl="0" w:tplc="0C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>
    <w:nsid w:val="57FE7FF6"/>
    <w:multiLevelType w:val="hybridMultilevel"/>
    <w:tmpl w:val="CD98C5C2"/>
    <w:lvl w:ilvl="0" w:tplc="BA944504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>
    <w:nsid w:val="5A813DEF"/>
    <w:multiLevelType w:val="hybridMultilevel"/>
    <w:tmpl w:val="C856080C"/>
    <w:lvl w:ilvl="0" w:tplc="0688F72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B65F3"/>
    <w:multiLevelType w:val="hybridMultilevel"/>
    <w:tmpl w:val="AE020EC8"/>
    <w:lvl w:ilvl="0" w:tplc="A9802544">
      <w:start w:val="1"/>
      <w:numFmt w:val="decimal"/>
      <w:lvlText w:val="(%1)"/>
      <w:lvlJc w:val="left"/>
      <w:pPr>
        <w:ind w:left="1554" w:hanging="4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60CF32A3"/>
    <w:multiLevelType w:val="hybridMultilevel"/>
    <w:tmpl w:val="B4A4AD3E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>
    <w:nsid w:val="65BD5EA8"/>
    <w:multiLevelType w:val="hybridMultilevel"/>
    <w:tmpl w:val="41BEAC12"/>
    <w:lvl w:ilvl="0" w:tplc="13B672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936C49"/>
    <w:multiLevelType w:val="hybridMultilevel"/>
    <w:tmpl w:val="8B8CFEEE"/>
    <w:lvl w:ilvl="0" w:tplc="7E62F68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7073D7E"/>
    <w:multiLevelType w:val="hybridMultilevel"/>
    <w:tmpl w:val="99ACFF82"/>
    <w:lvl w:ilvl="0" w:tplc="AC2CC0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22EFC"/>
    <w:multiLevelType w:val="hybridMultilevel"/>
    <w:tmpl w:val="2AC070FE"/>
    <w:lvl w:ilvl="0" w:tplc="441C3EF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CBC37B4"/>
    <w:multiLevelType w:val="hybridMultilevel"/>
    <w:tmpl w:val="526EB9EC"/>
    <w:lvl w:ilvl="0" w:tplc="D02CE194">
      <w:start w:val="1"/>
      <w:numFmt w:val="decimal"/>
      <w:lvlText w:val="(%1)"/>
      <w:lvlJc w:val="left"/>
      <w:pPr>
        <w:ind w:left="1092" w:hanging="360"/>
      </w:pPr>
      <w:rPr>
        <w:rFonts w:hint="default"/>
      </w:rPr>
    </w:lvl>
    <w:lvl w:ilvl="1" w:tplc="08027ED6">
      <w:start w:val="1"/>
      <w:numFmt w:val="lowerLetter"/>
      <w:lvlText w:val="(%2)"/>
      <w:lvlJc w:val="left"/>
      <w:pPr>
        <w:ind w:left="1812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32" w:hanging="180"/>
      </w:pPr>
    </w:lvl>
    <w:lvl w:ilvl="3" w:tplc="0C09000F" w:tentative="1">
      <w:start w:val="1"/>
      <w:numFmt w:val="decimal"/>
      <w:lvlText w:val="%4."/>
      <w:lvlJc w:val="left"/>
      <w:pPr>
        <w:ind w:left="3252" w:hanging="360"/>
      </w:pPr>
    </w:lvl>
    <w:lvl w:ilvl="4" w:tplc="0C090019" w:tentative="1">
      <w:start w:val="1"/>
      <w:numFmt w:val="lowerLetter"/>
      <w:lvlText w:val="%5."/>
      <w:lvlJc w:val="left"/>
      <w:pPr>
        <w:ind w:left="3972" w:hanging="360"/>
      </w:pPr>
    </w:lvl>
    <w:lvl w:ilvl="5" w:tplc="0C09001B" w:tentative="1">
      <w:start w:val="1"/>
      <w:numFmt w:val="lowerRoman"/>
      <w:lvlText w:val="%6."/>
      <w:lvlJc w:val="right"/>
      <w:pPr>
        <w:ind w:left="4692" w:hanging="180"/>
      </w:pPr>
    </w:lvl>
    <w:lvl w:ilvl="6" w:tplc="0C09000F" w:tentative="1">
      <w:start w:val="1"/>
      <w:numFmt w:val="decimal"/>
      <w:lvlText w:val="%7."/>
      <w:lvlJc w:val="left"/>
      <w:pPr>
        <w:ind w:left="5412" w:hanging="360"/>
      </w:pPr>
    </w:lvl>
    <w:lvl w:ilvl="7" w:tplc="0C090019" w:tentative="1">
      <w:start w:val="1"/>
      <w:numFmt w:val="lowerLetter"/>
      <w:lvlText w:val="%8."/>
      <w:lvlJc w:val="left"/>
      <w:pPr>
        <w:ind w:left="6132" w:hanging="360"/>
      </w:pPr>
    </w:lvl>
    <w:lvl w:ilvl="8" w:tplc="0C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7">
    <w:nsid w:val="6F031E16"/>
    <w:multiLevelType w:val="hybridMultilevel"/>
    <w:tmpl w:val="60C02330"/>
    <w:lvl w:ilvl="0" w:tplc="BFF6B8E2">
      <w:start w:val="1"/>
      <w:numFmt w:val="lowerLetter"/>
      <w:lvlText w:val="(%1)"/>
      <w:lvlJc w:val="left"/>
      <w:pPr>
        <w:ind w:left="1888" w:hanging="360"/>
      </w:pPr>
      <w:rPr>
        <w:rFonts w:ascii="Helvetica Neue" w:hAnsi="Helvetica Neue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2608" w:hanging="360"/>
      </w:pPr>
    </w:lvl>
    <w:lvl w:ilvl="2" w:tplc="0C09001B" w:tentative="1">
      <w:start w:val="1"/>
      <w:numFmt w:val="lowerRoman"/>
      <w:lvlText w:val="%3."/>
      <w:lvlJc w:val="right"/>
      <w:pPr>
        <w:ind w:left="3328" w:hanging="180"/>
      </w:pPr>
    </w:lvl>
    <w:lvl w:ilvl="3" w:tplc="0C09000F" w:tentative="1">
      <w:start w:val="1"/>
      <w:numFmt w:val="decimal"/>
      <w:lvlText w:val="%4."/>
      <w:lvlJc w:val="left"/>
      <w:pPr>
        <w:ind w:left="4048" w:hanging="360"/>
      </w:pPr>
    </w:lvl>
    <w:lvl w:ilvl="4" w:tplc="0C090019" w:tentative="1">
      <w:start w:val="1"/>
      <w:numFmt w:val="lowerLetter"/>
      <w:lvlText w:val="%5."/>
      <w:lvlJc w:val="left"/>
      <w:pPr>
        <w:ind w:left="4768" w:hanging="360"/>
      </w:pPr>
    </w:lvl>
    <w:lvl w:ilvl="5" w:tplc="0C09001B" w:tentative="1">
      <w:start w:val="1"/>
      <w:numFmt w:val="lowerRoman"/>
      <w:lvlText w:val="%6."/>
      <w:lvlJc w:val="right"/>
      <w:pPr>
        <w:ind w:left="5488" w:hanging="180"/>
      </w:pPr>
    </w:lvl>
    <w:lvl w:ilvl="6" w:tplc="0C09000F" w:tentative="1">
      <w:start w:val="1"/>
      <w:numFmt w:val="decimal"/>
      <w:lvlText w:val="%7."/>
      <w:lvlJc w:val="left"/>
      <w:pPr>
        <w:ind w:left="6208" w:hanging="360"/>
      </w:pPr>
    </w:lvl>
    <w:lvl w:ilvl="7" w:tplc="0C090019" w:tentative="1">
      <w:start w:val="1"/>
      <w:numFmt w:val="lowerLetter"/>
      <w:lvlText w:val="%8."/>
      <w:lvlJc w:val="left"/>
      <w:pPr>
        <w:ind w:left="6928" w:hanging="360"/>
      </w:pPr>
    </w:lvl>
    <w:lvl w:ilvl="8" w:tplc="0C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8">
    <w:nsid w:val="706931A4"/>
    <w:multiLevelType w:val="hybridMultilevel"/>
    <w:tmpl w:val="F8C8C910"/>
    <w:lvl w:ilvl="0" w:tplc="BA9445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DB133D"/>
    <w:multiLevelType w:val="hybridMultilevel"/>
    <w:tmpl w:val="B3B6C78C"/>
    <w:lvl w:ilvl="0" w:tplc="630642B0">
      <w:start w:val="1"/>
      <w:numFmt w:val="lowerLetter"/>
      <w:lvlText w:val="(%1)"/>
      <w:lvlJc w:val="left"/>
      <w:pPr>
        <w:ind w:left="7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 w:tentative="1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>
    <w:nsid w:val="746C2F53"/>
    <w:multiLevelType w:val="hybridMultilevel"/>
    <w:tmpl w:val="709C8944"/>
    <w:lvl w:ilvl="0" w:tplc="D548B51E">
      <w:start w:val="2"/>
      <w:numFmt w:val="decimal"/>
      <w:lvlText w:val="(%1)"/>
      <w:lvlJc w:val="left"/>
      <w:pPr>
        <w:ind w:left="155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15691"/>
    <w:multiLevelType w:val="multilevel"/>
    <w:tmpl w:val="A28A38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79C721A8"/>
    <w:multiLevelType w:val="hybridMultilevel"/>
    <w:tmpl w:val="87BA77E4"/>
    <w:lvl w:ilvl="0" w:tplc="CCFA3C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17"/>
  </w:num>
  <w:num w:numId="5">
    <w:abstractNumId w:val="1"/>
  </w:num>
  <w:num w:numId="6">
    <w:abstractNumId w:val="13"/>
  </w:num>
  <w:num w:numId="7">
    <w:abstractNumId w:val="7"/>
  </w:num>
  <w:num w:numId="8">
    <w:abstractNumId w:val="25"/>
  </w:num>
  <w:num w:numId="9">
    <w:abstractNumId w:val="4"/>
  </w:num>
  <w:num w:numId="10">
    <w:abstractNumId w:val="3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19"/>
  </w:num>
  <w:num w:numId="16">
    <w:abstractNumId w:val="32"/>
  </w:num>
  <w:num w:numId="17">
    <w:abstractNumId w:val="10"/>
  </w:num>
  <w:num w:numId="18">
    <w:abstractNumId w:val="2"/>
  </w:num>
  <w:num w:numId="19">
    <w:abstractNumId w:val="22"/>
  </w:num>
  <w:num w:numId="20">
    <w:abstractNumId w:val="5"/>
  </w:num>
  <w:num w:numId="21">
    <w:abstractNumId w:val="6"/>
  </w:num>
  <w:num w:numId="22">
    <w:abstractNumId w:val="16"/>
  </w:num>
  <w:num w:numId="23">
    <w:abstractNumId w:val="26"/>
  </w:num>
  <w:num w:numId="24">
    <w:abstractNumId w:val="12"/>
  </w:num>
  <w:num w:numId="25">
    <w:abstractNumId w:val="20"/>
  </w:num>
  <w:num w:numId="26">
    <w:abstractNumId w:val="0"/>
  </w:num>
  <w:num w:numId="27">
    <w:abstractNumId w:val="18"/>
  </w:num>
  <w:num w:numId="28">
    <w:abstractNumId w:val="11"/>
  </w:num>
  <w:num w:numId="29">
    <w:abstractNumId w:val="28"/>
  </w:num>
  <w:num w:numId="30">
    <w:abstractNumId w:val="14"/>
  </w:num>
  <w:num w:numId="31">
    <w:abstractNumId w:val="8"/>
  </w:num>
  <w:num w:numId="32">
    <w:abstractNumId w:val="3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46407"/>
    <w:rsid w:val="000037C4"/>
    <w:rsid w:val="00010B17"/>
    <w:rsid w:val="00014DCE"/>
    <w:rsid w:val="00017272"/>
    <w:rsid w:val="00022735"/>
    <w:rsid w:val="00026B28"/>
    <w:rsid w:val="00040438"/>
    <w:rsid w:val="000415C8"/>
    <w:rsid w:val="00042CF1"/>
    <w:rsid w:val="00046632"/>
    <w:rsid w:val="00047415"/>
    <w:rsid w:val="00056C50"/>
    <w:rsid w:val="00062079"/>
    <w:rsid w:val="00077F95"/>
    <w:rsid w:val="00081802"/>
    <w:rsid w:val="00085503"/>
    <w:rsid w:val="00087220"/>
    <w:rsid w:val="00095DE0"/>
    <w:rsid w:val="00097992"/>
    <w:rsid w:val="000B0CB6"/>
    <w:rsid w:val="000B431D"/>
    <w:rsid w:val="000B4E76"/>
    <w:rsid w:val="000C3098"/>
    <w:rsid w:val="000E1993"/>
    <w:rsid w:val="000E5C32"/>
    <w:rsid w:val="00102D63"/>
    <w:rsid w:val="00112462"/>
    <w:rsid w:val="001151C7"/>
    <w:rsid w:val="00115A66"/>
    <w:rsid w:val="00121499"/>
    <w:rsid w:val="0012276B"/>
    <w:rsid w:val="0012485B"/>
    <w:rsid w:val="00124E5B"/>
    <w:rsid w:val="0012634B"/>
    <w:rsid w:val="0014243F"/>
    <w:rsid w:val="00151A23"/>
    <w:rsid w:val="00157DFB"/>
    <w:rsid w:val="0016566E"/>
    <w:rsid w:val="00171C1D"/>
    <w:rsid w:val="00174DAE"/>
    <w:rsid w:val="0018161F"/>
    <w:rsid w:val="001A3DCB"/>
    <w:rsid w:val="001B5AA5"/>
    <w:rsid w:val="001C0A1C"/>
    <w:rsid w:val="001C1303"/>
    <w:rsid w:val="001C2666"/>
    <w:rsid w:val="001D4C18"/>
    <w:rsid w:val="001D4C32"/>
    <w:rsid w:val="001F122B"/>
    <w:rsid w:val="001F5A9E"/>
    <w:rsid w:val="002004C2"/>
    <w:rsid w:val="002021D2"/>
    <w:rsid w:val="00203628"/>
    <w:rsid w:val="0021343B"/>
    <w:rsid w:val="00216DED"/>
    <w:rsid w:val="002225CC"/>
    <w:rsid w:val="00223FE9"/>
    <w:rsid w:val="00225799"/>
    <w:rsid w:val="00225BBF"/>
    <w:rsid w:val="002424A2"/>
    <w:rsid w:val="0025086B"/>
    <w:rsid w:val="00251623"/>
    <w:rsid w:val="0025318C"/>
    <w:rsid w:val="002600FE"/>
    <w:rsid w:val="00260C57"/>
    <w:rsid w:val="0026270D"/>
    <w:rsid w:val="0026289C"/>
    <w:rsid w:val="002979B0"/>
    <w:rsid w:val="002E5AB4"/>
    <w:rsid w:val="002E6487"/>
    <w:rsid w:val="002F687E"/>
    <w:rsid w:val="002F6FA4"/>
    <w:rsid w:val="003046E5"/>
    <w:rsid w:val="00305C24"/>
    <w:rsid w:val="00322B05"/>
    <w:rsid w:val="003240F3"/>
    <w:rsid w:val="0032459B"/>
    <w:rsid w:val="00332382"/>
    <w:rsid w:val="00337095"/>
    <w:rsid w:val="00342549"/>
    <w:rsid w:val="00346C48"/>
    <w:rsid w:val="00346FD4"/>
    <w:rsid w:val="0034749D"/>
    <w:rsid w:val="00347B01"/>
    <w:rsid w:val="00350D16"/>
    <w:rsid w:val="00366EB1"/>
    <w:rsid w:val="00370055"/>
    <w:rsid w:val="00372C0E"/>
    <w:rsid w:val="00372DB8"/>
    <w:rsid w:val="0037470F"/>
    <w:rsid w:val="0037493B"/>
    <w:rsid w:val="00382BA5"/>
    <w:rsid w:val="00391023"/>
    <w:rsid w:val="003A4146"/>
    <w:rsid w:val="003A6C3D"/>
    <w:rsid w:val="003B7B7C"/>
    <w:rsid w:val="003C7301"/>
    <w:rsid w:val="00400336"/>
    <w:rsid w:val="00403C94"/>
    <w:rsid w:val="0041310F"/>
    <w:rsid w:val="00417662"/>
    <w:rsid w:val="00424427"/>
    <w:rsid w:val="004244A0"/>
    <w:rsid w:val="0042675D"/>
    <w:rsid w:val="00436D75"/>
    <w:rsid w:val="00440AA8"/>
    <w:rsid w:val="00457105"/>
    <w:rsid w:val="004617A7"/>
    <w:rsid w:val="00472FA6"/>
    <w:rsid w:val="00484262"/>
    <w:rsid w:val="004857AA"/>
    <w:rsid w:val="0049527A"/>
    <w:rsid w:val="004964E7"/>
    <w:rsid w:val="004C03E9"/>
    <w:rsid w:val="004C213F"/>
    <w:rsid w:val="004C3967"/>
    <w:rsid w:val="004C7F4E"/>
    <w:rsid w:val="004E01C8"/>
    <w:rsid w:val="004E0901"/>
    <w:rsid w:val="004E1C50"/>
    <w:rsid w:val="004F71CE"/>
    <w:rsid w:val="005000EC"/>
    <w:rsid w:val="0051749F"/>
    <w:rsid w:val="005220E6"/>
    <w:rsid w:val="00523C4B"/>
    <w:rsid w:val="00533D49"/>
    <w:rsid w:val="00534AC9"/>
    <w:rsid w:val="005371F0"/>
    <w:rsid w:val="00541EBD"/>
    <w:rsid w:val="00546407"/>
    <w:rsid w:val="00556050"/>
    <w:rsid w:val="005728E2"/>
    <w:rsid w:val="005920AC"/>
    <w:rsid w:val="005A5AFD"/>
    <w:rsid w:val="005B141D"/>
    <w:rsid w:val="005B1C8C"/>
    <w:rsid w:val="005B5295"/>
    <w:rsid w:val="005D24F6"/>
    <w:rsid w:val="005D3CC0"/>
    <w:rsid w:val="005F571E"/>
    <w:rsid w:val="005F7CE8"/>
    <w:rsid w:val="00605D5B"/>
    <w:rsid w:val="006150FD"/>
    <w:rsid w:val="006151FC"/>
    <w:rsid w:val="00623E3D"/>
    <w:rsid w:val="00652919"/>
    <w:rsid w:val="0065397D"/>
    <w:rsid w:val="00660DC6"/>
    <w:rsid w:val="00666825"/>
    <w:rsid w:val="00667D27"/>
    <w:rsid w:val="00673245"/>
    <w:rsid w:val="006749DB"/>
    <w:rsid w:val="00683404"/>
    <w:rsid w:val="00692E0A"/>
    <w:rsid w:val="006A5C0E"/>
    <w:rsid w:val="006C0A23"/>
    <w:rsid w:val="006D5797"/>
    <w:rsid w:val="006E1C88"/>
    <w:rsid w:val="006E6571"/>
    <w:rsid w:val="006E6B81"/>
    <w:rsid w:val="006F2072"/>
    <w:rsid w:val="006F2A6F"/>
    <w:rsid w:val="006F5866"/>
    <w:rsid w:val="007070B6"/>
    <w:rsid w:val="007163FE"/>
    <w:rsid w:val="007165F0"/>
    <w:rsid w:val="00716B9C"/>
    <w:rsid w:val="0072348E"/>
    <w:rsid w:val="0073309B"/>
    <w:rsid w:val="00735A78"/>
    <w:rsid w:val="0073641C"/>
    <w:rsid w:val="0075011B"/>
    <w:rsid w:val="0076171C"/>
    <w:rsid w:val="00785D46"/>
    <w:rsid w:val="00791EA1"/>
    <w:rsid w:val="007C340E"/>
    <w:rsid w:val="007D042A"/>
    <w:rsid w:val="007D5291"/>
    <w:rsid w:val="007F47E9"/>
    <w:rsid w:val="007F4F0E"/>
    <w:rsid w:val="00827482"/>
    <w:rsid w:val="00836C0E"/>
    <w:rsid w:val="00840AC8"/>
    <w:rsid w:val="00850854"/>
    <w:rsid w:val="0086033C"/>
    <w:rsid w:val="00864DB9"/>
    <w:rsid w:val="008748D9"/>
    <w:rsid w:val="00880A7A"/>
    <w:rsid w:val="008813EB"/>
    <w:rsid w:val="008848E3"/>
    <w:rsid w:val="00887761"/>
    <w:rsid w:val="008938C4"/>
    <w:rsid w:val="008B139B"/>
    <w:rsid w:val="008C3DE1"/>
    <w:rsid w:val="008C6F7A"/>
    <w:rsid w:val="008D6600"/>
    <w:rsid w:val="008F166C"/>
    <w:rsid w:val="008F3685"/>
    <w:rsid w:val="00916696"/>
    <w:rsid w:val="00916DBF"/>
    <w:rsid w:val="00926CCB"/>
    <w:rsid w:val="00941E7A"/>
    <w:rsid w:val="009453B8"/>
    <w:rsid w:val="00953A4F"/>
    <w:rsid w:val="00954C7A"/>
    <w:rsid w:val="0095669E"/>
    <w:rsid w:val="0097701D"/>
    <w:rsid w:val="00980708"/>
    <w:rsid w:val="00980740"/>
    <w:rsid w:val="009864BA"/>
    <w:rsid w:val="009A653A"/>
    <w:rsid w:val="009B6640"/>
    <w:rsid w:val="009C583B"/>
    <w:rsid w:val="009D0342"/>
    <w:rsid w:val="009F0451"/>
    <w:rsid w:val="009F1BFD"/>
    <w:rsid w:val="009F47A2"/>
    <w:rsid w:val="00A02100"/>
    <w:rsid w:val="00A07099"/>
    <w:rsid w:val="00A1244F"/>
    <w:rsid w:val="00A15399"/>
    <w:rsid w:val="00A23D20"/>
    <w:rsid w:val="00A30799"/>
    <w:rsid w:val="00A343DF"/>
    <w:rsid w:val="00A400DE"/>
    <w:rsid w:val="00A42732"/>
    <w:rsid w:val="00A478D6"/>
    <w:rsid w:val="00A74AA6"/>
    <w:rsid w:val="00A828FE"/>
    <w:rsid w:val="00A82996"/>
    <w:rsid w:val="00A9682E"/>
    <w:rsid w:val="00AB28A6"/>
    <w:rsid w:val="00AB2D61"/>
    <w:rsid w:val="00AE04CB"/>
    <w:rsid w:val="00AE20B8"/>
    <w:rsid w:val="00AF508A"/>
    <w:rsid w:val="00B100FF"/>
    <w:rsid w:val="00B239BA"/>
    <w:rsid w:val="00B36385"/>
    <w:rsid w:val="00B408FC"/>
    <w:rsid w:val="00B47FE1"/>
    <w:rsid w:val="00B7113A"/>
    <w:rsid w:val="00B9051C"/>
    <w:rsid w:val="00BA2E89"/>
    <w:rsid w:val="00BB46DF"/>
    <w:rsid w:val="00BD12F7"/>
    <w:rsid w:val="00BD68A3"/>
    <w:rsid w:val="00BF14E9"/>
    <w:rsid w:val="00BF2CB1"/>
    <w:rsid w:val="00C00BC1"/>
    <w:rsid w:val="00C06AE0"/>
    <w:rsid w:val="00C07D8D"/>
    <w:rsid w:val="00C14DD1"/>
    <w:rsid w:val="00C34776"/>
    <w:rsid w:val="00C50271"/>
    <w:rsid w:val="00C50E65"/>
    <w:rsid w:val="00C54B74"/>
    <w:rsid w:val="00C628AB"/>
    <w:rsid w:val="00C67B09"/>
    <w:rsid w:val="00CA3236"/>
    <w:rsid w:val="00CA33A8"/>
    <w:rsid w:val="00CB0D2A"/>
    <w:rsid w:val="00CC1D55"/>
    <w:rsid w:val="00CC6EF9"/>
    <w:rsid w:val="00CD52BF"/>
    <w:rsid w:val="00CD5975"/>
    <w:rsid w:val="00CE1473"/>
    <w:rsid w:val="00CE20A8"/>
    <w:rsid w:val="00D02453"/>
    <w:rsid w:val="00D11744"/>
    <w:rsid w:val="00D35169"/>
    <w:rsid w:val="00D36144"/>
    <w:rsid w:val="00D37DDF"/>
    <w:rsid w:val="00D477B5"/>
    <w:rsid w:val="00D478E5"/>
    <w:rsid w:val="00D52191"/>
    <w:rsid w:val="00D53B99"/>
    <w:rsid w:val="00D63ADC"/>
    <w:rsid w:val="00D719B4"/>
    <w:rsid w:val="00D736DE"/>
    <w:rsid w:val="00D77A1E"/>
    <w:rsid w:val="00DA7DB4"/>
    <w:rsid w:val="00DB04DB"/>
    <w:rsid w:val="00DD1611"/>
    <w:rsid w:val="00DD2896"/>
    <w:rsid w:val="00DE02D7"/>
    <w:rsid w:val="00DE09F7"/>
    <w:rsid w:val="00DE17A3"/>
    <w:rsid w:val="00DE33BE"/>
    <w:rsid w:val="00DF213D"/>
    <w:rsid w:val="00E008C7"/>
    <w:rsid w:val="00E0475E"/>
    <w:rsid w:val="00E33EC2"/>
    <w:rsid w:val="00E50344"/>
    <w:rsid w:val="00E51370"/>
    <w:rsid w:val="00E513D3"/>
    <w:rsid w:val="00E57E48"/>
    <w:rsid w:val="00E72895"/>
    <w:rsid w:val="00E7526A"/>
    <w:rsid w:val="00E83467"/>
    <w:rsid w:val="00E9161A"/>
    <w:rsid w:val="00E947E0"/>
    <w:rsid w:val="00EA6703"/>
    <w:rsid w:val="00EC25F9"/>
    <w:rsid w:val="00EC5FC3"/>
    <w:rsid w:val="00ED0C4C"/>
    <w:rsid w:val="00ED2150"/>
    <w:rsid w:val="00EE3414"/>
    <w:rsid w:val="00EF2DF6"/>
    <w:rsid w:val="00F01C33"/>
    <w:rsid w:val="00F0646A"/>
    <w:rsid w:val="00F1054F"/>
    <w:rsid w:val="00F14CE5"/>
    <w:rsid w:val="00F25E83"/>
    <w:rsid w:val="00F34DF1"/>
    <w:rsid w:val="00F4233F"/>
    <w:rsid w:val="00F5799F"/>
    <w:rsid w:val="00F703CB"/>
    <w:rsid w:val="00F82F5A"/>
    <w:rsid w:val="00F84213"/>
    <w:rsid w:val="00F86BBF"/>
    <w:rsid w:val="00F95548"/>
    <w:rsid w:val="00F96DDD"/>
    <w:rsid w:val="00FB0012"/>
    <w:rsid w:val="00FB6EAE"/>
    <w:rsid w:val="00FC762B"/>
    <w:rsid w:val="00FD2676"/>
    <w:rsid w:val="00FD69F6"/>
    <w:rsid w:val="00FE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464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64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64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6407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46407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46407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HeaderBoldOdd">
    <w:name w:val="HeaderBoldOdd"/>
    <w:basedOn w:val="Normal"/>
    <w:rsid w:val="00546407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46407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4640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4640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46407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46407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46407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546407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46407"/>
    <w:rPr>
      <w:rFonts w:ascii="Arial" w:eastAsia="Times New Roman" w:hAnsi="Arial" w:cs="Times New Roman"/>
      <w:sz w:val="16"/>
      <w:szCs w:val="24"/>
      <w:lang w:eastAsia="en-AU"/>
    </w:rPr>
  </w:style>
  <w:style w:type="character" w:styleId="Hyperlink">
    <w:name w:val="Hyperlink"/>
    <w:basedOn w:val="DefaultParagraphFont"/>
    <w:rsid w:val="00546407"/>
    <w:rPr>
      <w:color w:val="0000FF"/>
      <w:u w:val="single"/>
    </w:rPr>
  </w:style>
  <w:style w:type="character" w:styleId="PageNumber">
    <w:name w:val="page number"/>
    <w:basedOn w:val="DefaultParagraphFont"/>
    <w:rsid w:val="00546407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4640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6407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PartNo">
    <w:name w:val="CharPartNo"/>
    <w:basedOn w:val="DefaultParagraphFont"/>
    <w:rsid w:val="00546407"/>
  </w:style>
  <w:style w:type="character" w:customStyle="1" w:styleId="CharSchPTNo">
    <w:name w:val="CharSchPTNo"/>
    <w:basedOn w:val="DefaultParagraphFont"/>
    <w:rsid w:val="00546407"/>
  </w:style>
  <w:style w:type="character" w:customStyle="1" w:styleId="CharSchPTText">
    <w:name w:val="CharSchPTText"/>
    <w:basedOn w:val="DefaultParagraphFont"/>
    <w:rsid w:val="00546407"/>
  </w:style>
  <w:style w:type="character" w:customStyle="1" w:styleId="CharSectno">
    <w:name w:val="CharSectno"/>
    <w:basedOn w:val="DefaultParagraphFont"/>
    <w:rsid w:val="00546407"/>
  </w:style>
  <w:style w:type="character" w:styleId="CommentReference">
    <w:name w:val="annotation reference"/>
    <w:basedOn w:val="DefaultParagraphFont"/>
    <w:rsid w:val="005464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640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546407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">
    <w:name w:val="Note"/>
    <w:basedOn w:val="Normal"/>
    <w:rsid w:val="00546407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R1">
    <w:name w:val="R1"/>
    <w:aliases w:val="1. or 1.(1)"/>
    <w:basedOn w:val="Normal"/>
    <w:next w:val="R2"/>
    <w:uiPriority w:val="99"/>
    <w:rsid w:val="00546407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46407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customStyle="1" w:styleId="CharSchNo">
    <w:name w:val="CharSchNo"/>
    <w:basedOn w:val="DefaultParagraphFont"/>
    <w:rsid w:val="00546407"/>
  </w:style>
  <w:style w:type="character" w:customStyle="1" w:styleId="CharSchText">
    <w:name w:val="CharSchText"/>
    <w:basedOn w:val="DefaultParagraphFont"/>
    <w:rsid w:val="00546407"/>
  </w:style>
  <w:style w:type="paragraph" w:customStyle="1" w:styleId="FooterCitation">
    <w:name w:val="FooterCitation"/>
    <w:basedOn w:val="Footer"/>
    <w:rsid w:val="0054640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reference">
    <w:name w:val="Schedule reference"/>
    <w:basedOn w:val="Normal"/>
    <w:next w:val="Normal"/>
    <w:rsid w:val="00546407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46407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ZNote">
    <w:name w:val="ZNote"/>
    <w:basedOn w:val="Note"/>
    <w:rsid w:val="00546407"/>
    <w:pPr>
      <w:keepNext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07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01"/>
    <w:rPr>
      <w:b/>
      <w:bCs/>
    </w:rPr>
  </w:style>
  <w:style w:type="paragraph" w:customStyle="1" w:styleId="P1">
    <w:name w:val="P1"/>
    <w:aliases w:val="(a)"/>
    <w:basedOn w:val="Normal"/>
    <w:rsid w:val="00DD1611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ZR1">
    <w:name w:val="ZR1"/>
    <w:basedOn w:val="R1"/>
    <w:rsid w:val="00DD1611"/>
    <w:pPr>
      <w:keepNext/>
      <w:keepLines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CE20A8"/>
    <w:pPr>
      <w:ind w:left="720"/>
      <w:contextualSpacing/>
    </w:pPr>
  </w:style>
  <w:style w:type="paragraph" w:customStyle="1" w:styleId="ExampleBody">
    <w:name w:val="Example Body"/>
    <w:basedOn w:val="Normal"/>
    <w:rsid w:val="00372C0E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372C0E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P2">
    <w:name w:val="P2"/>
    <w:aliases w:val="(i)"/>
    <w:basedOn w:val="Normal"/>
    <w:rsid w:val="00372C0E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ZP1">
    <w:name w:val="ZP1"/>
    <w:basedOn w:val="P1"/>
    <w:rsid w:val="006F2072"/>
    <w:pPr>
      <w:keepNext/>
    </w:pPr>
  </w:style>
  <w:style w:type="paragraph" w:customStyle="1" w:styleId="ZR2">
    <w:name w:val="ZR2"/>
    <w:basedOn w:val="R2"/>
    <w:rsid w:val="006F2072"/>
    <w:pPr>
      <w:keepNext/>
      <w:keepLines w:val="0"/>
    </w:pPr>
    <w:rPr>
      <w:lang w:eastAsia="en-US"/>
    </w:rPr>
  </w:style>
  <w:style w:type="paragraph" w:customStyle="1" w:styleId="ZDefinition">
    <w:name w:val="ZDefinition"/>
    <w:basedOn w:val="Normal"/>
    <w:rsid w:val="009F0451"/>
    <w:pPr>
      <w:keepNext/>
      <w:spacing w:before="80" w:line="260" w:lineRule="exact"/>
      <w:ind w:left="964"/>
      <w:jc w:val="both"/>
    </w:pPr>
    <w:rPr>
      <w:lang w:eastAsia="en-US"/>
    </w:rPr>
  </w:style>
  <w:style w:type="paragraph" w:styleId="Revision">
    <w:name w:val="Revision"/>
    <w:hidden/>
    <w:uiPriority w:val="99"/>
    <w:semiHidden/>
    <w:rsid w:val="00A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8B139B"/>
    <w:pPr>
      <w:spacing w:before="100" w:beforeAutospacing="1" w:after="100" w:afterAutospacing="1"/>
    </w:pPr>
  </w:style>
  <w:style w:type="paragraph" w:customStyle="1" w:styleId="zr10">
    <w:name w:val="zr1"/>
    <w:basedOn w:val="Normal"/>
    <w:rsid w:val="001C0A1C"/>
    <w:pPr>
      <w:spacing w:before="100" w:beforeAutospacing="1" w:after="100" w:afterAutospacing="1"/>
    </w:pPr>
  </w:style>
  <w:style w:type="paragraph" w:customStyle="1" w:styleId="p10">
    <w:name w:val="p1"/>
    <w:basedOn w:val="Normal"/>
    <w:rsid w:val="001C0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3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8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006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1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li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CBB8-43EE-4B58-90ED-98780CBA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Sudharshini Jeyaseelan</dc:creator>
  <cp:lastModifiedBy>Helen Turnbull</cp:lastModifiedBy>
  <cp:revision>3</cp:revision>
  <cp:lastPrinted>2012-03-21T03:29:00Z</cp:lastPrinted>
  <dcterms:created xsi:type="dcterms:W3CDTF">2012-04-20T01:13:00Z</dcterms:created>
  <dcterms:modified xsi:type="dcterms:W3CDTF">2012-04-20T01:16:00Z</dcterms:modified>
</cp:coreProperties>
</file>