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37" w:rsidRDefault="00F26C37" w:rsidP="00F26C37">
      <w:pPr>
        <w:spacing w:before="0" w:after="0"/>
        <w:jc w:val="center"/>
        <w:rPr>
          <w:rFonts w:ascii="Times New Roman" w:hAnsi="Times New Roman"/>
          <w:b/>
          <w:u w:val="single"/>
        </w:rPr>
      </w:pPr>
      <w:r w:rsidRPr="00DC19E1">
        <w:rPr>
          <w:rFonts w:ascii="Times New Roman" w:hAnsi="Times New Roman"/>
          <w:b/>
          <w:u w:val="single"/>
        </w:rPr>
        <w:t>EXPLANATORY STATEMENT</w:t>
      </w:r>
    </w:p>
    <w:p w:rsidR="00F26C37" w:rsidRPr="00DC19E1" w:rsidRDefault="00F26C37" w:rsidP="00F26C37">
      <w:pPr>
        <w:spacing w:before="0" w:after="0"/>
        <w:jc w:val="center"/>
        <w:rPr>
          <w:rFonts w:ascii="Times New Roman" w:hAnsi="Times New Roman"/>
          <w:b/>
          <w:u w:val="single"/>
        </w:rPr>
      </w:pPr>
    </w:p>
    <w:p w:rsidR="00F26C37" w:rsidRPr="00E6503E" w:rsidRDefault="00E6503E" w:rsidP="00F26C37">
      <w:pPr>
        <w:spacing w:before="0" w:after="0"/>
        <w:jc w:val="center"/>
        <w:outlineLvl w:val="0"/>
        <w:rPr>
          <w:rFonts w:ascii="Times New Roman" w:hAnsi="Times New Roman"/>
          <w:b/>
          <w:u w:val="single"/>
        </w:rPr>
      </w:pPr>
      <w:r>
        <w:rPr>
          <w:rFonts w:ascii="Times New Roman" w:hAnsi="Times New Roman"/>
          <w:b/>
          <w:u w:val="single"/>
        </w:rPr>
        <w:t>Select Legislative Instrument 2012 No. 49</w:t>
      </w:r>
    </w:p>
    <w:p w:rsidR="00F26C37" w:rsidRPr="008427EE" w:rsidRDefault="00F26C37" w:rsidP="00F26C37">
      <w:pPr>
        <w:spacing w:before="0" w:after="0"/>
        <w:jc w:val="center"/>
        <w:outlineLvl w:val="0"/>
        <w:rPr>
          <w:rFonts w:ascii="Times New Roman" w:hAnsi="Times New Roman"/>
          <w:u w:val="single"/>
        </w:rPr>
      </w:pPr>
    </w:p>
    <w:p w:rsidR="00F26C37" w:rsidRDefault="00F26C37" w:rsidP="00F26C37">
      <w:pPr>
        <w:spacing w:before="0" w:after="0"/>
        <w:jc w:val="center"/>
        <w:rPr>
          <w:rFonts w:ascii="Times New Roman" w:hAnsi="Times New Roman"/>
        </w:rPr>
      </w:pPr>
      <w:r w:rsidRPr="008427EE">
        <w:rPr>
          <w:rFonts w:ascii="Times New Roman" w:hAnsi="Times New Roman"/>
        </w:rPr>
        <w:t>Issued by th</w:t>
      </w:r>
      <w:r>
        <w:rPr>
          <w:rFonts w:ascii="Times New Roman" w:hAnsi="Times New Roman"/>
        </w:rPr>
        <w:t>e Authority of the Minister for Home Affairs</w:t>
      </w:r>
    </w:p>
    <w:p w:rsidR="009E097A" w:rsidRPr="008427EE" w:rsidRDefault="009E097A" w:rsidP="00F26C37">
      <w:pPr>
        <w:spacing w:before="0" w:after="0"/>
        <w:jc w:val="center"/>
        <w:rPr>
          <w:rFonts w:ascii="Times New Roman" w:hAnsi="Times New Roman"/>
        </w:rPr>
      </w:pPr>
    </w:p>
    <w:p w:rsidR="00F26C37" w:rsidRDefault="00F26C37" w:rsidP="00F26C37">
      <w:pPr>
        <w:spacing w:before="0" w:after="0"/>
        <w:jc w:val="center"/>
        <w:rPr>
          <w:i/>
          <w:iCs/>
        </w:rPr>
      </w:pPr>
      <w:r w:rsidRPr="0020458D">
        <w:rPr>
          <w:i/>
          <w:iCs/>
        </w:rPr>
        <w:t>Customs</w:t>
      </w:r>
      <w:r w:rsidRPr="0020458D">
        <w:rPr>
          <w:i/>
        </w:rPr>
        <w:t xml:space="preserve"> </w:t>
      </w:r>
      <w:r w:rsidRPr="0020458D">
        <w:rPr>
          <w:i/>
          <w:iCs/>
        </w:rPr>
        <w:t>Act 1901</w:t>
      </w:r>
    </w:p>
    <w:p w:rsidR="009E097A" w:rsidRPr="0020458D" w:rsidRDefault="009E097A" w:rsidP="00F26C37">
      <w:pPr>
        <w:spacing w:before="0" w:after="0"/>
        <w:jc w:val="center"/>
        <w:rPr>
          <w:i/>
          <w:iCs/>
        </w:rPr>
      </w:pPr>
    </w:p>
    <w:p w:rsidR="00F26C37" w:rsidRPr="0020458D" w:rsidRDefault="00F26C37" w:rsidP="00F26C37">
      <w:pPr>
        <w:spacing w:before="0" w:after="0"/>
        <w:jc w:val="center"/>
        <w:rPr>
          <w:rFonts w:ascii="Times New Roman" w:hAnsi="Times New Roman"/>
          <w:i/>
          <w:iCs/>
        </w:rPr>
      </w:pPr>
      <w:r w:rsidRPr="0020458D">
        <w:rPr>
          <w:i/>
        </w:rPr>
        <w:t xml:space="preserve">Customs Amendment Regulation </w:t>
      </w:r>
      <w:r w:rsidR="009E097A">
        <w:rPr>
          <w:i/>
        </w:rPr>
        <w:t>2012</w:t>
      </w:r>
      <w:r w:rsidR="00E6503E">
        <w:rPr>
          <w:i/>
        </w:rPr>
        <w:t xml:space="preserve"> (No. 1</w:t>
      </w:r>
      <w:r w:rsidRPr="0020458D">
        <w:rPr>
          <w:i/>
        </w:rPr>
        <w:t>)</w:t>
      </w:r>
    </w:p>
    <w:p w:rsidR="009E097A" w:rsidRPr="002E5A04" w:rsidRDefault="009E097A" w:rsidP="009E097A">
      <w:pPr>
        <w:pStyle w:val="TxtParagraph"/>
        <w:jc w:val="left"/>
      </w:pPr>
      <w:r w:rsidRPr="002E5A04">
        <w:t xml:space="preserve">Subsection 270(1) of the </w:t>
      </w:r>
      <w:r w:rsidRPr="002E5A04">
        <w:rPr>
          <w:i/>
          <w:iCs/>
        </w:rPr>
        <w:t>Customs Act 1901</w:t>
      </w:r>
      <w:r w:rsidRPr="002E5A04">
        <w:t xml:space="preserve"> (the Customs Act) provides, in part, that the Governor</w:t>
      </w:r>
      <w:r w:rsidRPr="002E5A04">
        <w:noBreakHyphen/>
        <w:t xml:space="preserve">General may make regulations not inconsistent with the Customs Act prescribing all matters which by the Customs Act are required or permitted to be prescribed, or as may be necessary or convenient to be prescribed, for giving effect to the Customs Act.  </w:t>
      </w:r>
    </w:p>
    <w:p w:rsidR="009E097A" w:rsidRPr="002E5A04" w:rsidRDefault="009E097A" w:rsidP="009E097A">
      <w:pPr>
        <w:pStyle w:val="TxtParagraph"/>
        <w:jc w:val="left"/>
      </w:pPr>
      <w:r w:rsidRPr="002E5A04">
        <w:t xml:space="preserve">The purpose of the </w:t>
      </w:r>
      <w:r>
        <w:t>amending</w:t>
      </w:r>
      <w:r w:rsidRPr="002E5A04">
        <w:t xml:space="preserve"> Regulation is to amend the </w:t>
      </w:r>
      <w:r w:rsidRPr="002E5A04">
        <w:rPr>
          <w:i/>
        </w:rPr>
        <w:t>Customs Regulations 1926</w:t>
      </w:r>
      <w:r>
        <w:t xml:space="preserve"> (the Principal R</w:t>
      </w:r>
      <w:r w:rsidRPr="002E5A04">
        <w:t xml:space="preserve">egulations) to enable the deployment of body scan technologies in accordance with the </w:t>
      </w:r>
      <w:r w:rsidRPr="002E5A04">
        <w:rPr>
          <w:i/>
        </w:rPr>
        <w:t>Customs Amendment</w:t>
      </w:r>
      <w:r w:rsidRPr="002E5A04">
        <w:t xml:space="preserve"> </w:t>
      </w:r>
      <w:r w:rsidRPr="002E5A04">
        <w:rPr>
          <w:i/>
        </w:rPr>
        <w:t>Serious Drugs Detection Act 2011</w:t>
      </w:r>
      <w:r w:rsidRPr="002E5A04">
        <w:t xml:space="preserve"> (the Serious Drugs Detection Act) and also to remove regulations prescribing obsolete technologies.  </w:t>
      </w:r>
    </w:p>
    <w:p w:rsidR="009E097A" w:rsidRPr="002E5A04" w:rsidRDefault="009E097A" w:rsidP="009E097A">
      <w:pPr>
        <w:pStyle w:val="TxtParagraph"/>
        <w:jc w:val="left"/>
      </w:pPr>
      <w:r w:rsidRPr="002E5A04">
        <w:t>The Serious Drugs Detection Act recently amended the Customs Act to enable officers of Customs, using prescribed equipment, to undertake an internal non-medical scan of a person who is suspected to be internally concealing a suspicious substance.</w:t>
      </w:r>
    </w:p>
    <w:p w:rsidR="009E097A" w:rsidRPr="002E5A04" w:rsidRDefault="009E097A" w:rsidP="009E097A">
      <w:pPr>
        <w:pStyle w:val="TxtParagraph"/>
        <w:jc w:val="left"/>
      </w:pPr>
      <w:r w:rsidRPr="002E5A04">
        <w:t>The amendments permit, with the consent of the detainee, an initial internal non-medical scan of a person to be carried out by an officer of Customs using body scan technology that is to be prescribed in the regulations. This technology produces a computer image of a person’s internal cavities within a skeletal structure, as opposed to images of external body parts.  Such images may serve to allay an officer’s suspicion that a passenger is internally concealing a suspicious substance, in which case the detainee would be released immediately.  Where, however, a body scan image supports a suspicion of an internal concealment, the existing regime governing internal searches by a medical practitioner will apply.</w:t>
      </w:r>
    </w:p>
    <w:p w:rsidR="009E097A" w:rsidRPr="002E5A04" w:rsidRDefault="009E097A" w:rsidP="009E097A">
      <w:pPr>
        <w:pStyle w:val="TxtParagraph"/>
        <w:jc w:val="left"/>
      </w:pPr>
      <w:r w:rsidRPr="002E5A04">
        <w:t>S</w:t>
      </w:r>
      <w:r>
        <w:t>ubs</w:t>
      </w:r>
      <w:r w:rsidRPr="002E5A04">
        <w:t xml:space="preserve">ection 219SA(1) of the </w:t>
      </w:r>
      <w:r>
        <w:t>Customs</w:t>
      </w:r>
      <w:r w:rsidRPr="002E5A04">
        <w:t xml:space="preserve"> Act provides that an internal non-medical scan may only be conducted using prescribed equipment. Section 219ZAB sets out the conditions for prescribing the body scan technology. Specifically, </w:t>
      </w:r>
      <w:r>
        <w:t>for internal non-medical scans, the r</w:t>
      </w:r>
      <w:r w:rsidRPr="002E5A04">
        <w:t>egulations may only prescribe equipment that can produce an image that</w:t>
      </w:r>
      <w:r>
        <w:t xml:space="preserve"> indicates</w:t>
      </w:r>
      <w:r w:rsidRPr="002E5A04">
        <w:t xml:space="preserve"> a person is or may be internally concealing a suspicious substance.</w:t>
      </w:r>
      <w:r>
        <w:t xml:space="preserve">  </w:t>
      </w:r>
      <w:r w:rsidRPr="002E5A04">
        <w:t xml:space="preserve">Section 219ZAB </w:t>
      </w:r>
      <w:r>
        <w:t xml:space="preserve">also </w:t>
      </w:r>
      <w:r w:rsidRPr="002E5A04">
        <w:t>sets out the conditions for prescribing</w:t>
      </w:r>
      <w:r>
        <w:t xml:space="preserve"> equipment for external searches.</w:t>
      </w:r>
    </w:p>
    <w:p w:rsidR="009E097A" w:rsidRDefault="009E097A" w:rsidP="009E097A">
      <w:pPr>
        <w:pStyle w:val="TxtParagraph"/>
        <w:jc w:val="left"/>
        <w:rPr>
          <w:rFonts w:ascii="Times New Roman" w:hAnsi="Times New Roman"/>
          <w:szCs w:val="26"/>
        </w:rPr>
      </w:pPr>
      <w:r w:rsidRPr="005F0B76">
        <w:rPr>
          <w:rFonts w:ascii="Times New Roman" w:hAnsi="Times New Roman"/>
          <w:szCs w:val="26"/>
        </w:rPr>
        <w:t xml:space="preserve">The Smiths Detection BSCAN 16HR DV is a non-invasive </w:t>
      </w:r>
      <w:r>
        <w:rPr>
          <w:rFonts w:ascii="Times New Roman" w:hAnsi="Times New Roman"/>
          <w:szCs w:val="26"/>
        </w:rPr>
        <w:t xml:space="preserve">body scan </w:t>
      </w:r>
      <w:r w:rsidRPr="005F0B76">
        <w:rPr>
          <w:rFonts w:ascii="Times New Roman" w:hAnsi="Times New Roman"/>
          <w:szCs w:val="26"/>
        </w:rPr>
        <w:t xml:space="preserve">device </w:t>
      </w:r>
      <w:r>
        <w:rPr>
          <w:rFonts w:ascii="Times New Roman" w:hAnsi="Times New Roman"/>
          <w:szCs w:val="26"/>
        </w:rPr>
        <w:t>used to</w:t>
      </w:r>
      <w:r w:rsidRPr="005F0B76">
        <w:rPr>
          <w:rFonts w:ascii="Times New Roman" w:hAnsi="Times New Roman"/>
          <w:szCs w:val="26"/>
        </w:rPr>
        <w:t xml:space="preserve"> take a transmission radiograph </w:t>
      </w:r>
      <w:r>
        <w:rPr>
          <w:rFonts w:ascii="Times New Roman" w:hAnsi="Times New Roman"/>
          <w:szCs w:val="26"/>
        </w:rPr>
        <w:t>of a fully-clothed individual to detect whether a suspicious substance has been concealed inside the individual’s body.</w:t>
      </w:r>
      <w:r w:rsidRPr="005F0B76">
        <w:rPr>
          <w:rFonts w:ascii="Times New Roman" w:hAnsi="Times New Roman"/>
          <w:szCs w:val="26"/>
        </w:rPr>
        <w:t xml:space="preserve">  </w:t>
      </w:r>
    </w:p>
    <w:p w:rsidR="009E097A" w:rsidRPr="002E5A04" w:rsidRDefault="009E097A" w:rsidP="009E097A">
      <w:pPr>
        <w:pStyle w:val="TxtParagraph"/>
        <w:jc w:val="left"/>
      </w:pPr>
      <w:r w:rsidRPr="002E5A04">
        <w:t xml:space="preserve">The </w:t>
      </w:r>
      <w:r>
        <w:t>amending</w:t>
      </w:r>
      <w:r w:rsidRPr="002E5A04">
        <w:t xml:space="preserve"> Regulation </w:t>
      </w:r>
      <w:r>
        <w:t>repeals and substitutes r</w:t>
      </w:r>
      <w:r w:rsidRPr="002E5A04">
        <w:t>egulation 176AA</w:t>
      </w:r>
      <w:r>
        <w:t xml:space="preserve"> of the Principal Regulations</w:t>
      </w:r>
      <w:r w:rsidRPr="002E5A04">
        <w:t xml:space="preserve"> to: </w:t>
      </w:r>
    </w:p>
    <w:p w:rsidR="009E097A" w:rsidRDefault="009E097A" w:rsidP="009E097A">
      <w:pPr>
        <w:pStyle w:val="TxtParagraph"/>
        <w:numPr>
          <w:ilvl w:val="0"/>
          <w:numId w:val="34"/>
        </w:numPr>
        <w:overflowPunct/>
        <w:autoSpaceDE/>
        <w:autoSpaceDN/>
        <w:adjustRightInd/>
        <w:jc w:val="left"/>
        <w:textAlignment w:val="auto"/>
      </w:pPr>
      <w:r w:rsidRPr="002E5A04">
        <w:lastRenderedPageBreak/>
        <w:t>prescribe the Smiths Detection B-SCAN 16HD-DV body scanner technology for the purposes of section 219SA(1) of the Customs Act</w:t>
      </w:r>
      <w:r>
        <w:t>; and</w:t>
      </w:r>
    </w:p>
    <w:p w:rsidR="009E097A" w:rsidRPr="002E5A04" w:rsidRDefault="009E097A" w:rsidP="009E097A">
      <w:pPr>
        <w:pStyle w:val="TxtParagraph"/>
        <w:numPr>
          <w:ilvl w:val="0"/>
          <w:numId w:val="34"/>
        </w:numPr>
        <w:overflowPunct/>
        <w:autoSpaceDE/>
        <w:autoSpaceDN/>
        <w:adjustRightInd/>
        <w:jc w:val="left"/>
        <w:textAlignment w:val="auto"/>
      </w:pPr>
      <w:r w:rsidRPr="002E5A04">
        <w:t>remove the equipment listed for the carrying out of an external search as this equipment is obsolete and no lo</w:t>
      </w:r>
      <w:r>
        <w:t>nger used for external searches.</w:t>
      </w:r>
    </w:p>
    <w:p w:rsidR="009E097A" w:rsidRPr="002E5A04" w:rsidRDefault="009E097A" w:rsidP="009E097A">
      <w:pPr>
        <w:pStyle w:val="TxtParagraph"/>
        <w:jc w:val="left"/>
      </w:pPr>
      <w:r>
        <w:t>The amending R</w:t>
      </w:r>
      <w:r w:rsidRPr="002E5A04">
        <w:t>egulation</w:t>
      </w:r>
      <w:r>
        <w:t xml:space="preserve"> also amends</w:t>
      </w:r>
      <w:r w:rsidRPr="002E5A04">
        <w:t xml:space="preserve"> </w:t>
      </w:r>
      <w:r>
        <w:t xml:space="preserve">regulation </w:t>
      </w:r>
      <w:r w:rsidRPr="002E5A04">
        <w:t>176B</w:t>
      </w:r>
      <w:r>
        <w:t xml:space="preserve"> of the Principal Regulations, which presently sets out the storage requirements in relation to the records of external searches, </w:t>
      </w:r>
      <w:r w:rsidRPr="002E5A04">
        <w:t xml:space="preserve">to </w:t>
      </w:r>
      <w:r>
        <w:t xml:space="preserve">extend these requirements to </w:t>
      </w:r>
      <w:r w:rsidRPr="002E5A04">
        <w:t>the storage of records of internal non</w:t>
      </w:r>
      <w:r>
        <w:t>-</w:t>
      </w:r>
      <w:r w:rsidRPr="002E5A04">
        <w:t>medical scans.</w:t>
      </w:r>
    </w:p>
    <w:p w:rsidR="009E097A" w:rsidRPr="002E5A04" w:rsidRDefault="009E097A" w:rsidP="009E097A">
      <w:pPr>
        <w:pStyle w:val="TxtParagraph"/>
        <w:jc w:val="left"/>
      </w:pPr>
      <w:r w:rsidRPr="002E5A04">
        <w:t xml:space="preserve">Section 219ZAB(3) of the Customs Act provides that before the Governor General makes a regulation prescribing equipment for the purposes of </w:t>
      </w:r>
      <w:r>
        <w:t xml:space="preserve">subsection </w:t>
      </w:r>
      <w:r w:rsidRPr="002E5A04">
        <w:t>219SA(1), the Minister must obtain from the Chief Executive Officer of Customs (CEO) a statement that:</w:t>
      </w:r>
    </w:p>
    <w:p w:rsidR="009E097A" w:rsidRPr="002E5A04" w:rsidRDefault="009E097A" w:rsidP="009E097A">
      <w:pPr>
        <w:pStyle w:val="TxtParagraph"/>
        <w:numPr>
          <w:ilvl w:val="0"/>
          <w:numId w:val="33"/>
        </w:numPr>
        <w:overflowPunct/>
        <w:autoSpaceDE/>
        <w:autoSpaceDN/>
        <w:adjustRightInd/>
        <w:jc w:val="left"/>
        <w:textAlignment w:val="auto"/>
      </w:pPr>
      <w:r w:rsidRPr="002E5A04">
        <w:t>the equipment can safely be used to detect suspicious substances; and</w:t>
      </w:r>
    </w:p>
    <w:p w:rsidR="009E097A" w:rsidRPr="002E5A04" w:rsidRDefault="009E097A" w:rsidP="009E097A">
      <w:pPr>
        <w:pStyle w:val="TxtParagraph"/>
        <w:numPr>
          <w:ilvl w:val="0"/>
          <w:numId w:val="33"/>
        </w:numPr>
        <w:overflowPunct/>
        <w:autoSpaceDE/>
        <w:autoSpaceDN/>
        <w:adjustRightInd/>
        <w:jc w:val="left"/>
        <w:textAlignment w:val="auto"/>
      </w:pPr>
      <w:r w:rsidRPr="002E5A04">
        <w:t>use of the equipment poses no risk, or minimal risk, to the health of a person whom the equipment is used to search; and</w:t>
      </w:r>
    </w:p>
    <w:p w:rsidR="009E097A" w:rsidRPr="002E5A04" w:rsidRDefault="009E097A" w:rsidP="009E097A">
      <w:pPr>
        <w:pStyle w:val="TxtParagraph"/>
        <w:numPr>
          <w:ilvl w:val="0"/>
          <w:numId w:val="33"/>
        </w:numPr>
        <w:overflowPunct/>
        <w:autoSpaceDE/>
        <w:autoSpaceDN/>
        <w:adjustRightInd/>
        <w:jc w:val="left"/>
        <w:textAlignment w:val="auto"/>
      </w:pPr>
      <w:r w:rsidRPr="002E5A04">
        <w:t>a person does not require professional qualifications to operate the equipment.</w:t>
      </w:r>
    </w:p>
    <w:p w:rsidR="009E097A" w:rsidRPr="004E1246" w:rsidRDefault="009E097A" w:rsidP="009E097A">
      <w:pPr>
        <w:pStyle w:val="TxtParagraph"/>
        <w:jc w:val="left"/>
        <w:rPr>
          <w:vertAlign w:val="superscript"/>
        </w:rPr>
      </w:pPr>
      <w:r w:rsidRPr="002E5A04">
        <w:t xml:space="preserve">The Minister has obtained a statement in respect of the </w:t>
      </w:r>
      <w:r>
        <w:t>Smiths Detection Body Scanner</w:t>
      </w:r>
      <w:r w:rsidRPr="002E5A04">
        <w:t xml:space="preserve"> from the CEO</w:t>
      </w:r>
      <w:r>
        <w:t>.</w:t>
      </w:r>
    </w:p>
    <w:p w:rsidR="009E097A" w:rsidRDefault="009E097A" w:rsidP="009E097A">
      <w:pPr>
        <w:pStyle w:val="TxtParagraph"/>
        <w:ind w:right="-312"/>
        <w:jc w:val="left"/>
      </w:pPr>
      <w:r w:rsidRPr="002E5A04">
        <w:t xml:space="preserve">Subsection 219ZAB(4) of the Customs Act provides that before the CEO makes the statement to the Minister, he or she must consult with the relevant Commonwealth authorities, if any, that have expertise or responsibilities relevant to the matters addressed by the statement. </w:t>
      </w:r>
    </w:p>
    <w:p w:rsidR="009E097A" w:rsidRDefault="009E097A" w:rsidP="009E097A">
      <w:pPr>
        <w:pStyle w:val="TxtParagraph"/>
        <w:jc w:val="left"/>
      </w:pPr>
      <w:r w:rsidRPr="002E5A04">
        <w:t>I</w:t>
      </w:r>
      <w:r>
        <w:t>n addition, subsection 219ZAB(5) requires that i</w:t>
      </w:r>
      <w:r w:rsidRPr="002E5A04">
        <w:t>f the CEO does consult any relevant Commonwealth authorities, he or she must provide a copy of any advice received from those authorities before each House of Parliament within seven sitting days of that House after the day on which the statement is given to the Minister</w:t>
      </w:r>
      <w:r>
        <w:t>.</w:t>
      </w:r>
      <w:r w:rsidRPr="004E1246">
        <w:rPr>
          <w:szCs w:val="12"/>
          <w:vertAlign w:val="superscript"/>
        </w:rPr>
        <w:t>(2)</w:t>
      </w:r>
    </w:p>
    <w:p w:rsidR="009E097A" w:rsidRDefault="009E097A" w:rsidP="009E097A">
      <w:pPr>
        <w:pStyle w:val="TxtParagraph"/>
        <w:jc w:val="left"/>
      </w:pPr>
      <w:r>
        <w:t>The CEO has consulted the Department of Health and Ageing and the Australian Radiation Protection and Nuclear Safety Agency.  The advice from those authorities will be laid before each House of Parliament within 7 sitting days of that House after the day on which the statement was given to the Minister.</w:t>
      </w:r>
    </w:p>
    <w:p w:rsidR="00D8263B" w:rsidRPr="00D8263B" w:rsidRDefault="00D8263B" w:rsidP="00D8263B">
      <w:pPr>
        <w:pStyle w:val="TxtParagraph"/>
      </w:pPr>
      <w:r>
        <w:t>As the amending Regulation</w:t>
      </w:r>
      <w:r w:rsidRPr="00D8263B">
        <w:t xml:space="preserve"> are of machinery nature, no consultation was undertaking in relation to the amending Regu</w:t>
      </w:r>
      <w:r>
        <w:t>lation</w:t>
      </w:r>
      <w:r w:rsidRPr="00D8263B">
        <w:t xml:space="preserve">. </w:t>
      </w:r>
    </w:p>
    <w:p w:rsidR="009E097A" w:rsidRPr="002E5A04" w:rsidRDefault="009E097A" w:rsidP="00D8263B">
      <w:pPr>
        <w:pStyle w:val="TxtParagraph"/>
        <w:rPr>
          <w:szCs w:val="24"/>
        </w:rPr>
      </w:pPr>
      <w:r w:rsidRPr="002E5A04">
        <w:rPr>
          <w:szCs w:val="24"/>
        </w:rPr>
        <w:t xml:space="preserve">The </w:t>
      </w:r>
      <w:r>
        <w:rPr>
          <w:szCs w:val="24"/>
        </w:rPr>
        <w:t>amending</w:t>
      </w:r>
      <w:r w:rsidRPr="002E5A04">
        <w:rPr>
          <w:szCs w:val="24"/>
        </w:rPr>
        <w:t xml:space="preserve"> Regulation commence on the day after </w:t>
      </w:r>
      <w:r>
        <w:rPr>
          <w:szCs w:val="24"/>
        </w:rPr>
        <w:t>it is</w:t>
      </w:r>
      <w:r w:rsidRPr="002E5A04">
        <w:rPr>
          <w:szCs w:val="24"/>
        </w:rPr>
        <w:t xml:space="preserve"> registered on the Federal Register of Legislative Instruments.</w:t>
      </w:r>
    </w:p>
    <w:p w:rsidR="009E097A" w:rsidRDefault="009E097A" w:rsidP="009E097A">
      <w:pPr>
        <w:pStyle w:val="PlainParagraph"/>
        <w:tabs>
          <w:tab w:val="left" w:pos="0"/>
        </w:tabs>
        <w:spacing w:before="0" w:after="0" w:line="240" w:lineRule="auto"/>
        <w:rPr>
          <w:rFonts w:ascii="Times New Roman" w:hAnsi="Times New Roman" w:cs="Times New Roman"/>
          <w:sz w:val="24"/>
          <w:szCs w:val="24"/>
        </w:rPr>
      </w:pPr>
    </w:p>
    <w:p w:rsidR="00E92E3B" w:rsidRDefault="00E92E3B" w:rsidP="00E92E3B">
      <w:pPr>
        <w:jc w:val="center"/>
        <w:rPr>
          <w:b/>
        </w:rPr>
      </w:pPr>
      <w:r>
        <w:rPr>
          <w:rFonts w:ascii="Times New Roman" w:hAnsi="Times New Roman"/>
          <w:szCs w:val="24"/>
        </w:rPr>
        <w:br w:type="page"/>
      </w:r>
      <w:r w:rsidRPr="00D91D69">
        <w:rPr>
          <w:b/>
        </w:rPr>
        <w:lastRenderedPageBreak/>
        <w:t>Statement of Compatibility with Human Rights</w:t>
      </w:r>
    </w:p>
    <w:p w:rsidR="00E92E3B" w:rsidRPr="00D91D69" w:rsidRDefault="00E92E3B" w:rsidP="00E92E3B">
      <w:pPr>
        <w:jc w:val="center"/>
        <w:rPr>
          <w:b/>
        </w:rPr>
      </w:pPr>
    </w:p>
    <w:p w:rsidR="00E92E3B" w:rsidRPr="00D91D69" w:rsidRDefault="00E92E3B" w:rsidP="00E92E3B">
      <w:pPr>
        <w:jc w:val="center"/>
      </w:pPr>
      <w:r w:rsidRPr="00D91D69">
        <w:t xml:space="preserve">(Prepared in accordance with Part 3 of the </w:t>
      </w:r>
      <w:r w:rsidRPr="003C66C8">
        <w:rPr>
          <w:i/>
        </w:rPr>
        <w:t>Human Rights (Parliamentary Scrutiny) Act 2011</w:t>
      </w:r>
      <w:r w:rsidRPr="00D91D69">
        <w:t>)</w:t>
      </w:r>
    </w:p>
    <w:p w:rsidR="00E92E3B" w:rsidRPr="00E92E3B" w:rsidRDefault="00E6503E" w:rsidP="00E92E3B">
      <w:pPr>
        <w:jc w:val="center"/>
        <w:rPr>
          <w:b/>
          <w:i/>
        </w:rPr>
      </w:pPr>
      <w:r>
        <w:rPr>
          <w:b/>
          <w:i/>
        </w:rPr>
        <w:t>Customs Amendment Regulation</w:t>
      </w:r>
      <w:r w:rsidR="00E92E3B" w:rsidRPr="00E92E3B">
        <w:rPr>
          <w:b/>
          <w:i/>
        </w:rPr>
        <w:t xml:space="preserve"> 2012 (No. </w:t>
      </w:r>
      <w:r>
        <w:rPr>
          <w:b/>
          <w:i/>
        </w:rPr>
        <w:t>1</w:t>
      </w:r>
      <w:r w:rsidR="00E92E3B" w:rsidRPr="00E92E3B">
        <w:rPr>
          <w:b/>
          <w:i/>
        </w:rPr>
        <w:t>)</w:t>
      </w:r>
    </w:p>
    <w:p w:rsidR="00E92E3B" w:rsidRDefault="00E92E3B" w:rsidP="00E92E3B">
      <w:r>
        <w:t xml:space="preserve">This legislative instrument is compatible with the human rights and freedoms recognised or declared in the international instruments listed in the definition of human rights in section 3 of the </w:t>
      </w:r>
      <w:r w:rsidRPr="00F35D98">
        <w:rPr>
          <w:i/>
        </w:rPr>
        <w:t>Human Rights (Parliamentary Scrutiny) Act 2011</w:t>
      </w:r>
      <w:r>
        <w:rPr>
          <w:i/>
        </w:rPr>
        <w:t>.</w:t>
      </w:r>
    </w:p>
    <w:p w:rsidR="00E92E3B" w:rsidRDefault="00E92E3B" w:rsidP="00E92E3B">
      <w:pPr>
        <w:rPr>
          <w:i/>
        </w:rPr>
      </w:pPr>
      <w:r>
        <w:rPr>
          <w:i/>
        </w:rPr>
        <w:t>Overview of the Regulation</w:t>
      </w:r>
    </w:p>
    <w:p w:rsidR="00E92E3B" w:rsidRDefault="00E92E3B" w:rsidP="00E92E3B">
      <w:pPr>
        <w:pStyle w:val="NumberLevel1"/>
        <w:numPr>
          <w:ilvl w:val="0"/>
          <w:numId w:val="0"/>
        </w:numPr>
        <w:spacing w:before="0" w:after="0"/>
        <w:rPr>
          <w:rFonts w:ascii="Times New Roman" w:hAnsi="Times New Roman" w:cs="Times New Roman"/>
          <w:sz w:val="24"/>
          <w:szCs w:val="24"/>
        </w:rPr>
      </w:pPr>
      <w:r w:rsidRPr="00EB7EA2">
        <w:rPr>
          <w:rFonts w:ascii="Times New Roman" w:hAnsi="Times New Roman" w:cs="Times New Roman"/>
          <w:sz w:val="24"/>
          <w:szCs w:val="24"/>
        </w:rPr>
        <w:t xml:space="preserve">This legislative instrument serves to prescribe body </w:t>
      </w:r>
      <w:r>
        <w:rPr>
          <w:rFonts w:ascii="Times New Roman" w:hAnsi="Times New Roman" w:cs="Times New Roman"/>
          <w:sz w:val="24"/>
          <w:szCs w:val="24"/>
        </w:rPr>
        <w:t>scanner technology pursuant to s</w:t>
      </w:r>
      <w:r w:rsidRPr="00EB7EA2">
        <w:rPr>
          <w:rFonts w:ascii="Times New Roman" w:hAnsi="Times New Roman" w:cs="Times New Roman"/>
          <w:sz w:val="24"/>
          <w:szCs w:val="24"/>
        </w:rPr>
        <w:t xml:space="preserve">ection 219ZAB of the </w:t>
      </w:r>
      <w:r w:rsidRPr="00E92E3B">
        <w:rPr>
          <w:rFonts w:ascii="Times New Roman" w:hAnsi="Times New Roman" w:cs="Times New Roman"/>
          <w:i/>
          <w:sz w:val="24"/>
          <w:szCs w:val="24"/>
        </w:rPr>
        <w:t>Customs Act 1901</w:t>
      </w:r>
      <w:r w:rsidRPr="00EB7EA2">
        <w:rPr>
          <w:rFonts w:ascii="Times New Roman" w:hAnsi="Times New Roman" w:cs="Times New Roman"/>
          <w:sz w:val="24"/>
          <w:szCs w:val="24"/>
        </w:rPr>
        <w:t>, for the purposes of section 219SA(1).</w:t>
      </w:r>
    </w:p>
    <w:p w:rsidR="00E92E3B" w:rsidRDefault="00E92E3B" w:rsidP="00E92E3B">
      <w:pPr>
        <w:pStyle w:val="NumberLevel1"/>
        <w:numPr>
          <w:ilvl w:val="0"/>
          <w:numId w:val="0"/>
        </w:numPr>
        <w:spacing w:before="0" w:after="0"/>
        <w:rPr>
          <w:rFonts w:ascii="Times New Roman" w:hAnsi="Times New Roman" w:cs="Times New Roman"/>
          <w:sz w:val="24"/>
          <w:szCs w:val="24"/>
        </w:rPr>
      </w:pPr>
    </w:p>
    <w:p w:rsidR="00E92E3B" w:rsidRPr="00EB7EA2" w:rsidRDefault="00E92E3B" w:rsidP="00E92E3B">
      <w:pPr>
        <w:pStyle w:val="NumberLevel1"/>
        <w:numPr>
          <w:ilvl w:val="0"/>
          <w:numId w:val="0"/>
        </w:numPr>
        <w:spacing w:before="0" w:after="0"/>
        <w:rPr>
          <w:rFonts w:ascii="Times New Roman" w:hAnsi="Times New Roman" w:cs="Times New Roman"/>
          <w:sz w:val="24"/>
          <w:szCs w:val="24"/>
        </w:rPr>
      </w:pPr>
      <w:r w:rsidRPr="00EB7EA2">
        <w:rPr>
          <w:rFonts w:ascii="Times New Roman" w:hAnsi="Times New Roman" w:cs="Times New Roman"/>
          <w:sz w:val="24"/>
          <w:szCs w:val="24"/>
        </w:rPr>
        <w:t>The Regulation commences on the day after registration on the Federal Register of Legislative Instruments</w:t>
      </w:r>
      <w:r w:rsidRPr="00EB7EA2">
        <w:rPr>
          <w:rFonts w:ascii="Times New Roman" w:hAnsi="Times New Roman" w:cs="Times New Roman"/>
          <w:i/>
          <w:sz w:val="24"/>
          <w:szCs w:val="24"/>
        </w:rPr>
        <w:t>.</w:t>
      </w:r>
    </w:p>
    <w:p w:rsidR="00E92E3B" w:rsidRDefault="00E92E3B" w:rsidP="00E92E3B">
      <w:pPr>
        <w:rPr>
          <w:i/>
        </w:rPr>
      </w:pPr>
      <w:r w:rsidRPr="003C66C8">
        <w:rPr>
          <w:i/>
        </w:rPr>
        <w:t>Human Rights implications</w:t>
      </w:r>
    </w:p>
    <w:p w:rsidR="00E92E3B" w:rsidRDefault="00E92E3B" w:rsidP="00E92E3B">
      <w:r>
        <w:t xml:space="preserve">This legislative instrument does not engage, impact on or limit in any way, the human rights and freedoms recognised or declared in the international instruments listed in the definition of human rights at section 3 of the </w:t>
      </w:r>
      <w:r w:rsidRPr="009F1329">
        <w:rPr>
          <w:i/>
        </w:rPr>
        <w:t>Human Rights (Parliamentary Scrutiny) Act 2011</w:t>
      </w:r>
      <w:r>
        <w:t xml:space="preserve">. </w:t>
      </w:r>
    </w:p>
    <w:p w:rsidR="00E92E3B" w:rsidRDefault="00E92E3B" w:rsidP="00E92E3B">
      <w:pPr>
        <w:rPr>
          <w:i/>
        </w:rPr>
      </w:pPr>
      <w:r>
        <w:rPr>
          <w:i/>
        </w:rPr>
        <w:t>Conclusion</w:t>
      </w:r>
    </w:p>
    <w:p w:rsidR="00E92E3B" w:rsidRDefault="00E92E3B" w:rsidP="00E92E3B">
      <w:r>
        <w:t>This legislative instrument does not raise any human rights issues.</w:t>
      </w:r>
    </w:p>
    <w:p w:rsidR="00E92E3B" w:rsidRDefault="00E92E3B" w:rsidP="00E92E3B"/>
    <w:p w:rsidR="00E92E3B" w:rsidRDefault="00E92E3B" w:rsidP="00E92E3B">
      <w:r>
        <w:t>Minister for Home Affairs</w:t>
      </w:r>
    </w:p>
    <w:sectPr w:rsidR="00E92E3B" w:rsidSect="005846D5">
      <w:headerReference w:type="even" r:id="rId7"/>
      <w:headerReference w:type="default" r:id="rId8"/>
      <w:headerReference w:type="first" r:id="rId9"/>
      <w:pgSz w:w="11906" w:h="16838"/>
      <w:pgMar w:top="1247" w:right="1418" w:bottom="170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B66" w:rsidRDefault="00FD0B66">
      <w:r>
        <w:separator/>
      </w:r>
    </w:p>
  </w:endnote>
  <w:endnote w:type="continuationSeparator" w:id="0">
    <w:p w:rsidR="00FD0B66" w:rsidRDefault="00FD0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B66" w:rsidRDefault="00FD0B66">
      <w:r>
        <w:separator/>
      </w:r>
    </w:p>
  </w:footnote>
  <w:footnote w:type="continuationSeparator" w:id="0">
    <w:p w:rsidR="00FD0B66" w:rsidRDefault="00FD0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7A" w:rsidRDefault="009E097A" w:rsidP="006854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E097A" w:rsidRDefault="009E09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7A" w:rsidRDefault="009E097A" w:rsidP="00685473">
    <w:pPr>
      <w:pStyle w:val="Header"/>
      <w:framePr w:wrap="around" w:vAnchor="text" w:hAnchor="margin" w:xAlign="center" w:y="1"/>
      <w:rPr>
        <w:rStyle w:val="PageNumber"/>
      </w:rPr>
    </w:pPr>
  </w:p>
  <w:p w:rsidR="009E097A" w:rsidRDefault="009E09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7A" w:rsidRPr="0081617D" w:rsidRDefault="009E097A" w:rsidP="0081617D">
    <w:pPr>
      <w:pStyle w:val="Header"/>
      <w:framePr w:wrap="around" w:vAnchor="text" w:hAnchor="margin" w:xAlign="center" w:y="1"/>
      <w:rPr>
        <w:rStyle w:val="PageNumber"/>
        <w:rFonts w:ascii="Helvetica" w:hAnsi="Helvetica"/>
        <w:color w:val="FFFFFF"/>
      </w:rPr>
    </w:pPr>
  </w:p>
  <w:p w:rsidR="009E097A" w:rsidRPr="002B3D3F" w:rsidRDefault="009E097A" w:rsidP="0081617D">
    <w:pPr>
      <w:pStyle w:val="Header"/>
      <w:tabs>
        <w:tab w:val="left" w:pos="4320"/>
      </w:tabs>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4AC"/>
    <w:multiLevelType w:val="multilevel"/>
    <w:tmpl w:val="699044A4"/>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nsid w:val="054B4560"/>
    <w:multiLevelType w:val="hybridMultilevel"/>
    <w:tmpl w:val="8D20935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nsid w:val="0FE86B74"/>
    <w:multiLevelType w:val="hybridMultilevel"/>
    <w:tmpl w:val="050AD468"/>
    <w:lvl w:ilvl="0" w:tplc="F11419FC">
      <w:start w:val="1"/>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6974B7C"/>
    <w:multiLevelType w:val="hybridMultilevel"/>
    <w:tmpl w:val="68D2CC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7F8305A"/>
    <w:multiLevelType w:val="multilevel"/>
    <w:tmpl w:val="0F9EA0A8"/>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0">
    <w:nsid w:val="180939C2"/>
    <w:multiLevelType w:val="multilevel"/>
    <w:tmpl w:val="2D380462"/>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1">
    <w:nsid w:val="18327664"/>
    <w:multiLevelType w:val="multilevel"/>
    <w:tmpl w:val="EF2ABA28"/>
    <w:name w:val="AGSCorp"/>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12">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3">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4">
    <w:nsid w:val="22873E7B"/>
    <w:multiLevelType w:val="hybridMultilevel"/>
    <w:tmpl w:val="7C044A0A"/>
    <w:lvl w:ilvl="0" w:tplc="8766FF26">
      <w:start w:val="1"/>
      <w:numFmt w:val="bullet"/>
      <w:lvlText w:val="•"/>
      <w:lvlJc w:val="left"/>
      <w:pPr>
        <w:tabs>
          <w:tab w:val="num" w:pos="567"/>
        </w:tabs>
        <w:ind w:left="567" w:hanging="567"/>
      </w:pPr>
      <w:rPr>
        <w:rFonts w:ascii="Times" w:hAnsi="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6">
    <w:nsid w:val="256552FC"/>
    <w:multiLevelType w:val="hybridMultilevel"/>
    <w:tmpl w:val="928EB654"/>
    <w:lvl w:ilvl="0" w:tplc="F11419FC">
      <w:start w:val="1"/>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0">
    <w:nsid w:val="298629E3"/>
    <w:multiLevelType w:val="multilevel"/>
    <w:tmpl w:val="2C8EC26A"/>
    <w:lvl w:ilvl="0">
      <w:start w:val="1"/>
      <w:numFmt w:val="bullet"/>
      <w:lvlText w:val="—"/>
      <w:lvlJc w:val="left"/>
      <w:pPr>
        <w:tabs>
          <w:tab w:val="num" w:pos="425"/>
        </w:tabs>
        <w:ind w:left="425" w:hanging="425"/>
      </w:pPr>
      <w:rPr>
        <w:b/>
        <w:i w:val="0"/>
      </w:rPr>
    </w:lvl>
    <w:lvl w:ilvl="1">
      <w:start w:val="1"/>
      <w:numFmt w:val="bullet"/>
      <w:lvlText w:val=""/>
      <w:lvlJc w:val="left"/>
      <w:pPr>
        <w:tabs>
          <w:tab w:val="num" w:pos="360"/>
        </w:tabs>
        <w:ind w:left="360" w:hanging="360"/>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1">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2">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1F53FC4"/>
    <w:multiLevelType w:val="hybridMultilevel"/>
    <w:tmpl w:val="FBEC2EBC"/>
    <w:lvl w:ilvl="0" w:tplc="F11419FC">
      <w:start w:val="1"/>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6CE28FF"/>
    <w:multiLevelType w:val="hybridMultilevel"/>
    <w:tmpl w:val="0AEC6202"/>
    <w:lvl w:ilvl="0" w:tplc="F306F566">
      <w:numFmt w:val="bullet"/>
      <w:lvlText w:val=""/>
      <w:lvlJc w:val="left"/>
      <w:pPr>
        <w:tabs>
          <w:tab w:val="num" w:pos="780"/>
        </w:tabs>
        <w:ind w:left="780" w:hanging="42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DE67107"/>
    <w:multiLevelType w:val="hybridMultilevel"/>
    <w:tmpl w:val="C9DCADDA"/>
    <w:lvl w:ilvl="0" w:tplc="F11419FC">
      <w:start w:val="1"/>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0BB7EF8"/>
    <w:multiLevelType w:val="multilevel"/>
    <w:tmpl w:val="AD7E44FC"/>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8">
    <w:nsid w:val="4118096E"/>
    <w:multiLevelType w:val="hybridMultilevel"/>
    <w:tmpl w:val="D8525D7A"/>
    <w:lvl w:ilvl="0" w:tplc="F11419FC">
      <w:start w:val="1"/>
      <w:numFmt w:val="lowerLetter"/>
      <w:lvlText w:val="(%1)"/>
      <w:lvlJc w:val="left"/>
      <w:pPr>
        <w:tabs>
          <w:tab w:val="num" w:pos="1850"/>
        </w:tabs>
        <w:ind w:left="1850" w:hanging="510"/>
      </w:pPr>
      <w:rPr>
        <w:rFonts w:hint="default"/>
      </w:rPr>
    </w:lvl>
    <w:lvl w:ilvl="1" w:tplc="0C090019" w:tentative="1">
      <w:start w:val="1"/>
      <w:numFmt w:val="lowerLetter"/>
      <w:lvlText w:val="%2."/>
      <w:lvlJc w:val="left"/>
      <w:pPr>
        <w:tabs>
          <w:tab w:val="num" w:pos="1865"/>
        </w:tabs>
        <w:ind w:left="1865" w:hanging="360"/>
      </w:pPr>
    </w:lvl>
    <w:lvl w:ilvl="2" w:tplc="0C09001B" w:tentative="1">
      <w:start w:val="1"/>
      <w:numFmt w:val="lowerRoman"/>
      <w:lvlText w:val="%3."/>
      <w:lvlJc w:val="right"/>
      <w:pPr>
        <w:tabs>
          <w:tab w:val="num" w:pos="2585"/>
        </w:tabs>
        <w:ind w:left="2585" w:hanging="180"/>
      </w:pPr>
    </w:lvl>
    <w:lvl w:ilvl="3" w:tplc="0C09000F" w:tentative="1">
      <w:start w:val="1"/>
      <w:numFmt w:val="decimal"/>
      <w:lvlText w:val="%4."/>
      <w:lvlJc w:val="left"/>
      <w:pPr>
        <w:tabs>
          <w:tab w:val="num" w:pos="3305"/>
        </w:tabs>
        <w:ind w:left="3305" w:hanging="360"/>
      </w:pPr>
    </w:lvl>
    <w:lvl w:ilvl="4" w:tplc="0C090019" w:tentative="1">
      <w:start w:val="1"/>
      <w:numFmt w:val="lowerLetter"/>
      <w:lvlText w:val="%5."/>
      <w:lvlJc w:val="left"/>
      <w:pPr>
        <w:tabs>
          <w:tab w:val="num" w:pos="4025"/>
        </w:tabs>
        <w:ind w:left="4025" w:hanging="360"/>
      </w:pPr>
    </w:lvl>
    <w:lvl w:ilvl="5" w:tplc="0C09001B" w:tentative="1">
      <w:start w:val="1"/>
      <w:numFmt w:val="lowerRoman"/>
      <w:lvlText w:val="%6."/>
      <w:lvlJc w:val="right"/>
      <w:pPr>
        <w:tabs>
          <w:tab w:val="num" w:pos="4745"/>
        </w:tabs>
        <w:ind w:left="4745" w:hanging="180"/>
      </w:pPr>
    </w:lvl>
    <w:lvl w:ilvl="6" w:tplc="0C09000F" w:tentative="1">
      <w:start w:val="1"/>
      <w:numFmt w:val="decimal"/>
      <w:lvlText w:val="%7."/>
      <w:lvlJc w:val="left"/>
      <w:pPr>
        <w:tabs>
          <w:tab w:val="num" w:pos="5465"/>
        </w:tabs>
        <w:ind w:left="5465" w:hanging="360"/>
      </w:pPr>
    </w:lvl>
    <w:lvl w:ilvl="7" w:tplc="0C090019" w:tentative="1">
      <w:start w:val="1"/>
      <w:numFmt w:val="lowerLetter"/>
      <w:lvlText w:val="%8."/>
      <w:lvlJc w:val="left"/>
      <w:pPr>
        <w:tabs>
          <w:tab w:val="num" w:pos="6185"/>
        </w:tabs>
        <w:ind w:left="6185" w:hanging="360"/>
      </w:pPr>
    </w:lvl>
    <w:lvl w:ilvl="8" w:tplc="0C09001B" w:tentative="1">
      <w:start w:val="1"/>
      <w:numFmt w:val="lowerRoman"/>
      <w:lvlText w:val="%9."/>
      <w:lvlJc w:val="right"/>
      <w:pPr>
        <w:tabs>
          <w:tab w:val="num" w:pos="6905"/>
        </w:tabs>
        <w:ind w:left="6905" w:hanging="180"/>
      </w:pPr>
    </w:lvl>
  </w:abstractNum>
  <w:abstractNum w:abstractNumId="2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D970A4F"/>
    <w:multiLevelType w:val="multilevel"/>
    <w:tmpl w:val="0F9EA0A8"/>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0">
    <w:nsid w:val="6E172B1C"/>
    <w:multiLevelType w:val="hybridMultilevel"/>
    <w:tmpl w:val="2924D8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0B51970"/>
    <w:multiLevelType w:val="multilevel"/>
    <w:tmpl w:val="0F9EA0A8"/>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2">
    <w:nsid w:val="718C563B"/>
    <w:multiLevelType w:val="hybridMultilevel"/>
    <w:tmpl w:val="DBC82ED4"/>
    <w:lvl w:ilvl="0" w:tplc="F11419FC">
      <w:start w:val="1"/>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42A3D2A"/>
    <w:multiLevelType w:val="multilevel"/>
    <w:tmpl w:val="0F9EA0A8"/>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4">
    <w:nsid w:val="7BE27076"/>
    <w:multiLevelType w:val="hybridMultilevel"/>
    <w:tmpl w:val="4FA604C4"/>
    <w:lvl w:ilvl="0" w:tplc="F11419FC">
      <w:start w:val="1"/>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C1C0361"/>
    <w:multiLevelType w:val="hybridMultilevel"/>
    <w:tmpl w:val="7ACED64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11"/>
  </w:num>
  <w:num w:numId="3">
    <w:abstractNumId w:val="18"/>
  </w:num>
  <w:num w:numId="4">
    <w:abstractNumId w:val="15"/>
  </w:num>
  <w:num w:numId="5">
    <w:abstractNumId w:val="1"/>
  </w:num>
  <w:num w:numId="6">
    <w:abstractNumId w:val="6"/>
  </w:num>
  <w:num w:numId="7">
    <w:abstractNumId w:val="21"/>
  </w:num>
  <w:num w:numId="8">
    <w:abstractNumId w:val="3"/>
  </w:num>
  <w:num w:numId="9">
    <w:abstractNumId w:val="13"/>
  </w:num>
  <w:num w:numId="10">
    <w:abstractNumId w:val="19"/>
  </w:num>
  <w:num w:numId="11">
    <w:abstractNumId w:val="5"/>
  </w:num>
  <w:num w:numId="12">
    <w:abstractNumId w:val="12"/>
  </w:num>
  <w:num w:numId="13">
    <w:abstractNumId w:val="4"/>
  </w:num>
  <w:num w:numId="14">
    <w:abstractNumId w:val="39"/>
  </w:num>
  <w:num w:numId="15">
    <w:abstractNumId w:val="20"/>
  </w:num>
  <w:num w:numId="16">
    <w:abstractNumId w:val="45"/>
  </w:num>
  <w:num w:numId="17">
    <w:abstractNumId w:val="2"/>
  </w:num>
  <w:num w:numId="18">
    <w:abstractNumId w:val="40"/>
  </w:num>
  <w:num w:numId="19">
    <w:abstractNumId w:val="8"/>
  </w:num>
  <w:num w:numId="20">
    <w:abstractNumId w:val="24"/>
  </w:num>
  <w:num w:numId="21">
    <w:abstractNumId w:val="41"/>
  </w:num>
  <w:num w:numId="22">
    <w:abstractNumId w:val="0"/>
  </w:num>
  <w:num w:numId="23">
    <w:abstractNumId w:val="43"/>
  </w:num>
  <w:num w:numId="24">
    <w:abstractNumId w:val="27"/>
  </w:num>
  <w:num w:numId="25">
    <w:abstractNumId w:val="9"/>
  </w:num>
  <w:num w:numId="26">
    <w:abstractNumId w:val="10"/>
  </w:num>
  <w:num w:numId="27">
    <w:abstractNumId w:val="14"/>
  </w:num>
  <w:num w:numId="28">
    <w:abstractNumId w:val="42"/>
  </w:num>
  <w:num w:numId="29">
    <w:abstractNumId w:val="28"/>
  </w:num>
  <w:num w:numId="30">
    <w:abstractNumId w:val="16"/>
  </w:num>
  <w:num w:numId="31">
    <w:abstractNumId w:val="7"/>
  </w:num>
  <w:num w:numId="32">
    <w:abstractNumId w:val="26"/>
  </w:num>
  <w:num w:numId="33">
    <w:abstractNumId w:val="23"/>
  </w:num>
  <w:num w:numId="34">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tyleWS" w:val="bWSLetter"/>
  </w:docVars>
  <w:rsids>
    <w:rsidRoot w:val="00472FF2"/>
    <w:rsid w:val="0000086B"/>
    <w:rsid w:val="0001567A"/>
    <w:rsid w:val="000219AF"/>
    <w:rsid w:val="000302A0"/>
    <w:rsid w:val="00031D96"/>
    <w:rsid w:val="00035CF3"/>
    <w:rsid w:val="00040AD8"/>
    <w:rsid w:val="00042EBF"/>
    <w:rsid w:val="000523B8"/>
    <w:rsid w:val="00061B2D"/>
    <w:rsid w:val="000A3A2F"/>
    <w:rsid w:val="000B2D7D"/>
    <w:rsid w:val="000B35A9"/>
    <w:rsid w:val="000C44F8"/>
    <w:rsid w:val="000C6977"/>
    <w:rsid w:val="000F0C9A"/>
    <w:rsid w:val="000F7018"/>
    <w:rsid w:val="000F705F"/>
    <w:rsid w:val="00107A8D"/>
    <w:rsid w:val="0011086B"/>
    <w:rsid w:val="00120B3D"/>
    <w:rsid w:val="00127D67"/>
    <w:rsid w:val="00133A65"/>
    <w:rsid w:val="00135415"/>
    <w:rsid w:val="00140371"/>
    <w:rsid w:val="00141377"/>
    <w:rsid w:val="00147630"/>
    <w:rsid w:val="00151792"/>
    <w:rsid w:val="00156C5C"/>
    <w:rsid w:val="00167548"/>
    <w:rsid w:val="0017151E"/>
    <w:rsid w:val="00171FDF"/>
    <w:rsid w:val="00173AA5"/>
    <w:rsid w:val="0017558C"/>
    <w:rsid w:val="001831D6"/>
    <w:rsid w:val="001863C6"/>
    <w:rsid w:val="001913F0"/>
    <w:rsid w:val="00192CB8"/>
    <w:rsid w:val="001A05F7"/>
    <w:rsid w:val="001A07C5"/>
    <w:rsid w:val="001A3975"/>
    <w:rsid w:val="001A666E"/>
    <w:rsid w:val="001C1A32"/>
    <w:rsid w:val="001C5894"/>
    <w:rsid w:val="001D006C"/>
    <w:rsid w:val="001D1FCB"/>
    <w:rsid w:val="001D3250"/>
    <w:rsid w:val="001E39D6"/>
    <w:rsid w:val="001E45BA"/>
    <w:rsid w:val="001E5FB1"/>
    <w:rsid w:val="001F772D"/>
    <w:rsid w:val="00200043"/>
    <w:rsid w:val="002012F0"/>
    <w:rsid w:val="0020272B"/>
    <w:rsid w:val="002314D3"/>
    <w:rsid w:val="00240E6D"/>
    <w:rsid w:val="00252A05"/>
    <w:rsid w:val="00264A8D"/>
    <w:rsid w:val="00266C7A"/>
    <w:rsid w:val="00280F01"/>
    <w:rsid w:val="002928FB"/>
    <w:rsid w:val="002A02E3"/>
    <w:rsid w:val="002A4C55"/>
    <w:rsid w:val="002B3D3F"/>
    <w:rsid w:val="002C08B5"/>
    <w:rsid w:val="002C0DDF"/>
    <w:rsid w:val="002C3D91"/>
    <w:rsid w:val="002C5256"/>
    <w:rsid w:val="002E007F"/>
    <w:rsid w:val="002E4569"/>
    <w:rsid w:val="002E596B"/>
    <w:rsid w:val="003042E5"/>
    <w:rsid w:val="00305659"/>
    <w:rsid w:val="003128F3"/>
    <w:rsid w:val="00312BB3"/>
    <w:rsid w:val="0031392A"/>
    <w:rsid w:val="00315A53"/>
    <w:rsid w:val="00316D2C"/>
    <w:rsid w:val="00320137"/>
    <w:rsid w:val="00332A4E"/>
    <w:rsid w:val="0033742B"/>
    <w:rsid w:val="00343801"/>
    <w:rsid w:val="00354C5D"/>
    <w:rsid w:val="00363088"/>
    <w:rsid w:val="003653B7"/>
    <w:rsid w:val="00370254"/>
    <w:rsid w:val="003731CB"/>
    <w:rsid w:val="003739DD"/>
    <w:rsid w:val="00377292"/>
    <w:rsid w:val="00380AE1"/>
    <w:rsid w:val="0038599D"/>
    <w:rsid w:val="00395978"/>
    <w:rsid w:val="003A431C"/>
    <w:rsid w:val="003A764C"/>
    <w:rsid w:val="003A7E24"/>
    <w:rsid w:val="003C0585"/>
    <w:rsid w:val="003C17E2"/>
    <w:rsid w:val="003C3A51"/>
    <w:rsid w:val="003C7C12"/>
    <w:rsid w:val="003D0644"/>
    <w:rsid w:val="003D1E0D"/>
    <w:rsid w:val="003D2A68"/>
    <w:rsid w:val="003E0AD1"/>
    <w:rsid w:val="003F1E25"/>
    <w:rsid w:val="003F206E"/>
    <w:rsid w:val="003F2BD5"/>
    <w:rsid w:val="003F7819"/>
    <w:rsid w:val="00403856"/>
    <w:rsid w:val="00403DC4"/>
    <w:rsid w:val="004050EE"/>
    <w:rsid w:val="00424C51"/>
    <w:rsid w:val="004314E7"/>
    <w:rsid w:val="004327B2"/>
    <w:rsid w:val="00441E57"/>
    <w:rsid w:val="00452046"/>
    <w:rsid w:val="00456972"/>
    <w:rsid w:val="00460838"/>
    <w:rsid w:val="004630CF"/>
    <w:rsid w:val="00463179"/>
    <w:rsid w:val="00471BE6"/>
    <w:rsid w:val="00472BF4"/>
    <w:rsid w:val="00472FF2"/>
    <w:rsid w:val="00473AE1"/>
    <w:rsid w:val="004802B4"/>
    <w:rsid w:val="00487680"/>
    <w:rsid w:val="004A4D47"/>
    <w:rsid w:val="004A7021"/>
    <w:rsid w:val="004B49C8"/>
    <w:rsid w:val="004B753A"/>
    <w:rsid w:val="004C2B69"/>
    <w:rsid w:val="004D393E"/>
    <w:rsid w:val="004D4601"/>
    <w:rsid w:val="004E1E30"/>
    <w:rsid w:val="004F41BB"/>
    <w:rsid w:val="004F4EB0"/>
    <w:rsid w:val="00505363"/>
    <w:rsid w:val="0050536D"/>
    <w:rsid w:val="005355F0"/>
    <w:rsid w:val="00535EFB"/>
    <w:rsid w:val="005402E4"/>
    <w:rsid w:val="005575E4"/>
    <w:rsid w:val="00561CDC"/>
    <w:rsid w:val="00563FD9"/>
    <w:rsid w:val="00567C8D"/>
    <w:rsid w:val="005738EA"/>
    <w:rsid w:val="00573EAF"/>
    <w:rsid w:val="0057407C"/>
    <w:rsid w:val="0057708A"/>
    <w:rsid w:val="00577466"/>
    <w:rsid w:val="005815F4"/>
    <w:rsid w:val="00582C0C"/>
    <w:rsid w:val="005846D5"/>
    <w:rsid w:val="0058653A"/>
    <w:rsid w:val="0058743E"/>
    <w:rsid w:val="005924DE"/>
    <w:rsid w:val="005A6137"/>
    <w:rsid w:val="005B0293"/>
    <w:rsid w:val="005B1A1E"/>
    <w:rsid w:val="005B37A4"/>
    <w:rsid w:val="005B7C17"/>
    <w:rsid w:val="005C1D95"/>
    <w:rsid w:val="005D79A9"/>
    <w:rsid w:val="005E1E85"/>
    <w:rsid w:val="005E249E"/>
    <w:rsid w:val="005E30F1"/>
    <w:rsid w:val="005E374F"/>
    <w:rsid w:val="005E427F"/>
    <w:rsid w:val="005F549F"/>
    <w:rsid w:val="005F7BD6"/>
    <w:rsid w:val="00601754"/>
    <w:rsid w:val="0060244C"/>
    <w:rsid w:val="0060715B"/>
    <w:rsid w:val="006106D3"/>
    <w:rsid w:val="00611F6B"/>
    <w:rsid w:val="006246AE"/>
    <w:rsid w:val="006409BD"/>
    <w:rsid w:val="006447AB"/>
    <w:rsid w:val="00646562"/>
    <w:rsid w:val="00651B7F"/>
    <w:rsid w:val="00651D0E"/>
    <w:rsid w:val="00667321"/>
    <w:rsid w:val="00671BE0"/>
    <w:rsid w:val="006725BF"/>
    <w:rsid w:val="0067501A"/>
    <w:rsid w:val="006755D0"/>
    <w:rsid w:val="00684C3A"/>
    <w:rsid w:val="00685473"/>
    <w:rsid w:val="006916C7"/>
    <w:rsid w:val="006952CB"/>
    <w:rsid w:val="006B5992"/>
    <w:rsid w:val="006B5FB0"/>
    <w:rsid w:val="006C2CD6"/>
    <w:rsid w:val="006D5C3E"/>
    <w:rsid w:val="006D662B"/>
    <w:rsid w:val="006E1DA2"/>
    <w:rsid w:val="006F450A"/>
    <w:rsid w:val="006F6649"/>
    <w:rsid w:val="007045A0"/>
    <w:rsid w:val="00712E08"/>
    <w:rsid w:val="00717F5E"/>
    <w:rsid w:val="0072307E"/>
    <w:rsid w:val="00726F73"/>
    <w:rsid w:val="00735D19"/>
    <w:rsid w:val="00747053"/>
    <w:rsid w:val="00747D28"/>
    <w:rsid w:val="00752A23"/>
    <w:rsid w:val="00754763"/>
    <w:rsid w:val="00756739"/>
    <w:rsid w:val="00760375"/>
    <w:rsid w:val="00766525"/>
    <w:rsid w:val="00774E27"/>
    <w:rsid w:val="007756C8"/>
    <w:rsid w:val="00781B0B"/>
    <w:rsid w:val="00782955"/>
    <w:rsid w:val="00786009"/>
    <w:rsid w:val="00795A43"/>
    <w:rsid w:val="00797FB9"/>
    <w:rsid w:val="007A136F"/>
    <w:rsid w:val="007B6966"/>
    <w:rsid w:val="007C0B02"/>
    <w:rsid w:val="007D2F88"/>
    <w:rsid w:val="007D6329"/>
    <w:rsid w:val="007D7472"/>
    <w:rsid w:val="007E1C2D"/>
    <w:rsid w:val="007E361E"/>
    <w:rsid w:val="007E5875"/>
    <w:rsid w:val="007F3629"/>
    <w:rsid w:val="00800A0F"/>
    <w:rsid w:val="00806D37"/>
    <w:rsid w:val="00812CDF"/>
    <w:rsid w:val="0081617D"/>
    <w:rsid w:val="00817509"/>
    <w:rsid w:val="008311FB"/>
    <w:rsid w:val="00860BAC"/>
    <w:rsid w:val="00861ACA"/>
    <w:rsid w:val="00877B97"/>
    <w:rsid w:val="00885D33"/>
    <w:rsid w:val="0088776E"/>
    <w:rsid w:val="008A56C3"/>
    <w:rsid w:val="008A6001"/>
    <w:rsid w:val="008A7A87"/>
    <w:rsid w:val="008B47B5"/>
    <w:rsid w:val="008B5AD6"/>
    <w:rsid w:val="008C41C8"/>
    <w:rsid w:val="008C6EF7"/>
    <w:rsid w:val="008F4CEA"/>
    <w:rsid w:val="008F6161"/>
    <w:rsid w:val="0090359C"/>
    <w:rsid w:val="009064C7"/>
    <w:rsid w:val="009067D6"/>
    <w:rsid w:val="00906F29"/>
    <w:rsid w:val="00914E4F"/>
    <w:rsid w:val="00927D72"/>
    <w:rsid w:val="00930F92"/>
    <w:rsid w:val="00933796"/>
    <w:rsid w:val="009346D0"/>
    <w:rsid w:val="00941332"/>
    <w:rsid w:val="00954818"/>
    <w:rsid w:val="0095698B"/>
    <w:rsid w:val="00960AEA"/>
    <w:rsid w:val="00974361"/>
    <w:rsid w:val="00990845"/>
    <w:rsid w:val="00990F0A"/>
    <w:rsid w:val="009935BD"/>
    <w:rsid w:val="009967CE"/>
    <w:rsid w:val="009A0D74"/>
    <w:rsid w:val="009A13F3"/>
    <w:rsid w:val="009A2E57"/>
    <w:rsid w:val="009B0E25"/>
    <w:rsid w:val="009B1E12"/>
    <w:rsid w:val="009B3C35"/>
    <w:rsid w:val="009B41A5"/>
    <w:rsid w:val="009B6976"/>
    <w:rsid w:val="009C49DB"/>
    <w:rsid w:val="009C6267"/>
    <w:rsid w:val="009C655B"/>
    <w:rsid w:val="009D04D5"/>
    <w:rsid w:val="009D04FC"/>
    <w:rsid w:val="009D088D"/>
    <w:rsid w:val="009D0EF1"/>
    <w:rsid w:val="009D7E1B"/>
    <w:rsid w:val="009E097A"/>
    <w:rsid w:val="009E1467"/>
    <w:rsid w:val="009E5842"/>
    <w:rsid w:val="00A00FB6"/>
    <w:rsid w:val="00A04BFD"/>
    <w:rsid w:val="00A07E61"/>
    <w:rsid w:val="00A1411C"/>
    <w:rsid w:val="00A228D4"/>
    <w:rsid w:val="00A23F50"/>
    <w:rsid w:val="00A368F7"/>
    <w:rsid w:val="00A37977"/>
    <w:rsid w:val="00A425D1"/>
    <w:rsid w:val="00A54EFA"/>
    <w:rsid w:val="00A60CDD"/>
    <w:rsid w:val="00A6524B"/>
    <w:rsid w:val="00A65AEB"/>
    <w:rsid w:val="00A738A9"/>
    <w:rsid w:val="00A81A3E"/>
    <w:rsid w:val="00A8490C"/>
    <w:rsid w:val="00A85169"/>
    <w:rsid w:val="00A8730A"/>
    <w:rsid w:val="00AA10A1"/>
    <w:rsid w:val="00AA5A08"/>
    <w:rsid w:val="00AB6729"/>
    <w:rsid w:val="00AC0E55"/>
    <w:rsid w:val="00AC62D6"/>
    <w:rsid w:val="00AD089B"/>
    <w:rsid w:val="00AD67D0"/>
    <w:rsid w:val="00AD6F33"/>
    <w:rsid w:val="00AD73A8"/>
    <w:rsid w:val="00AD77CA"/>
    <w:rsid w:val="00AE4B66"/>
    <w:rsid w:val="00AF37DF"/>
    <w:rsid w:val="00AF4237"/>
    <w:rsid w:val="00B00746"/>
    <w:rsid w:val="00B02D21"/>
    <w:rsid w:val="00B05728"/>
    <w:rsid w:val="00B100B8"/>
    <w:rsid w:val="00B1624C"/>
    <w:rsid w:val="00B23D81"/>
    <w:rsid w:val="00B32F91"/>
    <w:rsid w:val="00B41AA6"/>
    <w:rsid w:val="00B45B1F"/>
    <w:rsid w:val="00B52146"/>
    <w:rsid w:val="00B5299E"/>
    <w:rsid w:val="00B5304E"/>
    <w:rsid w:val="00B531FF"/>
    <w:rsid w:val="00B642C9"/>
    <w:rsid w:val="00B70F9F"/>
    <w:rsid w:val="00B7276F"/>
    <w:rsid w:val="00B80CC4"/>
    <w:rsid w:val="00B8571D"/>
    <w:rsid w:val="00B86A9E"/>
    <w:rsid w:val="00B86B67"/>
    <w:rsid w:val="00B9545E"/>
    <w:rsid w:val="00B95D15"/>
    <w:rsid w:val="00BA73E3"/>
    <w:rsid w:val="00BB046B"/>
    <w:rsid w:val="00BB4AA8"/>
    <w:rsid w:val="00BB56FA"/>
    <w:rsid w:val="00BC7842"/>
    <w:rsid w:val="00BD1E30"/>
    <w:rsid w:val="00BD7253"/>
    <w:rsid w:val="00BF02B9"/>
    <w:rsid w:val="00BF3C01"/>
    <w:rsid w:val="00BF425B"/>
    <w:rsid w:val="00C145D7"/>
    <w:rsid w:val="00C15B41"/>
    <w:rsid w:val="00C203CD"/>
    <w:rsid w:val="00C23FD5"/>
    <w:rsid w:val="00C27F62"/>
    <w:rsid w:val="00C454CF"/>
    <w:rsid w:val="00C46B74"/>
    <w:rsid w:val="00C5721D"/>
    <w:rsid w:val="00C575CA"/>
    <w:rsid w:val="00C669A4"/>
    <w:rsid w:val="00C85F23"/>
    <w:rsid w:val="00C87B6F"/>
    <w:rsid w:val="00CA1100"/>
    <w:rsid w:val="00CA18F0"/>
    <w:rsid w:val="00CA7787"/>
    <w:rsid w:val="00CB0ED1"/>
    <w:rsid w:val="00CC0D71"/>
    <w:rsid w:val="00CC146A"/>
    <w:rsid w:val="00CC6D93"/>
    <w:rsid w:val="00CD0F82"/>
    <w:rsid w:val="00CD7428"/>
    <w:rsid w:val="00CE329F"/>
    <w:rsid w:val="00CE3EC8"/>
    <w:rsid w:val="00CE4A4D"/>
    <w:rsid w:val="00CF2EE6"/>
    <w:rsid w:val="00D059D0"/>
    <w:rsid w:val="00D12B9A"/>
    <w:rsid w:val="00D22505"/>
    <w:rsid w:val="00D2477D"/>
    <w:rsid w:val="00D2796A"/>
    <w:rsid w:val="00D27E99"/>
    <w:rsid w:val="00D30FF7"/>
    <w:rsid w:val="00D36DCB"/>
    <w:rsid w:val="00D42E50"/>
    <w:rsid w:val="00D44054"/>
    <w:rsid w:val="00D473B1"/>
    <w:rsid w:val="00D50C99"/>
    <w:rsid w:val="00D51FDE"/>
    <w:rsid w:val="00D5287D"/>
    <w:rsid w:val="00D57677"/>
    <w:rsid w:val="00D64267"/>
    <w:rsid w:val="00D6435B"/>
    <w:rsid w:val="00D64E36"/>
    <w:rsid w:val="00D665E1"/>
    <w:rsid w:val="00D710FC"/>
    <w:rsid w:val="00D72A83"/>
    <w:rsid w:val="00D75DF1"/>
    <w:rsid w:val="00D8263B"/>
    <w:rsid w:val="00D8456E"/>
    <w:rsid w:val="00D87F84"/>
    <w:rsid w:val="00D9340C"/>
    <w:rsid w:val="00D94D7A"/>
    <w:rsid w:val="00D97E72"/>
    <w:rsid w:val="00DA2A6C"/>
    <w:rsid w:val="00DA437C"/>
    <w:rsid w:val="00DA5080"/>
    <w:rsid w:val="00DC3B93"/>
    <w:rsid w:val="00DC420B"/>
    <w:rsid w:val="00DC54C4"/>
    <w:rsid w:val="00DD0438"/>
    <w:rsid w:val="00DD2028"/>
    <w:rsid w:val="00DE2E88"/>
    <w:rsid w:val="00DE71CC"/>
    <w:rsid w:val="00DF0850"/>
    <w:rsid w:val="00DF4CAD"/>
    <w:rsid w:val="00E05F00"/>
    <w:rsid w:val="00E1318D"/>
    <w:rsid w:val="00E15BD6"/>
    <w:rsid w:val="00E16298"/>
    <w:rsid w:val="00E173FE"/>
    <w:rsid w:val="00E20582"/>
    <w:rsid w:val="00E207BA"/>
    <w:rsid w:val="00E22875"/>
    <w:rsid w:val="00E45927"/>
    <w:rsid w:val="00E4636B"/>
    <w:rsid w:val="00E465B6"/>
    <w:rsid w:val="00E46729"/>
    <w:rsid w:val="00E5094A"/>
    <w:rsid w:val="00E527EE"/>
    <w:rsid w:val="00E534FA"/>
    <w:rsid w:val="00E53B41"/>
    <w:rsid w:val="00E6247C"/>
    <w:rsid w:val="00E6503E"/>
    <w:rsid w:val="00E67EF7"/>
    <w:rsid w:val="00E754D5"/>
    <w:rsid w:val="00E7654C"/>
    <w:rsid w:val="00E92E3B"/>
    <w:rsid w:val="00E93694"/>
    <w:rsid w:val="00E95205"/>
    <w:rsid w:val="00EB0DBE"/>
    <w:rsid w:val="00EB70B3"/>
    <w:rsid w:val="00EC2272"/>
    <w:rsid w:val="00EC2835"/>
    <w:rsid w:val="00EC3D04"/>
    <w:rsid w:val="00EE561C"/>
    <w:rsid w:val="00EE59D7"/>
    <w:rsid w:val="00EE5BEC"/>
    <w:rsid w:val="00EE7D71"/>
    <w:rsid w:val="00EF0AAA"/>
    <w:rsid w:val="00EF0FDF"/>
    <w:rsid w:val="00F06AED"/>
    <w:rsid w:val="00F106F2"/>
    <w:rsid w:val="00F11EB6"/>
    <w:rsid w:val="00F15FE8"/>
    <w:rsid w:val="00F23899"/>
    <w:rsid w:val="00F26C37"/>
    <w:rsid w:val="00F3254B"/>
    <w:rsid w:val="00F37668"/>
    <w:rsid w:val="00F43AD4"/>
    <w:rsid w:val="00F51130"/>
    <w:rsid w:val="00F51988"/>
    <w:rsid w:val="00F520B2"/>
    <w:rsid w:val="00F525AD"/>
    <w:rsid w:val="00F5665B"/>
    <w:rsid w:val="00F60F47"/>
    <w:rsid w:val="00F75CEC"/>
    <w:rsid w:val="00F8125B"/>
    <w:rsid w:val="00F84BCD"/>
    <w:rsid w:val="00F91B67"/>
    <w:rsid w:val="00FA069C"/>
    <w:rsid w:val="00FB2987"/>
    <w:rsid w:val="00FB4A17"/>
    <w:rsid w:val="00FB5EBB"/>
    <w:rsid w:val="00FC4685"/>
    <w:rsid w:val="00FD0B66"/>
    <w:rsid w:val="00FD3372"/>
    <w:rsid w:val="00FD34B0"/>
    <w:rsid w:val="00FE3BA7"/>
    <w:rsid w:val="00FE512F"/>
    <w:rsid w:val="00FF7CB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s>
      <w:spacing w:before="120" w:after="120" w:line="300" w:lineRule="atLeast"/>
      <w:jc w:val="both"/>
    </w:pPr>
    <w:rPr>
      <w:rFonts w:ascii="Times" w:hAnsi="Times"/>
      <w:sz w:val="24"/>
    </w:rPr>
  </w:style>
  <w:style w:type="paragraph" w:styleId="Heading1">
    <w:name w:val="heading 1"/>
    <w:basedOn w:val="HeadingBase"/>
    <w:next w:val="NumberLevel1"/>
    <w:qFormat/>
    <w:pPr>
      <w:keepNext/>
      <w:keepLines/>
      <w:outlineLvl w:val="0"/>
    </w:pPr>
    <w:rPr>
      <w:b/>
      <w:bCs/>
      <w:caps/>
      <w:kern w:val="32"/>
      <w:szCs w:val="32"/>
    </w:rPr>
  </w:style>
  <w:style w:type="paragraph" w:styleId="Heading2">
    <w:name w:val="heading 2"/>
    <w:basedOn w:val="HeadingBase"/>
    <w:next w:val="NumberLevel1"/>
    <w:qFormat/>
    <w:pPr>
      <w:keepNext/>
      <w:keepLines/>
      <w:outlineLvl w:val="1"/>
    </w:pPr>
    <w:rPr>
      <w:b/>
      <w:bCs/>
      <w:iCs/>
      <w:sz w:val="22"/>
      <w:szCs w:val="28"/>
    </w:rPr>
  </w:style>
  <w:style w:type="paragraph" w:styleId="Heading3">
    <w:name w:val="heading 3"/>
    <w:basedOn w:val="HeadingBase"/>
    <w:next w:val="NumberLevel1"/>
    <w:qFormat/>
    <w:pPr>
      <w:keepNext/>
      <w:keepLines/>
      <w:outlineLvl w:val="2"/>
    </w:pPr>
    <w:rPr>
      <w:b/>
      <w:bCs/>
      <w:i/>
      <w:szCs w:val="26"/>
    </w:rPr>
  </w:style>
  <w:style w:type="paragraph" w:styleId="Heading4">
    <w:name w:val="heading 4"/>
    <w:basedOn w:val="HeadingBase"/>
    <w:next w:val="NumberLevel1"/>
    <w:qFormat/>
    <w:pPr>
      <w:keepNext/>
      <w:keepLines/>
      <w:outlineLvl w:val="3"/>
    </w:pPr>
    <w:rPr>
      <w:bCs/>
      <w:i/>
      <w:szCs w:val="28"/>
    </w:rPr>
  </w:style>
  <w:style w:type="paragraph" w:styleId="Heading5">
    <w:name w:val="heading 5"/>
    <w:basedOn w:val="HeadingBase"/>
    <w:next w:val="NumberLevel1"/>
    <w:qFormat/>
    <w:pPr>
      <w:keepNext/>
      <w:keepLines/>
      <w:outlineLvl w:val="4"/>
    </w:pPr>
    <w:rPr>
      <w:b/>
      <w:bCs/>
      <w:iCs/>
      <w:sz w:val="1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Base">
    <w:name w:val="Normal Base"/>
    <w:semiHidden/>
    <w:pPr>
      <w:spacing w:before="140" w:after="140" w:line="280" w:lineRule="atLeast"/>
    </w:pPr>
    <w:rPr>
      <w:rFonts w:ascii="Arial" w:hAnsi="Arial" w:cs="Arial"/>
      <w:sz w:val="22"/>
      <w:szCs w:val="22"/>
    </w:rPr>
  </w:style>
  <w:style w:type="paragraph" w:customStyle="1" w:styleId="HeadingBase">
    <w:name w:val="Heading Base"/>
    <w:semiHidden/>
    <w:pPr>
      <w:spacing w:before="200" w:line="280" w:lineRule="atLeast"/>
    </w:pPr>
    <w:rPr>
      <w:rFonts w:ascii="Arial" w:hAnsi="Arial" w:cs="Arial"/>
      <w:szCs w:val="22"/>
    </w:rPr>
  </w:style>
  <w:style w:type="paragraph" w:customStyle="1" w:styleId="PlainParagraph">
    <w:name w:val="Plain Paragraph"/>
    <w:basedOn w:val="NormalBase"/>
    <w:link w:val="PlainParagraphChar"/>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
      </w:numPr>
      <w:spacing w:before="0" w:line="260" w:lineRule="atLeast"/>
    </w:pPr>
    <w:rPr>
      <w:sz w:val="20"/>
    </w:rPr>
  </w:style>
  <w:style w:type="paragraph" w:customStyle="1" w:styleId="Quotation1">
    <w:name w:val="Quotation 1"/>
    <w:basedOn w:val="PlainParagraph"/>
    <w:pPr>
      <w:numPr>
        <w:ilvl w:val="1"/>
        <w:numId w:val="1"/>
      </w:numPr>
      <w:spacing w:before="0" w:line="260" w:lineRule="atLeast"/>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basedOn w:val="PlainParagraph"/>
    <w:link w:val="NumberLevel1Char"/>
    <w:pPr>
      <w:numPr>
        <w:numId w:val="2"/>
      </w:numPr>
    </w:pPr>
  </w:style>
  <w:style w:type="paragraph" w:customStyle="1" w:styleId="NumberLevel2">
    <w:name w:val="Number Level 2"/>
    <w:basedOn w:val="PlainParagraph"/>
    <w:pPr>
      <w:numPr>
        <w:ilvl w:val="1"/>
        <w:numId w:val="2"/>
      </w:numPr>
    </w:pPr>
  </w:style>
  <w:style w:type="paragraph" w:customStyle="1" w:styleId="NumberLevel3">
    <w:name w:val="Number Level 3"/>
    <w:basedOn w:val="PlainParagraph"/>
    <w:pPr>
      <w:numPr>
        <w:ilvl w:val="2"/>
        <w:numId w:val="2"/>
      </w:numPr>
    </w:pPr>
  </w:style>
  <w:style w:type="paragraph" w:customStyle="1" w:styleId="NumberLevel4">
    <w:name w:val="Number Level 4"/>
    <w:basedOn w:val="PlainParagraph"/>
    <w:pPr>
      <w:numPr>
        <w:ilvl w:val="3"/>
        <w:numId w:val="2"/>
      </w:numPr>
      <w:spacing w:before="0"/>
    </w:pPr>
  </w:style>
  <w:style w:type="paragraph" w:customStyle="1" w:styleId="NumberLevel5">
    <w:name w:val="Number Level 5"/>
    <w:basedOn w:val="PlainParagraph"/>
    <w:semiHidden/>
    <w:pPr>
      <w:numPr>
        <w:ilvl w:val="4"/>
        <w:numId w:val="2"/>
      </w:numPr>
      <w:spacing w:before="0"/>
    </w:pPr>
  </w:style>
  <w:style w:type="paragraph" w:customStyle="1" w:styleId="NumberLevel6">
    <w:name w:val="Number Level 6"/>
    <w:basedOn w:val="NumberLevel5"/>
    <w:semiHidden/>
    <w:pPr>
      <w:numPr>
        <w:ilvl w:val="5"/>
      </w:numPr>
    </w:pPr>
  </w:style>
  <w:style w:type="paragraph" w:customStyle="1" w:styleId="NumberLevel7">
    <w:name w:val="Number Level 7"/>
    <w:basedOn w:val="NumberLevel6"/>
    <w:semiHidden/>
    <w:pPr>
      <w:numPr>
        <w:ilvl w:val="6"/>
      </w:numPr>
    </w:pPr>
  </w:style>
  <w:style w:type="paragraph" w:customStyle="1" w:styleId="NumberLevel8">
    <w:name w:val="Number Level 8"/>
    <w:basedOn w:val="NumberLevel7"/>
    <w:semiHidden/>
    <w:pPr>
      <w:numPr>
        <w:ilvl w:val="7"/>
      </w:numPr>
    </w:pPr>
  </w:style>
  <w:style w:type="paragraph" w:customStyle="1" w:styleId="NumberLevel9">
    <w:name w:val="Number Level 9"/>
    <w:basedOn w:val="NumberLevel8"/>
    <w:semiHidden/>
    <w:pPr>
      <w:numPr>
        <w:ilvl w:val="8"/>
      </w:numPr>
    </w:pPr>
  </w:style>
  <w:style w:type="paragraph" w:customStyle="1" w:styleId="DashEm">
    <w:name w:val="Dash: Em"/>
    <w:basedOn w:val="PlainParagraph"/>
    <w:semiHidden/>
    <w:pPr>
      <w:numPr>
        <w:numId w:val="3"/>
      </w:numPr>
      <w:spacing w:before="0"/>
    </w:pPr>
  </w:style>
  <w:style w:type="paragraph" w:customStyle="1" w:styleId="DashEm1">
    <w:name w:val="Dash: Em 1"/>
    <w:basedOn w:val="PlainParagraph"/>
    <w:pPr>
      <w:numPr>
        <w:ilvl w:val="1"/>
        <w:numId w:val="3"/>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4"/>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5"/>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6"/>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7"/>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PlainParagraph"/>
    <w:semiHidden/>
    <w:pPr>
      <w:tabs>
        <w:tab w:val="left" w:pos="425"/>
      </w:tabs>
      <w:spacing w:before="0" w:after="60" w:line="240" w:lineRule="auto"/>
      <w:ind w:left="425" w:right="567" w:hanging="425"/>
    </w:pPr>
    <w:rPr>
      <w:sz w:val="18"/>
      <w:szCs w:val="20"/>
    </w:rPr>
  </w:style>
  <w:style w:type="paragraph" w:styleId="EndnoteText">
    <w:name w:val="endnote text"/>
    <w:basedOn w:val="PlainParagraph"/>
    <w:semiHidden/>
    <w:pPr>
      <w:tabs>
        <w:tab w:val="left" w:pos="425"/>
      </w:tabs>
      <w:spacing w:before="0" w:after="60" w:line="240" w:lineRule="auto"/>
      <w:ind w:left="425" w:hanging="425"/>
    </w:pPr>
    <w:rPr>
      <w:sz w:val="18"/>
      <w:szCs w:val="20"/>
    </w:rPr>
  </w:style>
  <w:style w:type="character" w:styleId="FootnoteReference">
    <w:name w:val="footnote reference"/>
    <w:basedOn w:val="DefaultParagraphFont"/>
    <w:semiHidden/>
    <w:rPr>
      <w:rFonts w:ascii="Arial" w:hAnsi="Arial" w:cs="Arial"/>
      <w:b w:val="0"/>
      <w:i w:val="0"/>
      <w:sz w:val="22"/>
      <w:vertAlign w:val="superscript"/>
    </w:rPr>
  </w:style>
  <w:style w:type="character" w:styleId="EndnoteReference">
    <w:name w:val="endnote reference"/>
    <w:basedOn w:val="DefaultParagraphFont"/>
    <w:semiHidden/>
    <w:rPr>
      <w:rFonts w:ascii="Arial" w:hAnsi="Arial" w:cs="Arial"/>
      <w:b w:val="0"/>
      <w:i w:val="0"/>
      <w:sz w:val="22"/>
      <w:vertAlign w:val="superscript"/>
    </w:rPr>
  </w:style>
  <w:style w:type="character" w:styleId="PageNumber">
    <w:name w:val="page number"/>
    <w:basedOn w:val="DefaultParagraphFont"/>
    <w:rPr>
      <w:rFonts w:ascii="Arial" w:hAnsi="Arial" w:cs="Arial"/>
      <w:b w:val="0"/>
      <w:i w:val="0"/>
      <w:sz w:val="16"/>
    </w:rPr>
  </w:style>
  <w:style w:type="character" w:styleId="Hyperlink">
    <w:name w:val="Hyperlink"/>
    <w:basedOn w:val="DefaultParagraphFont"/>
    <w:rPr>
      <w:rFonts w:ascii="Arial" w:hAnsi="Arial" w:cs="Arial"/>
      <w:color w:val="0000FF"/>
      <w:u w:val="single" w:color="0000FF"/>
    </w:rPr>
  </w:style>
  <w:style w:type="paragraph" w:styleId="TOC1">
    <w:name w:val="toc 1"/>
    <w:next w:val="Normal"/>
    <w:autoRedefine/>
    <w:semiHidden/>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semiHidden/>
    <w:pPr>
      <w:pBdr>
        <w:bottom w:val="none" w:sz="0" w:space="0" w:color="auto"/>
        <w:between w:val="none" w:sz="0" w:space="0" w:color="auto"/>
      </w:pBdr>
      <w:spacing w:before="60"/>
    </w:pPr>
    <w:rPr>
      <w:b w:val="0"/>
    </w:rPr>
  </w:style>
  <w:style w:type="paragraph" w:styleId="TOC3">
    <w:name w:val="toc 3"/>
    <w:basedOn w:val="TOC2"/>
    <w:next w:val="Normal"/>
    <w:semiHidden/>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8"/>
      </w:numPr>
    </w:pPr>
  </w:style>
  <w:style w:type="paragraph" w:customStyle="1" w:styleId="TableNumberLevel2">
    <w:name w:val="Table: Number Level 2"/>
    <w:basedOn w:val="TablePlainParagraph"/>
    <w:pPr>
      <w:numPr>
        <w:ilvl w:val="1"/>
        <w:numId w:val="8"/>
      </w:numPr>
    </w:pPr>
  </w:style>
  <w:style w:type="paragraph" w:customStyle="1" w:styleId="TableNumberLevel3">
    <w:name w:val="Table: Number Level 3"/>
    <w:basedOn w:val="TablePlainParagraph"/>
    <w:pPr>
      <w:numPr>
        <w:ilvl w:val="2"/>
        <w:numId w:val="8"/>
      </w:numPr>
    </w:pPr>
  </w:style>
  <w:style w:type="paragraph" w:customStyle="1" w:styleId="TableNumberLevel4">
    <w:name w:val="Table: Number Level 4"/>
    <w:basedOn w:val="TablePlainParagraph"/>
    <w:pPr>
      <w:numPr>
        <w:ilvl w:val="3"/>
        <w:numId w:val="8"/>
      </w:numPr>
      <w:spacing w:before="0"/>
    </w:pPr>
  </w:style>
  <w:style w:type="paragraph" w:customStyle="1" w:styleId="TableNumberLevel5">
    <w:name w:val="Table: Number Level 5"/>
    <w:basedOn w:val="TablePlainParagraph"/>
    <w:semiHidden/>
    <w:pPr>
      <w:numPr>
        <w:ilvl w:val="4"/>
        <w:numId w:val="8"/>
      </w:numPr>
      <w:spacing w:before="0"/>
    </w:pPr>
  </w:style>
  <w:style w:type="paragraph" w:customStyle="1" w:styleId="TableNumberLevel6">
    <w:name w:val="Table: Number Level 6"/>
    <w:basedOn w:val="TablePlainParagraph"/>
    <w:semiHidden/>
    <w:pPr>
      <w:numPr>
        <w:ilvl w:val="5"/>
        <w:numId w:val="8"/>
      </w:numPr>
      <w:spacing w:before="0"/>
    </w:pPr>
  </w:style>
  <w:style w:type="paragraph" w:customStyle="1" w:styleId="TableNumberLevel7">
    <w:name w:val="Table: Number Level 7"/>
    <w:basedOn w:val="TablePlainParagraph"/>
    <w:semiHidden/>
    <w:pPr>
      <w:numPr>
        <w:ilvl w:val="6"/>
        <w:numId w:val="8"/>
      </w:numPr>
      <w:spacing w:before="0"/>
    </w:pPr>
  </w:style>
  <w:style w:type="paragraph" w:customStyle="1" w:styleId="TableNumberLevel8">
    <w:name w:val="Table: Number Level 8"/>
    <w:basedOn w:val="TablePlainParagraph"/>
    <w:semiHidden/>
    <w:pPr>
      <w:numPr>
        <w:ilvl w:val="7"/>
        <w:numId w:val="8"/>
      </w:numPr>
      <w:spacing w:before="0"/>
    </w:pPr>
  </w:style>
  <w:style w:type="paragraph" w:customStyle="1" w:styleId="TableNumberLevel9">
    <w:name w:val="Table: Number Level 9"/>
    <w:basedOn w:val="TablePlainParagraph"/>
    <w:semiHidden/>
    <w:pPr>
      <w:numPr>
        <w:ilvl w:val="8"/>
        <w:numId w:val="8"/>
      </w:numPr>
      <w:spacing w:before="0"/>
    </w:pPr>
  </w:style>
  <w:style w:type="paragraph" w:customStyle="1" w:styleId="TableDashEm">
    <w:name w:val="Table: Dash: Em"/>
    <w:basedOn w:val="TablePlainParagraph"/>
    <w:semiHidden/>
    <w:pPr>
      <w:numPr>
        <w:numId w:val="9"/>
      </w:numPr>
      <w:spacing w:before="0"/>
    </w:pPr>
  </w:style>
  <w:style w:type="paragraph" w:customStyle="1" w:styleId="TableDashEm1">
    <w:name w:val="Table: Dash: Em 1"/>
    <w:basedOn w:val="TablePlainParagraph"/>
    <w:pPr>
      <w:numPr>
        <w:ilvl w:val="1"/>
        <w:numId w:val="9"/>
      </w:numPr>
      <w:spacing w:before="0"/>
    </w:pPr>
  </w:style>
  <w:style w:type="paragraph" w:customStyle="1" w:styleId="TableDashEn1">
    <w:name w:val="Table: Dash: En 1"/>
    <w:basedOn w:val="TablePlainParagraph"/>
    <w:pPr>
      <w:numPr>
        <w:ilvl w:val="2"/>
        <w:numId w:val="9"/>
      </w:numPr>
      <w:spacing w:before="0"/>
    </w:pPr>
  </w:style>
  <w:style w:type="paragraph" w:customStyle="1" w:styleId="TableDashEn2">
    <w:name w:val="Table: Dash: En 2"/>
    <w:basedOn w:val="TablePlainParagraph"/>
    <w:semiHidden/>
    <w:pPr>
      <w:numPr>
        <w:ilvl w:val="3"/>
        <w:numId w:val="9"/>
      </w:numPr>
      <w:spacing w:before="0"/>
    </w:pPr>
  </w:style>
  <w:style w:type="paragraph" w:customStyle="1" w:styleId="TableDashEn3">
    <w:name w:val="Table: Dash: En 3"/>
    <w:basedOn w:val="TablePlainParagraph"/>
    <w:semiHidden/>
    <w:pPr>
      <w:numPr>
        <w:ilvl w:val="4"/>
        <w:numId w:val="9"/>
      </w:numPr>
      <w:spacing w:before="0"/>
    </w:pPr>
  </w:style>
  <w:style w:type="paragraph" w:customStyle="1" w:styleId="TableDashEn4">
    <w:name w:val="Table: Dash: En 4"/>
    <w:basedOn w:val="TablePlainParagraph"/>
    <w:semiHidden/>
    <w:pPr>
      <w:numPr>
        <w:ilvl w:val="5"/>
        <w:numId w:val="9"/>
      </w:numPr>
      <w:spacing w:before="0"/>
    </w:pPr>
  </w:style>
  <w:style w:type="paragraph" w:customStyle="1" w:styleId="TableDashEn5">
    <w:name w:val="Table: Dash: En 5"/>
    <w:basedOn w:val="TablePlainParagraph"/>
    <w:semiHidden/>
    <w:pPr>
      <w:numPr>
        <w:ilvl w:val="6"/>
        <w:numId w:val="9"/>
      </w:numPr>
      <w:spacing w:before="0"/>
    </w:pPr>
  </w:style>
  <w:style w:type="paragraph" w:customStyle="1" w:styleId="TableDashEn6">
    <w:name w:val="Table: Dash: En 6"/>
    <w:basedOn w:val="TablePlainParagraph"/>
    <w:semiHidden/>
    <w:pPr>
      <w:numPr>
        <w:ilvl w:val="7"/>
        <w:numId w:val="9"/>
      </w:numPr>
      <w:spacing w:before="0"/>
    </w:pPr>
  </w:style>
  <w:style w:type="paragraph" w:customStyle="1" w:styleId="TableDashEn7">
    <w:name w:val="Table: Dash: En 7"/>
    <w:basedOn w:val="TablePlainParagraph"/>
    <w:semiHidden/>
    <w:pPr>
      <w:numPr>
        <w:ilvl w:val="8"/>
        <w:numId w:val="9"/>
      </w:numPr>
      <w:spacing w:before="0"/>
    </w:pPr>
  </w:style>
  <w:style w:type="paragraph" w:customStyle="1" w:styleId="TableIndentHanging">
    <w:name w:val="Table: Indent: Hanging"/>
    <w:basedOn w:val="TablePlainParagraph"/>
    <w:semiHidden/>
    <w:pPr>
      <w:numPr>
        <w:numId w:val="10"/>
      </w:numPr>
      <w:tabs>
        <w:tab w:val="left" w:pos="283"/>
      </w:tabs>
      <w:spacing w:before="0"/>
    </w:pPr>
  </w:style>
  <w:style w:type="paragraph" w:customStyle="1" w:styleId="TableIndentHanging1">
    <w:name w:val="Table: Indent: Hanging 1"/>
    <w:basedOn w:val="TablePlainParagraph"/>
    <w:pPr>
      <w:numPr>
        <w:ilvl w:val="1"/>
        <w:numId w:val="10"/>
      </w:numPr>
      <w:tabs>
        <w:tab w:val="left" w:pos="283"/>
      </w:tabs>
      <w:spacing w:before="0"/>
    </w:pPr>
  </w:style>
  <w:style w:type="paragraph" w:customStyle="1" w:styleId="TableIndentHanging2">
    <w:name w:val="Table: Indent: Hanging 2"/>
    <w:basedOn w:val="TablePlainParagraph"/>
    <w:semiHidden/>
    <w:pPr>
      <w:numPr>
        <w:ilvl w:val="2"/>
        <w:numId w:val="10"/>
      </w:numPr>
      <w:tabs>
        <w:tab w:val="left" w:pos="567"/>
      </w:tabs>
      <w:spacing w:before="0"/>
    </w:pPr>
  </w:style>
  <w:style w:type="paragraph" w:customStyle="1" w:styleId="TableIndentHanging3">
    <w:name w:val="Table: Indent: Hanging 3"/>
    <w:basedOn w:val="TablePlainParagraph"/>
    <w:semiHidden/>
    <w:pPr>
      <w:numPr>
        <w:ilvl w:val="3"/>
        <w:numId w:val="10"/>
      </w:numPr>
      <w:tabs>
        <w:tab w:val="left" w:pos="850"/>
      </w:tabs>
      <w:spacing w:before="0"/>
    </w:pPr>
  </w:style>
  <w:style w:type="paragraph" w:customStyle="1" w:styleId="TableIndentHanging4">
    <w:name w:val="Table: Indent: Hanging 4"/>
    <w:basedOn w:val="TablePlainParagraph"/>
    <w:semiHidden/>
    <w:pPr>
      <w:numPr>
        <w:ilvl w:val="4"/>
        <w:numId w:val="10"/>
      </w:numPr>
      <w:tabs>
        <w:tab w:val="left" w:pos="1134"/>
      </w:tabs>
      <w:spacing w:before="0"/>
    </w:pPr>
  </w:style>
  <w:style w:type="paragraph" w:customStyle="1" w:styleId="TableIndentHanging5">
    <w:name w:val="Table: Indent: Hanging 5"/>
    <w:basedOn w:val="TablePlainParagraph"/>
    <w:semiHidden/>
    <w:pPr>
      <w:numPr>
        <w:ilvl w:val="5"/>
        <w:numId w:val="10"/>
      </w:numPr>
      <w:tabs>
        <w:tab w:val="left" w:pos="1417"/>
      </w:tabs>
      <w:spacing w:before="0"/>
    </w:pPr>
  </w:style>
  <w:style w:type="paragraph" w:customStyle="1" w:styleId="TableIndentHanging6">
    <w:name w:val="Table: Indent: Hanging 6"/>
    <w:basedOn w:val="TablePlainParagraph"/>
    <w:semiHidden/>
    <w:pPr>
      <w:numPr>
        <w:ilvl w:val="6"/>
        <w:numId w:val="10"/>
      </w:numPr>
      <w:tabs>
        <w:tab w:val="left" w:pos="1701"/>
      </w:tabs>
      <w:spacing w:before="0"/>
    </w:pPr>
  </w:style>
  <w:style w:type="paragraph" w:customStyle="1" w:styleId="TableIndentHanging7">
    <w:name w:val="Table: Indent: Hanging 7"/>
    <w:basedOn w:val="TablePlainParagraph"/>
    <w:semiHidden/>
    <w:pPr>
      <w:numPr>
        <w:ilvl w:val="7"/>
        <w:numId w:val="10"/>
      </w:numPr>
      <w:tabs>
        <w:tab w:val="left" w:pos="1984"/>
      </w:tabs>
      <w:spacing w:before="0"/>
    </w:pPr>
  </w:style>
  <w:style w:type="paragraph" w:customStyle="1" w:styleId="TableIndentHanging8">
    <w:name w:val="Table: Indent: Hanging 8"/>
    <w:basedOn w:val="TablePlainParagraph"/>
    <w:semiHidden/>
    <w:pPr>
      <w:numPr>
        <w:ilvl w:val="8"/>
        <w:numId w:val="10"/>
      </w:numPr>
      <w:tabs>
        <w:tab w:val="left" w:pos="2268"/>
      </w:tabs>
      <w:spacing w:before="0"/>
    </w:pPr>
  </w:style>
  <w:style w:type="paragraph" w:customStyle="1" w:styleId="TableIndentFull">
    <w:name w:val="Table: Indent: Full"/>
    <w:basedOn w:val="TablePlainParagraph"/>
    <w:semiHidden/>
    <w:pPr>
      <w:numPr>
        <w:numId w:val="11"/>
      </w:numPr>
      <w:spacing w:before="0"/>
    </w:pPr>
  </w:style>
  <w:style w:type="paragraph" w:customStyle="1" w:styleId="TableIndentFull1">
    <w:name w:val="Table: Indent: Full 1"/>
    <w:basedOn w:val="TablePlainParagraph"/>
    <w:pPr>
      <w:numPr>
        <w:ilvl w:val="1"/>
        <w:numId w:val="11"/>
      </w:numPr>
      <w:spacing w:before="0"/>
    </w:pPr>
  </w:style>
  <w:style w:type="paragraph" w:customStyle="1" w:styleId="TableIndentFull2">
    <w:name w:val="Table: Indent: Full 2"/>
    <w:basedOn w:val="TablePlainParagraph"/>
    <w:semiHidden/>
    <w:pPr>
      <w:numPr>
        <w:ilvl w:val="2"/>
        <w:numId w:val="11"/>
      </w:numPr>
      <w:spacing w:before="0"/>
    </w:pPr>
  </w:style>
  <w:style w:type="paragraph" w:customStyle="1" w:styleId="TableIndentFull3">
    <w:name w:val="Table: Indent: Full 3"/>
    <w:basedOn w:val="TablePlainParagraph"/>
    <w:semiHidden/>
    <w:pPr>
      <w:numPr>
        <w:ilvl w:val="3"/>
        <w:numId w:val="11"/>
      </w:numPr>
      <w:spacing w:before="0"/>
    </w:pPr>
  </w:style>
  <w:style w:type="paragraph" w:customStyle="1" w:styleId="TableIndentFull4">
    <w:name w:val="Table: Indent: Full 4"/>
    <w:basedOn w:val="TablePlainParagraph"/>
    <w:semiHidden/>
    <w:pPr>
      <w:numPr>
        <w:ilvl w:val="4"/>
        <w:numId w:val="11"/>
      </w:numPr>
      <w:spacing w:before="0"/>
    </w:pPr>
  </w:style>
  <w:style w:type="paragraph" w:customStyle="1" w:styleId="TableIndentFull5">
    <w:name w:val="Table: Indent: Full 5"/>
    <w:basedOn w:val="TablePlainParagraph"/>
    <w:semiHidden/>
    <w:pPr>
      <w:numPr>
        <w:ilvl w:val="5"/>
        <w:numId w:val="11"/>
      </w:numPr>
      <w:spacing w:before="0"/>
    </w:pPr>
  </w:style>
  <w:style w:type="paragraph" w:customStyle="1" w:styleId="TableIndentFull6">
    <w:name w:val="Table: Indent: Full 6"/>
    <w:basedOn w:val="TablePlainParagraph"/>
    <w:semiHidden/>
    <w:pPr>
      <w:numPr>
        <w:ilvl w:val="6"/>
        <w:numId w:val="11"/>
      </w:numPr>
      <w:spacing w:before="0"/>
    </w:pPr>
  </w:style>
  <w:style w:type="paragraph" w:customStyle="1" w:styleId="TableIndentFull7">
    <w:name w:val="Table: Indent: Full 7"/>
    <w:basedOn w:val="TablePlainParagraph"/>
    <w:semiHidden/>
    <w:pPr>
      <w:numPr>
        <w:ilvl w:val="7"/>
        <w:numId w:val="11"/>
      </w:numPr>
      <w:spacing w:before="0"/>
    </w:pPr>
  </w:style>
  <w:style w:type="paragraph" w:customStyle="1" w:styleId="TableIndentFull8">
    <w:name w:val="Table: Indent: Full 8"/>
    <w:basedOn w:val="TablePlainParagraph"/>
    <w:semiHidden/>
    <w:pPr>
      <w:numPr>
        <w:ilvl w:val="8"/>
        <w:numId w:val="11"/>
      </w:numPr>
      <w:spacing w:before="0"/>
    </w:pPr>
  </w:style>
  <w:style w:type="paragraph" w:customStyle="1" w:styleId="TableNumberedList1">
    <w:name w:val="Table: Numbered List: 1)"/>
    <w:basedOn w:val="TablePlainParagraph"/>
    <w:semiHidden/>
    <w:pPr>
      <w:numPr>
        <w:numId w:val="12"/>
      </w:numPr>
      <w:spacing w:before="0"/>
    </w:pPr>
  </w:style>
  <w:style w:type="paragraph" w:customStyle="1" w:styleId="TableNumberedList11">
    <w:name w:val="Table: Numbered List: 1) 1"/>
    <w:basedOn w:val="TablePlainParagraph"/>
    <w:pPr>
      <w:numPr>
        <w:ilvl w:val="1"/>
        <w:numId w:val="12"/>
      </w:numPr>
      <w:spacing w:before="0"/>
    </w:pPr>
  </w:style>
  <w:style w:type="paragraph" w:customStyle="1" w:styleId="TableNumberedList12">
    <w:name w:val="Table: Numbered List: 1) 2"/>
    <w:basedOn w:val="TablePlainParagraph"/>
    <w:semiHidden/>
    <w:pPr>
      <w:numPr>
        <w:ilvl w:val="2"/>
        <w:numId w:val="12"/>
      </w:numPr>
      <w:spacing w:before="0"/>
    </w:pPr>
  </w:style>
  <w:style w:type="paragraph" w:customStyle="1" w:styleId="TableNumberedList13">
    <w:name w:val="Table: Numbered List: 1) 3"/>
    <w:basedOn w:val="TablePlainParagraph"/>
    <w:semiHidden/>
    <w:pPr>
      <w:numPr>
        <w:ilvl w:val="3"/>
        <w:numId w:val="12"/>
      </w:numPr>
      <w:spacing w:before="0"/>
    </w:pPr>
  </w:style>
  <w:style w:type="paragraph" w:customStyle="1" w:styleId="TableNumberedList14">
    <w:name w:val="Table: Numbered List: 1) 4"/>
    <w:basedOn w:val="TablePlainParagraph"/>
    <w:semiHidden/>
    <w:pPr>
      <w:numPr>
        <w:ilvl w:val="4"/>
        <w:numId w:val="12"/>
      </w:numPr>
      <w:spacing w:before="0"/>
    </w:pPr>
  </w:style>
  <w:style w:type="paragraph" w:customStyle="1" w:styleId="TableNumberedList15">
    <w:name w:val="Table: Numbered List: 1) 5"/>
    <w:basedOn w:val="TablePlainParagraph"/>
    <w:semiHidden/>
    <w:pPr>
      <w:numPr>
        <w:ilvl w:val="5"/>
        <w:numId w:val="12"/>
      </w:numPr>
      <w:spacing w:before="0"/>
    </w:pPr>
  </w:style>
  <w:style w:type="paragraph" w:customStyle="1" w:styleId="TableNumberedList16">
    <w:name w:val="Table: Numbered List: 1) 6"/>
    <w:basedOn w:val="TablePlainParagraph"/>
    <w:semiHidden/>
    <w:pPr>
      <w:numPr>
        <w:ilvl w:val="6"/>
        <w:numId w:val="12"/>
      </w:numPr>
      <w:spacing w:before="0"/>
    </w:pPr>
  </w:style>
  <w:style w:type="paragraph" w:customStyle="1" w:styleId="TableNumberedList17">
    <w:name w:val="Table: Numbered List: 1) 7"/>
    <w:basedOn w:val="TablePlainParagraph"/>
    <w:semiHidden/>
    <w:pPr>
      <w:numPr>
        <w:ilvl w:val="7"/>
        <w:numId w:val="12"/>
      </w:numPr>
      <w:spacing w:before="0"/>
    </w:pPr>
  </w:style>
  <w:style w:type="paragraph" w:customStyle="1" w:styleId="TableNumberedList18">
    <w:name w:val="Table: Numbered List: 1) 8"/>
    <w:basedOn w:val="TablePlainParagraph"/>
    <w:semiHidden/>
    <w:pPr>
      <w:numPr>
        <w:ilvl w:val="8"/>
        <w:numId w:val="12"/>
      </w:numPr>
      <w:spacing w:before="0"/>
    </w:pPr>
  </w:style>
  <w:style w:type="paragraph" w:customStyle="1" w:styleId="TableNumberedLista">
    <w:name w:val="Table: Numbered List: a)"/>
    <w:basedOn w:val="TablePlainParagraph"/>
    <w:semiHidden/>
    <w:pPr>
      <w:numPr>
        <w:numId w:val="13"/>
      </w:numPr>
      <w:spacing w:before="0"/>
    </w:pPr>
  </w:style>
  <w:style w:type="paragraph" w:customStyle="1" w:styleId="TableNumberedLista1">
    <w:name w:val="Table: Numbered List: a) 1"/>
    <w:basedOn w:val="TablePlainParagraph"/>
    <w:pPr>
      <w:numPr>
        <w:ilvl w:val="1"/>
        <w:numId w:val="13"/>
      </w:numPr>
      <w:spacing w:before="0"/>
    </w:pPr>
  </w:style>
  <w:style w:type="paragraph" w:customStyle="1" w:styleId="TableNumberedLista2">
    <w:name w:val="Table: Numbered List: a) 2"/>
    <w:basedOn w:val="TablePlainParagraph"/>
    <w:semiHidden/>
    <w:pPr>
      <w:numPr>
        <w:ilvl w:val="2"/>
        <w:numId w:val="13"/>
      </w:numPr>
      <w:spacing w:before="0"/>
    </w:pPr>
  </w:style>
  <w:style w:type="paragraph" w:customStyle="1" w:styleId="TableNumberedLista3">
    <w:name w:val="Table: Numbered List: a) 3"/>
    <w:basedOn w:val="TablePlainParagraph"/>
    <w:semiHidden/>
    <w:pPr>
      <w:numPr>
        <w:ilvl w:val="3"/>
        <w:numId w:val="13"/>
      </w:numPr>
      <w:spacing w:before="0"/>
    </w:pPr>
  </w:style>
  <w:style w:type="paragraph" w:customStyle="1" w:styleId="TableNumberedLista4">
    <w:name w:val="Table: Numbered List: a) 4"/>
    <w:basedOn w:val="TablePlainParagraph"/>
    <w:semiHidden/>
    <w:pPr>
      <w:numPr>
        <w:ilvl w:val="4"/>
        <w:numId w:val="13"/>
      </w:numPr>
      <w:spacing w:before="0"/>
    </w:pPr>
  </w:style>
  <w:style w:type="paragraph" w:customStyle="1" w:styleId="TableNumberedLista5">
    <w:name w:val="Table: Numbered List: a) 5"/>
    <w:basedOn w:val="TablePlainParagraph"/>
    <w:semiHidden/>
    <w:pPr>
      <w:numPr>
        <w:ilvl w:val="5"/>
        <w:numId w:val="13"/>
      </w:numPr>
      <w:spacing w:before="0"/>
    </w:pPr>
  </w:style>
  <w:style w:type="paragraph" w:customStyle="1" w:styleId="TableNumberedLista6">
    <w:name w:val="Table: Numbered List: a) 6"/>
    <w:basedOn w:val="TablePlainParagraph"/>
    <w:semiHidden/>
    <w:pPr>
      <w:numPr>
        <w:ilvl w:val="6"/>
        <w:numId w:val="13"/>
      </w:numPr>
      <w:spacing w:before="0"/>
    </w:pPr>
  </w:style>
  <w:style w:type="paragraph" w:customStyle="1" w:styleId="TableNumberedLista7">
    <w:name w:val="Table: Numbered List: a) 7"/>
    <w:basedOn w:val="TablePlainParagraph"/>
    <w:semiHidden/>
    <w:pPr>
      <w:numPr>
        <w:ilvl w:val="7"/>
        <w:numId w:val="13"/>
      </w:numPr>
      <w:spacing w:before="0"/>
    </w:pPr>
  </w:style>
  <w:style w:type="paragraph" w:customStyle="1" w:styleId="TableNumberedLista8">
    <w:name w:val="Table: Numbered List: a) 8"/>
    <w:basedOn w:val="TablePlainParagraph"/>
    <w:semiHidden/>
    <w:pPr>
      <w:numPr>
        <w:ilvl w:val="8"/>
        <w:numId w:val="13"/>
      </w:numPr>
      <w:spacing w:before="0"/>
    </w:pPr>
  </w:style>
  <w:style w:type="paragraph" w:customStyle="1" w:styleId="Subrand">
    <w:name w:val="Subrand"/>
    <w:semiHidden/>
    <w:pPr>
      <w:spacing w:line="200" w:lineRule="atLeast"/>
      <w:jc w:val="right"/>
    </w:pPr>
    <w:rPr>
      <w:rFonts w:ascii="Arial" w:hAnsi="Arial" w:cs="Arial"/>
      <w:b/>
      <w:i/>
      <w:szCs w:val="22"/>
    </w:rPr>
  </w:style>
  <w:style w:type="character" w:customStyle="1" w:styleId="PlainParagraphChar">
    <w:name w:val="Plain Paragraph Char"/>
    <w:basedOn w:val="DefaultParagraphFont"/>
    <w:link w:val="PlainParagraph"/>
    <w:rsid w:val="007E1C2D"/>
    <w:rPr>
      <w:rFonts w:ascii="Arial" w:hAnsi="Arial" w:cs="Arial"/>
      <w:sz w:val="22"/>
      <w:szCs w:val="22"/>
      <w:lang w:val="en-AU" w:eastAsia="en-AU" w:bidi="ar-SA"/>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OC4">
    <w:name w:val="toc 4"/>
    <w:basedOn w:val="Normal"/>
    <w:next w:val="Normal"/>
    <w:semiHidden/>
    <w:pPr>
      <w:tabs>
        <w:tab w:val="right" w:pos="8210"/>
      </w:tabs>
      <w:spacing w:before="60" w:line="280" w:lineRule="atLeast"/>
    </w:pPr>
    <w:rPr>
      <w:sz w:val="20"/>
    </w:rPr>
  </w:style>
  <w:style w:type="paragraph" w:styleId="TOC5">
    <w:name w:val="toc 5"/>
    <w:basedOn w:val="Normal"/>
    <w:next w:val="Normal"/>
    <w:semiHidden/>
    <w:pPr>
      <w:spacing w:before="60" w:line="280" w:lineRule="atLeast"/>
    </w:pPr>
    <w:rPr>
      <w:sz w:val="20"/>
    </w:rPr>
  </w:style>
  <w:style w:type="paragraph" w:customStyle="1" w:styleId="TxtParagraphChar">
    <w:name w:val="Txt  Paragraph Char"/>
    <w:basedOn w:val="NormalBase"/>
    <w:pPr>
      <w:tabs>
        <w:tab w:val="left" w:pos="567"/>
      </w:tabs>
      <w:spacing w:before="120" w:after="120" w:line="300" w:lineRule="atLeast"/>
      <w:jc w:val="both"/>
    </w:pPr>
    <w:rPr>
      <w:rFonts w:ascii="Times New Roman" w:hAnsi="Times New Roman" w:cs="Times New Roman"/>
      <w:color w:val="000000"/>
      <w:sz w:val="24"/>
      <w:szCs w:val="20"/>
      <w:lang w:eastAsia="en-US"/>
    </w:rPr>
  </w:style>
  <w:style w:type="paragraph" w:styleId="BalloonText">
    <w:name w:val="Balloon Text"/>
    <w:basedOn w:val="Normal"/>
    <w:semiHidden/>
    <w:rPr>
      <w:rFonts w:ascii="Tahoma" w:hAnsi="Tahoma" w:cs="Tahoma"/>
      <w:sz w:val="16"/>
      <w:szCs w:val="16"/>
    </w:rPr>
  </w:style>
  <w:style w:type="paragraph" w:customStyle="1" w:styleId="EMparagraph">
    <w:name w:val="EM paragraph"/>
    <w:basedOn w:val="Normal"/>
    <w:link w:val="EMparagraphChar"/>
    <w:rsid w:val="00817509"/>
    <w:pPr>
      <w:widowControl/>
      <w:tabs>
        <w:tab w:val="clear" w:pos="567"/>
      </w:tabs>
      <w:spacing w:before="0" w:after="240" w:line="240" w:lineRule="auto"/>
      <w:ind w:right="85"/>
      <w:jc w:val="left"/>
    </w:pPr>
  </w:style>
  <w:style w:type="character" w:customStyle="1" w:styleId="EMparagraphChar">
    <w:name w:val="EM paragraph Char"/>
    <w:basedOn w:val="DefaultParagraphFont"/>
    <w:link w:val="EMparagraph"/>
    <w:rsid w:val="00817509"/>
    <w:rPr>
      <w:rFonts w:ascii="Times" w:hAnsi="Times"/>
      <w:sz w:val="24"/>
      <w:lang w:val="en-AU" w:eastAsia="en-AU" w:bidi="ar-SA"/>
    </w:rPr>
  </w:style>
  <w:style w:type="paragraph" w:customStyle="1" w:styleId="plainparagraph0">
    <w:name w:val="plainparagraph"/>
    <w:basedOn w:val="Normal"/>
    <w:rsid w:val="00E53B41"/>
    <w:pPr>
      <w:widowControl/>
      <w:tabs>
        <w:tab w:val="clear" w:pos="567"/>
      </w:tabs>
      <w:spacing w:before="140" w:after="140" w:line="280" w:lineRule="atLeast"/>
      <w:jc w:val="left"/>
    </w:pPr>
    <w:rPr>
      <w:rFonts w:ascii="Arial" w:hAnsi="Arial" w:cs="Arial"/>
      <w:sz w:val="22"/>
      <w:szCs w:val="22"/>
    </w:rPr>
  </w:style>
  <w:style w:type="character" w:styleId="CommentReference">
    <w:name w:val="annotation reference"/>
    <w:basedOn w:val="DefaultParagraphFont"/>
    <w:semiHidden/>
    <w:rsid w:val="00147630"/>
    <w:rPr>
      <w:sz w:val="16"/>
      <w:szCs w:val="16"/>
    </w:rPr>
  </w:style>
  <w:style w:type="paragraph" w:styleId="CommentText">
    <w:name w:val="annotation text"/>
    <w:basedOn w:val="Normal"/>
    <w:semiHidden/>
    <w:rsid w:val="00147630"/>
    <w:rPr>
      <w:sz w:val="20"/>
    </w:rPr>
  </w:style>
  <w:style w:type="paragraph" w:styleId="CommentSubject">
    <w:name w:val="annotation subject"/>
    <w:basedOn w:val="CommentText"/>
    <w:next w:val="CommentText"/>
    <w:semiHidden/>
    <w:rsid w:val="00147630"/>
    <w:rPr>
      <w:b/>
      <w:bCs/>
    </w:rPr>
  </w:style>
  <w:style w:type="character" w:styleId="FollowedHyperlink">
    <w:name w:val="FollowedHyperlink"/>
    <w:basedOn w:val="DefaultParagraphFont"/>
    <w:rsid w:val="00D64267"/>
    <w:rPr>
      <w:color w:val="800080"/>
      <w:u w:val="single"/>
    </w:rPr>
  </w:style>
  <w:style w:type="paragraph" w:customStyle="1" w:styleId="TxtParagraph">
    <w:name w:val="Txt  Paragraph"/>
    <w:basedOn w:val="Normal"/>
    <w:rsid w:val="0033742B"/>
    <w:pPr>
      <w:widowControl/>
      <w:overflowPunct w:val="0"/>
      <w:autoSpaceDE w:val="0"/>
      <w:autoSpaceDN w:val="0"/>
      <w:adjustRightInd w:val="0"/>
      <w:textAlignment w:val="baseline"/>
    </w:pPr>
    <w:rPr>
      <w:color w:val="000000"/>
    </w:rPr>
  </w:style>
  <w:style w:type="character" w:styleId="Emphasis">
    <w:name w:val="Emphasis"/>
    <w:basedOn w:val="DefaultParagraphFont"/>
    <w:qFormat/>
    <w:rsid w:val="0033742B"/>
    <w:rPr>
      <w:i/>
      <w:iCs/>
    </w:rPr>
  </w:style>
  <w:style w:type="character" w:customStyle="1" w:styleId="NumberLevel1Char">
    <w:name w:val="Number Level 1 Char"/>
    <w:basedOn w:val="DefaultParagraphFont"/>
    <w:link w:val="NumberLevel1"/>
    <w:rsid w:val="00E92E3B"/>
    <w:rPr>
      <w:rFonts w:ascii="Arial" w:hAnsi="Arial" w:cs="Arial"/>
      <w:sz w:val="22"/>
      <w:szCs w:val="22"/>
      <w:lang w:val="en-AU" w:eastAsia="en-AU" w:bidi="ar-SA"/>
    </w:rPr>
  </w:style>
</w:styles>
</file>

<file path=word/webSettings.xml><?xml version="1.0" encoding="utf-8"?>
<w:webSettings xmlns:r="http://schemas.openxmlformats.org/officeDocument/2006/relationships" xmlns:w="http://schemas.openxmlformats.org/wordprocessingml/2006/main">
  <w:divs>
    <w:div w:id="869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5168</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Explanatory Memorandum</vt:lpstr>
    </vt:vector>
  </TitlesOfParts>
  <Manager/>
  <Company>Australian Government Solicitor</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Frances Carter</dc:creator>
  <cp:keywords/>
  <dc:description/>
  <cp:lastModifiedBy>hilhma</cp:lastModifiedBy>
  <cp:revision>2</cp:revision>
  <cp:lastPrinted>2010-05-12T01:20:00Z</cp:lastPrinted>
  <dcterms:created xsi:type="dcterms:W3CDTF">2012-04-16T01:36:00Z</dcterms:created>
  <dcterms:modified xsi:type="dcterms:W3CDTF">2012-04-16T01:36:00Z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GS CancelDocNew">
    <vt:lpwstr>TRUE</vt:lpwstr>
  </property>
</Properties>
</file>