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D3F" w:rsidRPr="008A2CFC" w:rsidRDefault="00FB6D3F" w:rsidP="00FB6D3F">
      <w:pPr>
        <w:jc w:val="center"/>
        <w:rPr>
          <w:b/>
          <w:lang w:val="en-US"/>
        </w:rPr>
      </w:pPr>
      <w:r w:rsidRPr="008A2CFC">
        <w:rPr>
          <w:b/>
          <w:lang w:val="en-US"/>
        </w:rPr>
        <w:t>Australian Securities and Investments Commission</w:t>
      </w:r>
    </w:p>
    <w:p w:rsidR="00FB6D3F" w:rsidRDefault="00FB6D3F" w:rsidP="00FB6D3F">
      <w:pPr>
        <w:jc w:val="center"/>
        <w:rPr>
          <w:b/>
          <w:lang w:val="en-US"/>
        </w:rPr>
      </w:pPr>
      <w:r w:rsidRPr="008A2CFC">
        <w:rPr>
          <w:b/>
          <w:lang w:val="en-US"/>
        </w:rPr>
        <w:t>Corporations Act 2001 – Subsection</w:t>
      </w:r>
      <w:r>
        <w:rPr>
          <w:b/>
          <w:lang w:val="en-US"/>
        </w:rPr>
        <w:t xml:space="preserve"> </w:t>
      </w:r>
      <w:proofErr w:type="gramStart"/>
      <w:r>
        <w:rPr>
          <w:b/>
          <w:lang w:val="en-US"/>
        </w:rPr>
        <w:t>601YAA(</w:t>
      </w:r>
      <w:proofErr w:type="gramEnd"/>
      <w:r>
        <w:rPr>
          <w:b/>
          <w:lang w:val="en-US"/>
        </w:rPr>
        <w:t>1)</w:t>
      </w:r>
      <w:r w:rsidRPr="008A2CFC">
        <w:rPr>
          <w:b/>
          <w:lang w:val="en-US"/>
        </w:rPr>
        <w:t xml:space="preserve"> – </w:t>
      </w:r>
    </w:p>
    <w:p w:rsidR="00FB6D3F" w:rsidRPr="008A2CFC" w:rsidRDefault="00FB6D3F" w:rsidP="00FB6D3F">
      <w:pPr>
        <w:jc w:val="center"/>
        <w:rPr>
          <w:b/>
          <w:lang w:val="en-US"/>
        </w:rPr>
      </w:pPr>
      <w:r>
        <w:rPr>
          <w:b/>
          <w:lang w:val="en-US"/>
        </w:rPr>
        <w:t>Declaration</w:t>
      </w:r>
    </w:p>
    <w:p w:rsidR="003A5070" w:rsidRDefault="003A5070" w:rsidP="00FB6D3F">
      <w:pPr>
        <w:jc w:val="center"/>
        <w:rPr>
          <w:lang w:val="en-US"/>
        </w:rPr>
      </w:pPr>
    </w:p>
    <w:p w:rsidR="00FB6D3F" w:rsidRPr="008A2CFC" w:rsidRDefault="00FB6D3F" w:rsidP="00FB6D3F">
      <w:pPr>
        <w:rPr>
          <w:b/>
          <w:lang w:val="en-US"/>
        </w:rPr>
      </w:pPr>
      <w:r w:rsidRPr="008A2CFC">
        <w:rPr>
          <w:b/>
          <w:lang w:val="en-US"/>
        </w:rPr>
        <w:t>Enabling provision</w:t>
      </w:r>
    </w:p>
    <w:p w:rsidR="00FB6D3F" w:rsidRDefault="00FB6D3F" w:rsidP="00FB6D3F">
      <w:pPr>
        <w:rPr>
          <w:lang w:val="en-US"/>
        </w:rPr>
      </w:pPr>
    </w:p>
    <w:p w:rsidR="00FB6D3F" w:rsidRDefault="00FB6D3F" w:rsidP="00FB6D3F">
      <w:pPr>
        <w:ind w:left="567" w:hanging="567"/>
        <w:rPr>
          <w:lang w:val="en-US"/>
        </w:rPr>
      </w:pPr>
      <w:r w:rsidRPr="008A2CFC">
        <w:rPr>
          <w:lang w:val="en-US"/>
        </w:rPr>
        <w:t>1.</w:t>
      </w:r>
      <w:r>
        <w:rPr>
          <w:lang w:val="en-US"/>
        </w:rPr>
        <w:tab/>
        <w:t xml:space="preserve">The Australian Securities and Investments Commission makes this instrument under subsection </w:t>
      </w:r>
      <w:proofErr w:type="gramStart"/>
      <w:r w:rsidR="00EF45C4">
        <w:rPr>
          <w:lang w:val="en-US"/>
        </w:rPr>
        <w:t>601YAA</w:t>
      </w:r>
      <w:r>
        <w:rPr>
          <w:lang w:val="en-US"/>
        </w:rPr>
        <w:t>(</w:t>
      </w:r>
      <w:proofErr w:type="gramEnd"/>
      <w:r>
        <w:rPr>
          <w:lang w:val="en-US"/>
        </w:rPr>
        <w:t xml:space="preserve">1) of the </w:t>
      </w:r>
      <w:r w:rsidRPr="00F33DA8">
        <w:rPr>
          <w:i/>
          <w:lang w:val="en-US"/>
        </w:rPr>
        <w:t>Corporations Act 2001</w:t>
      </w:r>
      <w:r>
        <w:rPr>
          <w:lang w:val="en-US"/>
        </w:rPr>
        <w:t xml:space="preserve"> (the </w:t>
      </w:r>
      <w:r>
        <w:rPr>
          <w:b/>
          <w:i/>
          <w:lang w:val="en-US"/>
        </w:rPr>
        <w:t>Act</w:t>
      </w:r>
      <w:r>
        <w:rPr>
          <w:lang w:val="en-US"/>
        </w:rPr>
        <w:t>).</w:t>
      </w:r>
    </w:p>
    <w:p w:rsidR="00FB6D3F" w:rsidRDefault="00FB6D3F" w:rsidP="00FB6D3F">
      <w:pPr>
        <w:rPr>
          <w:lang w:val="en-US"/>
        </w:rPr>
      </w:pPr>
    </w:p>
    <w:p w:rsidR="00FB6D3F" w:rsidRDefault="00FB6D3F" w:rsidP="00FB6D3F">
      <w:pPr>
        <w:rPr>
          <w:lang w:val="en-US"/>
        </w:rPr>
      </w:pPr>
      <w:r>
        <w:rPr>
          <w:b/>
          <w:lang w:val="en-US"/>
        </w:rPr>
        <w:t>Title</w:t>
      </w:r>
    </w:p>
    <w:p w:rsidR="00FB6D3F" w:rsidRDefault="00FB6D3F" w:rsidP="00FB6D3F">
      <w:pPr>
        <w:rPr>
          <w:lang w:val="en-US"/>
        </w:rPr>
      </w:pPr>
    </w:p>
    <w:p w:rsidR="00FB6D3F" w:rsidRDefault="00FB6D3F" w:rsidP="00FB6D3F">
      <w:pPr>
        <w:ind w:left="567" w:hanging="567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  <w:t>This instrument is ASIC Class Order [CO 1</w:t>
      </w:r>
      <w:r w:rsidR="002238DA">
        <w:rPr>
          <w:lang w:val="en-US"/>
        </w:rPr>
        <w:t>2</w:t>
      </w:r>
      <w:r>
        <w:rPr>
          <w:lang w:val="en-US"/>
        </w:rPr>
        <w:t>/</w:t>
      </w:r>
      <w:r w:rsidR="00345919">
        <w:rPr>
          <w:lang w:val="en-US"/>
        </w:rPr>
        <w:t>340</w:t>
      </w:r>
      <w:r>
        <w:rPr>
          <w:lang w:val="en-US"/>
        </w:rPr>
        <w:t>].</w:t>
      </w:r>
    </w:p>
    <w:p w:rsidR="00FB6D3F" w:rsidRDefault="00FB6D3F" w:rsidP="00FB6D3F">
      <w:pPr>
        <w:rPr>
          <w:lang w:val="en-US"/>
        </w:rPr>
      </w:pPr>
    </w:p>
    <w:p w:rsidR="00FB6D3F" w:rsidRPr="008A2CFC" w:rsidRDefault="00FB6D3F" w:rsidP="00FB6D3F">
      <w:pPr>
        <w:rPr>
          <w:b/>
          <w:lang w:val="en-US"/>
        </w:rPr>
      </w:pPr>
      <w:r w:rsidRPr="008A2CFC">
        <w:rPr>
          <w:b/>
          <w:lang w:val="en-US"/>
        </w:rPr>
        <w:t>Commencement</w:t>
      </w:r>
    </w:p>
    <w:p w:rsidR="00FB6D3F" w:rsidRDefault="00FB6D3F" w:rsidP="00FB6D3F">
      <w:pPr>
        <w:rPr>
          <w:lang w:val="en-US"/>
        </w:rPr>
      </w:pPr>
    </w:p>
    <w:p w:rsidR="00FB6D3F" w:rsidRDefault="00FB6D3F" w:rsidP="002238DA">
      <w:pPr>
        <w:ind w:left="567" w:hanging="567"/>
        <w:rPr>
          <w:lang w:val="en-US"/>
        </w:rPr>
      </w:pPr>
      <w:r>
        <w:rPr>
          <w:lang w:val="en-US"/>
        </w:rPr>
        <w:t>3.</w:t>
      </w:r>
      <w:r>
        <w:rPr>
          <w:lang w:val="en-US"/>
        </w:rPr>
        <w:tab/>
        <w:t xml:space="preserve">This instrument commences on </w:t>
      </w:r>
      <w:r w:rsidR="002238DA">
        <w:rPr>
          <w:lang w:val="en-US"/>
        </w:rPr>
        <w:t>t</w:t>
      </w:r>
      <w:r>
        <w:rPr>
          <w:lang w:val="en-US"/>
        </w:rPr>
        <w:t>he da</w:t>
      </w:r>
      <w:r w:rsidR="002238DA">
        <w:rPr>
          <w:lang w:val="en-US"/>
        </w:rPr>
        <w:t>te</w:t>
      </w:r>
      <w:r>
        <w:rPr>
          <w:lang w:val="en-US"/>
        </w:rPr>
        <w:t xml:space="preserve"> it is registered under the </w:t>
      </w:r>
      <w:r>
        <w:rPr>
          <w:i/>
          <w:lang w:val="en-US"/>
        </w:rPr>
        <w:t>Legislative Instruments Act 2003</w:t>
      </w:r>
      <w:r>
        <w:rPr>
          <w:lang w:val="en-US"/>
        </w:rPr>
        <w:t>.</w:t>
      </w:r>
    </w:p>
    <w:p w:rsidR="00FB6D3F" w:rsidRDefault="00FB6D3F" w:rsidP="00FB6D3F">
      <w:pPr>
        <w:rPr>
          <w:lang w:val="en-US"/>
        </w:rPr>
      </w:pPr>
    </w:p>
    <w:p w:rsidR="00FB6D3F" w:rsidRPr="00F33DA8" w:rsidRDefault="00FB6D3F" w:rsidP="002238DA">
      <w:pPr>
        <w:ind w:left="1134" w:hanging="567"/>
        <w:rPr>
          <w:sz w:val="20"/>
          <w:szCs w:val="20"/>
          <w:lang w:val="en-US"/>
        </w:rPr>
      </w:pPr>
      <w:r w:rsidRPr="00F33DA8">
        <w:rPr>
          <w:sz w:val="20"/>
          <w:szCs w:val="20"/>
          <w:lang w:val="en-US"/>
        </w:rPr>
        <w:t>Note:</w:t>
      </w:r>
      <w:r w:rsidRPr="00F33DA8">
        <w:rPr>
          <w:sz w:val="20"/>
          <w:szCs w:val="20"/>
          <w:lang w:val="en-US"/>
        </w:rPr>
        <w:tab/>
        <w:t>An instrument is registered when it is recorded on the Federal Register of Legislative Instruments (</w:t>
      </w:r>
      <w:r w:rsidRPr="00F33DA8">
        <w:rPr>
          <w:b/>
          <w:i/>
          <w:sz w:val="20"/>
          <w:szCs w:val="20"/>
          <w:lang w:val="en-US"/>
        </w:rPr>
        <w:t>FRLI</w:t>
      </w:r>
      <w:r w:rsidRPr="00F33DA8">
        <w:rPr>
          <w:sz w:val="20"/>
          <w:szCs w:val="20"/>
          <w:lang w:val="en-US"/>
        </w:rPr>
        <w:t xml:space="preserve">) in electronic form: see </w:t>
      </w:r>
      <w:r w:rsidRPr="00F33DA8">
        <w:rPr>
          <w:i/>
          <w:sz w:val="20"/>
          <w:szCs w:val="20"/>
          <w:lang w:val="en-US"/>
        </w:rPr>
        <w:t>Legislative Instruments Act 2003</w:t>
      </w:r>
      <w:r w:rsidRPr="00F33DA8">
        <w:rPr>
          <w:sz w:val="20"/>
          <w:szCs w:val="20"/>
          <w:lang w:val="en-US"/>
        </w:rPr>
        <w:t>, s</w:t>
      </w:r>
      <w:r>
        <w:rPr>
          <w:sz w:val="20"/>
          <w:szCs w:val="20"/>
          <w:lang w:val="en-US"/>
        </w:rPr>
        <w:t>ection</w:t>
      </w:r>
      <w:r w:rsidRPr="00F33DA8">
        <w:rPr>
          <w:sz w:val="20"/>
          <w:szCs w:val="20"/>
          <w:lang w:val="en-US"/>
        </w:rPr>
        <w:t xml:space="preserve"> 4 (definition of </w:t>
      </w:r>
      <w:r w:rsidRPr="00F33DA8">
        <w:rPr>
          <w:b/>
          <w:i/>
          <w:sz w:val="20"/>
          <w:szCs w:val="20"/>
          <w:lang w:val="en-US"/>
        </w:rPr>
        <w:t>register</w:t>
      </w:r>
      <w:r w:rsidRPr="00F33DA8">
        <w:rPr>
          <w:sz w:val="20"/>
          <w:szCs w:val="20"/>
          <w:lang w:val="en-US"/>
        </w:rPr>
        <w:t xml:space="preserve">). The FRLI may be accessed at </w:t>
      </w:r>
      <w:hyperlink r:id="rId7" w:history="1">
        <w:r w:rsidRPr="00F33DA8">
          <w:rPr>
            <w:rStyle w:val="Hyperlink"/>
            <w:sz w:val="20"/>
            <w:szCs w:val="20"/>
            <w:lang w:val="en-US"/>
          </w:rPr>
          <w:t>http://www.frli.gov.au/</w:t>
        </w:r>
      </w:hyperlink>
      <w:r w:rsidRPr="00F33DA8">
        <w:rPr>
          <w:sz w:val="20"/>
          <w:szCs w:val="20"/>
          <w:lang w:val="en-US"/>
        </w:rPr>
        <w:t>.</w:t>
      </w:r>
    </w:p>
    <w:p w:rsidR="00FB6D3F" w:rsidRDefault="00FB6D3F" w:rsidP="00FB6D3F">
      <w:pPr>
        <w:rPr>
          <w:lang w:val="en-US"/>
        </w:rPr>
      </w:pPr>
    </w:p>
    <w:p w:rsidR="00FB6D3F" w:rsidRDefault="00FB6D3F" w:rsidP="00FB6D3F">
      <w:pPr>
        <w:rPr>
          <w:b/>
          <w:lang w:val="en-US"/>
        </w:rPr>
      </w:pPr>
      <w:r>
        <w:rPr>
          <w:b/>
          <w:lang w:val="en-US"/>
        </w:rPr>
        <w:t xml:space="preserve">Declaration </w:t>
      </w:r>
    </w:p>
    <w:p w:rsidR="00FB6D3F" w:rsidRPr="002F7C3D" w:rsidRDefault="00FB6D3F" w:rsidP="00FB6D3F">
      <w:pPr>
        <w:pStyle w:val="ListParagraph"/>
        <w:ind w:left="0"/>
        <w:rPr>
          <w:b/>
          <w:lang w:val="en-US"/>
        </w:rPr>
      </w:pPr>
    </w:p>
    <w:p w:rsidR="002238DA" w:rsidRDefault="002238DA" w:rsidP="00F06051">
      <w:pPr>
        <w:pStyle w:val="ListParagraph"/>
        <w:ind w:left="567" w:hanging="567"/>
        <w:rPr>
          <w:lang w:val="en-US"/>
        </w:rPr>
      </w:pPr>
      <w:r>
        <w:rPr>
          <w:lang w:val="en-US"/>
        </w:rPr>
        <w:t>4</w:t>
      </w:r>
      <w:r w:rsidR="00FB6D3F" w:rsidRPr="00E15521">
        <w:rPr>
          <w:lang w:val="en-US"/>
        </w:rPr>
        <w:t>.</w:t>
      </w:r>
      <w:r w:rsidR="00FB6D3F" w:rsidRPr="00E15521">
        <w:rPr>
          <w:lang w:val="en-US"/>
        </w:rPr>
        <w:tab/>
      </w:r>
      <w:r w:rsidR="00F06051">
        <w:rPr>
          <w:lang w:val="en-US"/>
        </w:rPr>
        <w:t xml:space="preserve">Chapter 5D </w:t>
      </w:r>
      <w:r w:rsidR="00FB6D3F">
        <w:rPr>
          <w:lang w:val="en-US"/>
        </w:rPr>
        <w:t xml:space="preserve">of the </w:t>
      </w:r>
      <w:r w:rsidR="00FB6D3F" w:rsidRPr="00D72671">
        <w:rPr>
          <w:lang w:val="en-US"/>
        </w:rPr>
        <w:t xml:space="preserve">Act applies to </w:t>
      </w:r>
      <w:r>
        <w:rPr>
          <w:lang w:val="en-US"/>
        </w:rPr>
        <w:t xml:space="preserve">all persons </w:t>
      </w:r>
      <w:r w:rsidR="00F06051" w:rsidRPr="00FB2A23">
        <w:rPr>
          <w:lang w:val="en-US"/>
        </w:rPr>
        <w:t xml:space="preserve">as </w:t>
      </w:r>
      <w:r w:rsidR="00F62F1B">
        <w:rPr>
          <w:lang w:val="en-US"/>
        </w:rPr>
        <w:t xml:space="preserve">if </w:t>
      </w:r>
      <w:r w:rsidR="00724DDB">
        <w:rPr>
          <w:lang w:val="en-US"/>
        </w:rPr>
        <w:t>this Chapter</w:t>
      </w:r>
      <w:r>
        <w:rPr>
          <w:lang w:val="en-US"/>
        </w:rPr>
        <w:t xml:space="preserve"> were modified or varied as follows:</w:t>
      </w:r>
    </w:p>
    <w:p w:rsidR="00276D98" w:rsidRDefault="00276D98">
      <w:pPr>
        <w:pStyle w:val="ListParagraph"/>
        <w:ind w:left="2268" w:hanging="567"/>
        <w:rPr>
          <w:lang w:val="en-US"/>
        </w:rPr>
      </w:pPr>
    </w:p>
    <w:p w:rsidR="008D6E5B" w:rsidRDefault="008D6E5B" w:rsidP="008D6E5B">
      <w:pPr>
        <w:pStyle w:val="ListParagraph"/>
        <w:ind w:left="1134" w:hanging="567"/>
        <w:rPr>
          <w:lang w:val="en-US"/>
        </w:rPr>
      </w:pPr>
      <w:r>
        <w:rPr>
          <w:lang w:val="en-US"/>
        </w:rPr>
        <w:t>(</w:t>
      </w:r>
      <w:r w:rsidR="00DC0DDB">
        <w:rPr>
          <w:lang w:val="en-US"/>
        </w:rPr>
        <w:t>a</w:t>
      </w:r>
      <w:r>
        <w:rPr>
          <w:lang w:val="en-US"/>
        </w:rPr>
        <w:t>)</w:t>
      </w:r>
      <w:r>
        <w:rPr>
          <w:lang w:val="en-US"/>
        </w:rPr>
        <w:tab/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section 601RAA</w:t>
      </w:r>
      <w:r w:rsidR="00075FC6">
        <w:rPr>
          <w:lang w:val="en-US"/>
        </w:rPr>
        <w:t>,</w:t>
      </w:r>
      <w:r>
        <w:rPr>
          <w:lang w:val="en-US"/>
        </w:rPr>
        <w:t xml:space="preserve"> </w:t>
      </w:r>
      <w:r w:rsidR="006852A3">
        <w:rPr>
          <w:lang w:val="en-US"/>
        </w:rPr>
        <w:t xml:space="preserve">after the definition of </w:t>
      </w:r>
      <w:r w:rsidR="006852A3" w:rsidRPr="006852A3">
        <w:rPr>
          <w:b/>
          <w:i/>
          <w:lang w:val="en-US"/>
        </w:rPr>
        <w:t>person with a proper interest</w:t>
      </w:r>
      <w:r w:rsidR="00075FC6">
        <w:rPr>
          <w:lang w:val="en-US"/>
        </w:rPr>
        <w:t>, insert</w:t>
      </w:r>
      <w:r>
        <w:rPr>
          <w:lang w:val="en-US"/>
        </w:rPr>
        <w:t>:</w:t>
      </w:r>
    </w:p>
    <w:p w:rsidR="0058686D" w:rsidRDefault="0058686D" w:rsidP="0058686D">
      <w:pPr>
        <w:pStyle w:val="ListParagraph"/>
        <w:ind w:left="1701" w:hanging="567"/>
        <w:rPr>
          <w:lang w:val="en-US"/>
        </w:rPr>
      </w:pPr>
    </w:p>
    <w:p w:rsidR="0058686D" w:rsidRDefault="008D6E5B" w:rsidP="0058686D">
      <w:pPr>
        <w:pStyle w:val="ListParagraph"/>
        <w:ind w:left="1134"/>
        <w:rPr>
          <w:lang w:val="en-US"/>
        </w:rPr>
      </w:pPr>
      <w:r>
        <w:rPr>
          <w:lang w:val="en-US"/>
        </w:rPr>
        <w:t>“</w:t>
      </w:r>
      <w:proofErr w:type="gramStart"/>
      <w:r w:rsidR="0058686D" w:rsidRPr="0058686D">
        <w:rPr>
          <w:b/>
          <w:i/>
          <w:lang w:val="en-US"/>
        </w:rPr>
        <w:t>proposed</w:t>
      </w:r>
      <w:proofErr w:type="gramEnd"/>
      <w:r w:rsidR="0058686D" w:rsidRPr="0058686D">
        <w:rPr>
          <w:b/>
          <w:i/>
          <w:lang w:val="en-US"/>
        </w:rPr>
        <w:t xml:space="preserve"> licensed trustee company</w:t>
      </w:r>
      <w:r w:rsidR="0058686D" w:rsidRPr="0058686D">
        <w:rPr>
          <w:lang w:val="en-US"/>
        </w:rPr>
        <w:t xml:space="preserve"> means</w:t>
      </w:r>
      <w:r w:rsidR="0058686D">
        <w:rPr>
          <w:lang w:val="en-US"/>
        </w:rPr>
        <w:t xml:space="preserve"> a trustee company, or a proposed trustee company, that proposes to apply for an Australian financial services licence covering the provision of one or more traditional trustee company services.</w:t>
      </w:r>
    </w:p>
    <w:p w:rsidR="0058686D" w:rsidRDefault="0058686D" w:rsidP="0058686D">
      <w:pPr>
        <w:pStyle w:val="ListParagraph"/>
        <w:ind w:left="1134"/>
        <w:rPr>
          <w:lang w:val="en-US"/>
        </w:rPr>
      </w:pPr>
    </w:p>
    <w:p w:rsidR="008D6E5B" w:rsidRPr="008D6E5B" w:rsidRDefault="0058686D" w:rsidP="008D6E5B">
      <w:pPr>
        <w:pStyle w:val="ListParagraph"/>
        <w:ind w:left="1134"/>
        <w:rPr>
          <w:lang w:val="en-US"/>
        </w:rPr>
      </w:pPr>
      <w:proofErr w:type="gramStart"/>
      <w:r w:rsidRPr="0058686D">
        <w:rPr>
          <w:b/>
          <w:i/>
          <w:lang w:val="en-US"/>
        </w:rPr>
        <w:t>proposed</w:t>
      </w:r>
      <w:proofErr w:type="gramEnd"/>
      <w:r w:rsidRPr="0058686D">
        <w:rPr>
          <w:b/>
          <w:i/>
          <w:lang w:val="en-US"/>
        </w:rPr>
        <w:t xml:space="preserve"> trustee company</w:t>
      </w:r>
      <w:r>
        <w:rPr>
          <w:lang w:val="en-US"/>
        </w:rPr>
        <w:t xml:space="preserve"> means </w:t>
      </w:r>
      <w:r w:rsidR="008D6E5B" w:rsidRPr="008D6E5B">
        <w:rPr>
          <w:lang w:val="en-US"/>
        </w:rPr>
        <w:t>a company</w:t>
      </w:r>
      <w:r w:rsidR="008D6E5B">
        <w:rPr>
          <w:lang w:val="en-US"/>
        </w:rPr>
        <w:t xml:space="preserve"> t</w:t>
      </w:r>
      <w:r w:rsidR="008D6E5B" w:rsidRPr="008D6E5B">
        <w:rPr>
          <w:lang w:val="en-US"/>
        </w:rPr>
        <w:t>hat is a corporation to which paragraph 51(xx) of the Constitution applies and</w:t>
      </w:r>
      <w:r w:rsidR="008D6E5B">
        <w:rPr>
          <w:lang w:val="en-US"/>
        </w:rPr>
        <w:t xml:space="preserve"> proposes to become a trustee company.”</w:t>
      </w:r>
      <w:r w:rsidR="00DC0DDB">
        <w:rPr>
          <w:lang w:val="en-US"/>
        </w:rPr>
        <w:t>;</w:t>
      </w:r>
    </w:p>
    <w:p w:rsidR="0058686D" w:rsidRPr="0058686D" w:rsidRDefault="0058686D" w:rsidP="0058686D">
      <w:pPr>
        <w:pStyle w:val="ListParagraph"/>
        <w:ind w:left="1134"/>
        <w:rPr>
          <w:lang w:val="en-US"/>
        </w:rPr>
      </w:pPr>
    </w:p>
    <w:p w:rsidR="008D6E5B" w:rsidRDefault="008D6E5B" w:rsidP="008D6E5B">
      <w:pPr>
        <w:pStyle w:val="ListParagraph"/>
        <w:ind w:left="1134" w:hanging="567"/>
        <w:rPr>
          <w:lang w:val="en-US"/>
        </w:rPr>
      </w:pPr>
      <w:r>
        <w:rPr>
          <w:lang w:val="en-US"/>
        </w:rPr>
        <w:t>(</w:t>
      </w:r>
      <w:r w:rsidR="00DC0DDB">
        <w:rPr>
          <w:lang w:val="en-US"/>
        </w:rPr>
        <w:t>b</w:t>
      </w:r>
      <w:r>
        <w:rPr>
          <w:lang w:val="en-US"/>
        </w:rPr>
        <w:t>)</w:t>
      </w:r>
      <w:r>
        <w:rPr>
          <w:lang w:val="en-US"/>
        </w:rPr>
        <w:tab/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Part 5D.5</w:t>
      </w:r>
      <w:r w:rsidR="005F55B0">
        <w:rPr>
          <w:lang w:val="en-US"/>
        </w:rPr>
        <w:t xml:space="preserve">, </w:t>
      </w:r>
      <w:r>
        <w:rPr>
          <w:lang w:val="en-US"/>
        </w:rPr>
        <w:t xml:space="preserve">before </w:t>
      </w:r>
      <w:r w:rsidR="00C73A0A">
        <w:rPr>
          <w:lang w:val="en-US"/>
        </w:rPr>
        <w:t>Division 1</w:t>
      </w:r>
      <w:r w:rsidR="005F55B0">
        <w:rPr>
          <w:lang w:val="en-US"/>
        </w:rPr>
        <w:t>, insert</w:t>
      </w:r>
      <w:r w:rsidR="00C73A0A">
        <w:rPr>
          <w:lang w:val="en-US"/>
        </w:rPr>
        <w:t>:</w:t>
      </w:r>
    </w:p>
    <w:p w:rsidR="008D6E5B" w:rsidRDefault="008D6E5B" w:rsidP="008D6E5B">
      <w:pPr>
        <w:pStyle w:val="ListParagraph"/>
        <w:ind w:left="1134" w:hanging="567"/>
        <w:rPr>
          <w:lang w:val="en-US"/>
        </w:rPr>
      </w:pPr>
    </w:p>
    <w:p w:rsidR="00C73A0A" w:rsidRDefault="008D6E5B" w:rsidP="00DC0DDB">
      <w:pPr>
        <w:pStyle w:val="ListParagraph"/>
        <w:ind w:left="2694" w:hanging="1560"/>
        <w:rPr>
          <w:lang w:val="en-US"/>
        </w:rPr>
      </w:pPr>
      <w:r>
        <w:rPr>
          <w:lang w:val="en-US"/>
        </w:rPr>
        <w:t>“</w:t>
      </w:r>
      <w:r w:rsidR="00C73A0A" w:rsidRPr="00C73A0A">
        <w:rPr>
          <w:b/>
          <w:sz w:val="26"/>
          <w:szCs w:val="26"/>
          <w:lang w:val="en-US"/>
        </w:rPr>
        <w:t xml:space="preserve">Division </w:t>
      </w:r>
      <w:proofErr w:type="gramStart"/>
      <w:r w:rsidR="00C73A0A" w:rsidRPr="00C73A0A">
        <w:rPr>
          <w:b/>
          <w:sz w:val="26"/>
          <w:szCs w:val="26"/>
          <w:lang w:val="en-US"/>
        </w:rPr>
        <w:t>1A</w:t>
      </w:r>
      <w:r w:rsidR="00C73A0A">
        <w:rPr>
          <w:b/>
          <w:sz w:val="26"/>
          <w:szCs w:val="26"/>
          <w:lang w:val="en-US"/>
        </w:rPr>
        <w:t xml:space="preserve">  </w:t>
      </w:r>
      <w:r w:rsidR="00C73A0A" w:rsidRPr="00C73A0A">
        <w:rPr>
          <w:b/>
          <w:sz w:val="26"/>
          <w:szCs w:val="26"/>
          <w:lang w:val="en-US"/>
        </w:rPr>
        <w:t>Application</w:t>
      </w:r>
      <w:proofErr w:type="gramEnd"/>
      <w:r w:rsidR="00C73A0A" w:rsidRPr="00C73A0A">
        <w:rPr>
          <w:b/>
          <w:sz w:val="26"/>
          <w:szCs w:val="26"/>
          <w:lang w:val="en-US"/>
        </w:rPr>
        <w:t xml:space="preserve"> of Part to proposed licensed trustee companies</w:t>
      </w:r>
    </w:p>
    <w:p w:rsidR="00C73A0A" w:rsidRDefault="00C73A0A" w:rsidP="008D6E5B">
      <w:pPr>
        <w:pStyle w:val="ListParagraph"/>
        <w:ind w:left="1134"/>
        <w:rPr>
          <w:lang w:val="en-US"/>
        </w:rPr>
      </w:pPr>
    </w:p>
    <w:p w:rsidR="008D6E5B" w:rsidRPr="004F63FA" w:rsidRDefault="008D6E5B" w:rsidP="008D6E5B">
      <w:pPr>
        <w:pStyle w:val="ListParagraph"/>
        <w:ind w:left="1134"/>
        <w:rPr>
          <w:b/>
          <w:lang w:val="en-US"/>
        </w:rPr>
      </w:pPr>
      <w:r w:rsidRPr="004F63FA">
        <w:rPr>
          <w:b/>
          <w:lang w:val="en-US"/>
        </w:rPr>
        <w:t>601V</w:t>
      </w:r>
      <w:r w:rsidR="007567AF">
        <w:rPr>
          <w:b/>
          <w:lang w:val="en-US"/>
        </w:rPr>
        <w:t>A</w:t>
      </w:r>
      <w:r w:rsidRPr="004F63FA">
        <w:rPr>
          <w:b/>
          <w:lang w:val="en-US"/>
        </w:rPr>
        <w:t>AA</w:t>
      </w:r>
      <w:r>
        <w:rPr>
          <w:b/>
          <w:lang w:val="en-US"/>
        </w:rPr>
        <w:t xml:space="preserve">   </w:t>
      </w:r>
      <w:r w:rsidR="00C73A0A">
        <w:rPr>
          <w:b/>
          <w:lang w:val="en-US"/>
        </w:rPr>
        <w:t xml:space="preserve">Part </w:t>
      </w:r>
      <w:r w:rsidRPr="004F63FA">
        <w:rPr>
          <w:b/>
          <w:lang w:val="en-US"/>
        </w:rPr>
        <w:t>extends to proposed licensed trustee companies</w:t>
      </w:r>
    </w:p>
    <w:p w:rsidR="008D6E5B" w:rsidRDefault="008D6E5B" w:rsidP="008D6E5B">
      <w:pPr>
        <w:pStyle w:val="ListParagraph"/>
        <w:ind w:left="1134"/>
        <w:rPr>
          <w:lang w:val="en-US"/>
        </w:rPr>
      </w:pPr>
    </w:p>
    <w:p w:rsidR="00A03897" w:rsidRDefault="009B2824">
      <w:pPr>
        <w:pStyle w:val="ListParagraph"/>
        <w:ind w:left="1701" w:hanging="567"/>
        <w:rPr>
          <w:lang w:val="en-US"/>
        </w:rPr>
      </w:pPr>
      <w:r>
        <w:rPr>
          <w:lang w:val="en-US"/>
        </w:rPr>
        <w:t>(1)</w:t>
      </w:r>
      <w:r>
        <w:rPr>
          <w:lang w:val="en-US"/>
        </w:rPr>
        <w:tab/>
      </w:r>
      <w:r w:rsidR="00746CEC">
        <w:rPr>
          <w:lang w:val="en-US"/>
        </w:rPr>
        <w:t>T</w:t>
      </w:r>
      <w:r w:rsidR="008D6E5B">
        <w:rPr>
          <w:lang w:val="en-US"/>
        </w:rPr>
        <w:t xml:space="preserve">his </w:t>
      </w:r>
      <w:r w:rsidR="00DC0DDB">
        <w:rPr>
          <w:lang w:val="en-US"/>
        </w:rPr>
        <w:t>Part</w:t>
      </w:r>
      <w:r w:rsidR="00746CEC">
        <w:rPr>
          <w:lang w:val="en-US"/>
        </w:rPr>
        <w:t xml:space="preserve"> </w:t>
      </w:r>
      <w:r>
        <w:rPr>
          <w:lang w:val="en-US"/>
        </w:rPr>
        <w:t xml:space="preserve">(other than the excluded provisions) </w:t>
      </w:r>
      <w:r w:rsidR="00746CEC">
        <w:rPr>
          <w:lang w:val="en-US"/>
        </w:rPr>
        <w:t xml:space="preserve">applies in relation to </w:t>
      </w:r>
      <w:r w:rsidR="00746CEC" w:rsidRPr="00746CEC">
        <w:rPr>
          <w:lang w:val="en-US"/>
        </w:rPr>
        <w:t>a proposed licensed trustee company</w:t>
      </w:r>
      <w:r w:rsidR="00746CEC">
        <w:rPr>
          <w:lang w:val="en-US"/>
        </w:rPr>
        <w:t xml:space="preserve"> as if</w:t>
      </w:r>
      <w:r w:rsidR="00276D98">
        <w:rPr>
          <w:lang w:val="en-US"/>
        </w:rPr>
        <w:t>:</w:t>
      </w:r>
    </w:p>
    <w:p w:rsidR="00276D98" w:rsidRDefault="00276D98" w:rsidP="00276D98">
      <w:pPr>
        <w:pStyle w:val="ListParagraph"/>
        <w:ind w:left="1134"/>
        <w:rPr>
          <w:lang w:val="en-US"/>
        </w:rPr>
      </w:pPr>
    </w:p>
    <w:p w:rsidR="008D6E5B" w:rsidRPr="009B2824" w:rsidRDefault="00276D98" w:rsidP="009B2824">
      <w:pPr>
        <w:pStyle w:val="ListParagraph"/>
        <w:ind w:left="2268" w:hanging="567"/>
        <w:rPr>
          <w:lang w:val="en-US"/>
        </w:rPr>
      </w:pPr>
      <w:r>
        <w:rPr>
          <w:lang w:val="en-US"/>
        </w:rPr>
        <w:lastRenderedPageBreak/>
        <w:t>(a)</w:t>
      </w:r>
      <w:r>
        <w:rPr>
          <w:lang w:val="en-US"/>
        </w:rPr>
        <w:tab/>
      </w:r>
      <w:proofErr w:type="gramStart"/>
      <w:r w:rsidR="008D6E5B">
        <w:rPr>
          <w:lang w:val="en-US"/>
        </w:rPr>
        <w:t>reference</w:t>
      </w:r>
      <w:r>
        <w:rPr>
          <w:lang w:val="en-US"/>
        </w:rPr>
        <w:t>s</w:t>
      </w:r>
      <w:proofErr w:type="gramEnd"/>
      <w:r w:rsidR="008D6E5B">
        <w:rPr>
          <w:lang w:val="en-US"/>
        </w:rPr>
        <w:t xml:space="preserve"> to a licensed trustee company include reference</w:t>
      </w:r>
      <w:r>
        <w:rPr>
          <w:lang w:val="en-US"/>
        </w:rPr>
        <w:t>s</w:t>
      </w:r>
      <w:r w:rsidR="008D6E5B">
        <w:rPr>
          <w:lang w:val="en-US"/>
        </w:rPr>
        <w:t xml:space="preserve"> to a proposed licensed trustee company</w:t>
      </w:r>
      <w:r>
        <w:rPr>
          <w:lang w:val="en-US"/>
        </w:rPr>
        <w:t>; and</w:t>
      </w:r>
    </w:p>
    <w:p w:rsidR="00276D98" w:rsidRDefault="00276D98" w:rsidP="009B2824">
      <w:pPr>
        <w:pStyle w:val="ListParagraph"/>
        <w:ind w:left="2268" w:hanging="567"/>
        <w:rPr>
          <w:lang w:val="en-US"/>
        </w:rPr>
      </w:pPr>
    </w:p>
    <w:p w:rsidR="009B2824" w:rsidRDefault="00276D98" w:rsidP="009B2824">
      <w:pPr>
        <w:pStyle w:val="ListParagraph"/>
        <w:ind w:left="2268" w:hanging="567"/>
        <w:rPr>
          <w:lang w:val="en-US"/>
        </w:rPr>
      </w:pPr>
      <w:r>
        <w:rPr>
          <w:lang w:val="en-US"/>
        </w:rPr>
        <w:t>(b)</w:t>
      </w:r>
      <w:r>
        <w:rPr>
          <w:lang w:val="en-US"/>
        </w:rPr>
        <w:tab/>
        <w:t xml:space="preserve">references to the </w:t>
      </w:r>
      <w:r w:rsidR="00C73A0A">
        <w:rPr>
          <w:lang w:val="en-US"/>
        </w:rPr>
        <w:t xml:space="preserve">Minister being satisfied that an application, variation or revocation would be in the </w:t>
      </w:r>
      <w:r>
        <w:rPr>
          <w:lang w:val="en-US"/>
        </w:rPr>
        <w:t xml:space="preserve">interests of the licensed trustee company and its clients </w:t>
      </w:r>
      <w:r w:rsidR="00746CEC">
        <w:rPr>
          <w:lang w:val="en-US"/>
        </w:rPr>
        <w:t>were</w:t>
      </w:r>
      <w:r>
        <w:rPr>
          <w:lang w:val="en-US"/>
        </w:rPr>
        <w:t xml:space="preserve"> </w:t>
      </w:r>
      <w:r w:rsidR="000628B5">
        <w:rPr>
          <w:lang w:val="en-US"/>
        </w:rPr>
        <w:t xml:space="preserve">references to the </w:t>
      </w:r>
      <w:r w:rsidR="00C73A0A">
        <w:rPr>
          <w:lang w:val="en-US"/>
        </w:rPr>
        <w:t xml:space="preserve">Minister being satisfied that an application, variation or revocation would be in the interests </w:t>
      </w:r>
      <w:r w:rsidR="000628B5" w:rsidRPr="000628B5">
        <w:rPr>
          <w:lang w:val="en-US"/>
        </w:rPr>
        <w:t xml:space="preserve">of the </w:t>
      </w:r>
      <w:r w:rsidR="000628B5">
        <w:rPr>
          <w:lang w:val="en-US"/>
        </w:rPr>
        <w:t xml:space="preserve">proposed licensed trustee </w:t>
      </w:r>
      <w:r w:rsidR="000628B5" w:rsidRPr="000628B5">
        <w:rPr>
          <w:lang w:val="en-US"/>
        </w:rPr>
        <w:t>company and its clients if the company were a licensed trustee company</w:t>
      </w:r>
      <w:r w:rsidR="00C73A0A">
        <w:rPr>
          <w:lang w:val="en-US"/>
        </w:rPr>
        <w:t>.</w:t>
      </w:r>
    </w:p>
    <w:p w:rsidR="009B2824" w:rsidRDefault="009B2824" w:rsidP="009B2824">
      <w:pPr>
        <w:pStyle w:val="ListParagraph"/>
        <w:ind w:left="2268" w:hanging="567"/>
        <w:rPr>
          <w:lang w:val="en-US"/>
        </w:rPr>
      </w:pPr>
    </w:p>
    <w:p w:rsidR="00A03897" w:rsidRDefault="009B2824">
      <w:pPr>
        <w:pStyle w:val="ListParagraph"/>
        <w:ind w:left="1701" w:hanging="567"/>
        <w:rPr>
          <w:lang w:val="en-US"/>
        </w:rPr>
      </w:pPr>
      <w:r>
        <w:rPr>
          <w:lang w:val="en-US"/>
        </w:rPr>
        <w:t>(2)</w:t>
      </w:r>
      <w:r>
        <w:rPr>
          <w:lang w:val="en-US"/>
        </w:rPr>
        <w:tab/>
        <w:t xml:space="preserve">In this section, </w:t>
      </w:r>
      <w:r w:rsidR="00DE132E" w:rsidRPr="00DE132E">
        <w:rPr>
          <w:b/>
          <w:i/>
          <w:lang w:val="en-US"/>
        </w:rPr>
        <w:t>excluded provisions</w:t>
      </w:r>
      <w:r>
        <w:rPr>
          <w:lang w:val="en-US"/>
        </w:rPr>
        <w:t xml:space="preserve"> means sections 601VAB, 601VAC, 601VAD and 601VCC.</w:t>
      </w:r>
      <w:proofErr w:type="gramStart"/>
      <w:r w:rsidR="00DC0DDB">
        <w:rPr>
          <w:lang w:val="en-US"/>
        </w:rPr>
        <w:t>”.</w:t>
      </w:r>
      <w:proofErr w:type="gramEnd"/>
    </w:p>
    <w:p w:rsidR="003A5070" w:rsidRDefault="003A5070" w:rsidP="00FB6D3F">
      <w:pPr>
        <w:rPr>
          <w:lang w:val="en-US"/>
        </w:rPr>
      </w:pPr>
    </w:p>
    <w:p w:rsidR="003A5070" w:rsidRDefault="003A5070" w:rsidP="00FB6D3F">
      <w:pPr>
        <w:rPr>
          <w:lang w:val="en-US"/>
        </w:rPr>
      </w:pPr>
    </w:p>
    <w:p w:rsidR="00F06051" w:rsidRPr="00F06051" w:rsidRDefault="00F06051" w:rsidP="00F06051">
      <w:r w:rsidRPr="00F06051">
        <w:t xml:space="preserve">Dated this </w:t>
      </w:r>
      <w:r w:rsidR="007546DC">
        <w:t>16</w:t>
      </w:r>
      <w:r w:rsidR="006852A3">
        <w:t>th</w:t>
      </w:r>
      <w:r w:rsidR="00492155">
        <w:t xml:space="preserve"> day of </w:t>
      </w:r>
      <w:r w:rsidR="006852A3">
        <w:t>April</w:t>
      </w:r>
      <w:r w:rsidRPr="00F06051">
        <w:t xml:space="preserve"> 201</w:t>
      </w:r>
      <w:r w:rsidR="003A5070">
        <w:t>2</w:t>
      </w:r>
    </w:p>
    <w:p w:rsidR="00F06051" w:rsidRPr="006852A3" w:rsidRDefault="00F06051" w:rsidP="00F06051">
      <w:pPr>
        <w:rPr>
          <w:bCs/>
          <w:iCs/>
        </w:rPr>
      </w:pPr>
    </w:p>
    <w:p w:rsidR="003A5070" w:rsidRPr="006852A3" w:rsidRDefault="003A5070" w:rsidP="00F06051">
      <w:pPr>
        <w:rPr>
          <w:bCs/>
          <w:iCs/>
        </w:rPr>
      </w:pPr>
    </w:p>
    <w:p w:rsidR="006852A3" w:rsidRPr="006852A3" w:rsidRDefault="006852A3" w:rsidP="00F06051">
      <w:pPr>
        <w:rPr>
          <w:bCs/>
          <w:iCs/>
        </w:rPr>
      </w:pPr>
    </w:p>
    <w:p w:rsidR="006852A3" w:rsidRPr="006852A3" w:rsidRDefault="006852A3" w:rsidP="00F06051">
      <w:pPr>
        <w:rPr>
          <w:bCs/>
          <w:iCs/>
        </w:rPr>
      </w:pPr>
    </w:p>
    <w:p w:rsidR="00F06051" w:rsidRPr="00F06051" w:rsidRDefault="00F06051" w:rsidP="00F06051">
      <w:r w:rsidRPr="00F06051">
        <w:t>Signed by Stephen Yen PSM</w:t>
      </w:r>
    </w:p>
    <w:p w:rsidR="00F06051" w:rsidRPr="00FB6D3F" w:rsidRDefault="00F06051" w:rsidP="00FB6D3F">
      <w:pPr>
        <w:rPr>
          <w:lang w:val="en-US"/>
        </w:rPr>
      </w:pPr>
      <w:proofErr w:type="gramStart"/>
      <w:r w:rsidRPr="00F06051">
        <w:t>as</w:t>
      </w:r>
      <w:proofErr w:type="gramEnd"/>
      <w:r w:rsidRPr="00F06051">
        <w:t xml:space="preserve"> a delegate of the Australian Securities and Investments Commission</w:t>
      </w:r>
    </w:p>
    <w:sectPr w:rsidR="00F06051" w:rsidRPr="00FB6D3F" w:rsidSect="0026280E">
      <w:headerReference w:type="default" r:id="rId8"/>
      <w:pgSz w:w="11906" w:h="16838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DD0" w:rsidRDefault="00DF4DD0" w:rsidP="0026280E">
      <w:r>
        <w:separator/>
      </w:r>
    </w:p>
  </w:endnote>
  <w:endnote w:type="continuationSeparator" w:id="0">
    <w:p w:rsidR="00DF4DD0" w:rsidRDefault="00DF4DD0" w:rsidP="00262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DD0" w:rsidRDefault="00DF4DD0" w:rsidP="0026280E">
      <w:r>
        <w:separator/>
      </w:r>
    </w:p>
  </w:footnote>
  <w:footnote w:type="continuationSeparator" w:id="0">
    <w:p w:rsidR="00DF4DD0" w:rsidRDefault="00DF4DD0" w:rsidP="002628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208860"/>
      <w:docPartObj>
        <w:docPartGallery w:val="Page Numbers (Top of Page)"/>
        <w:docPartUnique/>
      </w:docPartObj>
    </w:sdtPr>
    <w:sdtContent>
      <w:p w:rsidR="00276D98" w:rsidRDefault="00F559CD">
        <w:pPr>
          <w:pStyle w:val="Header"/>
          <w:jc w:val="center"/>
        </w:pPr>
        <w:fldSimple w:instr=" PAGE   \* MERGEFORMAT ">
          <w:r w:rsidR="003B0206">
            <w:rPr>
              <w:noProof/>
            </w:rPr>
            <w:t>2</w:t>
          </w:r>
        </w:fldSimple>
      </w:p>
    </w:sdtContent>
  </w:sdt>
  <w:p w:rsidR="00276D98" w:rsidRDefault="00276D9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6D3F"/>
    <w:rsid w:val="00062749"/>
    <w:rsid w:val="000628B5"/>
    <w:rsid w:val="00075FC6"/>
    <w:rsid w:val="000971DE"/>
    <w:rsid w:val="000A738A"/>
    <w:rsid w:val="000D39A6"/>
    <w:rsid w:val="001136A9"/>
    <w:rsid w:val="00136F08"/>
    <w:rsid w:val="001478C3"/>
    <w:rsid w:val="001652B9"/>
    <w:rsid w:val="00170E56"/>
    <w:rsid w:val="00186B93"/>
    <w:rsid w:val="001B4D4A"/>
    <w:rsid w:val="001D75E2"/>
    <w:rsid w:val="00206929"/>
    <w:rsid w:val="002238DA"/>
    <w:rsid w:val="0026280E"/>
    <w:rsid w:val="00276D98"/>
    <w:rsid w:val="00280DCB"/>
    <w:rsid w:val="002F3875"/>
    <w:rsid w:val="003330A7"/>
    <w:rsid w:val="00345919"/>
    <w:rsid w:val="00393D30"/>
    <w:rsid w:val="003A44DE"/>
    <w:rsid w:val="003A5070"/>
    <w:rsid w:val="003B0206"/>
    <w:rsid w:val="003C2CD2"/>
    <w:rsid w:val="003E2AE1"/>
    <w:rsid w:val="0040109E"/>
    <w:rsid w:val="004351A9"/>
    <w:rsid w:val="0045067E"/>
    <w:rsid w:val="004669BB"/>
    <w:rsid w:val="00492155"/>
    <w:rsid w:val="004D62DB"/>
    <w:rsid w:val="004F0405"/>
    <w:rsid w:val="004F63FA"/>
    <w:rsid w:val="005130F4"/>
    <w:rsid w:val="005146F6"/>
    <w:rsid w:val="00530A3C"/>
    <w:rsid w:val="00537CDD"/>
    <w:rsid w:val="005544B1"/>
    <w:rsid w:val="00576520"/>
    <w:rsid w:val="0058686D"/>
    <w:rsid w:val="005A18DC"/>
    <w:rsid w:val="005A2A28"/>
    <w:rsid w:val="005D22CE"/>
    <w:rsid w:val="005E2D66"/>
    <w:rsid w:val="005F55B0"/>
    <w:rsid w:val="00680772"/>
    <w:rsid w:val="006852A3"/>
    <w:rsid w:val="00691FC3"/>
    <w:rsid w:val="006C037F"/>
    <w:rsid w:val="006C6FEC"/>
    <w:rsid w:val="00705CF3"/>
    <w:rsid w:val="0071711B"/>
    <w:rsid w:val="00724DDB"/>
    <w:rsid w:val="007400E2"/>
    <w:rsid w:val="00746CEC"/>
    <w:rsid w:val="007531EB"/>
    <w:rsid w:val="007546DC"/>
    <w:rsid w:val="007567AF"/>
    <w:rsid w:val="00761AF2"/>
    <w:rsid w:val="00804207"/>
    <w:rsid w:val="00822D33"/>
    <w:rsid w:val="00853F44"/>
    <w:rsid w:val="00863A9E"/>
    <w:rsid w:val="00883EF4"/>
    <w:rsid w:val="00886FAA"/>
    <w:rsid w:val="008D2062"/>
    <w:rsid w:val="008D6E5B"/>
    <w:rsid w:val="00903D3A"/>
    <w:rsid w:val="00971B90"/>
    <w:rsid w:val="00986740"/>
    <w:rsid w:val="009B2824"/>
    <w:rsid w:val="009B4B4B"/>
    <w:rsid w:val="00A00A71"/>
    <w:rsid w:val="00A03897"/>
    <w:rsid w:val="00A51ADA"/>
    <w:rsid w:val="00AB0F0A"/>
    <w:rsid w:val="00B37B63"/>
    <w:rsid w:val="00B37C27"/>
    <w:rsid w:val="00B53429"/>
    <w:rsid w:val="00B73417"/>
    <w:rsid w:val="00B816E7"/>
    <w:rsid w:val="00B87B3F"/>
    <w:rsid w:val="00C70C3F"/>
    <w:rsid w:val="00C73A0A"/>
    <w:rsid w:val="00C90388"/>
    <w:rsid w:val="00C964B4"/>
    <w:rsid w:val="00CD3275"/>
    <w:rsid w:val="00CF7EA0"/>
    <w:rsid w:val="00D43FEB"/>
    <w:rsid w:val="00D6715B"/>
    <w:rsid w:val="00DC0DDB"/>
    <w:rsid w:val="00DE132E"/>
    <w:rsid w:val="00DF4DD0"/>
    <w:rsid w:val="00E1755D"/>
    <w:rsid w:val="00E244A7"/>
    <w:rsid w:val="00E47C9D"/>
    <w:rsid w:val="00E9059B"/>
    <w:rsid w:val="00E97CF9"/>
    <w:rsid w:val="00ED3AB1"/>
    <w:rsid w:val="00EF45C4"/>
    <w:rsid w:val="00F06051"/>
    <w:rsid w:val="00F246FC"/>
    <w:rsid w:val="00F559CD"/>
    <w:rsid w:val="00F62F1B"/>
    <w:rsid w:val="00FA7859"/>
    <w:rsid w:val="00FB2A23"/>
    <w:rsid w:val="00FB6D3F"/>
    <w:rsid w:val="00FF2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D3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D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6D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28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280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628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280E"/>
    <w:rPr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1FC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1FC3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91FC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rli.gov.a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26162-0434-46FB-9D5E-FF15F0121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Moodie</dc:creator>
  <cp:keywords/>
  <dc:description/>
  <cp:lastModifiedBy>Stephen Yen</cp:lastModifiedBy>
  <cp:revision>2</cp:revision>
  <cp:lastPrinted>2012-04-16T08:10:00Z</cp:lastPrinted>
  <dcterms:created xsi:type="dcterms:W3CDTF">2012-04-16T08:10:00Z</dcterms:created>
  <dcterms:modified xsi:type="dcterms:W3CDTF">2012-04-16T08:10:00Z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A3479572</vt:lpwstr>
  </property>
  <property fmtid="{D5CDD505-2E9C-101B-9397-08002B2CF9AE}" pid="4" name="Objective-Title">
    <vt:lpwstr>Class Order CO 12-340</vt:lpwstr>
  </property>
  <property fmtid="{D5CDD505-2E9C-101B-9397-08002B2CF9AE}" pid="5" name="Objective-Comment">
    <vt:lpwstr/>
  </property>
  <property fmtid="{D5CDD505-2E9C-101B-9397-08002B2CF9AE}" pid="6" name="Objective-CreationStamp">
    <vt:filetime>2012-02-24T06:18:35Z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2012-03-16T07:15:58Z</vt:filetime>
  </property>
  <property fmtid="{D5CDD505-2E9C-101B-9397-08002B2CF9AE}" pid="11" name="Objective-Owner">
    <vt:lpwstr>Grant Moodie</vt:lpwstr>
  </property>
  <property fmtid="{D5CDD505-2E9C-101B-9397-08002B2CF9AE}" pid="12" name="Objective-Path">
    <vt:lpwstr>ASIC BCS:LEGAL SERVICES:Advice:Class Orders:Class Orders 2012:</vt:lpwstr>
  </property>
  <property fmtid="{D5CDD505-2E9C-101B-9397-08002B2CF9AE}" pid="13" name="Objective-Parent">
    <vt:lpwstr>Class Orders 2012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0.20</vt:lpwstr>
  </property>
  <property fmtid="{D5CDD505-2E9C-101B-9397-08002B2CF9AE}" pid="16" name="Objective-VersionNumber">
    <vt:i4>20</vt:i4>
  </property>
  <property fmtid="{D5CDD505-2E9C-101B-9397-08002B2CF9AE}" pid="17" name="Objective-VersionComment">
    <vt:lpwstr/>
  </property>
  <property fmtid="{D5CDD505-2E9C-101B-9397-08002B2CF9AE}" pid="18" name="Objective-FileNumber">
    <vt:lpwstr>2012 - 000142</vt:lpwstr>
  </property>
  <property fmtid="{D5CDD505-2E9C-101B-9397-08002B2CF9AE}" pid="19" name="Objective-Classification">
    <vt:lpwstr>[Inherited - IN-CONFIDENCE]</vt:lpwstr>
  </property>
  <property fmtid="{D5CDD505-2E9C-101B-9397-08002B2CF9AE}" pid="20" name="Objective-Caveats">
    <vt:lpwstr/>
  </property>
  <property fmtid="{D5CDD505-2E9C-101B-9397-08002B2CF9AE}" pid="21" name="Objective-Category [system]">
    <vt:lpwstr/>
  </property>
</Properties>
</file>