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80" w:rsidRDefault="00FB63EA" w:rsidP="00B76F80">
      <w:pPr>
        <w:pStyle w:val="Title"/>
      </w:pPr>
      <w:r>
        <w:t>ASIC CLASS ORDER [CO 12</w:t>
      </w:r>
      <w:r w:rsidR="00B76F80" w:rsidRPr="00594479">
        <w:t>/</w:t>
      </w:r>
      <w:r>
        <w:t>340</w:t>
      </w:r>
      <w:r w:rsidR="00B76F80">
        <w:t>]</w:t>
      </w:r>
    </w:p>
    <w:p w:rsidR="00B76F80" w:rsidRDefault="00B76F80" w:rsidP="00B76F80">
      <w:pPr>
        <w:pStyle w:val="Title"/>
      </w:pPr>
    </w:p>
    <w:p w:rsidR="00B76F80" w:rsidRDefault="00B76F80" w:rsidP="00B76F80">
      <w:pPr>
        <w:pStyle w:val="Title"/>
      </w:pPr>
      <w:r>
        <w:t>EXPLANATORY STATEMENT</w:t>
      </w:r>
    </w:p>
    <w:p w:rsidR="00B76F80" w:rsidRDefault="00B76F80" w:rsidP="00B76F80">
      <w:pPr>
        <w:ind w:right="-311"/>
        <w:jc w:val="center"/>
      </w:pPr>
    </w:p>
    <w:p w:rsidR="00B76F80" w:rsidRDefault="00B76F80" w:rsidP="00B76F80">
      <w:pPr>
        <w:pStyle w:val="BodyTextcentred"/>
      </w:pPr>
      <w:r>
        <w:t>Prepared by the Australian Securities and Investments Commission</w:t>
      </w:r>
    </w:p>
    <w:p w:rsidR="00B76F80" w:rsidRDefault="00B76F80" w:rsidP="00B76F80">
      <w:pPr>
        <w:pStyle w:val="BodyTextcentreditals"/>
      </w:pPr>
      <w:r>
        <w:t>Corporations Act 2001</w:t>
      </w:r>
    </w:p>
    <w:p w:rsidR="00B76F80" w:rsidRDefault="00B76F80" w:rsidP="00B76F80">
      <w:pPr>
        <w:pStyle w:val="BodyText"/>
      </w:pPr>
      <w:r>
        <w:t>The Australian Securities and Investments Commission (</w:t>
      </w:r>
      <w:r w:rsidRPr="00BC3D08">
        <w:rPr>
          <w:b/>
          <w:i/>
        </w:rPr>
        <w:t>ASIC</w:t>
      </w:r>
      <w:r>
        <w:t>) makes ASIC</w:t>
      </w:r>
      <w:r w:rsidR="00B95A62">
        <w:t xml:space="preserve"> </w:t>
      </w:r>
      <w:r>
        <w:t>Class</w:t>
      </w:r>
      <w:r w:rsidR="00B95A62">
        <w:t> </w:t>
      </w:r>
      <w:r>
        <w:t xml:space="preserve">Order </w:t>
      </w:r>
      <w:r w:rsidR="00FB63EA">
        <w:t>[CO 12/340</w:t>
      </w:r>
      <w:r w:rsidR="0003546A">
        <w:t>]</w:t>
      </w:r>
      <w:r>
        <w:t xml:space="preserve"> under </w:t>
      </w:r>
      <w:r w:rsidRPr="00E20A1B">
        <w:t xml:space="preserve">subsection </w:t>
      </w:r>
      <w:proofErr w:type="gramStart"/>
      <w:r w:rsidRPr="00E20A1B">
        <w:t>601YAA(</w:t>
      </w:r>
      <w:proofErr w:type="gramEnd"/>
      <w:r w:rsidRPr="00E20A1B">
        <w:t>1)</w:t>
      </w:r>
      <w:r>
        <w:t xml:space="preserve"> of the </w:t>
      </w:r>
      <w:r>
        <w:rPr>
          <w:i/>
          <w:iCs/>
        </w:rPr>
        <w:t>Corporations Act 2001</w:t>
      </w:r>
      <w:r>
        <w:t xml:space="preserve"> (the </w:t>
      </w:r>
      <w:r w:rsidRPr="00BC3D08">
        <w:rPr>
          <w:b/>
          <w:i/>
        </w:rPr>
        <w:t>Act</w:t>
      </w:r>
      <w:r>
        <w:t xml:space="preserve">). </w:t>
      </w:r>
    </w:p>
    <w:p w:rsidR="00B76F80" w:rsidRPr="00E20A1B" w:rsidRDefault="008D72EF" w:rsidP="00B76F80">
      <w:pPr>
        <w:pStyle w:val="BodyText"/>
        <w:rPr>
          <w:lang w:val="en-US"/>
        </w:rPr>
      </w:pPr>
      <w:r>
        <w:t>Subs</w:t>
      </w:r>
      <w:r w:rsidR="00B76F80">
        <w:t>ection 601YAA</w:t>
      </w:r>
      <w:r>
        <w:t>(1) of the Act</w:t>
      </w:r>
      <w:r w:rsidR="00B76F80">
        <w:t xml:space="preserve"> provides that ASIC may </w:t>
      </w:r>
      <w:r w:rsidR="00B76F80" w:rsidRPr="00E20A1B">
        <w:rPr>
          <w:lang w:val="en-US"/>
        </w:rPr>
        <w:t>declare that Chapter 5D of the Act applies to a person or class of persons as if specified provisions were omitted, modified or varied as specified in the declaration.</w:t>
      </w:r>
    </w:p>
    <w:p w:rsidR="00B76F80" w:rsidRDefault="00B76F80" w:rsidP="00B76F80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0" w:name="_Toc158699036"/>
      <w:r>
        <w:rPr>
          <w:rFonts w:cs="Arial"/>
          <w:bCs/>
          <w:kern w:val="32"/>
          <w:sz w:val="24"/>
          <w:szCs w:val="32"/>
        </w:rPr>
        <w:t>1.</w:t>
      </w:r>
      <w:r>
        <w:rPr>
          <w:rFonts w:cs="Arial"/>
          <w:bCs/>
          <w:kern w:val="32"/>
          <w:sz w:val="24"/>
          <w:szCs w:val="32"/>
        </w:rPr>
        <w:tab/>
        <w:t>Background</w:t>
      </w:r>
      <w:bookmarkEnd w:id="0"/>
    </w:p>
    <w:p w:rsidR="00B76F80" w:rsidRDefault="00B76F80" w:rsidP="00B95A62">
      <w:pPr>
        <w:pStyle w:val="BodyText"/>
        <w:tabs>
          <w:tab w:val="clear" w:pos="567"/>
          <w:tab w:val="clear" w:pos="680"/>
        </w:tabs>
        <w:rPr>
          <w:iCs/>
          <w:lang w:val="en-US"/>
        </w:rPr>
      </w:pPr>
      <w:r w:rsidRPr="00647AFB">
        <w:rPr>
          <w:iCs/>
          <w:lang w:val="en-US"/>
        </w:rPr>
        <w:t xml:space="preserve">Chapter 5D of the Act </w:t>
      </w:r>
      <w:r w:rsidRPr="008F01BC">
        <w:rPr>
          <w:iCs/>
        </w:rPr>
        <w:t xml:space="preserve">implements the transfer of certain regulatory responsibilities from the </w:t>
      </w:r>
      <w:r>
        <w:rPr>
          <w:iCs/>
        </w:rPr>
        <w:t>S</w:t>
      </w:r>
      <w:r w:rsidRPr="008F01BC">
        <w:rPr>
          <w:iCs/>
        </w:rPr>
        <w:t xml:space="preserve">tates and </w:t>
      </w:r>
      <w:r>
        <w:rPr>
          <w:iCs/>
        </w:rPr>
        <w:t>T</w:t>
      </w:r>
      <w:r w:rsidRPr="008F01BC">
        <w:rPr>
          <w:iCs/>
        </w:rPr>
        <w:t>erritories to the Commonwealth</w:t>
      </w:r>
      <w:r w:rsidRPr="008F01BC">
        <w:rPr>
          <w:iCs/>
          <w:lang w:val="en-US"/>
        </w:rPr>
        <w:t xml:space="preserve"> </w:t>
      </w:r>
      <w:r>
        <w:rPr>
          <w:iCs/>
          <w:lang w:val="en-US"/>
        </w:rPr>
        <w:t xml:space="preserve">in relation to trustee companies that </w:t>
      </w:r>
      <w:r w:rsidRPr="008F01BC">
        <w:rPr>
          <w:iCs/>
          <w:lang w:val="en-US"/>
        </w:rPr>
        <w:t>provide “traditional trustee company services”, including performing estate management functions, preparing wills, applying for probate of a will and establishing and operating common funds.</w:t>
      </w:r>
      <w:r>
        <w:rPr>
          <w:iCs/>
          <w:lang w:val="en-US"/>
        </w:rPr>
        <w:t xml:space="preserve"> </w:t>
      </w:r>
    </w:p>
    <w:p w:rsidR="008D72EF" w:rsidRDefault="00B76F80" w:rsidP="00B76F80">
      <w:pPr>
        <w:pStyle w:val="BodyText"/>
        <w:rPr>
          <w:iCs/>
        </w:rPr>
      </w:pPr>
      <w:r>
        <w:rPr>
          <w:iCs/>
          <w:lang w:val="en-US"/>
        </w:rPr>
        <w:t xml:space="preserve">The Chapter </w:t>
      </w:r>
      <w:r w:rsidRPr="008F01BC">
        <w:rPr>
          <w:iCs/>
        </w:rPr>
        <w:t>create</w:t>
      </w:r>
      <w:r>
        <w:rPr>
          <w:iCs/>
        </w:rPr>
        <w:t>d</w:t>
      </w:r>
      <w:r w:rsidRPr="008F01BC">
        <w:rPr>
          <w:iCs/>
        </w:rPr>
        <w:t xml:space="preserve"> a national licensing system for trustee companies</w:t>
      </w:r>
      <w:r w:rsidR="008D72EF">
        <w:rPr>
          <w:iCs/>
        </w:rPr>
        <w:t>. These trustee companies</w:t>
      </w:r>
      <w:r w:rsidRPr="008F01BC">
        <w:rPr>
          <w:iCs/>
        </w:rPr>
        <w:t xml:space="preserve"> </w:t>
      </w:r>
      <w:r>
        <w:rPr>
          <w:iCs/>
        </w:rPr>
        <w:t xml:space="preserve">are </w:t>
      </w:r>
      <w:r w:rsidRPr="008F01BC">
        <w:rPr>
          <w:iCs/>
        </w:rPr>
        <w:t>required to hold an Australian financial services licence covering the provision of traditional trustee company services</w:t>
      </w:r>
      <w:r>
        <w:rPr>
          <w:iCs/>
        </w:rPr>
        <w:t xml:space="preserve">. </w:t>
      </w:r>
    </w:p>
    <w:p w:rsidR="00641789" w:rsidRDefault="00B76F80" w:rsidP="00B76F80">
      <w:pPr>
        <w:pStyle w:val="BodyText"/>
        <w:rPr>
          <w:iCs/>
          <w:lang w:val="en-US"/>
        </w:rPr>
      </w:pPr>
      <w:r>
        <w:rPr>
          <w:iCs/>
        </w:rPr>
        <w:t xml:space="preserve">The trustee companies to which Chapter 5D </w:t>
      </w:r>
      <w:r w:rsidR="008D72EF">
        <w:rPr>
          <w:iCs/>
        </w:rPr>
        <w:t xml:space="preserve">of the Act </w:t>
      </w:r>
      <w:r>
        <w:rPr>
          <w:iCs/>
        </w:rPr>
        <w:t>applies are those companies</w:t>
      </w:r>
      <w:r w:rsidRPr="00647AFB">
        <w:rPr>
          <w:iCs/>
          <w:lang w:val="en-US"/>
        </w:rPr>
        <w:t xml:space="preserve"> listed in Schedule</w:t>
      </w:r>
      <w:r w:rsidR="008D72EF">
        <w:rPr>
          <w:iCs/>
          <w:lang w:val="en-US"/>
        </w:rPr>
        <w:t> </w:t>
      </w:r>
      <w:r w:rsidRPr="00647AFB">
        <w:rPr>
          <w:iCs/>
          <w:lang w:val="en-US"/>
        </w:rPr>
        <w:t xml:space="preserve">8AA to the </w:t>
      </w:r>
      <w:r w:rsidRPr="00DC6494">
        <w:rPr>
          <w:i/>
          <w:iCs/>
          <w:lang w:val="en-US"/>
        </w:rPr>
        <w:t>Corporations Regulations 2001</w:t>
      </w:r>
      <w:r w:rsidR="001E7710">
        <w:rPr>
          <w:iCs/>
          <w:lang w:val="en-US"/>
        </w:rPr>
        <w:t xml:space="preserve">.  </w:t>
      </w:r>
    </w:p>
    <w:p w:rsidR="002A5786" w:rsidRDefault="00641789" w:rsidP="00B95A62">
      <w:pPr>
        <w:pStyle w:val="BodyText"/>
        <w:tabs>
          <w:tab w:val="clear" w:pos="567"/>
          <w:tab w:val="clear" w:pos="680"/>
        </w:tabs>
        <w:rPr>
          <w:iCs/>
          <w:lang w:val="en-US"/>
        </w:rPr>
      </w:pPr>
      <w:r>
        <w:rPr>
          <w:iCs/>
          <w:lang w:val="en-US"/>
        </w:rPr>
        <w:t>The list of companies included in that Schedule was originally determined at the time of enact</w:t>
      </w:r>
      <w:r w:rsidR="001D109C">
        <w:rPr>
          <w:iCs/>
          <w:lang w:val="en-US"/>
        </w:rPr>
        <w:t>ing</w:t>
      </w:r>
      <w:r>
        <w:rPr>
          <w:iCs/>
          <w:lang w:val="en-US"/>
        </w:rPr>
        <w:t xml:space="preserve"> Chapter 5D of the Act. Subsection </w:t>
      </w:r>
      <w:proofErr w:type="gramStart"/>
      <w:r>
        <w:rPr>
          <w:iCs/>
          <w:lang w:val="en-US"/>
        </w:rPr>
        <w:t>601RAB(</w:t>
      </w:r>
      <w:proofErr w:type="gramEnd"/>
      <w:r>
        <w:rPr>
          <w:iCs/>
          <w:lang w:val="en-US"/>
        </w:rPr>
        <w:t xml:space="preserve">2A) of the Act enables new entries to be added to the list of companies in the Schedule. </w:t>
      </w:r>
    </w:p>
    <w:p w:rsidR="002A5786" w:rsidRDefault="00641789" w:rsidP="002A5786">
      <w:pPr>
        <w:pStyle w:val="BodyText"/>
        <w:tabs>
          <w:tab w:val="clear" w:pos="567"/>
          <w:tab w:val="clear" w:pos="680"/>
        </w:tabs>
        <w:rPr>
          <w:iCs/>
          <w:lang w:val="en-US"/>
        </w:rPr>
      </w:pPr>
      <w:r>
        <w:rPr>
          <w:iCs/>
          <w:lang w:val="en-US"/>
        </w:rPr>
        <w:t>The Minister must be satisfied of certain matters before a regulation can be made to add a company to the list in the Schedule. Among other things,</w:t>
      </w:r>
      <w:r w:rsidR="00FB63EA">
        <w:rPr>
          <w:iCs/>
          <w:lang w:val="en-US"/>
        </w:rPr>
        <w:t xml:space="preserve"> the Minister</w:t>
      </w:r>
      <w:r>
        <w:rPr>
          <w:iCs/>
          <w:lang w:val="en-US"/>
        </w:rPr>
        <w:t xml:space="preserve"> must be satisfied</w:t>
      </w:r>
      <w:r w:rsidR="00FB63EA">
        <w:rPr>
          <w:iCs/>
          <w:lang w:val="en-US"/>
        </w:rPr>
        <w:t xml:space="preserve"> that an </w:t>
      </w:r>
      <w:r>
        <w:rPr>
          <w:iCs/>
          <w:lang w:val="en-US"/>
        </w:rPr>
        <w:t>“</w:t>
      </w:r>
      <w:r w:rsidR="00FB63EA">
        <w:rPr>
          <w:iCs/>
          <w:lang w:val="en-US"/>
        </w:rPr>
        <w:t>unacceptable control situation</w:t>
      </w:r>
      <w:r>
        <w:rPr>
          <w:iCs/>
          <w:lang w:val="en-US"/>
        </w:rPr>
        <w:t>”</w:t>
      </w:r>
      <w:r w:rsidR="00FB63EA">
        <w:rPr>
          <w:iCs/>
          <w:lang w:val="en-US"/>
        </w:rPr>
        <w:t xml:space="preserve"> as defined</w:t>
      </w:r>
      <w:r w:rsidR="00C57683">
        <w:rPr>
          <w:iCs/>
          <w:lang w:val="en-US"/>
        </w:rPr>
        <w:t xml:space="preserve"> in section</w:t>
      </w:r>
      <w:r w:rsidR="008D72EF">
        <w:rPr>
          <w:iCs/>
          <w:lang w:val="en-US"/>
        </w:rPr>
        <w:t> </w:t>
      </w:r>
      <w:r w:rsidR="00C57683">
        <w:rPr>
          <w:iCs/>
          <w:lang w:val="en-US"/>
        </w:rPr>
        <w:t>601</w:t>
      </w:r>
      <w:r w:rsidR="00FB63EA">
        <w:rPr>
          <w:iCs/>
          <w:lang w:val="en-US"/>
        </w:rPr>
        <w:t xml:space="preserve">VAA of the Act </w:t>
      </w:r>
      <w:r w:rsidR="0086578A" w:rsidRPr="0086578A">
        <w:rPr>
          <w:iCs/>
          <w:lang w:val="en-US"/>
        </w:rPr>
        <w:t xml:space="preserve">(essentially, a limit on a person’s voting power in the company) </w:t>
      </w:r>
      <w:r w:rsidR="00FB63EA">
        <w:rPr>
          <w:iCs/>
          <w:lang w:val="en-US"/>
        </w:rPr>
        <w:t xml:space="preserve">does not exist in relation to </w:t>
      </w:r>
      <w:r w:rsidR="002A5786">
        <w:rPr>
          <w:iCs/>
          <w:lang w:val="en-US"/>
        </w:rPr>
        <w:t>the company</w:t>
      </w:r>
      <w:r w:rsidR="00FB63EA">
        <w:rPr>
          <w:iCs/>
          <w:lang w:val="en-US"/>
        </w:rPr>
        <w:t xml:space="preserve"> in relation to any person.</w:t>
      </w:r>
      <w:r w:rsidR="00C57683">
        <w:rPr>
          <w:iCs/>
          <w:lang w:val="en-US"/>
        </w:rPr>
        <w:t xml:space="preserve"> </w:t>
      </w:r>
    </w:p>
    <w:p w:rsidR="00FB63EA" w:rsidRDefault="007B0F30" w:rsidP="002A5786">
      <w:pPr>
        <w:pStyle w:val="BodyText"/>
        <w:tabs>
          <w:tab w:val="clear" w:pos="567"/>
          <w:tab w:val="clear" w:pos="680"/>
        </w:tabs>
        <w:rPr>
          <w:iCs/>
          <w:lang w:val="en-US"/>
        </w:rPr>
      </w:pPr>
      <w:r>
        <w:rPr>
          <w:iCs/>
          <w:lang w:val="en-US"/>
        </w:rPr>
        <w:t xml:space="preserve">Part 5D.5 of the Act </w:t>
      </w:r>
      <w:r w:rsidR="000F32A1">
        <w:rPr>
          <w:iCs/>
          <w:lang w:val="en-US"/>
        </w:rPr>
        <w:t>(</w:t>
      </w:r>
      <w:r w:rsidR="00797B16">
        <w:rPr>
          <w:iCs/>
          <w:lang w:val="en-US"/>
        </w:rPr>
        <w:t>which deals with the limits on control of licensed trustee companies</w:t>
      </w:r>
      <w:r w:rsidR="000F32A1">
        <w:rPr>
          <w:iCs/>
          <w:lang w:val="en-US"/>
        </w:rPr>
        <w:t>)</w:t>
      </w:r>
      <w:r w:rsidR="00C57683">
        <w:rPr>
          <w:iCs/>
          <w:lang w:val="en-US"/>
        </w:rPr>
        <w:t xml:space="preserve"> as currently drafted applies only to a </w:t>
      </w:r>
      <w:r w:rsidR="002A5786">
        <w:rPr>
          <w:iCs/>
          <w:lang w:val="en-US"/>
        </w:rPr>
        <w:t>“</w:t>
      </w:r>
      <w:r w:rsidR="00C57683">
        <w:rPr>
          <w:iCs/>
          <w:lang w:val="en-US"/>
        </w:rPr>
        <w:t>licensed trustee company</w:t>
      </w:r>
      <w:r w:rsidR="002A5786">
        <w:rPr>
          <w:iCs/>
          <w:lang w:val="en-US"/>
        </w:rPr>
        <w:t>”</w:t>
      </w:r>
      <w:r w:rsidR="00C57683">
        <w:rPr>
          <w:iCs/>
          <w:lang w:val="en-US"/>
        </w:rPr>
        <w:t>. Section</w:t>
      </w:r>
      <w:r w:rsidR="008D72EF">
        <w:rPr>
          <w:iCs/>
          <w:lang w:val="en-US"/>
        </w:rPr>
        <w:t> </w:t>
      </w:r>
      <w:r w:rsidR="00C57683">
        <w:rPr>
          <w:iCs/>
          <w:lang w:val="en-US"/>
        </w:rPr>
        <w:t xml:space="preserve">601RAA of the Act defines a </w:t>
      </w:r>
      <w:r w:rsidR="002A5786">
        <w:rPr>
          <w:iCs/>
          <w:lang w:val="en-US"/>
        </w:rPr>
        <w:t>“</w:t>
      </w:r>
      <w:r w:rsidR="00C57683">
        <w:rPr>
          <w:iCs/>
          <w:lang w:val="en-US"/>
        </w:rPr>
        <w:t>licensed trustee company</w:t>
      </w:r>
      <w:r w:rsidR="002A5786">
        <w:rPr>
          <w:iCs/>
          <w:lang w:val="en-US"/>
        </w:rPr>
        <w:t>”</w:t>
      </w:r>
      <w:r w:rsidR="00C57683">
        <w:rPr>
          <w:iCs/>
          <w:lang w:val="en-US"/>
        </w:rPr>
        <w:t xml:space="preserve"> to mea</w:t>
      </w:r>
      <w:r w:rsidR="002D1CA2">
        <w:rPr>
          <w:iCs/>
          <w:lang w:val="en-US"/>
        </w:rPr>
        <w:t xml:space="preserve">n a trustee company that holds </w:t>
      </w:r>
      <w:proofErr w:type="gramStart"/>
      <w:r w:rsidR="002D1CA2">
        <w:rPr>
          <w:iCs/>
          <w:lang w:val="en-US"/>
        </w:rPr>
        <w:t>a</w:t>
      </w:r>
      <w:r w:rsidR="00C57683">
        <w:rPr>
          <w:iCs/>
          <w:lang w:val="en-US"/>
        </w:rPr>
        <w:t>n Australian financial services</w:t>
      </w:r>
      <w:proofErr w:type="gramEnd"/>
      <w:r w:rsidR="00C57683">
        <w:rPr>
          <w:iCs/>
          <w:lang w:val="en-US"/>
        </w:rPr>
        <w:t xml:space="preserve"> licence covering the provision of one or more traditional trustee company services.</w:t>
      </w:r>
    </w:p>
    <w:p w:rsidR="00B76F80" w:rsidRDefault="00B76F80" w:rsidP="00B76F80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1" w:name="_Toc158699037"/>
      <w:r>
        <w:rPr>
          <w:rFonts w:cs="Arial"/>
          <w:bCs/>
          <w:kern w:val="32"/>
          <w:sz w:val="24"/>
          <w:szCs w:val="32"/>
        </w:rPr>
        <w:lastRenderedPageBreak/>
        <w:t>2.</w:t>
      </w:r>
      <w:r>
        <w:rPr>
          <w:rFonts w:cs="Arial"/>
          <w:bCs/>
          <w:kern w:val="32"/>
          <w:sz w:val="24"/>
          <w:szCs w:val="32"/>
        </w:rPr>
        <w:tab/>
        <w:t>Purpose of the class order</w:t>
      </w:r>
      <w:bookmarkEnd w:id="1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797B16" w:rsidRDefault="00797B16" w:rsidP="00B95A62">
      <w:pPr>
        <w:pStyle w:val="BodyText"/>
        <w:tabs>
          <w:tab w:val="clear" w:pos="567"/>
          <w:tab w:val="clear" w:pos="680"/>
        </w:tabs>
        <w:rPr>
          <w:lang w:val="en-US"/>
        </w:rPr>
      </w:pPr>
      <w:r>
        <w:rPr>
          <w:lang w:val="en-US"/>
        </w:rPr>
        <w:t>The purpose of the class order is to ensure that the provisions dealing with limits on control of licensed trustee companies</w:t>
      </w:r>
      <w:r w:rsidR="001F4363">
        <w:rPr>
          <w:lang w:val="en-US"/>
        </w:rPr>
        <w:t xml:space="preserve"> in Part 5D.5 of the Act also apply to “proposed licensed trustee companies”. </w:t>
      </w:r>
      <w:r w:rsidR="005D5AC5">
        <w:rPr>
          <w:lang w:val="en-US"/>
        </w:rPr>
        <w:br/>
      </w:r>
      <w:r w:rsidR="005D5AC5">
        <w:rPr>
          <w:lang w:val="en-US"/>
        </w:rPr>
        <w:br/>
      </w:r>
      <w:r w:rsidR="001F4363">
        <w:rPr>
          <w:lang w:val="en-US"/>
        </w:rPr>
        <w:t xml:space="preserve">A “proposed licensed trustee company’ is a company that wishes to be included in the list of trustee companies in the Schedule and </w:t>
      </w:r>
      <w:r w:rsidR="0086578A">
        <w:rPr>
          <w:lang w:val="en-US"/>
        </w:rPr>
        <w:t xml:space="preserve">is </w:t>
      </w:r>
      <w:r w:rsidR="001F4363">
        <w:rPr>
          <w:lang w:val="en-US"/>
        </w:rPr>
        <w:t xml:space="preserve">proposing to make an application to ASIC for an Australian financial </w:t>
      </w:r>
      <w:r w:rsidR="001F4363" w:rsidRPr="001F4363">
        <w:rPr>
          <w:iCs/>
          <w:lang w:val="en-US"/>
        </w:rPr>
        <w:t>services licence covering the provision of traditional trustee company services</w:t>
      </w:r>
      <w:r w:rsidR="001F4363">
        <w:rPr>
          <w:iCs/>
          <w:lang w:val="en-US"/>
        </w:rPr>
        <w:t>.</w:t>
      </w:r>
      <w:r w:rsidR="001F4363">
        <w:rPr>
          <w:lang w:val="en-US"/>
        </w:rPr>
        <w:t xml:space="preserve"> </w:t>
      </w:r>
    </w:p>
    <w:p w:rsidR="00D3128B" w:rsidRDefault="00D3128B" w:rsidP="00B76F80">
      <w:pPr>
        <w:pStyle w:val="BodyText"/>
        <w:rPr>
          <w:lang w:val="en-US"/>
        </w:rPr>
      </w:pPr>
      <w:r>
        <w:rPr>
          <w:lang w:val="en-US"/>
        </w:rPr>
        <w:t>The changes resulting from this class order</w:t>
      </w:r>
      <w:r w:rsidR="005D5AC5">
        <w:rPr>
          <w:lang w:val="en-US"/>
        </w:rPr>
        <w:t>,</w:t>
      </w:r>
      <w:r w:rsidR="005D5AC5" w:rsidRPr="005D5AC5">
        <w:rPr>
          <w:szCs w:val="24"/>
          <w:lang w:val="en-US"/>
        </w:rPr>
        <w:t xml:space="preserve"> </w:t>
      </w:r>
      <w:r w:rsidR="005D5AC5" w:rsidRPr="005D5AC5">
        <w:rPr>
          <w:lang w:val="en-US"/>
        </w:rPr>
        <w:t>in relation to a proposed licensed trustee company</w:t>
      </w:r>
      <w:r w:rsidR="005D5AC5">
        <w:rPr>
          <w:lang w:val="en-US"/>
        </w:rPr>
        <w:t>,</w:t>
      </w:r>
      <w:r>
        <w:rPr>
          <w:lang w:val="en-US"/>
        </w:rPr>
        <w:t xml:space="preserve"> will enable the Minister to</w:t>
      </w:r>
      <w:r w:rsidR="00E04C83">
        <w:rPr>
          <w:lang w:val="en-US"/>
        </w:rPr>
        <w:t xml:space="preserve"> properly consider</w:t>
      </w:r>
      <w:r>
        <w:rPr>
          <w:lang w:val="en-US"/>
        </w:rPr>
        <w:t>:</w:t>
      </w:r>
    </w:p>
    <w:p w:rsidR="00A64B0F" w:rsidRDefault="00D972C3" w:rsidP="00E04C83">
      <w:pPr>
        <w:pStyle w:val="BodyText"/>
        <w:numPr>
          <w:ilvl w:val="0"/>
          <w:numId w:val="8"/>
        </w:numPr>
        <w:tabs>
          <w:tab w:val="clear" w:pos="567"/>
          <w:tab w:val="clear" w:pos="680"/>
        </w:tabs>
        <w:rPr>
          <w:lang w:val="en-US"/>
        </w:rPr>
      </w:pPr>
      <w:r>
        <w:rPr>
          <w:lang w:val="en-US"/>
        </w:rPr>
        <w:t xml:space="preserve">whether </w:t>
      </w:r>
      <w:r w:rsidR="0086578A">
        <w:rPr>
          <w:lang w:val="en-US"/>
        </w:rPr>
        <w:t>the</w:t>
      </w:r>
      <w:r>
        <w:rPr>
          <w:lang w:val="en-US"/>
        </w:rPr>
        <w:t xml:space="preserve"> company should be </w:t>
      </w:r>
      <w:r w:rsidR="00797B16">
        <w:rPr>
          <w:lang w:val="en-US"/>
        </w:rPr>
        <w:t>added to the list</w:t>
      </w:r>
      <w:r>
        <w:rPr>
          <w:lang w:val="en-US"/>
        </w:rPr>
        <w:t xml:space="preserve"> in </w:t>
      </w:r>
      <w:r w:rsidR="00797B16">
        <w:rPr>
          <w:lang w:val="en-US"/>
        </w:rPr>
        <w:t xml:space="preserve">the </w:t>
      </w:r>
      <w:r>
        <w:rPr>
          <w:lang w:val="en-US"/>
        </w:rPr>
        <w:t>Schedule</w:t>
      </w:r>
      <w:r w:rsidR="00797B16">
        <w:rPr>
          <w:lang w:val="en-US"/>
        </w:rPr>
        <w:t>, having regard to the matters of which the Minister must be satisfied</w:t>
      </w:r>
      <w:r>
        <w:rPr>
          <w:lang w:val="en-US"/>
        </w:rPr>
        <w:t>; and</w:t>
      </w:r>
    </w:p>
    <w:p w:rsidR="00797B16" w:rsidRDefault="00E27C25" w:rsidP="00E04C83">
      <w:pPr>
        <w:pStyle w:val="BodyText"/>
        <w:numPr>
          <w:ilvl w:val="0"/>
          <w:numId w:val="8"/>
        </w:numPr>
        <w:tabs>
          <w:tab w:val="clear" w:pos="567"/>
          <w:tab w:val="clear" w:pos="680"/>
        </w:tabs>
        <w:rPr>
          <w:lang w:val="en-US"/>
        </w:rPr>
      </w:pPr>
      <w:proofErr w:type="gramStart"/>
      <w:r>
        <w:t>an</w:t>
      </w:r>
      <w:proofErr w:type="gramEnd"/>
      <w:r>
        <w:t xml:space="preserve"> application by a </w:t>
      </w:r>
      <w:r w:rsidR="0086578A">
        <w:t>person</w:t>
      </w:r>
      <w:r>
        <w:t xml:space="preserve"> under section</w:t>
      </w:r>
      <w:r w:rsidR="008D72EF">
        <w:t> </w:t>
      </w:r>
      <w:r>
        <w:t xml:space="preserve">601VBA of the Act to exceed the </w:t>
      </w:r>
      <w:r w:rsidR="00797B16">
        <w:t xml:space="preserve">statutory </w:t>
      </w:r>
      <w:r>
        <w:t>voting power limit</w:t>
      </w:r>
      <w:r w:rsidR="0086578A">
        <w:t xml:space="preserve"> in relation to the company</w:t>
      </w:r>
      <w:r w:rsidR="00D972C3" w:rsidRPr="00D972C3">
        <w:t xml:space="preserve">.      </w:t>
      </w:r>
    </w:p>
    <w:p w:rsidR="00B76F80" w:rsidRDefault="00B76F80" w:rsidP="00B76F80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bookmarkStart w:id="2" w:name="_Toc158699040"/>
      <w:r>
        <w:rPr>
          <w:rFonts w:cs="Arial"/>
          <w:bCs/>
          <w:kern w:val="32"/>
          <w:sz w:val="24"/>
          <w:szCs w:val="32"/>
        </w:rPr>
        <w:t>3.</w:t>
      </w:r>
      <w:r>
        <w:rPr>
          <w:rFonts w:cs="Arial"/>
          <w:bCs/>
          <w:kern w:val="32"/>
          <w:sz w:val="24"/>
          <w:szCs w:val="32"/>
        </w:rPr>
        <w:tab/>
        <w:t>Operation of the class order</w:t>
      </w:r>
      <w:bookmarkEnd w:id="2"/>
      <w:r>
        <w:rPr>
          <w:rFonts w:cs="Arial"/>
          <w:bCs/>
          <w:kern w:val="32"/>
          <w:sz w:val="24"/>
          <w:szCs w:val="32"/>
        </w:rPr>
        <w:t xml:space="preserve"> </w:t>
      </w:r>
    </w:p>
    <w:p w:rsidR="002D1CA2" w:rsidRDefault="00B76F80" w:rsidP="00A75394">
      <w:pPr>
        <w:pStyle w:val="BodyText"/>
        <w:tabs>
          <w:tab w:val="clear" w:pos="567"/>
          <w:tab w:val="clear" w:pos="680"/>
        </w:tabs>
        <w:rPr>
          <w:lang w:val="en-US"/>
        </w:rPr>
      </w:pPr>
      <w:r w:rsidRPr="00927492">
        <w:rPr>
          <w:lang w:val="en-US"/>
        </w:rPr>
        <w:t>This class</w:t>
      </w:r>
      <w:r>
        <w:rPr>
          <w:lang w:val="en-US"/>
        </w:rPr>
        <w:t xml:space="preserve"> order </w:t>
      </w:r>
      <w:r w:rsidR="00D671D7" w:rsidRPr="00D671D7">
        <w:rPr>
          <w:lang w:val="en-US"/>
        </w:rPr>
        <w:t>extend</w:t>
      </w:r>
      <w:r w:rsidR="00D671D7">
        <w:rPr>
          <w:lang w:val="en-US"/>
        </w:rPr>
        <w:t>s</w:t>
      </w:r>
      <w:r w:rsidR="00D671D7" w:rsidRPr="00D671D7">
        <w:rPr>
          <w:lang w:val="en-US"/>
        </w:rPr>
        <w:t xml:space="preserve"> the application of Part</w:t>
      </w:r>
      <w:r w:rsidR="008D72EF">
        <w:rPr>
          <w:lang w:val="en-US"/>
        </w:rPr>
        <w:t> </w:t>
      </w:r>
      <w:r w:rsidR="00D671D7" w:rsidRPr="00D671D7">
        <w:rPr>
          <w:lang w:val="en-US"/>
        </w:rPr>
        <w:t>5D.5 of the Act</w:t>
      </w:r>
      <w:r w:rsidR="00D671D7">
        <w:rPr>
          <w:lang w:val="en-US"/>
        </w:rPr>
        <w:t xml:space="preserve"> to </w:t>
      </w:r>
      <w:r w:rsidR="001D109C">
        <w:rPr>
          <w:lang w:val="en-US"/>
        </w:rPr>
        <w:t xml:space="preserve">proposed licensed trustee </w:t>
      </w:r>
      <w:r w:rsidR="00D671D7">
        <w:rPr>
          <w:lang w:val="en-US"/>
        </w:rPr>
        <w:t xml:space="preserve">companies </w:t>
      </w:r>
      <w:r w:rsidR="005E269D">
        <w:rPr>
          <w:lang w:val="en-US"/>
        </w:rPr>
        <w:t>by</w:t>
      </w:r>
      <w:r w:rsidR="00A75394">
        <w:rPr>
          <w:lang w:val="en-US"/>
        </w:rPr>
        <w:t>:</w:t>
      </w:r>
    </w:p>
    <w:p w:rsidR="00A75394" w:rsidRPr="00A75394" w:rsidRDefault="00A75394" w:rsidP="00E04C83">
      <w:pPr>
        <w:pStyle w:val="BodyText"/>
        <w:numPr>
          <w:ilvl w:val="0"/>
          <w:numId w:val="10"/>
        </w:numPr>
        <w:tabs>
          <w:tab w:val="clear" w:pos="567"/>
          <w:tab w:val="clear" w:pos="680"/>
        </w:tabs>
        <w:rPr>
          <w:lang w:val="en-US"/>
        </w:rPr>
      </w:pPr>
      <w:r>
        <w:rPr>
          <w:lang w:val="en-US"/>
        </w:rPr>
        <w:t xml:space="preserve">inserting </w:t>
      </w:r>
      <w:r w:rsidRPr="00A75394">
        <w:rPr>
          <w:lang w:val="en-US"/>
        </w:rPr>
        <w:t xml:space="preserve">a new </w:t>
      </w:r>
      <w:r>
        <w:rPr>
          <w:lang w:val="en-US"/>
        </w:rPr>
        <w:t xml:space="preserve">notional </w:t>
      </w:r>
      <w:r w:rsidRPr="00A75394">
        <w:rPr>
          <w:lang w:val="en-US"/>
        </w:rPr>
        <w:t xml:space="preserve">Division 1A in Part 5D.5 </w:t>
      </w:r>
      <w:r w:rsidR="00E201E3">
        <w:rPr>
          <w:lang w:val="en-US"/>
        </w:rPr>
        <w:t>en</w:t>
      </w:r>
      <w:r w:rsidRPr="00A75394">
        <w:rPr>
          <w:lang w:val="en-US"/>
        </w:rPr>
        <w:t xml:space="preserve">titled </w:t>
      </w:r>
      <w:r>
        <w:rPr>
          <w:lang w:val="en-US"/>
        </w:rPr>
        <w:t>“</w:t>
      </w:r>
      <w:r w:rsidRPr="00A75394">
        <w:rPr>
          <w:lang w:val="en-US"/>
        </w:rPr>
        <w:t>Application of Part to proposed licensed trustee companies</w:t>
      </w:r>
      <w:r>
        <w:rPr>
          <w:lang w:val="en-US"/>
        </w:rPr>
        <w:t>”</w:t>
      </w:r>
      <w:r w:rsidR="00E201E3">
        <w:rPr>
          <w:lang w:val="en-US"/>
        </w:rPr>
        <w:t xml:space="preserve">, </w:t>
      </w:r>
      <w:r w:rsidR="00C33795">
        <w:rPr>
          <w:lang w:val="en-US"/>
        </w:rPr>
        <w:t xml:space="preserve">comprising notional section 601VAAA, </w:t>
      </w:r>
      <w:r w:rsidR="00E201E3">
        <w:rPr>
          <w:lang w:val="en-US"/>
        </w:rPr>
        <w:t xml:space="preserve">which has the effect of </w:t>
      </w:r>
      <w:r w:rsidR="004C1E98">
        <w:rPr>
          <w:lang w:val="en-US"/>
        </w:rPr>
        <w:t xml:space="preserve">extending </w:t>
      </w:r>
      <w:r w:rsidR="00E201E3">
        <w:rPr>
          <w:lang w:val="en-US"/>
        </w:rPr>
        <w:t>that Part so that it also applies to a “proposed licensed trustee company”; and</w:t>
      </w:r>
    </w:p>
    <w:p w:rsidR="002D1CA2" w:rsidRDefault="00E201E3" w:rsidP="00E04C83">
      <w:pPr>
        <w:pStyle w:val="BodyText"/>
        <w:numPr>
          <w:ilvl w:val="0"/>
          <w:numId w:val="10"/>
        </w:numPr>
        <w:tabs>
          <w:tab w:val="clear" w:pos="567"/>
          <w:tab w:val="clear" w:pos="680"/>
        </w:tabs>
        <w:rPr>
          <w:lang w:val="en-US"/>
        </w:rPr>
      </w:pPr>
      <w:proofErr w:type="gramStart"/>
      <w:r>
        <w:rPr>
          <w:lang w:val="en-US"/>
        </w:rPr>
        <w:t>inserting</w:t>
      </w:r>
      <w:proofErr w:type="gramEnd"/>
      <w:r>
        <w:rPr>
          <w:lang w:val="en-US"/>
        </w:rPr>
        <w:t xml:space="preserve"> consequential </w:t>
      </w:r>
      <w:r w:rsidR="002D1CA2">
        <w:rPr>
          <w:lang w:val="en-US"/>
        </w:rPr>
        <w:t xml:space="preserve">definitions </w:t>
      </w:r>
      <w:r>
        <w:rPr>
          <w:lang w:val="en-US"/>
        </w:rPr>
        <w:t xml:space="preserve">of </w:t>
      </w:r>
      <w:r w:rsidR="00A75394">
        <w:rPr>
          <w:lang w:val="en-US"/>
        </w:rPr>
        <w:t>“</w:t>
      </w:r>
      <w:r w:rsidR="002D1CA2">
        <w:rPr>
          <w:lang w:val="en-US"/>
        </w:rPr>
        <w:t>proposed licensed trustee company</w:t>
      </w:r>
      <w:r w:rsidR="00A75394">
        <w:rPr>
          <w:lang w:val="en-US"/>
        </w:rPr>
        <w:t>”</w:t>
      </w:r>
      <w:r w:rsidR="002D1CA2">
        <w:rPr>
          <w:lang w:val="en-US"/>
        </w:rPr>
        <w:t xml:space="preserve"> and </w:t>
      </w:r>
      <w:r w:rsidR="00A75394">
        <w:rPr>
          <w:lang w:val="en-US"/>
        </w:rPr>
        <w:t>“</w:t>
      </w:r>
      <w:r w:rsidR="002D1CA2">
        <w:rPr>
          <w:lang w:val="en-US"/>
        </w:rPr>
        <w:t>proposed trustee company</w:t>
      </w:r>
      <w:r w:rsidR="00A75394">
        <w:rPr>
          <w:lang w:val="en-US"/>
        </w:rPr>
        <w:t>”</w:t>
      </w:r>
      <w:r w:rsidR="00FC4891">
        <w:rPr>
          <w:lang w:val="en-US"/>
        </w:rPr>
        <w:t xml:space="preserve"> in section 601RAA of the Act</w:t>
      </w:r>
      <w:r>
        <w:rPr>
          <w:lang w:val="en-US"/>
        </w:rPr>
        <w:t>.</w:t>
      </w:r>
      <w:r w:rsidR="00FC4891">
        <w:rPr>
          <w:lang w:val="en-US"/>
        </w:rPr>
        <w:t xml:space="preserve"> </w:t>
      </w:r>
    </w:p>
    <w:p w:rsidR="00ED6BAC" w:rsidRDefault="00ED6BAC" w:rsidP="0086578A">
      <w:pPr>
        <w:pStyle w:val="BodyText"/>
      </w:pPr>
      <w:r>
        <w:rPr>
          <w:lang w:val="en-US"/>
        </w:rPr>
        <w:t xml:space="preserve">Certain provisions of Part 5D.5 of the Act (namely sections </w:t>
      </w:r>
      <w:r w:rsidRPr="00ED6BAC">
        <w:t>601VAB, 601VAC, 601VAD and 601VCC</w:t>
      </w:r>
      <w:r>
        <w:t>)</w:t>
      </w:r>
      <w:r w:rsidRPr="00ED6BAC">
        <w:rPr>
          <w:lang w:val="en-US"/>
        </w:rPr>
        <w:t xml:space="preserve"> </w:t>
      </w:r>
      <w:r>
        <w:rPr>
          <w:lang w:val="en-US"/>
        </w:rPr>
        <w:t xml:space="preserve">have been excluded from the extended application of the Part </w:t>
      </w:r>
      <w:r w:rsidRPr="00ED6BAC">
        <w:t>to ensure that</w:t>
      </w:r>
      <w:r>
        <w:t xml:space="preserve"> the effect of the extended application: </w:t>
      </w:r>
    </w:p>
    <w:p w:rsidR="00E96816" w:rsidRDefault="00ED6BAC">
      <w:pPr>
        <w:pStyle w:val="BodyText"/>
        <w:numPr>
          <w:ilvl w:val="0"/>
          <w:numId w:val="6"/>
        </w:numPr>
        <w:tabs>
          <w:tab w:val="clear" w:pos="567"/>
          <w:tab w:val="clear" w:pos="680"/>
        </w:tabs>
      </w:pPr>
      <w:r w:rsidRPr="00ED6BAC">
        <w:t>do</w:t>
      </w:r>
      <w:r>
        <w:t>es</w:t>
      </w:r>
      <w:r w:rsidRPr="00ED6BAC">
        <w:t xml:space="preserve"> not inadvertently bring about a result that a person</w:t>
      </w:r>
      <w:r>
        <w:t>’</w:t>
      </w:r>
      <w:r w:rsidRPr="00ED6BAC">
        <w:t>s conduct may constitute the commission of an offence where it would not otherwise amount to an offence;</w:t>
      </w:r>
      <w:r>
        <w:t xml:space="preserve"> and</w:t>
      </w:r>
      <w:r w:rsidRPr="00ED6BAC">
        <w:t xml:space="preserve"> </w:t>
      </w:r>
    </w:p>
    <w:p w:rsidR="00E96816" w:rsidRDefault="00ED6BAC">
      <w:pPr>
        <w:pStyle w:val="BodyText"/>
        <w:numPr>
          <w:ilvl w:val="0"/>
          <w:numId w:val="6"/>
        </w:numPr>
        <w:tabs>
          <w:tab w:val="clear" w:pos="567"/>
          <w:tab w:val="clear" w:pos="680"/>
        </w:tabs>
      </w:pPr>
      <w:proofErr w:type="gramStart"/>
      <w:r>
        <w:t>does</w:t>
      </w:r>
      <w:proofErr w:type="gramEnd"/>
      <w:r>
        <w:t xml:space="preserve"> not confer </w:t>
      </w:r>
      <w:r w:rsidRPr="00ED6BAC">
        <w:t xml:space="preserve">powers </w:t>
      </w:r>
      <w:r>
        <w:t xml:space="preserve">on </w:t>
      </w:r>
      <w:r w:rsidRPr="00ED6BAC">
        <w:t xml:space="preserve"> courts that they would not otherwise have</w:t>
      </w:r>
      <w:r>
        <w:t xml:space="preserve"> under the Part.</w:t>
      </w:r>
    </w:p>
    <w:p w:rsidR="00E96816" w:rsidRDefault="00ED6BAC">
      <w:pPr>
        <w:pStyle w:val="BodyText"/>
        <w:rPr>
          <w:rFonts w:cs="Arial"/>
          <w:bCs/>
          <w:kern w:val="32"/>
          <w:szCs w:val="32"/>
        </w:rPr>
      </w:pPr>
      <w:r>
        <w:rPr>
          <w:lang w:val="en-US"/>
        </w:rPr>
        <w:t xml:space="preserve"> </w:t>
      </w:r>
      <w:bookmarkStart w:id="3" w:name="_Toc158699042"/>
    </w:p>
    <w:p w:rsidR="00B95A62" w:rsidRPr="00B95A62" w:rsidRDefault="001E7710" w:rsidP="00B95A62">
      <w:pPr>
        <w:jc w:val="both"/>
        <w:rPr>
          <w:rFonts w:ascii="Arial" w:hAnsi="Arial" w:cs="Arial"/>
          <w:b/>
          <w:bCs/>
        </w:rPr>
      </w:pPr>
      <w:r w:rsidRPr="001E7710">
        <w:rPr>
          <w:rFonts w:ascii="Arial" w:hAnsi="Arial" w:cs="Arial"/>
          <w:b/>
          <w:bCs/>
        </w:rPr>
        <w:t>4.</w:t>
      </w:r>
      <w:r w:rsidRPr="001E7710">
        <w:rPr>
          <w:rFonts w:ascii="Arial" w:hAnsi="Arial" w:cs="Arial"/>
          <w:b/>
          <w:bCs/>
        </w:rPr>
        <w:tab/>
        <w:t xml:space="preserve">Statement of Compatibility with Human Rights </w:t>
      </w:r>
    </w:p>
    <w:p w:rsidR="00B95A62" w:rsidRDefault="00B95A62" w:rsidP="00B95A62">
      <w:pPr>
        <w:jc w:val="both"/>
        <w:rPr>
          <w:bCs/>
        </w:rPr>
      </w:pPr>
    </w:p>
    <w:p w:rsidR="00B95A62" w:rsidRDefault="00B95A62" w:rsidP="00B95A62">
      <w:pPr>
        <w:jc w:val="both"/>
        <w:rPr>
          <w:bCs/>
        </w:rPr>
      </w:pPr>
      <w:r>
        <w:rPr>
          <w:bCs/>
        </w:rPr>
        <w:t xml:space="preserve">This statement is prepared in accordance with Part 3 of the </w:t>
      </w:r>
      <w:r w:rsidRPr="00CB68B9">
        <w:rPr>
          <w:bCs/>
          <w:i/>
        </w:rPr>
        <w:t>Human Rights (Parliamentary Scrutiny) Act 2011</w:t>
      </w:r>
      <w:r>
        <w:rPr>
          <w:bCs/>
        </w:rPr>
        <w:t xml:space="preserve">. </w:t>
      </w:r>
    </w:p>
    <w:p w:rsidR="00B95A62" w:rsidRDefault="00B95A62" w:rsidP="00B95A62">
      <w:pPr>
        <w:jc w:val="both"/>
        <w:rPr>
          <w:bCs/>
        </w:rPr>
      </w:pPr>
    </w:p>
    <w:p w:rsidR="00E96816" w:rsidRDefault="00B95A62">
      <w:pPr>
        <w:jc w:val="both"/>
        <w:rPr>
          <w:rFonts w:cs="Arial"/>
          <w:bCs/>
          <w:kern w:val="32"/>
          <w:szCs w:val="32"/>
        </w:rPr>
      </w:pPr>
      <w:r>
        <w:rPr>
          <w:bCs/>
        </w:rPr>
        <w:lastRenderedPageBreak/>
        <w:t xml:space="preserve">This </w:t>
      </w:r>
      <w:r w:rsidR="009D1DAA">
        <w:rPr>
          <w:bCs/>
        </w:rPr>
        <w:t>l</w:t>
      </w:r>
      <w:r>
        <w:rPr>
          <w:bCs/>
        </w:rPr>
        <w:t xml:space="preserve">egislative </w:t>
      </w:r>
      <w:r w:rsidR="009D1DAA">
        <w:rPr>
          <w:bCs/>
        </w:rPr>
        <w:t>i</w:t>
      </w:r>
      <w:r>
        <w:rPr>
          <w:bCs/>
        </w:rPr>
        <w:t xml:space="preserve">nstrument is compatible with the human rights and freedoms recognised or declared in the international instruments listed in section 3 of the </w:t>
      </w:r>
      <w:r w:rsidRPr="00765283">
        <w:rPr>
          <w:bCs/>
          <w:i/>
        </w:rPr>
        <w:t>Human Rights (Parliamentary Scrutiny) Act 2011</w:t>
      </w:r>
      <w:r>
        <w:rPr>
          <w:bCs/>
          <w:i/>
        </w:rPr>
        <w:t xml:space="preserve"> </w:t>
      </w:r>
      <w:r>
        <w:rPr>
          <w:bCs/>
        </w:rPr>
        <w:t>because it does not engage any of the applicable rights or freedoms.</w:t>
      </w:r>
    </w:p>
    <w:p w:rsidR="00B76F80" w:rsidRDefault="00B95A62" w:rsidP="00B76F80">
      <w:pPr>
        <w:pStyle w:val="Heading1"/>
        <w:tabs>
          <w:tab w:val="clear" w:pos="879"/>
        </w:tabs>
        <w:overflowPunct/>
        <w:autoSpaceDE/>
        <w:autoSpaceDN/>
        <w:adjustRightInd/>
        <w:spacing w:after="60" w:line="240" w:lineRule="auto"/>
        <w:textAlignment w:val="auto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5</w:t>
      </w:r>
      <w:r w:rsidR="00B76F80">
        <w:rPr>
          <w:rFonts w:cs="Arial"/>
          <w:bCs/>
          <w:kern w:val="32"/>
          <w:sz w:val="24"/>
          <w:szCs w:val="32"/>
        </w:rPr>
        <w:t>.</w:t>
      </w:r>
      <w:r w:rsidR="00B76F80">
        <w:rPr>
          <w:rFonts w:cs="Arial"/>
          <w:bCs/>
          <w:kern w:val="32"/>
          <w:sz w:val="24"/>
          <w:szCs w:val="32"/>
        </w:rPr>
        <w:tab/>
        <w:t>Consultation</w:t>
      </w:r>
      <w:bookmarkEnd w:id="3"/>
    </w:p>
    <w:p w:rsidR="00B76F80" w:rsidRPr="00EE6B3D" w:rsidRDefault="00B76F80" w:rsidP="00B76F80">
      <w:pPr>
        <w:pStyle w:val="CommentText"/>
      </w:pPr>
    </w:p>
    <w:p w:rsidR="006B00C4" w:rsidRDefault="00B76F80" w:rsidP="00B76F80">
      <w:pPr>
        <w:rPr>
          <w:lang w:val="en-US"/>
        </w:rPr>
      </w:pPr>
      <w:r>
        <w:rPr>
          <w:lang w:val="en-US"/>
        </w:rPr>
        <w:t>ASIC consulted with the Department of the Treasury befo</w:t>
      </w:r>
      <w:r w:rsidR="00E3301E">
        <w:rPr>
          <w:lang w:val="en-US"/>
        </w:rPr>
        <w:t xml:space="preserve">re making this class order. </w:t>
      </w:r>
      <w:r w:rsidR="001D109C">
        <w:rPr>
          <w:lang w:val="en-US"/>
        </w:rPr>
        <w:t xml:space="preserve">ASIC did not further consult with industry because the effect of the class order is considered to be of a minor and technical nature to ensure the legislation operates in the way intended by Parliament.  </w:t>
      </w:r>
    </w:p>
    <w:p w:rsidR="006B00C4" w:rsidRPr="006B00C4" w:rsidRDefault="006B00C4" w:rsidP="006B00C4">
      <w:pPr>
        <w:rPr>
          <w:lang w:val="en-US"/>
        </w:rPr>
      </w:pPr>
    </w:p>
    <w:p w:rsidR="006B00C4" w:rsidRPr="006B00C4" w:rsidRDefault="006B00C4" w:rsidP="006B00C4">
      <w:pPr>
        <w:rPr>
          <w:lang w:val="en-US"/>
        </w:rPr>
      </w:pPr>
    </w:p>
    <w:p w:rsidR="006B00C4" w:rsidRDefault="006B00C4" w:rsidP="006B00C4">
      <w:pPr>
        <w:rPr>
          <w:lang w:val="en-US"/>
        </w:rPr>
      </w:pPr>
    </w:p>
    <w:p w:rsidR="006B00C4" w:rsidRDefault="006B00C4" w:rsidP="006B00C4">
      <w:pPr>
        <w:rPr>
          <w:lang w:val="en-US"/>
        </w:rPr>
      </w:pPr>
    </w:p>
    <w:p w:rsidR="001D4AF4" w:rsidRPr="006B00C4" w:rsidRDefault="006B00C4" w:rsidP="006B00C4">
      <w:pPr>
        <w:tabs>
          <w:tab w:val="left" w:pos="3184"/>
        </w:tabs>
        <w:rPr>
          <w:lang w:val="en-US"/>
        </w:rPr>
      </w:pPr>
      <w:r>
        <w:rPr>
          <w:lang w:val="en-US"/>
        </w:rPr>
        <w:tab/>
      </w:r>
    </w:p>
    <w:sectPr w:rsidR="001D4AF4" w:rsidRPr="006B00C4" w:rsidSect="009C681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67" w:rsidRDefault="00696667" w:rsidP="00A4388C">
      <w:r>
        <w:separator/>
      </w:r>
    </w:p>
  </w:endnote>
  <w:endnote w:type="continuationSeparator" w:id="0">
    <w:p w:rsidR="00696667" w:rsidRDefault="00696667" w:rsidP="00A4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8A" w:rsidRPr="002D10D6" w:rsidRDefault="0086578A">
    <w:pPr>
      <w:pStyle w:val="Footer"/>
      <w:rPr>
        <w:sz w:val="22"/>
        <w:szCs w:val="22"/>
      </w:rPr>
    </w:pPr>
  </w:p>
  <w:p w:rsidR="0086578A" w:rsidRDefault="00865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67" w:rsidRDefault="00696667" w:rsidP="00A4388C">
      <w:r>
        <w:separator/>
      </w:r>
    </w:p>
  </w:footnote>
  <w:footnote w:type="continuationSeparator" w:id="0">
    <w:p w:rsidR="00696667" w:rsidRDefault="00696667" w:rsidP="00A43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8A" w:rsidRDefault="00E968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036516" o:spid="_x0000_s8197" type="#_x0000_t136" style="position:absolute;margin-left:0;margin-top:0;width:418.5pt;height:167.4pt;rotation:315;z-index:-251648000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  <w:r>
      <w:rPr>
        <w:noProof/>
      </w:rPr>
      <w:pict>
        <v:shape id="_x0000_s8194" type="#_x0000_t136" style="position:absolute;margin-left:0;margin-top:0;width:418.5pt;height:16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83217"/>
      <w:docPartObj>
        <w:docPartGallery w:val="Page Numbers (Top of Page)"/>
        <w:docPartUnique/>
      </w:docPartObj>
    </w:sdtPr>
    <w:sdtContent>
      <w:p w:rsidR="00B95A62" w:rsidRDefault="00E96816">
        <w:pPr>
          <w:pStyle w:val="Header"/>
          <w:jc w:val="center"/>
        </w:pPr>
        <w:fldSimple w:instr=" PAGE   \* MERGEFORMAT ">
          <w:r w:rsidR="00883A82">
            <w:rPr>
              <w:noProof/>
            </w:rPr>
            <w:t>3</w:t>
          </w:r>
        </w:fldSimple>
      </w:p>
    </w:sdtContent>
  </w:sdt>
  <w:p w:rsidR="0086578A" w:rsidRDefault="00E968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036517" o:spid="_x0000_s8198" type="#_x0000_t136" style="position:absolute;margin-left:0;margin-top:0;width:418.5pt;height:167.4pt;rotation:315;z-index:-251645952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8A" w:rsidRDefault="00E96816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036515" o:spid="_x0000_s8196" type="#_x0000_t136" style="position:absolute;left:0;text-align:left;margin-left:0;margin-top:0;width:418.5pt;height:167.4pt;rotation:315;z-index:-251650048;mso-position-horizontal:center;mso-position-horizontal-relative:margin;mso-position-vertical:center;mso-position-vertical-relative:margin" o:allowincell="f" fillcolor="white [3212]" stroked="f">
          <v:textpath style="font-family:&quot;Times New Roman&quot;;font-size:1pt" string="DRAFT"/>
          <w10:wrap anchorx="margin" anchory="margin"/>
        </v:shape>
      </w:pict>
    </w:r>
  </w:p>
  <w:sdt>
    <w:sdtPr>
      <w:id w:val="492372786"/>
      <w:docPartObj>
        <w:docPartGallery w:val="Page Numbers (Top of Page)"/>
        <w:docPartUnique/>
      </w:docPartObj>
    </w:sdtPr>
    <w:sdtContent>
      <w:p w:rsidR="0086578A" w:rsidRDefault="0086578A">
        <w:pPr>
          <w:pStyle w:val="Header"/>
          <w:jc w:val="center"/>
        </w:pPr>
      </w:p>
      <w:p w:rsidR="0086578A" w:rsidRDefault="00E96816">
        <w:pPr>
          <w:pStyle w:val="Header"/>
          <w:jc w:val="center"/>
        </w:pPr>
      </w:p>
    </w:sdtContent>
  </w:sdt>
  <w:p w:rsidR="0086578A" w:rsidRDefault="00865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65A"/>
    <w:multiLevelType w:val="hybridMultilevel"/>
    <w:tmpl w:val="73B2E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03BC"/>
    <w:multiLevelType w:val="hybridMultilevel"/>
    <w:tmpl w:val="BA9C7B34"/>
    <w:lvl w:ilvl="0" w:tplc="BCE4EA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A0A"/>
    <w:multiLevelType w:val="hybridMultilevel"/>
    <w:tmpl w:val="EEACF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D5EBF"/>
    <w:multiLevelType w:val="hybridMultilevel"/>
    <w:tmpl w:val="02AE4EDA"/>
    <w:lvl w:ilvl="0" w:tplc="4DAE7A4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17EC8"/>
    <w:multiLevelType w:val="hybridMultilevel"/>
    <w:tmpl w:val="06C29FAC"/>
    <w:lvl w:ilvl="0" w:tplc="17348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FDB"/>
    <w:multiLevelType w:val="hybridMultilevel"/>
    <w:tmpl w:val="B30AF8AE"/>
    <w:lvl w:ilvl="0" w:tplc="D8582876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A853836"/>
    <w:multiLevelType w:val="hybridMultilevel"/>
    <w:tmpl w:val="C9E272C2"/>
    <w:lvl w:ilvl="0" w:tplc="3CA26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A2B1A"/>
    <w:multiLevelType w:val="hybridMultilevel"/>
    <w:tmpl w:val="7B18A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12992"/>
    <w:multiLevelType w:val="hybridMultilevel"/>
    <w:tmpl w:val="40046D04"/>
    <w:lvl w:ilvl="0" w:tplc="9D02CC36">
      <w:start w:val="1"/>
      <w:numFmt w:val="lowerRoman"/>
      <w:pStyle w:val="Subsubpara"/>
      <w:lvlText w:val="(%1)"/>
      <w:lvlJc w:val="left"/>
      <w:pPr>
        <w:tabs>
          <w:tab w:val="num" w:pos="1799"/>
        </w:tabs>
        <w:ind w:left="125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75031"/>
    <w:multiLevelType w:val="hybridMultilevel"/>
    <w:tmpl w:val="B30AF8AE"/>
    <w:lvl w:ilvl="0" w:tplc="D8582876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7857696"/>
    <w:multiLevelType w:val="hybridMultilevel"/>
    <w:tmpl w:val="4E6618A8"/>
    <w:lvl w:ilvl="0" w:tplc="5726AC30">
      <w:start w:val="1"/>
      <w:numFmt w:val="lowerLetter"/>
      <w:pStyle w:val="Subpara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9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11188"/>
    <w:rsid w:val="0003546A"/>
    <w:rsid w:val="000654E9"/>
    <w:rsid w:val="000912A9"/>
    <w:rsid w:val="000962D4"/>
    <w:rsid w:val="000B05A6"/>
    <w:rsid w:val="000B15BD"/>
    <w:rsid w:val="000B2ABA"/>
    <w:rsid w:val="000E7D6F"/>
    <w:rsid w:val="000F32A1"/>
    <w:rsid w:val="001003CA"/>
    <w:rsid w:val="00101FCA"/>
    <w:rsid w:val="00160401"/>
    <w:rsid w:val="001933D6"/>
    <w:rsid w:val="001B1EBE"/>
    <w:rsid w:val="001B3707"/>
    <w:rsid w:val="001C3F25"/>
    <w:rsid w:val="001D109C"/>
    <w:rsid w:val="001D4AF4"/>
    <w:rsid w:val="001E7710"/>
    <w:rsid w:val="001F4363"/>
    <w:rsid w:val="0020102C"/>
    <w:rsid w:val="00211188"/>
    <w:rsid w:val="0023430B"/>
    <w:rsid w:val="00281228"/>
    <w:rsid w:val="002A5786"/>
    <w:rsid w:val="002D10D6"/>
    <w:rsid w:val="002D1CA2"/>
    <w:rsid w:val="002D56A2"/>
    <w:rsid w:val="002E0CD2"/>
    <w:rsid w:val="002E3DFB"/>
    <w:rsid w:val="00336EC7"/>
    <w:rsid w:val="0033797F"/>
    <w:rsid w:val="003435F7"/>
    <w:rsid w:val="00344E3C"/>
    <w:rsid w:val="00370516"/>
    <w:rsid w:val="00371D95"/>
    <w:rsid w:val="00377E04"/>
    <w:rsid w:val="003870BC"/>
    <w:rsid w:val="003A16B9"/>
    <w:rsid w:val="003A1F4B"/>
    <w:rsid w:val="003E1891"/>
    <w:rsid w:val="003E7C92"/>
    <w:rsid w:val="00422DC1"/>
    <w:rsid w:val="004466DA"/>
    <w:rsid w:val="00457C90"/>
    <w:rsid w:val="004A0545"/>
    <w:rsid w:val="004A6513"/>
    <w:rsid w:val="004C1E98"/>
    <w:rsid w:val="00592695"/>
    <w:rsid w:val="00594479"/>
    <w:rsid w:val="005A69AC"/>
    <w:rsid w:val="005D0FCB"/>
    <w:rsid w:val="005D5AC5"/>
    <w:rsid w:val="005E269D"/>
    <w:rsid w:val="005F23C0"/>
    <w:rsid w:val="0060542C"/>
    <w:rsid w:val="0063086E"/>
    <w:rsid w:val="00641789"/>
    <w:rsid w:val="00643AB8"/>
    <w:rsid w:val="00647AFB"/>
    <w:rsid w:val="00696667"/>
    <w:rsid w:val="006B00C4"/>
    <w:rsid w:val="006B7F62"/>
    <w:rsid w:val="006D625E"/>
    <w:rsid w:val="00711927"/>
    <w:rsid w:val="00726940"/>
    <w:rsid w:val="00754E38"/>
    <w:rsid w:val="00767865"/>
    <w:rsid w:val="00777D84"/>
    <w:rsid w:val="00797B16"/>
    <w:rsid w:val="007B0F30"/>
    <w:rsid w:val="008011CC"/>
    <w:rsid w:val="00824773"/>
    <w:rsid w:val="0085373D"/>
    <w:rsid w:val="0086578A"/>
    <w:rsid w:val="00873725"/>
    <w:rsid w:val="00883A82"/>
    <w:rsid w:val="008C1836"/>
    <w:rsid w:val="008D1AE2"/>
    <w:rsid w:val="008D72EF"/>
    <w:rsid w:val="008E391F"/>
    <w:rsid w:val="008F01BC"/>
    <w:rsid w:val="00927492"/>
    <w:rsid w:val="009419A0"/>
    <w:rsid w:val="00952B08"/>
    <w:rsid w:val="00963D95"/>
    <w:rsid w:val="009715BB"/>
    <w:rsid w:val="00972DFA"/>
    <w:rsid w:val="009B0698"/>
    <w:rsid w:val="009C6818"/>
    <w:rsid w:val="009D1DAA"/>
    <w:rsid w:val="009F2DAB"/>
    <w:rsid w:val="00A3164F"/>
    <w:rsid w:val="00A40A43"/>
    <w:rsid w:val="00A4388C"/>
    <w:rsid w:val="00A44BDC"/>
    <w:rsid w:val="00A51AFE"/>
    <w:rsid w:val="00A64B0F"/>
    <w:rsid w:val="00A664EB"/>
    <w:rsid w:val="00A67614"/>
    <w:rsid w:val="00A75394"/>
    <w:rsid w:val="00AA3206"/>
    <w:rsid w:val="00AB303D"/>
    <w:rsid w:val="00AD3EEC"/>
    <w:rsid w:val="00AE0E65"/>
    <w:rsid w:val="00AE7C64"/>
    <w:rsid w:val="00B01072"/>
    <w:rsid w:val="00B03D1B"/>
    <w:rsid w:val="00B228EB"/>
    <w:rsid w:val="00B43C50"/>
    <w:rsid w:val="00B76F80"/>
    <w:rsid w:val="00B95A62"/>
    <w:rsid w:val="00BC3D08"/>
    <w:rsid w:val="00BE22F8"/>
    <w:rsid w:val="00BE2D78"/>
    <w:rsid w:val="00BE2E1F"/>
    <w:rsid w:val="00BE5378"/>
    <w:rsid w:val="00BF0F2D"/>
    <w:rsid w:val="00BF76E0"/>
    <w:rsid w:val="00C15F34"/>
    <w:rsid w:val="00C22360"/>
    <w:rsid w:val="00C2448E"/>
    <w:rsid w:val="00C33795"/>
    <w:rsid w:val="00C400A8"/>
    <w:rsid w:val="00C40EE2"/>
    <w:rsid w:val="00C57683"/>
    <w:rsid w:val="00C90E5E"/>
    <w:rsid w:val="00C96063"/>
    <w:rsid w:val="00CC0F12"/>
    <w:rsid w:val="00CD03F1"/>
    <w:rsid w:val="00CD3DEC"/>
    <w:rsid w:val="00D06A2C"/>
    <w:rsid w:val="00D3128B"/>
    <w:rsid w:val="00D52404"/>
    <w:rsid w:val="00D671D7"/>
    <w:rsid w:val="00D83997"/>
    <w:rsid w:val="00D972C3"/>
    <w:rsid w:val="00DB480D"/>
    <w:rsid w:val="00DC0D34"/>
    <w:rsid w:val="00DC4761"/>
    <w:rsid w:val="00DC53E0"/>
    <w:rsid w:val="00DC6494"/>
    <w:rsid w:val="00DE0D81"/>
    <w:rsid w:val="00E04C83"/>
    <w:rsid w:val="00E06B90"/>
    <w:rsid w:val="00E16862"/>
    <w:rsid w:val="00E1703B"/>
    <w:rsid w:val="00E201E3"/>
    <w:rsid w:val="00E20A1B"/>
    <w:rsid w:val="00E27C25"/>
    <w:rsid w:val="00E3301E"/>
    <w:rsid w:val="00E44FDB"/>
    <w:rsid w:val="00E534D5"/>
    <w:rsid w:val="00E96816"/>
    <w:rsid w:val="00EA6F0A"/>
    <w:rsid w:val="00EA7DBD"/>
    <w:rsid w:val="00EB2AC7"/>
    <w:rsid w:val="00ED6031"/>
    <w:rsid w:val="00ED6BAC"/>
    <w:rsid w:val="00EE6B3D"/>
    <w:rsid w:val="00F4680C"/>
    <w:rsid w:val="00F52120"/>
    <w:rsid w:val="00F81F92"/>
    <w:rsid w:val="00F911FD"/>
    <w:rsid w:val="00FB63EA"/>
    <w:rsid w:val="00FC4891"/>
    <w:rsid w:val="00FD60A5"/>
    <w:rsid w:val="00FF511D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862"/>
    <w:rPr>
      <w:sz w:val="24"/>
      <w:szCs w:val="24"/>
      <w:lang w:eastAsia="en-US"/>
    </w:rPr>
  </w:style>
  <w:style w:type="paragraph" w:styleId="Heading1">
    <w:name w:val="heading 1"/>
    <w:aliases w:val="h1,header 1"/>
    <w:next w:val="CommentText"/>
    <w:link w:val="Heading1Char"/>
    <w:qFormat/>
    <w:rsid w:val="00E16862"/>
    <w:pPr>
      <w:keepNext/>
      <w:tabs>
        <w:tab w:val="left" w:pos="879"/>
      </w:tabs>
      <w:overflowPunct w:val="0"/>
      <w:autoSpaceDE w:val="0"/>
      <w:autoSpaceDN w:val="0"/>
      <w:adjustRightInd w:val="0"/>
      <w:spacing w:before="360" w:after="120" w:line="340" w:lineRule="atLeast"/>
      <w:textAlignment w:val="baseline"/>
      <w:outlineLvl w:val="0"/>
    </w:pPr>
    <w:rPr>
      <w:rFonts w:ascii="Arial" w:hAnsi="Arial"/>
      <w:b/>
      <w:kern w:val="28"/>
      <w:sz w:val="40"/>
      <w:lang w:eastAsia="en-US"/>
    </w:rPr>
  </w:style>
  <w:style w:type="paragraph" w:styleId="Heading2">
    <w:name w:val="heading 2"/>
    <w:next w:val="BodyText"/>
    <w:qFormat/>
    <w:rsid w:val="00E16862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1"/>
    </w:pPr>
    <w:rPr>
      <w:rFonts w:ascii="Arial" w:hAnsi="Arial"/>
      <w:b/>
      <w:sz w:val="32"/>
      <w:lang w:eastAsia="en-US"/>
    </w:rPr>
  </w:style>
  <w:style w:type="paragraph" w:styleId="Heading3">
    <w:name w:val="heading 3"/>
    <w:basedOn w:val="Normal"/>
    <w:next w:val="Normal"/>
    <w:qFormat/>
    <w:rsid w:val="00E16862"/>
    <w:pPr>
      <w:keepNext/>
      <w:spacing w:line="240" w:lineRule="atLeast"/>
      <w:ind w:left="357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semiHidden/>
    <w:rsid w:val="00E16862"/>
    <w:pPr>
      <w:tabs>
        <w:tab w:val="left" w:pos="567"/>
        <w:tab w:val="left" w:pos="680"/>
      </w:tabs>
      <w:overflowPunct w:val="0"/>
      <w:autoSpaceDE w:val="0"/>
      <w:autoSpaceDN w:val="0"/>
      <w:adjustRightInd w:val="0"/>
      <w:spacing w:before="200" w:line="300" w:lineRule="atLeast"/>
      <w:textAlignment w:val="baseline"/>
    </w:pPr>
    <w:rPr>
      <w:sz w:val="24"/>
      <w:lang w:eastAsia="en-US"/>
    </w:rPr>
  </w:style>
  <w:style w:type="paragraph" w:styleId="Title">
    <w:name w:val="Title"/>
    <w:basedOn w:val="Normal"/>
    <w:link w:val="TitleChar"/>
    <w:qFormat/>
    <w:rsid w:val="00E16862"/>
    <w:pPr>
      <w:overflowPunct w:val="0"/>
      <w:autoSpaceDE w:val="0"/>
      <w:autoSpaceDN w:val="0"/>
      <w:adjustRightInd w:val="0"/>
      <w:ind w:left="567" w:hanging="567"/>
      <w:jc w:val="center"/>
      <w:textAlignment w:val="baseline"/>
    </w:pPr>
    <w:rPr>
      <w:b/>
      <w:bCs/>
      <w:sz w:val="28"/>
      <w:szCs w:val="20"/>
    </w:rPr>
  </w:style>
  <w:style w:type="paragraph" w:customStyle="1" w:styleId="BodyTextcentreditals">
    <w:name w:val="Body Text centred itals"/>
    <w:basedOn w:val="BodyText"/>
    <w:rsid w:val="00E16862"/>
    <w:pPr>
      <w:jc w:val="center"/>
    </w:pPr>
    <w:rPr>
      <w:i/>
      <w:iCs/>
    </w:rPr>
  </w:style>
  <w:style w:type="paragraph" w:customStyle="1" w:styleId="BodyTextcentred">
    <w:name w:val="Body Text centred"/>
    <w:basedOn w:val="BodyText"/>
    <w:rsid w:val="00E16862"/>
    <w:pPr>
      <w:jc w:val="center"/>
    </w:pPr>
  </w:style>
  <w:style w:type="paragraph" w:customStyle="1" w:styleId="Subsubpara">
    <w:name w:val="Sub sub para"/>
    <w:basedOn w:val="Normal"/>
    <w:rsid w:val="00E16862"/>
    <w:pPr>
      <w:numPr>
        <w:numId w:val="3"/>
      </w:numPr>
      <w:tabs>
        <w:tab w:val="clear" w:pos="1799"/>
        <w:tab w:val="num" w:pos="360"/>
        <w:tab w:val="left" w:pos="540"/>
      </w:tabs>
      <w:spacing w:before="100" w:line="300" w:lineRule="exact"/>
      <w:ind w:left="0" w:firstLine="0"/>
    </w:pPr>
  </w:style>
  <w:style w:type="paragraph" w:customStyle="1" w:styleId="Subpara">
    <w:name w:val="Sub para"/>
    <w:basedOn w:val="BodyText"/>
    <w:rsid w:val="00E16862"/>
    <w:pPr>
      <w:numPr>
        <w:numId w:val="2"/>
      </w:numPr>
      <w:tabs>
        <w:tab w:val="clear" w:pos="567"/>
        <w:tab w:val="clear" w:pos="680"/>
        <w:tab w:val="clear" w:pos="1440"/>
        <w:tab w:val="num" w:pos="360"/>
        <w:tab w:val="num" w:pos="540"/>
      </w:tabs>
      <w:spacing w:before="100"/>
      <w:ind w:left="0" w:hanging="1440"/>
    </w:pPr>
  </w:style>
  <w:style w:type="paragraph" w:styleId="CommentText">
    <w:name w:val="annotation text"/>
    <w:basedOn w:val="Normal"/>
    <w:link w:val="CommentTextChar"/>
    <w:semiHidden/>
    <w:rsid w:val="00E1686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4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8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h1 Char,header 1 Char"/>
    <w:basedOn w:val="DefaultParagraphFont"/>
    <w:link w:val="Heading1"/>
    <w:rsid w:val="009715BB"/>
    <w:rPr>
      <w:rFonts w:ascii="Arial" w:hAnsi="Arial"/>
      <w:b/>
      <w:kern w:val="28"/>
      <w:sz w:val="4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5BB"/>
    <w:rPr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9715BB"/>
    <w:rPr>
      <w:b/>
      <w:bCs/>
      <w:sz w:val="28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715B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DD33-F5CE-4224-80E9-B6F42853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2012-04-16T23:30:00Z</dcterms:created>
  <dcterms:modified xsi:type="dcterms:W3CDTF">2012-04-16T23:30:00Z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A3516577</vt:lpwstr>
  </property>
  <property fmtid="{D5CDD505-2E9C-101B-9397-08002B2CF9AE}" pid="4" name="Objective-Title">
    <vt:lpwstr>Final ES 16Apr2012</vt:lpwstr>
  </property>
  <property fmtid="{D5CDD505-2E9C-101B-9397-08002B2CF9AE}" pid="5" name="Objective-Comment">
    <vt:lpwstr/>
  </property>
  <property fmtid="{D5CDD505-2E9C-101B-9397-08002B2CF9AE}" pid="6" name="Objective-CreationStamp">
    <vt:filetime>2012-04-16T04:01:17Z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2012-04-16T04:07:57Z</vt:filetime>
  </property>
  <property fmtid="{D5CDD505-2E9C-101B-9397-08002B2CF9AE}" pid="11" name="Objective-Owner">
    <vt:lpwstr>Evelyn Ong</vt:lpwstr>
  </property>
  <property fmtid="{D5CDD505-2E9C-101B-9397-08002B2CF9AE}" pid="12" name="Objective-Path">
    <vt:lpwstr>ASIC BCS:REGULATION &amp; COMPLIANCE:Applications:Deposit Takers &amp; Insurers:Fiduciary Services Limited:</vt:lpwstr>
  </property>
  <property fmtid="{D5CDD505-2E9C-101B-9397-08002B2CF9AE}" pid="13" name="Objective-Parent">
    <vt:lpwstr>Fiduciary Services Limited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