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D7" w:rsidRDefault="00354C94">
      <w:pPr>
        <w:rPr>
          <w:sz w:val="26"/>
        </w:rPr>
      </w:pPr>
      <w:r w:rsidRPr="00354C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11.75pt;height:87pt;z-index:251657728;mso-position-horizontal:left" fillcolor="window">
            <v:imagedata r:id="rId8" o:title=""/>
            <w10:wrap type="square" side="right"/>
          </v:shape>
        </w:pict>
      </w:r>
      <w:r w:rsidR="00507B47">
        <w:rPr>
          <w:sz w:val="26"/>
        </w:rPr>
        <w:br w:type="textWrapping" w:clear="all"/>
      </w:r>
    </w:p>
    <w:p w:rsidR="00B86D5C" w:rsidRDefault="00B86D5C" w:rsidP="00B86D5C">
      <w:pPr>
        <w:pStyle w:val="Title"/>
        <w:pBdr>
          <w:bottom w:val="single" w:sz="4" w:space="3" w:color="auto"/>
        </w:pBdr>
      </w:pPr>
      <w:bookmarkStart w:id="0" w:name="Citation"/>
      <w:r>
        <w:t xml:space="preserve">Television Outside Broadcast Service (1980–2110 MHz and 2170–2300 MHz) Frequency Band Plan </w:t>
      </w:r>
      <w:bookmarkEnd w:id="0"/>
      <w:r w:rsidR="0065211A">
        <w:t>2012</w:t>
      </w:r>
    </w:p>
    <w:p w:rsidR="00E20DE7" w:rsidRPr="00E20DE7" w:rsidRDefault="00E20DE7">
      <w:pPr>
        <w:spacing w:before="360"/>
        <w:jc w:val="both"/>
      </w:pPr>
      <w:r>
        <w:t>The AUSTRALIAN COMMUNICATIONS</w:t>
      </w:r>
      <w:r w:rsidR="00B86D5C">
        <w:t xml:space="preserve"> AND MEDIA</w:t>
      </w:r>
      <w:r>
        <w:t xml:space="preserve"> AUTHORITY makes this Frequency Band Plan under section</w:t>
      </w:r>
      <w:r w:rsidR="009A4F67">
        <w:t>s</w:t>
      </w:r>
      <w:r>
        <w:t xml:space="preserve"> 32</w:t>
      </w:r>
      <w:r w:rsidR="009A4F67">
        <w:t xml:space="preserve"> and 34</w:t>
      </w:r>
      <w:r>
        <w:t xml:space="preserve"> of the </w:t>
      </w:r>
      <w:r>
        <w:rPr>
          <w:i/>
        </w:rPr>
        <w:t>Radiocommunications Act 1992</w:t>
      </w:r>
      <w:r>
        <w:t>.</w:t>
      </w:r>
    </w:p>
    <w:p w:rsidR="00E20DE7" w:rsidRDefault="00E20DE7">
      <w:pPr>
        <w:tabs>
          <w:tab w:val="left" w:pos="3119"/>
        </w:tabs>
        <w:spacing w:before="300" w:after="600" w:line="300" w:lineRule="atLeast"/>
      </w:pPr>
      <w:r>
        <w:t xml:space="preserve">Dated </w:t>
      </w:r>
      <w:bookmarkStart w:id="1" w:name="Year"/>
      <w:r w:rsidR="00A35211" w:rsidRPr="00A35211">
        <w:rPr>
          <w:i/>
        </w:rPr>
        <w:t>26 March</w:t>
      </w:r>
      <w:r w:rsidR="00A35211">
        <w:t xml:space="preserve"> </w:t>
      </w:r>
      <w:bookmarkEnd w:id="1"/>
      <w:r w:rsidR="00BC5C86">
        <w:t>2012</w:t>
      </w:r>
    </w:p>
    <w:p w:rsidR="00E20DE7" w:rsidRDefault="00A35211">
      <w:pPr>
        <w:tabs>
          <w:tab w:val="left" w:pos="3119"/>
        </w:tabs>
        <w:spacing w:after="600" w:line="300" w:lineRule="atLeast"/>
        <w:jc w:val="right"/>
      </w:pPr>
      <w:r w:rsidRPr="00A35211">
        <w:rPr>
          <w:i/>
        </w:rPr>
        <w:t>Chris Chapman</w:t>
      </w:r>
      <w:r>
        <w:t xml:space="preserve"> [signed]</w:t>
      </w:r>
      <w:r w:rsidR="00A34965">
        <w:t>Member</w:t>
      </w:r>
    </w:p>
    <w:p w:rsidR="00E20DE7" w:rsidRDefault="00A35211">
      <w:pPr>
        <w:tabs>
          <w:tab w:val="left" w:pos="3119"/>
        </w:tabs>
        <w:spacing w:before="600" w:line="300" w:lineRule="atLeast"/>
        <w:jc w:val="right"/>
      </w:pPr>
      <w:r w:rsidRPr="00A35211">
        <w:rPr>
          <w:i/>
        </w:rPr>
        <w:t>Richard Bean</w:t>
      </w:r>
      <w:r>
        <w:t xml:space="preserve"> [signed] </w:t>
      </w:r>
      <w:r w:rsidR="00A34965" w:rsidRPr="00A35211">
        <w:rPr>
          <w:strike/>
        </w:rPr>
        <w:t>General Manager</w:t>
      </w:r>
      <w:r w:rsidR="00A34965">
        <w:t>/</w:t>
      </w:r>
      <w:r w:rsidR="00B86D5C">
        <w:t>Member</w:t>
      </w:r>
    </w:p>
    <w:p w:rsidR="00AD0172" w:rsidRDefault="00AD0172">
      <w:pPr>
        <w:tabs>
          <w:tab w:val="left" w:pos="3119"/>
        </w:tabs>
        <w:spacing w:before="600" w:line="300" w:lineRule="atLeast"/>
        <w:jc w:val="right"/>
      </w:pPr>
    </w:p>
    <w:p w:rsidR="00E20DE7" w:rsidRDefault="00E20DE7" w:rsidP="00231782">
      <w:pPr>
        <w:pBdr>
          <w:bottom w:val="single" w:sz="4" w:space="12" w:color="auto"/>
        </w:pBdr>
        <w:tabs>
          <w:tab w:val="left" w:pos="3119"/>
        </w:tabs>
        <w:spacing w:after="240" w:line="300" w:lineRule="atLeast"/>
        <w:outlineLvl w:val="0"/>
      </w:pPr>
      <w:bookmarkStart w:id="2" w:name="Minister"/>
      <w:r>
        <w:t xml:space="preserve">Australian Communications </w:t>
      </w:r>
      <w:r w:rsidR="00B86D5C">
        <w:t xml:space="preserve">and Media </w:t>
      </w:r>
      <w:r>
        <w:t>Authority</w:t>
      </w:r>
      <w:bookmarkEnd w:id="2"/>
    </w:p>
    <w:p w:rsidR="00892036" w:rsidRPr="009E4ACB" w:rsidRDefault="00892036" w:rsidP="00231782">
      <w:pPr>
        <w:pStyle w:val="ContentsHead"/>
        <w:outlineLvl w:val="0"/>
        <w:rPr>
          <w:rFonts w:ascii="Times New Roman" w:hAnsi="Times New Roman"/>
          <w:sz w:val="24"/>
        </w:rPr>
      </w:pPr>
      <w:r w:rsidRPr="00A42902">
        <w:rPr>
          <w:sz w:val="24"/>
        </w:rPr>
        <w:t>Contents</w:t>
      </w:r>
    </w:p>
    <w:p w:rsidR="00892036" w:rsidRPr="002B5071" w:rsidRDefault="00354C94">
      <w:pPr>
        <w:pStyle w:val="TOC5"/>
        <w:rPr>
          <w:rFonts w:cs="Arial"/>
          <w:noProof/>
          <w:sz w:val="22"/>
          <w:szCs w:val="22"/>
          <w:lang w:eastAsia="en-AU"/>
        </w:rPr>
      </w:pPr>
      <w:r w:rsidRPr="00354C94">
        <w:rPr>
          <w:rFonts w:cs="Arial"/>
          <w:sz w:val="22"/>
          <w:szCs w:val="22"/>
        </w:rPr>
        <w:fldChar w:fldCharType="begin"/>
      </w:r>
      <w:r w:rsidR="00892036" w:rsidRPr="002B5071">
        <w:rPr>
          <w:rFonts w:cs="Arial"/>
          <w:sz w:val="22"/>
          <w:szCs w:val="22"/>
        </w:rPr>
        <w:instrText xml:space="preserve"> TOC \o "1-9" \t "HC,1, HP,2, HD,3, HS,4, HR,5, RGHead,7, Schedule title,6, Schedule part,8,Schedule Division,8, Dictionary Heading,9" </w:instrText>
      </w:r>
      <w:r w:rsidRPr="00354C94">
        <w:rPr>
          <w:rFonts w:cs="Arial"/>
          <w:sz w:val="22"/>
          <w:szCs w:val="22"/>
        </w:rPr>
        <w:fldChar w:fldCharType="separate"/>
      </w:r>
      <w:r w:rsidR="00892036" w:rsidRPr="002B5071">
        <w:rPr>
          <w:rFonts w:cs="Arial"/>
          <w:noProof/>
          <w:sz w:val="22"/>
          <w:szCs w:val="22"/>
        </w:rPr>
        <w:tab/>
        <w:t>1</w:t>
      </w:r>
      <w:r w:rsidR="00892036" w:rsidRPr="002B5071">
        <w:rPr>
          <w:rFonts w:cs="Arial"/>
          <w:noProof/>
          <w:sz w:val="22"/>
          <w:szCs w:val="22"/>
          <w:lang w:eastAsia="en-AU"/>
        </w:rPr>
        <w:tab/>
      </w:r>
      <w:r w:rsidR="00892036" w:rsidRPr="002B5071">
        <w:rPr>
          <w:rFonts w:cs="Arial"/>
          <w:noProof/>
          <w:sz w:val="22"/>
          <w:szCs w:val="22"/>
        </w:rPr>
        <w:t>Name of Frequency Band Plan</w:t>
      </w:r>
      <w:r w:rsidR="00892036" w:rsidRPr="002B5071">
        <w:rPr>
          <w:rFonts w:cs="Arial"/>
          <w:noProof/>
          <w:sz w:val="22"/>
          <w:szCs w:val="22"/>
        </w:rPr>
        <w:tab/>
      </w:r>
      <w:r w:rsidR="009E4ACB" w:rsidRPr="002B5071">
        <w:rPr>
          <w:rFonts w:cs="Arial"/>
          <w:noProof/>
          <w:sz w:val="22"/>
          <w:szCs w:val="22"/>
        </w:rPr>
        <w:t>3</w:t>
      </w:r>
    </w:p>
    <w:p w:rsidR="00892036" w:rsidRPr="002B5071" w:rsidRDefault="00892036">
      <w:pPr>
        <w:pStyle w:val="TOC5"/>
        <w:rPr>
          <w:rFonts w:cs="Arial"/>
          <w:noProof/>
          <w:sz w:val="22"/>
          <w:szCs w:val="22"/>
          <w:lang w:eastAsia="en-AU"/>
        </w:rPr>
      </w:pPr>
      <w:r w:rsidRPr="002B5071">
        <w:rPr>
          <w:rFonts w:cs="Arial"/>
          <w:noProof/>
          <w:sz w:val="22"/>
          <w:szCs w:val="22"/>
        </w:rPr>
        <w:tab/>
        <w:t>2</w:t>
      </w:r>
      <w:r w:rsidRPr="002B5071">
        <w:rPr>
          <w:rFonts w:cs="Arial"/>
          <w:noProof/>
          <w:sz w:val="22"/>
          <w:szCs w:val="22"/>
          <w:lang w:eastAsia="en-AU"/>
        </w:rPr>
        <w:tab/>
      </w:r>
      <w:r w:rsidRPr="002B5071">
        <w:rPr>
          <w:rFonts w:cs="Arial"/>
          <w:noProof/>
          <w:sz w:val="22"/>
          <w:szCs w:val="22"/>
        </w:rPr>
        <w:t>Commencement</w:t>
      </w:r>
      <w:r w:rsidRPr="002B5071">
        <w:rPr>
          <w:rFonts w:cs="Arial"/>
          <w:noProof/>
          <w:sz w:val="22"/>
          <w:szCs w:val="22"/>
        </w:rPr>
        <w:tab/>
      </w:r>
      <w:r w:rsidR="009E4ACB" w:rsidRPr="002B5071">
        <w:rPr>
          <w:rFonts w:cs="Arial"/>
          <w:noProof/>
          <w:sz w:val="22"/>
          <w:szCs w:val="22"/>
        </w:rPr>
        <w:t>3</w:t>
      </w:r>
    </w:p>
    <w:p w:rsidR="00892036" w:rsidRPr="002B5071" w:rsidRDefault="00892036">
      <w:pPr>
        <w:pStyle w:val="TOC5"/>
        <w:rPr>
          <w:rFonts w:cs="Arial"/>
          <w:noProof/>
          <w:sz w:val="22"/>
          <w:szCs w:val="22"/>
          <w:lang w:eastAsia="en-AU"/>
        </w:rPr>
      </w:pPr>
      <w:r w:rsidRPr="002B5071">
        <w:rPr>
          <w:rFonts w:cs="Arial"/>
          <w:noProof/>
          <w:sz w:val="22"/>
          <w:szCs w:val="22"/>
        </w:rPr>
        <w:tab/>
        <w:t>3</w:t>
      </w:r>
      <w:r w:rsidRPr="002B5071">
        <w:rPr>
          <w:rFonts w:cs="Arial"/>
          <w:noProof/>
          <w:sz w:val="22"/>
          <w:szCs w:val="22"/>
          <w:lang w:eastAsia="en-AU"/>
        </w:rPr>
        <w:tab/>
      </w:r>
      <w:r w:rsidR="00D17197" w:rsidRPr="002B5071">
        <w:rPr>
          <w:rFonts w:cs="Arial"/>
          <w:noProof/>
          <w:sz w:val="22"/>
          <w:szCs w:val="22"/>
        </w:rPr>
        <w:t>Revocation</w:t>
      </w:r>
      <w:r w:rsidR="0018176C" w:rsidRPr="002B5071">
        <w:rPr>
          <w:rFonts w:cs="Arial"/>
          <w:noProof/>
          <w:sz w:val="22"/>
          <w:szCs w:val="22"/>
        </w:rPr>
        <w:t>s</w:t>
      </w:r>
      <w:r w:rsidRPr="002B5071">
        <w:rPr>
          <w:rFonts w:cs="Arial"/>
          <w:noProof/>
          <w:sz w:val="22"/>
          <w:szCs w:val="22"/>
        </w:rPr>
        <w:tab/>
      </w:r>
      <w:r w:rsidR="009E4ACB" w:rsidRPr="002B5071">
        <w:rPr>
          <w:rFonts w:cs="Arial"/>
          <w:noProof/>
          <w:sz w:val="22"/>
          <w:szCs w:val="22"/>
        </w:rPr>
        <w:t>3</w:t>
      </w:r>
    </w:p>
    <w:p w:rsidR="00892036" w:rsidRPr="002B5071" w:rsidRDefault="00892036">
      <w:pPr>
        <w:pStyle w:val="TOC5"/>
        <w:rPr>
          <w:rFonts w:cs="Arial"/>
          <w:noProof/>
          <w:sz w:val="22"/>
          <w:szCs w:val="22"/>
          <w:lang w:eastAsia="en-AU"/>
        </w:rPr>
      </w:pPr>
      <w:r w:rsidRPr="002B5071">
        <w:rPr>
          <w:rFonts w:cs="Arial"/>
          <w:noProof/>
          <w:sz w:val="22"/>
          <w:szCs w:val="22"/>
        </w:rPr>
        <w:tab/>
        <w:t>4</w:t>
      </w:r>
      <w:r w:rsidRPr="002B5071">
        <w:rPr>
          <w:rFonts w:cs="Arial"/>
          <w:noProof/>
          <w:sz w:val="22"/>
          <w:szCs w:val="22"/>
          <w:lang w:eastAsia="en-AU"/>
        </w:rPr>
        <w:tab/>
      </w:r>
      <w:r w:rsidR="00D17197" w:rsidRPr="002B5071">
        <w:rPr>
          <w:rFonts w:cs="Arial"/>
          <w:noProof/>
          <w:sz w:val="22"/>
          <w:szCs w:val="22"/>
          <w:lang w:eastAsia="en-AU"/>
        </w:rPr>
        <w:t>Interpretation</w:t>
      </w:r>
      <w:r w:rsidRPr="002B5071">
        <w:rPr>
          <w:rFonts w:cs="Arial"/>
          <w:noProof/>
          <w:sz w:val="22"/>
          <w:szCs w:val="22"/>
        </w:rPr>
        <w:tab/>
      </w:r>
      <w:r w:rsidR="009E4ACB" w:rsidRPr="002B5071">
        <w:rPr>
          <w:rFonts w:cs="Arial"/>
          <w:noProof/>
          <w:sz w:val="22"/>
          <w:szCs w:val="22"/>
        </w:rPr>
        <w:t>3</w:t>
      </w:r>
    </w:p>
    <w:p w:rsidR="00892036" w:rsidRPr="002B5071" w:rsidRDefault="00892036">
      <w:pPr>
        <w:pStyle w:val="TOC5"/>
        <w:rPr>
          <w:rFonts w:cs="Arial"/>
          <w:noProof/>
          <w:sz w:val="22"/>
          <w:szCs w:val="22"/>
          <w:lang w:eastAsia="en-AU"/>
        </w:rPr>
      </w:pPr>
      <w:r w:rsidRPr="002B5071">
        <w:rPr>
          <w:rFonts w:cs="Arial"/>
          <w:noProof/>
          <w:sz w:val="22"/>
          <w:szCs w:val="22"/>
        </w:rPr>
        <w:tab/>
        <w:t>5</w:t>
      </w:r>
      <w:r w:rsidRPr="002B5071">
        <w:rPr>
          <w:rFonts w:cs="Arial"/>
          <w:noProof/>
          <w:sz w:val="22"/>
          <w:szCs w:val="22"/>
          <w:lang w:eastAsia="en-AU"/>
        </w:rPr>
        <w:tab/>
      </w:r>
      <w:r w:rsidR="00060422" w:rsidRPr="002B5071">
        <w:rPr>
          <w:rFonts w:cs="Arial"/>
          <w:noProof/>
          <w:sz w:val="22"/>
          <w:szCs w:val="22"/>
          <w:lang w:eastAsia="en-AU"/>
        </w:rPr>
        <w:t>Purpose of Frequency Band Plan</w:t>
      </w:r>
      <w:r w:rsidR="00A12C6D" w:rsidRPr="002B5071">
        <w:rPr>
          <w:rFonts w:cs="Arial"/>
          <w:noProof/>
          <w:sz w:val="22"/>
          <w:szCs w:val="22"/>
          <w:lang w:eastAsia="en-AU"/>
        </w:rPr>
        <w:tab/>
      </w:r>
      <w:r w:rsidR="009E4ACB" w:rsidRPr="002B5071">
        <w:rPr>
          <w:rFonts w:cs="Arial"/>
          <w:noProof/>
          <w:sz w:val="22"/>
          <w:szCs w:val="22"/>
        </w:rPr>
        <w:t>4</w:t>
      </w:r>
    </w:p>
    <w:p w:rsidR="00A12C6D" w:rsidRPr="002B5071" w:rsidRDefault="00892036">
      <w:pPr>
        <w:pStyle w:val="TOC5"/>
        <w:rPr>
          <w:rFonts w:cs="Arial"/>
          <w:noProof/>
          <w:sz w:val="22"/>
          <w:szCs w:val="22"/>
        </w:rPr>
      </w:pPr>
      <w:r w:rsidRPr="002B5071">
        <w:rPr>
          <w:rFonts w:cs="Arial"/>
          <w:noProof/>
          <w:sz w:val="22"/>
          <w:szCs w:val="22"/>
        </w:rPr>
        <w:tab/>
        <w:t>6</w:t>
      </w:r>
      <w:r w:rsidRPr="002B5071">
        <w:rPr>
          <w:rFonts w:cs="Arial"/>
          <w:noProof/>
          <w:sz w:val="22"/>
          <w:szCs w:val="22"/>
          <w:lang w:eastAsia="en-AU"/>
        </w:rPr>
        <w:tab/>
      </w:r>
      <w:r w:rsidR="00060422" w:rsidRPr="002B5071">
        <w:rPr>
          <w:rFonts w:cs="Arial"/>
          <w:sz w:val="22"/>
          <w:szCs w:val="22"/>
        </w:rPr>
        <w:t xml:space="preserve">Purpose for which the </w:t>
      </w:r>
      <w:r w:rsidR="006C5142">
        <w:rPr>
          <w:sz w:val="22"/>
          <w:szCs w:val="22"/>
        </w:rPr>
        <w:t>1980-2010</w:t>
      </w:r>
      <w:r w:rsidR="002B5071" w:rsidRPr="002B5071">
        <w:rPr>
          <w:sz w:val="22"/>
          <w:szCs w:val="22"/>
        </w:rPr>
        <w:t xml:space="preserve"> MHz</w:t>
      </w:r>
      <w:r w:rsidR="00060422" w:rsidRPr="002B5071">
        <w:rPr>
          <w:rFonts w:cs="Arial"/>
          <w:sz w:val="22"/>
          <w:szCs w:val="22"/>
        </w:rPr>
        <w:t xml:space="preserve"> frequency band may be used </w:t>
      </w:r>
      <w:r w:rsidR="003171C0" w:rsidRPr="002B5071">
        <w:rPr>
          <w:rFonts w:cs="Arial"/>
          <w:sz w:val="22"/>
          <w:szCs w:val="22"/>
        </w:rPr>
        <w:t>–</w:t>
      </w:r>
      <w:r w:rsidR="00BB4709" w:rsidRPr="002B5071">
        <w:rPr>
          <w:rFonts w:cs="Arial"/>
          <w:sz w:val="22"/>
          <w:szCs w:val="22"/>
        </w:rPr>
        <w:t xml:space="preserve"> </w:t>
      </w:r>
      <w:r w:rsidR="00060422" w:rsidRPr="002B5071">
        <w:rPr>
          <w:rFonts w:cs="Arial"/>
          <w:sz w:val="22"/>
          <w:szCs w:val="22"/>
        </w:rPr>
        <w:t>mobile satellite</w:t>
      </w:r>
      <w:r w:rsidR="009E4ACB" w:rsidRPr="002B5071">
        <w:rPr>
          <w:rFonts w:cs="Arial"/>
          <w:sz w:val="22"/>
          <w:szCs w:val="22"/>
        </w:rPr>
        <w:t xml:space="preserve"> services</w:t>
      </w:r>
      <w:r w:rsidR="00060422" w:rsidRPr="002B5071">
        <w:rPr>
          <w:rFonts w:cs="Arial"/>
          <w:sz w:val="22"/>
          <w:szCs w:val="22"/>
        </w:rPr>
        <w:t xml:space="preserve"> (Earth-to-space)</w:t>
      </w:r>
      <w:r w:rsidR="00A12C6D" w:rsidRPr="002B5071">
        <w:rPr>
          <w:rFonts w:cs="Arial"/>
          <w:noProof/>
          <w:sz w:val="22"/>
          <w:szCs w:val="22"/>
        </w:rPr>
        <w:tab/>
      </w:r>
      <w:r w:rsidR="009E4ACB" w:rsidRPr="002B5071">
        <w:rPr>
          <w:rFonts w:cs="Arial"/>
          <w:noProof/>
          <w:sz w:val="22"/>
          <w:szCs w:val="22"/>
        </w:rPr>
        <w:t>4</w:t>
      </w:r>
    </w:p>
    <w:p w:rsidR="00892036" w:rsidRPr="002B5071" w:rsidRDefault="00A12C6D">
      <w:pPr>
        <w:pStyle w:val="TOC5"/>
        <w:rPr>
          <w:rFonts w:cs="Arial"/>
          <w:noProof/>
          <w:sz w:val="22"/>
          <w:szCs w:val="22"/>
          <w:lang w:eastAsia="en-AU"/>
        </w:rPr>
      </w:pPr>
      <w:r w:rsidRPr="002B5071">
        <w:rPr>
          <w:rFonts w:cs="Arial"/>
          <w:noProof/>
          <w:sz w:val="22"/>
          <w:szCs w:val="22"/>
        </w:rPr>
        <w:tab/>
        <w:t>7</w:t>
      </w:r>
      <w:r w:rsidRPr="002B5071">
        <w:rPr>
          <w:rFonts w:cs="Arial"/>
          <w:noProof/>
          <w:sz w:val="22"/>
          <w:szCs w:val="22"/>
        </w:rPr>
        <w:tab/>
      </w:r>
      <w:r w:rsidR="00892036" w:rsidRPr="002B5071">
        <w:rPr>
          <w:rFonts w:cs="Arial"/>
          <w:noProof/>
          <w:sz w:val="22"/>
          <w:szCs w:val="22"/>
        </w:rPr>
        <w:t>Purpose for which the</w:t>
      </w:r>
      <w:r w:rsidR="006C5142">
        <w:rPr>
          <w:rFonts w:cs="Arial"/>
          <w:noProof/>
          <w:sz w:val="22"/>
          <w:szCs w:val="22"/>
        </w:rPr>
        <w:t xml:space="preserve"> </w:t>
      </w:r>
      <w:r w:rsidR="00FD0D19">
        <w:rPr>
          <w:sz w:val="22"/>
          <w:szCs w:val="22"/>
        </w:rPr>
        <w:t>2170-2200</w:t>
      </w:r>
      <w:r w:rsidR="002B5071" w:rsidRPr="002B5071">
        <w:rPr>
          <w:sz w:val="22"/>
          <w:szCs w:val="22"/>
        </w:rPr>
        <w:t xml:space="preserve"> MHz</w:t>
      </w:r>
      <w:r w:rsidR="00526F15" w:rsidRPr="002B5071">
        <w:rPr>
          <w:rFonts w:cs="Arial"/>
          <w:sz w:val="22"/>
          <w:szCs w:val="22"/>
        </w:rPr>
        <w:t xml:space="preserve"> </w:t>
      </w:r>
      <w:r w:rsidR="00892036" w:rsidRPr="002B5071">
        <w:rPr>
          <w:rFonts w:cs="Arial"/>
          <w:noProof/>
          <w:sz w:val="22"/>
          <w:szCs w:val="22"/>
        </w:rPr>
        <w:t>frequency band may be used</w:t>
      </w:r>
      <w:r w:rsidR="009E4ACB" w:rsidRPr="002B5071">
        <w:rPr>
          <w:rFonts w:cs="Arial"/>
          <w:noProof/>
          <w:sz w:val="22"/>
          <w:szCs w:val="22"/>
        </w:rPr>
        <w:t xml:space="preserve"> </w:t>
      </w:r>
      <w:r w:rsidR="003171C0" w:rsidRPr="002B5071">
        <w:rPr>
          <w:rFonts w:cs="Arial"/>
          <w:sz w:val="22"/>
          <w:szCs w:val="22"/>
        </w:rPr>
        <w:t>–</w:t>
      </w:r>
      <w:r w:rsidR="009E4ACB" w:rsidRPr="002B5071">
        <w:rPr>
          <w:rFonts w:cs="Arial"/>
          <w:noProof/>
          <w:sz w:val="22"/>
          <w:szCs w:val="22"/>
        </w:rPr>
        <w:t xml:space="preserve"> mobile satellite services (space-to-Earth)</w:t>
      </w:r>
      <w:r w:rsidR="00892036" w:rsidRPr="002B5071">
        <w:rPr>
          <w:rFonts w:cs="Arial"/>
          <w:noProof/>
          <w:sz w:val="22"/>
          <w:szCs w:val="22"/>
        </w:rPr>
        <w:tab/>
      </w:r>
      <w:r w:rsidR="009E4ACB" w:rsidRPr="002B5071">
        <w:rPr>
          <w:rFonts w:cs="Arial"/>
          <w:noProof/>
          <w:sz w:val="22"/>
          <w:szCs w:val="22"/>
        </w:rPr>
        <w:t>4</w:t>
      </w:r>
    </w:p>
    <w:p w:rsidR="009E4ACB" w:rsidRPr="002B5071" w:rsidRDefault="00892036">
      <w:pPr>
        <w:pStyle w:val="TOC5"/>
        <w:rPr>
          <w:rFonts w:cs="Arial"/>
          <w:noProof/>
          <w:sz w:val="22"/>
          <w:szCs w:val="22"/>
        </w:rPr>
      </w:pPr>
      <w:r w:rsidRPr="002B5071">
        <w:rPr>
          <w:rFonts w:cs="Arial"/>
          <w:noProof/>
          <w:sz w:val="22"/>
          <w:szCs w:val="22"/>
        </w:rPr>
        <w:tab/>
      </w:r>
      <w:r w:rsidR="00A12C6D" w:rsidRPr="002B5071">
        <w:rPr>
          <w:rFonts w:cs="Arial"/>
          <w:noProof/>
          <w:sz w:val="22"/>
          <w:szCs w:val="22"/>
        </w:rPr>
        <w:t>8</w:t>
      </w:r>
      <w:r w:rsidRPr="002B5071">
        <w:rPr>
          <w:rFonts w:cs="Arial"/>
          <w:noProof/>
          <w:sz w:val="22"/>
          <w:szCs w:val="22"/>
          <w:lang w:eastAsia="en-AU"/>
        </w:rPr>
        <w:tab/>
      </w:r>
      <w:r w:rsidRPr="002B5071">
        <w:rPr>
          <w:rFonts w:cs="Arial"/>
          <w:noProof/>
          <w:sz w:val="22"/>
          <w:szCs w:val="22"/>
        </w:rPr>
        <w:t>Purposes for which the</w:t>
      </w:r>
      <w:r w:rsidR="00526F15" w:rsidRPr="002B5071">
        <w:rPr>
          <w:rFonts w:cs="Arial"/>
          <w:noProof/>
          <w:sz w:val="22"/>
          <w:szCs w:val="22"/>
        </w:rPr>
        <w:t xml:space="preserve"> </w:t>
      </w:r>
      <w:r w:rsidR="009E4ACB" w:rsidRPr="002B5071">
        <w:rPr>
          <w:rFonts w:cs="Arial"/>
          <w:sz w:val="22"/>
          <w:szCs w:val="22"/>
        </w:rPr>
        <w:t>1980</w:t>
      </w:r>
      <w:r w:rsidR="00BB4709" w:rsidRPr="002B5071">
        <w:rPr>
          <w:rFonts w:cs="Arial"/>
          <w:sz w:val="22"/>
          <w:szCs w:val="22"/>
        </w:rPr>
        <w:t>–</w:t>
      </w:r>
      <w:r w:rsidR="00FB0A18" w:rsidRPr="002B5071">
        <w:rPr>
          <w:rFonts w:cs="Arial"/>
          <w:sz w:val="22"/>
          <w:szCs w:val="22"/>
        </w:rPr>
        <w:t>2</w:t>
      </w:r>
      <w:r w:rsidR="00FB0A18">
        <w:rPr>
          <w:rFonts w:cs="Arial"/>
          <w:sz w:val="22"/>
          <w:szCs w:val="22"/>
        </w:rPr>
        <w:t>0</w:t>
      </w:r>
      <w:r w:rsidR="00FB0A18" w:rsidRPr="002B5071">
        <w:rPr>
          <w:rFonts w:cs="Arial"/>
          <w:sz w:val="22"/>
          <w:szCs w:val="22"/>
        </w:rPr>
        <w:t xml:space="preserve">10 </w:t>
      </w:r>
      <w:r w:rsidR="00526F15" w:rsidRPr="002B5071">
        <w:rPr>
          <w:rFonts w:cs="Arial"/>
          <w:sz w:val="22"/>
          <w:szCs w:val="22"/>
        </w:rPr>
        <w:t xml:space="preserve">MHz and </w:t>
      </w:r>
      <w:r w:rsidR="009E4ACB" w:rsidRPr="002B5071">
        <w:rPr>
          <w:rFonts w:cs="Arial"/>
          <w:sz w:val="22"/>
          <w:szCs w:val="22"/>
        </w:rPr>
        <w:t>2170</w:t>
      </w:r>
      <w:r w:rsidR="00BB4709" w:rsidRPr="002B5071">
        <w:rPr>
          <w:rFonts w:cs="Arial"/>
          <w:sz w:val="22"/>
          <w:szCs w:val="22"/>
        </w:rPr>
        <w:t>–</w:t>
      </w:r>
      <w:r w:rsidR="009E4ACB" w:rsidRPr="002B5071">
        <w:rPr>
          <w:rFonts w:cs="Arial"/>
          <w:sz w:val="22"/>
          <w:szCs w:val="22"/>
        </w:rPr>
        <w:t xml:space="preserve">2200 </w:t>
      </w:r>
      <w:r w:rsidR="00526F15" w:rsidRPr="002B5071">
        <w:rPr>
          <w:rFonts w:cs="Arial"/>
          <w:sz w:val="22"/>
          <w:szCs w:val="22"/>
        </w:rPr>
        <w:t>MHz</w:t>
      </w:r>
      <w:r w:rsidR="00A12C6D" w:rsidRPr="002B5071">
        <w:rPr>
          <w:rFonts w:cs="Arial"/>
          <w:noProof/>
          <w:sz w:val="22"/>
          <w:szCs w:val="22"/>
        </w:rPr>
        <w:t xml:space="preserve"> </w:t>
      </w:r>
      <w:r w:rsidRPr="002B5071">
        <w:rPr>
          <w:rFonts w:cs="Arial"/>
          <w:noProof/>
          <w:sz w:val="22"/>
          <w:szCs w:val="22"/>
        </w:rPr>
        <w:t>frequency band</w:t>
      </w:r>
      <w:r w:rsidR="00A12C6D" w:rsidRPr="002B5071">
        <w:rPr>
          <w:rFonts w:cs="Arial"/>
          <w:noProof/>
          <w:sz w:val="22"/>
          <w:szCs w:val="22"/>
        </w:rPr>
        <w:t>s</w:t>
      </w:r>
      <w:r w:rsidRPr="002B5071">
        <w:rPr>
          <w:rFonts w:cs="Arial"/>
          <w:noProof/>
          <w:sz w:val="22"/>
          <w:szCs w:val="22"/>
        </w:rPr>
        <w:t xml:space="preserve"> may be used</w:t>
      </w:r>
      <w:r w:rsidR="009E4ACB" w:rsidRPr="002B5071">
        <w:rPr>
          <w:rFonts w:cs="Arial"/>
          <w:noProof/>
          <w:sz w:val="22"/>
          <w:szCs w:val="22"/>
        </w:rPr>
        <w:t xml:space="preserve"> </w:t>
      </w:r>
      <w:r w:rsidR="003171C0" w:rsidRPr="002B5071">
        <w:rPr>
          <w:rFonts w:cs="Arial"/>
          <w:sz w:val="22"/>
          <w:szCs w:val="22"/>
        </w:rPr>
        <w:t>–</w:t>
      </w:r>
      <w:r w:rsidR="009E4ACB" w:rsidRPr="002B5071">
        <w:rPr>
          <w:rFonts w:cs="Arial"/>
          <w:noProof/>
          <w:sz w:val="22"/>
          <w:szCs w:val="22"/>
        </w:rPr>
        <w:t xml:space="preserve"> fixed services</w:t>
      </w:r>
      <w:r w:rsidR="009E4ACB" w:rsidRPr="002B5071">
        <w:rPr>
          <w:rFonts w:cs="Arial"/>
          <w:noProof/>
          <w:sz w:val="22"/>
          <w:szCs w:val="22"/>
        </w:rPr>
        <w:tab/>
        <w:t>4</w:t>
      </w:r>
    </w:p>
    <w:p w:rsidR="009E4ACB" w:rsidRPr="002B5071" w:rsidRDefault="006F2B02" w:rsidP="006F2B02">
      <w:pPr>
        <w:pStyle w:val="TOC5"/>
        <w:rPr>
          <w:rFonts w:cs="Arial"/>
          <w:noProof/>
          <w:sz w:val="22"/>
          <w:szCs w:val="22"/>
        </w:rPr>
      </w:pPr>
      <w:r w:rsidRPr="002B5071">
        <w:rPr>
          <w:rFonts w:cs="Arial"/>
          <w:noProof/>
          <w:sz w:val="22"/>
          <w:szCs w:val="22"/>
        </w:rPr>
        <w:lastRenderedPageBreak/>
        <w:tab/>
        <w:t>9</w:t>
      </w:r>
      <w:r w:rsidRPr="002B5071">
        <w:rPr>
          <w:rFonts w:cs="Arial"/>
          <w:noProof/>
          <w:sz w:val="22"/>
          <w:szCs w:val="22"/>
          <w:lang w:eastAsia="en-AU"/>
        </w:rPr>
        <w:tab/>
      </w:r>
      <w:r w:rsidRPr="002B5071">
        <w:rPr>
          <w:rFonts w:cs="Arial"/>
          <w:noProof/>
          <w:sz w:val="22"/>
          <w:szCs w:val="22"/>
        </w:rPr>
        <w:t xml:space="preserve">Purposes for which the </w:t>
      </w:r>
      <w:r w:rsidRPr="002B5071">
        <w:rPr>
          <w:rFonts w:cs="Arial"/>
          <w:sz w:val="22"/>
          <w:szCs w:val="22"/>
        </w:rPr>
        <w:t>2010</w:t>
      </w:r>
      <w:r w:rsidR="00BB4709" w:rsidRPr="002B5071">
        <w:rPr>
          <w:rFonts w:cs="Arial"/>
          <w:sz w:val="22"/>
          <w:szCs w:val="22"/>
        </w:rPr>
        <w:t>–</w:t>
      </w:r>
      <w:r w:rsidRPr="002B5071">
        <w:rPr>
          <w:rFonts w:cs="Arial"/>
          <w:sz w:val="22"/>
          <w:szCs w:val="22"/>
        </w:rPr>
        <w:t>2110 MHz and 2200</w:t>
      </w:r>
      <w:r w:rsidR="00BB4709" w:rsidRPr="002B5071">
        <w:rPr>
          <w:rFonts w:cs="Arial"/>
          <w:sz w:val="22"/>
          <w:szCs w:val="22"/>
        </w:rPr>
        <w:t>–</w:t>
      </w:r>
      <w:r w:rsidRPr="002B5071">
        <w:rPr>
          <w:rFonts w:cs="Arial"/>
          <w:sz w:val="22"/>
          <w:szCs w:val="22"/>
        </w:rPr>
        <w:t xml:space="preserve">2300 MHz </w:t>
      </w:r>
      <w:r w:rsidRPr="002B5071">
        <w:rPr>
          <w:rFonts w:cs="Arial"/>
          <w:noProof/>
          <w:sz w:val="22"/>
          <w:szCs w:val="22"/>
        </w:rPr>
        <w:t>frequency bands may be used</w:t>
      </w:r>
      <w:r w:rsidRPr="002B5071">
        <w:rPr>
          <w:rFonts w:cs="Arial"/>
          <w:noProof/>
          <w:sz w:val="22"/>
          <w:szCs w:val="22"/>
        </w:rPr>
        <w:tab/>
        <w:t>5</w:t>
      </w:r>
    </w:p>
    <w:p w:rsidR="009E4ACB" w:rsidRPr="002B5071" w:rsidRDefault="009E4ACB" w:rsidP="009E4ACB">
      <w:pPr>
        <w:pStyle w:val="TOC5"/>
        <w:rPr>
          <w:rFonts w:cs="Arial"/>
          <w:sz w:val="22"/>
          <w:szCs w:val="22"/>
        </w:rPr>
      </w:pPr>
      <w:r w:rsidRPr="002B5071">
        <w:rPr>
          <w:rFonts w:cs="Arial"/>
          <w:noProof/>
          <w:sz w:val="22"/>
          <w:szCs w:val="22"/>
        </w:rPr>
        <w:tab/>
        <w:t>10</w:t>
      </w:r>
      <w:r w:rsidRPr="002B5071">
        <w:rPr>
          <w:rFonts w:cs="Arial"/>
          <w:noProof/>
          <w:sz w:val="22"/>
          <w:szCs w:val="22"/>
        </w:rPr>
        <w:tab/>
      </w:r>
      <w:r w:rsidRPr="002B5071">
        <w:rPr>
          <w:rFonts w:cs="Arial"/>
          <w:sz w:val="22"/>
          <w:szCs w:val="22"/>
        </w:rPr>
        <w:t>Purpose for which the 2010</w:t>
      </w:r>
      <w:r w:rsidR="00BB4709" w:rsidRPr="002B5071">
        <w:rPr>
          <w:rFonts w:cs="Arial"/>
          <w:sz w:val="22"/>
          <w:szCs w:val="22"/>
        </w:rPr>
        <w:t>–</w:t>
      </w:r>
      <w:r w:rsidRPr="002B5071">
        <w:rPr>
          <w:rFonts w:cs="Arial"/>
          <w:sz w:val="22"/>
          <w:szCs w:val="22"/>
        </w:rPr>
        <w:t>2110</w:t>
      </w:r>
      <w:r w:rsidR="00BB4709" w:rsidRPr="002B5071">
        <w:rPr>
          <w:rFonts w:cs="Arial"/>
          <w:sz w:val="22"/>
          <w:szCs w:val="22"/>
        </w:rPr>
        <w:t xml:space="preserve"> </w:t>
      </w:r>
      <w:r w:rsidRPr="002B5071">
        <w:rPr>
          <w:rFonts w:cs="Arial"/>
          <w:sz w:val="22"/>
          <w:szCs w:val="22"/>
        </w:rPr>
        <w:t>MHz and 2200</w:t>
      </w:r>
      <w:r w:rsidR="00BB4709" w:rsidRPr="002B5071">
        <w:rPr>
          <w:rFonts w:cs="Arial"/>
          <w:sz w:val="22"/>
          <w:szCs w:val="22"/>
        </w:rPr>
        <w:t>–</w:t>
      </w:r>
      <w:r w:rsidRPr="002B5071">
        <w:rPr>
          <w:rFonts w:cs="Arial"/>
          <w:sz w:val="22"/>
          <w:szCs w:val="22"/>
        </w:rPr>
        <w:t>2300</w:t>
      </w:r>
      <w:r w:rsidR="0018176C" w:rsidRPr="002B5071">
        <w:rPr>
          <w:rFonts w:cs="Arial"/>
          <w:sz w:val="22"/>
          <w:szCs w:val="22"/>
        </w:rPr>
        <w:t xml:space="preserve"> </w:t>
      </w:r>
      <w:r w:rsidRPr="002B5071">
        <w:rPr>
          <w:rFonts w:cs="Arial"/>
          <w:sz w:val="22"/>
          <w:szCs w:val="22"/>
        </w:rPr>
        <w:t xml:space="preserve">MHz frequency bands may be used </w:t>
      </w:r>
      <w:r w:rsidR="003171C0" w:rsidRPr="002B5071">
        <w:rPr>
          <w:rFonts w:cs="Arial"/>
          <w:sz w:val="22"/>
          <w:szCs w:val="22"/>
        </w:rPr>
        <w:t>–</w:t>
      </w:r>
      <w:r w:rsidRPr="002B5071">
        <w:rPr>
          <w:rFonts w:cs="Arial"/>
          <w:sz w:val="22"/>
          <w:szCs w:val="22"/>
        </w:rPr>
        <w:t xml:space="preserve"> fixed services (point-to-point) in specified areas</w:t>
      </w:r>
      <w:r w:rsidRPr="002B5071">
        <w:rPr>
          <w:rFonts w:cs="Arial"/>
          <w:sz w:val="22"/>
          <w:szCs w:val="22"/>
        </w:rPr>
        <w:tab/>
      </w:r>
      <w:r w:rsidR="009938AC" w:rsidRPr="002B5071">
        <w:rPr>
          <w:rFonts w:cs="Arial"/>
          <w:sz w:val="22"/>
          <w:szCs w:val="22"/>
        </w:rPr>
        <w:t>5</w:t>
      </w:r>
    </w:p>
    <w:p w:rsidR="009E4ACB" w:rsidRPr="002B5071" w:rsidRDefault="009E4ACB" w:rsidP="009E4ACB">
      <w:pPr>
        <w:pStyle w:val="TOC5"/>
        <w:rPr>
          <w:rFonts w:cs="Arial"/>
          <w:sz w:val="22"/>
          <w:szCs w:val="22"/>
        </w:rPr>
      </w:pPr>
      <w:r w:rsidRPr="002B5071">
        <w:rPr>
          <w:rFonts w:cs="Arial"/>
          <w:sz w:val="22"/>
          <w:szCs w:val="22"/>
        </w:rPr>
        <w:tab/>
        <w:t>11</w:t>
      </w:r>
      <w:r w:rsidRPr="002B5071">
        <w:rPr>
          <w:rFonts w:cs="Arial"/>
          <w:sz w:val="22"/>
          <w:szCs w:val="22"/>
        </w:rPr>
        <w:tab/>
        <w:t>Purposes for which the 2025</w:t>
      </w:r>
      <w:r w:rsidR="00BB4709" w:rsidRPr="002B5071">
        <w:rPr>
          <w:rFonts w:cs="Arial"/>
          <w:sz w:val="22"/>
          <w:szCs w:val="22"/>
        </w:rPr>
        <w:t>–</w:t>
      </w:r>
      <w:r w:rsidRPr="002B5071">
        <w:rPr>
          <w:rFonts w:cs="Arial"/>
          <w:sz w:val="22"/>
          <w:szCs w:val="22"/>
        </w:rPr>
        <w:t>2110 MHz and 2200</w:t>
      </w:r>
      <w:r w:rsidR="00BB4709" w:rsidRPr="002B5071">
        <w:rPr>
          <w:rFonts w:cs="Arial"/>
          <w:sz w:val="22"/>
          <w:szCs w:val="22"/>
        </w:rPr>
        <w:t>–</w:t>
      </w:r>
      <w:r w:rsidRPr="002B5071">
        <w:rPr>
          <w:rFonts w:cs="Arial"/>
          <w:sz w:val="22"/>
          <w:szCs w:val="22"/>
        </w:rPr>
        <w:t xml:space="preserve">2300 MHz </w:t>
      </w:r>
      <w:r w:rsidR="00A6675C" w:rsidRPr="002B5071">
        <w:rPr>
          <w:rFonts w:cs="Arial"/>
          <w:sz w:val="22"/>
          <w:szCs w:val="22"/>
        </w:rPr>
        <w:t xml:space="preserve">frequency </w:t>
      </w:r>
      <w:r w:rsidRPr="002B5071">
        <w:rPr>
          <w:rFonts w:cs="Arial"/>
          <w:sz w:val="22"/>
          <w:szCs w:val="22"/>
        </w:rPr>
        <w:t xml:space="preserve">bands may be used </w:t>
      </w:r>
      <w:r w:rsidR="003171C0" w:rsidRPr="002B5071">
        <w:rPr>
          <w:rFonts w:cs="Arial"/>
          <w:sz w:val="22"/>
          <w:szCs w:val="22"/>
        </w:rPr>
        <w:t>–</w:t>
      </w:r>
      <w:r w:rsidRPr="002B5071">
        <w:rPr>
          <w:rFonts w:cs="Arial"/>
          <w:sz w:val="22"/>
          <w:szCs w:val="22"/>
        </w:rPr>
        <w:t xml:space="preserve"> earth stations and earth receive stations in  the Perth area</w:t>
      </w:r>
      <w:r w:rsidRPr="002B5071">
        <w:rPr>
          <w:rFonts w:cs="Arial"/>
          <w:sz w:val="22"/>
          <w:szCs w:val="22"/>
        </w:rPr>
        <w:tab/>
      </w:r>
      <w:r w:rsidR="009938AC" w:rsidRPr="002B5071">
        <w:rPr>
          <w:rFonts w:cs="Arial"/>
          <w:sz w:val="22"/>
          <w:szCs w:val="22"/>
        </w:rPr>
        <w:t>5</w:t>
      </w:r>
    </w:p>
    <w:p w:rsidR="00AE5A8E" w:rsidRDefault="00AE5A8E" w:rsidP="009E4ACB">
      <w:pPr>
        <w:pStyle w:val="TOC5"/>
        <w:rPr>
          <w:rFonts w:cs="Arial"/>
          <w:sz w:val="22"/>
          <w:szCs w:val="22"/>
        </w:rPr>
      </w:pPr>
      <w:r>
        <w:rPr>
          <w:rFonts w:cs="Arial"/>
          <w:sz w:val="22"/>
          <w:szCs w:val="22"/>
        </w:rPr>
        <w:tab/>
        <w:t>12</w:t>
      </w:r>
      <w:r>
        <w:rPr>
          <w:rFonts w:cs="Arial"/>
          <w:sz w:val="22"/>
          <w:szCs w:val="22"/>
        </w:rPr>
        <w:tab/>
        <w:t>Purposes for which the 2200-2300 MHz frequency band may be used - airborne TOB transmitters</w:t>
      </w:r>
      <w:r w:rsidR="009E4ACB" w:rsidRPr="002B5071">
        <w:rPr>
          <w:rFonts w:cs="Arial"/>
          <w:sz w:val="22"/>
          <w:szCs w:val="22"/>
        </w:rPr>
        <w:tab/>
      </w:r>
      <w:r>
        <w:rPr>
          <w:rFonts w:cs="Arial"/>
          <w:sz w:val="22"/>
          <w:szCs w:val="22"/>
        </w:rPr>
        <w:t>5</w:t>
      </w:r>
    </w:p>
    <w:p w:rsidR="009938AC" w:rsidRPr="002B5071" w:rsidRDefault="00AE5A8E" w:rsidP="009E4ACB">
      <w:pPr>
        <w:pStyle w:val="TOC5"/>
        <w:rPr>
          <w:rFonts w:cs="Arial"/>
          <w:sz w:val="22"/>
          <w:szCs w:val="22"/>
        </w:rPr>
      </w:pPr>
      <w:r>
        <w:rPr>
          <w:rFonts w:cs="Arial"/>
          <w:sz w:val="22"/>
          <w:szCs w:val="22"/>
        </w:rPr>
        <w:tab/>
      </w:r>
      <w:r w:rsidR="009E4ACB" w:rsidRPr="002B5071">
        <w:rPr>
          <w:rFonts w:cs="Arial"/>
          <w:sz w:val="22"/>
          <w:szCs w:val="22"/>
        </w:rPr>
        <w:t>Schedule</w:t>
      </w:r>
      <w:r w:rsidR="009938AC" w:rsidRPr="002B5071">
        <w:rPr>
          <w:rFonts w:cs="Arial"/>
          <w:sz w:val="22"/>
          <w:szCs w:val="22"/>
        </w:rPr>
        <w:t xml:space="preserve"> 1</w:t>
      </w:r>
      <w:r w:rsidR="00FA70E6" w:rsidRPr="002B5071">
        <w:rPr>
          <w:rFonts w:cs="Arial"/>
          <w:sz w:val="22"/>
          <w:szCs w:val="22"/>
        </w:rPr>
        <w:t xml:space="preserve"> </w:t>
      </w:r>
      <w:r w:rsidR="00BE3D9E" w:rsidRPr="002B5071">
        <w:rPr>
          <w:rFonts w:cs="Arial"/>
          <w:sz w:val="22"/>
          <w:szCs w:val="22"/>
        </w:rPr>
        <w:tab/>
      </w:r>
      <w:r w:rsidR="00F51DCD" w:rsidRPr="002B5071">
        <w:rPr>
          <w:rFonts w:cs="Arial"/>
          <w:sz w:val="22"/>
          <w:szCs w:val="22"/>
        </w:rPr>
        <w:t>Fixed service (point-to-point) areas</w:t>
      </w:r>
      <w:r w:rsidR="009E4ACB" w:rsidRPr="002B5071">
        <w:rPr>
          <w:rFonts w:cs="Arial"/>
          <w:sz w:val="22"/>
          <w:szCs w:val="22"/>
        </w:rPr>
        <w:tab/>
      </w:r>
      <w:r w:rsidR="009938AC" w:rsidRPr="002B5071">
        <w:rPr>
          <w:rFonts w:cs="Arial"/>
          <w:sz w:val="22"/>
          <w:szCs w:val="22"/>
        </w:rPr>
        <w:t>6</w:t>
      </w:r>
    </w:p>
    <w:p w:rsidR="009E4ACB" w:rsidRPr="002B5071" w:rsidRDefault="009938AC" w:rsidP="009E4ACB">
      <w:pPr>
        <w:pStyle w:val="TOC5"/>
        <w:rPr>
          <w:rFonts w:cs="Arial"/>
          <w:noProof/>
          <w:sz w:val="22"/>
          <w:szCs w:val="22"/>
        </w:rPr>
      </w:pPr>
      <w:r w:rsidRPr="002B5071">
        <w:rPr>
          <w:rFonts w:cs="Arial"/>
          <w:sz w:val="22"/>
          <w:szCs w:val="22"/>
        </w:rPr>
        <w:tab/>
        <w:t>Schedule 2</w:t>
      </w:r>
      <w:r w:rsidRPr="002B5071">
        <w:rPr>
          <w:rFonts w:cs="Arial"/>
          <w:sz w:val="22"/>
          <w:szCs w:val="22"/>
        </w:rPr>
        <w:tab/>
      </w:r>
      <w:r w:rsidR="00BE3D9E" w:rsidRPr="002B5071">
        <w:rPr>
          <w:rFonts w:cs="Arial"/>
          <w:sz w:val="22"/>
          <w:szCs w:val="22"/>
        </w:rPr>
        <w:t xml:space="preserve">Fixed service (point-to-point) </w:t>
      </w:r>
      <w:r w:rsidR="00F51DCD">
        <w:rPr>
          <w:rFonts w:cs="Arial"/>
          <w:sz w:val="22"/>
          <w:szCs w:val="22"/>
        </w:rPr>
        <w:t xml:space="preserve">secondary </w:t>
      </w:r>
      <w:r w:rsidR="00BE3D9E" w:rsidRPr="002B5071">
        <w:rPr>
          <w:rFonts w:cs="Arial"/>
          <w:sz w:val="22"/>
          <w:szCs w:val="22"/>
        </w:rPr>
        <w:t xml:space="preserve">areas </w:t>
      </w:r>
      <w:r w:rsidR="00BE3D9E" w:rsidRPr="002B5071">
        <w:rPr>
          <w:rFonts w:cs="Arial"/>
          <w:sz w:val="22"/>
          <w:szCs w:val="22"/>
        </w:rPr>
        <w:tab/>
      </w:r>
      <w:r w:rsidR="00F51DCD">
        <w:rPr>
          <w:rFonts w:cs="Arial"/>
          <w:sz w:val="22"/>
          <w:szCs w:val="22"/>
        </w:rPr>
        <w:t>8</w:t>
      </w:r>
      <w:r w:rsidR="00F51DCD" w:rsidRPr="002B5071">
        <w:rPr>
          <w:rFonts w:cs="Arial"/>
          <w:sz w:val="22"/>
          <w:szCs w:val="22"/>
        </w:rPr>
        <w:t xml:space="preserve">           </w:t>
      </w:r>
    </w:p>
    <w:p w:rsidR="009E4ACB" w:rsidRDefault="00354C94" w:rsidP="009E4ACB">
      <w:pPr>
        <w:pStyle w:val="HR"/>
      </w:pPr>
      <w:r w:rsidRPr="002B5071">
        <w:rPr>
          <w:rFonts w:cs="Arial"/>
          <w:sz w:val="22"/>
          <w:szCs w:val="22"/>
        </w:rPr>
        <w:fldChar w:fldCharType="end"/>
      </w:r>
      <w:r w:rsidR="009E4ACB">
        <w:t xml:space="preserve"> </w:t>
      </w:r>
    </w:p>
    <w:p w:rsidR="00892036" w:rsidRPr="009E4ACB" w:rsidRDefault="009E4ACB" w:rsidP="009E4ACB">
      <w:pPr>
        <w:pBdr>
          <w:bottom w:val="single" w:sz="6" w:space="5" w:color="auto"/>
        </w:pBdr>
        <w:ind w:left="2880" w:right="2880"/>
        <w:jc w:val="center"/>
        <w:rPr>
          <w:sz w:val="20"/>
          <w:szCs w:val="20"/>
        </w:rPr>
        <w:sectPr w:rsidR="00892036" w:rsidRPr="009E4ACB">
          <w:headerReference w:type="even" r:id="rId9"/>
          <w:footerReference w:type="even" r:id="rId10"/>
          <w:footerReference w:type="default" r:id="rId11"/>
          <w:type w:val="continuous"/>
          <w:pgSz w:w="11906" w:h="16838" w:code="9"/>
          <w:pgMar w:top="1440" w:right="1797" w:bottom="1440" w:left="1797" w:header="709" w:footer="709" w:gutter="0"/>
          <w:cols w:space="708"/>
          <w:formProt w:val="0"/>
          <w:docGrid w:linePitch="360"/>
        </w:sectPr>
      </w:pPr>
      <w:r>
        <w:t xml:space="preserve">       </w:t>
      </w:r>
      <w:r>
        <w:tab/>
      </w:r>
      <w:r w:rsidRPr="009E4ACB">
        <w:rPr>
          <w:sz w:val="20"/>
          <w:szCs w:val="20"/>
        </w:rPr>
        <w:t xml:space="preserve"> </w:t>
      </w:r>
    </w:p>
    <w:p w:rsidR="00892036" w:rsidRDefault="00892036" w:rsidP="00AD0172">
      <w:pPr>
        <w:pStyle w:val="Header"/>
      </w:pPr>
      <w:r>
        <w:rPr>
          <w:rStyle w:val="CharPartNo"/>
        </w:rPr>
        <w:lastRenderedPageBreak/>
        <w:t xml:space="preserve"> </w:t>
      </w:r>
      <w:r>
        <w:rPr>
          <w:rStyle w:val="CharPartText"/>
        </w:rPr>
        <w:t xml:space="preserve"> </w:t>
      </w:r>
      <w:r>
        <w:rPr>
          <w:rStyle w:val="CharDivNo"/>
        </w:rPr>
        <w:t xml:space="preserve"> </w:t>
      </w:r>
      <w:r>
        <w:rPr>
          <w:rStyle w:val="CharDivText"/>
        </w:rPr>
        <w:t xml:space="preserve"> </w:t>
      </w:r>
    </w:p>
    <w:p w:rsidR="00E20DE7" w:rsidRDefault="00E20DE7" w:rsidP="00AD0172">
      <w:pPr>
        <w:pStyle w:val="HR"/>
        <w:jc w:val="both"/>
      </w:pPr>
      <w:bookmarkStart w:id="3" w:name="_Toc84401419"/>
      <w:r w:rsidRPr="00892036">
        <w:rPr>
          <w:rStyle w:val="CharSectno"/>
        </w:rPr>
        <w:t>1</w:t>
      </w:r>
      <w:r>
        <w:tab/>
        <w:t>Name of Frequency Band Plan</w:t>
      </w:r>
      <w:bookmarkEnd w:id="3"/>
    </w:p>
    <w:p w:rsidR="00E20DE7" w:rsidRDefault="00E20DE7" w:rsidP="00AD0172">
      <w:pPr>
        <w:pStyle w:val="R1"/>
      </w:pPr>
      <w:r>
        <w:tab/>
      </w:r>
      <w:r>
        <w:tab/>
        <w:t xml:space="preserve">This Frequency Band Plan is the </w:t>
      </w:r>
      <w:r w:rsidR="00B86D5C" w:rsidRPr="00B86D5C">
        <w:rPr>
          <w:i/>
        </w:rPr>
        <w:t>Television Outside Broadcast Service (1980–2110 MHz and 2170–2300 MHz)</w:t>
      </w:r>
      <w:r w:rsidR="00B86D5C">
        <w:rPr>
          <w:i/>
        </w:rPr>
        <w:t xml:space="preserve"> Frequency Band Plan </w:t>
      </w:r>
      <w:r w:rsidR="0065211A">
        <w:rPr>
          <w:i/>
        </w:rPr>
        <w:t>2012</w:t>
      </w:r>
      <w:r w:rsidR="00B86D5C">
        <w:rPr>
          <w:i/>
        </w:rPr>
        <w:t>.</w:t>
      </w:r>
    </w:p>
    <w:p w:rsidR="00E20DE7" w:rsidRDefault="00E20DE7" w:rsidP="00AD0172">
      <w:pPr>
        <w:pStyle w:val="HR"/>
        <w:jc w:val="both"/>
      </w:pPr>
      <w:bookmarkStart w:id="4" w:name="_Toc84401420"/>
      <w:r w:rsidRPr="00892036">
        <w:rPr>
          <w:rStyle w:val="CharSectno"/>
        </w:rPr>
        <w:t>2</w:t>
      </w:r>
      <w:r>
        <w:tab/>
        <w:t>Commencement</w:t>
      </w:r>
      <w:bookmarkEnd w:id="4"/>
    </w:p>
    <w:p w:rsidR="00E20DE7" w:rsidRDefault="00E20DE7" w:rsidP="00AD0172">
      <w:pPr>
        <w:pStyle w:val="R1"/>
      </w:pPr>
      <w:r>
        <w:tab/>
      </w:r>
      <w:r>
        <w:tab/>
        <w:t>This Frequency Band Plan commences on the da</w:t>
      </w:r>
      <w:r w:rsidR="00A34965">
        <w:t>y</w:t>
      </w:r>
      <w:r>
        <w:t xml:space="preserve"> </w:t>
      </w:r>
      <w:r w:rsidR="00B86D5C">
        <w:t>after it is registered.</w:t>
      </w:r>
    </w:p>
    <w:p w:rsidR="004463A1" w:rsidRDefault="00E20DE7" w:rsidP="00AD0172">
      <w:pPr>
        <w:pStyle w:val="HR"/>
        <w:jc w:val="both"/>
      </w:pPr>
      <w:bookmarkStart w:id="5" w:name="_Toc84401421"/>
      <w:r w:rsidRPr="00892036">
        <w:rPr>
          <w:rStyle w:val="CharSectno"/>
        </w:rPr>
        <w:t>3</w:t>
      </w:r>
      <w:r>
        <w:tab/>
      </w:r>
      <w:r w:rsidR="004463A1">
        <w:t>Revocation</w:t>
      </w:r>
      <w:r w:rsidR="0018176C">
        <w:t>s</w:t>
      </w:r>
    </w:p>
    <w:p w:rsidR="004463A1" w:rsidRDefault="004463A1" w:rsidP="00AD0172">
      <w:pPr>
        <w:pStyle w:val="R1"/>
      </w:pPr>
      <w:r>
        <w:tab/>
      </w:r>
      <w:r>
        <w:tab/>
        <w:t>The following Frequency Band Plans are revoked:</w:t>
      </w:r>
    </w:p>
    <w:p w:rsidR="004463A1" w:rsidRPr="00A12C6D" w:rsidRDefault="004463A1" w:rsidP="00AD0172">
      <w:pPr>
        <w:pStyle w:val="ListParagraph"/>
        <w:numPr>
          <w:ilvl w:val="0"/>
          <w:numId w:val="8"/>
        </w:numPr>
        <w:spacing w:before="120"/>
        <w:jc w:val="both"/>
        <w:rPr>
          <w:rFonts w:ascii="Times New Roman" w:hAnsi="Times New Roman"/>
          <w:sz w:val="24"/>
          <w:szCs w:val="24"/>
        </w:rPr>
      </w:pPr>
      <w:r w:rsidRPr="00A12C6D">
        <w:rPr>
          <w:rFonts w:ascii="Times New Roman" w:hAnsi="Times New Roman"/>
          <w:i/>
          <w:sz w:val="24"/>
          <w:szCs w:val="24"/>
        </w:rPr>
        <w:t>Mobile-Satellite Service (2 GHz) Frequency Band Plan 2002</w:t>
      </w:r>
      <w:r w:rsidRPr="00A12C6D">
        <w:rPr>
          <w:rFonts w:ascii="Times New Roman" w:hAnsi="Times New Roman"/>
          <w:sz w:val="24"/>
          <w:szCs w:val="24"/>
        </w:rPr>
        <w:t>;</w:t>
      </w:r>
      <w:r w:rsidR="00986EBA">
        <w:rPr>
          <w:rFonts w:ascii="Times New Roman" w:hAnsi="Times New Roman"/>
          <w:sz w:val="24"/>
          <w:szCs w:val="24"/>
        </w:rPr>
        <w:t xml:space="preserve"> and</w:t>
      </w:r>
    </w:p>
    <w:p w:rsidR="004463A1" w:rsidRPr="0018176C" w:rsidRDefault="00381607" w:rsidP="00AD0172">
      <w:pPr>
        <w:pStyle w:val="ListParagraph"/>
        <w:numPr>
          <w:ilvl w:val="0"/>
          <w:numId w:val="8"/>
        </w:numPr>
        <w:spacing w:before="120"/>
        <w:jc w:val="both"/>
        <w:rPr>
          <w:rFonts w:ascii="Times New Roman" w:hAnsi="Times New Roman"/>
          <w:sz w:val="24"/>
          <w:szCs w:val="24"/>
        </w:rPr>
      </w:pPr>
      <w:r w:rsidRPr="0018176C">
        <w:rPr>
          <w:rFonts w:ascii="Times New Roman" w:hAnsi="Times New Roman"/>
          <w:i/>
          <w:sz w:val="24"/>
          <w:szCs w:val="24"/>
        </w:rPr>
        <w:t>2.1 GHz Band Frequency Band Plan 2002</w:t>
      </w:r>
      <w:r w:rsidR="004463A1" w:rsidRPr="0018176C">
        <w:rPr>
          <w:rFonts w:ascii="Times New Roman" w:hAnsi="Times New Roman"/>
          <w:sz w:val="24"/>
          <w:szCs w:val="24"/>
        </w:rPr>
        <w:t>.</w:t>
      </w:r>
      <w:r w:rsidR="004463A1" w:rsidRPr="0018176C">
        <w:rPr>
          <w:rFonts w:ascii="Times New Roman" w:hAnsi="Times New Roman"/>
          <w:sz w:val="24"/>
          <w:szCs w:val="24"/>
        </w:rPr>
        <w:tab/>
      </w:r>
      <w:r w:rsidR="004463A1" w:rsidRPr="0018176C">
        <w:rPr>
          <w:rFonts w:ascii="Times New Roman" w:hAnsi="Times New Roman"/>
          <w:sz w:val="24"/>
          <w:szCs w:val="24"/>
        </w:rPr>
        <w:tab/>
      </w:r>
    </w:p>
    <w:p w:rsidR="00E20DE7" w:rsidRPr="00060422" w:rsidRDefault="004463A1" w:rsidP="00AD0172">
      <w:pPr>
        <w:pStyle w:val="HR"/>
        <w:jc w:val="both"/>
        <w:rPr>
          <w:rFonts w:cs="Arial"/>
        </w:rPr>
      </w:pPr>
      <w:r w:rsidRPr="00060422">
        <w:rPr>
          <w:rFonts w:cs="Arial"/>
        </w:rPr>
        <w:t>4</w:t>
      </w:r>
      <w:r w:rsidRPr="00060422">
        <w:rPr>
          <w:rFonts w:cs="Arial"/>
        </w:rPr>
        <w:tab/>
      </w:r>
      <w:r w:rsidR="0061798D" w:rsidRPr="00060422">
        <w:rPr>
          <w:rFonts w:cs="Arial"/>
        </w:rPr>
        <w:t>Interpretation</w:t>
      </w:r>
      <w:bookmarkEnd w:id="5"/>
    </w:p>
    <w:p w:rsidR="00E20DE7" w:rsidRPr="00060422" w:rsidRDefault="00E20DE7" w:rsidP="00AD0172">
      <w:pPr>
        <w:pStyle w:val="R1"/>
      </w:pPr>
      <w:r w:rsidRPr="00060422">
        <w:rPr>
          <w:rFonts w:ascii="Arial" w:hAnsi="Arial" w:cs="Arial"/>
          <w:i/>
        </w:rPr>
        <w:tab/>
      </w:r>
      <w:r w:rsidR="00EC57D0" w:rsidRPr="00060422">
        <w:t>(1)</w:t>
      </w:r>
      <w:r w:rsidRPr="00060422">
        <w:tab/>
        <w:t>In this Frequency Band Plan:</w:t>
      </w:r>
    </w:p>
    <w:p w:rsidR="00D01D48" w:rsidRDefault="00E20DE7" w:rsidP="00AD0172">
      <w:pPr>
        <w:pStyle w:val="definition"/>
        <w:rPr>
          <w:i/>
        </w:rPr>
      </w:pPr>
      <w:r w:rsidRPr="00060422">
        <w:rPr>
          <w:b/>
          <w:i/>
        </w:rPr>
        <w:t>Act</w:t>
      </w:r>
      <w:r w:rsidRPr="00060422">
        <w:rPr>
          <w:i/>
        </w:rPr>
        <w:t xml:space="preserve"> </w:t>
      </w:r>
      <w:r w:rsidRPr="00060422">
        <w:t>means the</w:t>
      </w:r>
      <w:r w:rsidRPr="00060422">
        <w:rPr>
          <w:i/>
        </w:rPr>
        <w:t xml:space="preserve"> Radiocommunications Act 1992.</w:t>
      </w:r>
    </w:p>
    <w:p w:rsidR="00612130" w:rsidRDefault="006E21DD" w:rsidP="00690750">
      <w:pPr>
        <w:pStyle w:val="definition"/>
      </w:pPr>
      <w:r>
        <w:rPr>
          <w:b/>
          <w:i/>
        </w:rPr>
        <w:t>a</w:t>
      </w:r>
      <w:r w:rsidR="00F85722">
        <w:rPr>
          <w:b/>
          <w:i/>
        </w:rPr>
        <w:t xml:space="preserve">irborne </w:t>
      </w:r>
      <w:r w:rsidR="00D948BE">
        <w:rPr>
          <w:b/>
          <w:i/>
        </w:rPr>
        <w:t xml:space="preserve">television outside broadcast </w:t>
      </w:r>
      <w:r w:rsidR="00690750">
        <w:rPr>
          <w:b/>
          <w:i/>
        </w:rPr>
        <w:t>station</w:t>
      </w:r>
      <w:r w:rsidR="00F85722">
        <w:rPr>
          <w:b/>
          <w:i/>
        </w:rPr>
        <w:t xml:space="preserve"> </w:t>
      </w:r>
      <w:r w:rsidR="00F85722">
        <w:t xml:space="preserve">means a </w:t>
      </w:r>
      <w:r w:rsidR="0000635E">
        <w:t>television outside broadcast</w:t>
      </w:r>
      <w:r w:rsidR="00690750">
        <w:t xml:space="preserve"> station </w:t>
      </w:r>
      <w:r w:rsidR="00F85722">
        <w:t>that</w:t>
      </w:r>
      <w:r w:rsidR="00690750">
        <w:t xml:space="preserve"> </w:t>
      </w:r>
      <w:r w:rsidR="00F85722">
        <w:t>is on board a</w:t>
      </w:r>
      <w:r w:rsidR="00BB78E8">
        <w:t>n</w:t>
      </w:r>
      <w:r w:rsidR="00F85722">
        <w:t xml:space="preserve"> </w:t>
      </w:r>
      <w:r w:rsidR="00690750">
        <w:t>aircraft.</w:t>
      </w:r>
    </w:p>
    <w:p w:rsidR="00D01D48" w:rsidRDefault="00941C70" w:rsidP="00AD0172">
      <w:pPr>
        <w:pStyle w:val="definition"/>
      </w:pPr>
      <w:r>
        <w:rPr>
          <w:b/>
          <w:i/>
        </w:rPr>
        <w:t xml:space="preserve">earth receive station </w:t>
      </w:r>
      <w:r>
        <w:t>has the meaning it has in the interpretation determination.</w:t>
      </w:r>
    </w:p>
    <w:p w:rsidR="00DC7426" w:rsidRDefault="00DC7426" w:rsidP="00DC7426">
      <w:pPr>
        <w:pStyle w:val="definition"/>
      </w:pPr>
      <w:r w:rsidRPr="00381607">
        <w:rPr>
          <w:b/>
          <w:i/>
        </w:rPr>
        <w:t>earth sta</w:t>
      </w:r>
      <w:r>
        <w:rPr>
          <w:b/>
          <w:i/>
        </w:rPr>
        <w:t xml:space="preserve">tion </w:t>
      </w:r>
      <w:r>
        <w:t>has the meaning it has in the interpretation determination.</w:t>
      </w:r>
    </w:p>
    <w:p w:rsidR="00D01D48" w:rsidRDefault="00B86D5C" w:rsidP="00AD0172">
      <w:pPr>
        <w:pStyle w:val="definition"/>
      </w:pPr>
      <w:r>
        <w:rPr>
          <w:b/>
          <w:bCs/>
          <w:i/>
          <w:iCs/>
        </w:rPr>
        <w:t xml:space="preserve">interpretation </w:t>
      </w:r>
      <w:r w:rsidR="00765C49">
        <w:rPr>
          <w:b/>
          <w:bCs/>
          <w:i/>
          <w:iCs/>
        </w:rPr>
        <w:t>determination</w:t>
      </w:r>
      <w:r w:rsidR="00765C49">
        <w:t xml:space="preserve"> means</w:t>
      </w:r>
      <w:r w:rsidR="00496684">
        <w:t xml:space="preserve"> </w:t>
      </w:r>
      <w:r w:rsidR="00765C49">
        <w:t xml:space="preserve">the </w:t>
      </w:r>
      <w:r w:rsidRPr="00B86D5C">
        <w:rPr>
          <w:i/>
        </w:rPr>
        <w:t xml:space="preserve">Radiocommunications (Interpretation) Determination </w:t>
      </w:r>
      <w:r w:rsidR="00F85722" w:rsidRPr="00B86D5C">
        <w:rPr>
          <w:i/>
        </w:rPr>
        <w:t>200</w:t>
      </w:r>
      <w:r w:rsidR="00F85722">
        <w:rPr>
          <w:i/>
        </w:rPr>
        <w:t>0</w:t>
      </w:r>
      <w:r>
        <w:t>.</w:t>
      </w:r>
    </w:p>
    <w:p w:rsidR="007A1A0C" w:rsidRDefault="007B282A" w:rsidP="00AD0172">
      <w:pPr>
        <w:pStyle w:val="definition"/>
        <w:rPr>
          <w:color w:val="000000"/>
          <w:lang w:eastAsia="en-AU"/>
        </w:rPr>
      </w:pPr>
      <w:r>
        <w:rPr>
          <w:b/>
          <w:bCs/>
          <w:i/>
          <w:iCs/>
        </w:rPr>
        <w:t>Perth area</w:t>
      </w:r>
      <w:r w:rsidR="007A1A0C">
        <w:rPr>
          <w:b/>
          <w:bCs/>
          <w:i/>
          <w:iCs/>
        </w:rPr>
        <w:t xml:space="preserve"> </w:t>
      </w:r>
      <w:r w:rsidR="00E8610B" w:rsidRPr="00E8610B">
        <w:rPr>
          <w:bCs/>
          <w:iCs/>
        </w:rPr>
        <w:t>means</w:t>
      </w:r>
      <w:r w:rsidR="007A1A0C">
        <w:rPr>
          <w:b/>
          <w:bCs/>
          <w:i/>
          <w:iCs/>
        </w:rPr>
        <w:t xml:space="preserve"> </w:t>
      </w:r>
      <w:r w:rsidR="007A1A0C">
        <w:t xml:space="preserve">the </w:t>
      </w:r>
      <w:r w:rsidR="00A34965">
        <w:t xml:space="preserve">geographic </w:t>
      </w:r>
      <w:r>
        <w:t xml:space="preserve">area </w:t>
      </w:r>
      <w:r w:rsidR="00A34965">
        <w:t xml:space="preserve">described by a circle </w:t>
      </w:r>
      <w:r>
        <w:t xml:space="preserve">with a </w:t>
      </w:r>
      <w:r w:rsidR="00A34965">
        <w:t xml:space="preserve">radius of </w:t>
      </w:r>
      <w:r>
        <w:t>15</w:t>
      </w:r>
      <w:r w:rsidR="00A34965">
        <w:t xml:space="preserve"> </w:t>
      </w:r>
      <w:r>
        <w:t>k</w:t>
      </w:r>
      <w:r w:rsidR="00A34965">
        <w:t>ilo</w:t>
      </w:r>
      <w:r>
        <w:t>m</w:t>
      </w:r>
      <w:r w:rsidR="00A34965">
        <w:t xml:space="preserve">etres whose centre is located at </w:t>
      </w:r>
      <w:r w:rsidR="007A1A0C">
        <w:t xml:space="preserve">latitude </w:t>
      </w:r>
      <w:r w:rsidR="007A1A0C" w:rsidRPr="00047B07">
        <w:rPr>
          <w:color w:val="000000"/>
          <w:lang w:eastAsia="en-AU"/>
        </w:rPr>
        <w:t>31.802522</w:t>
      </w:r>
      <w:r w:rsidR="007A1A0C" w:rsidRPr="00047B07">
        <w:rPr>
          <w:b/>
        </w:rPr>
        <w:t xml:space="preserve"> </w:t>
      </w:r>
      <w:r w:rsidR="007A1A0C">
        <w:rPr>
          <w:color w:val="000000"/>
          <w:lang w:eastAsia="en-AU"/>
        </w:rPr>
        <w:t>South</w:t>
      </w:r>
      <w:r w:rsidR="00F51DCD">
        <w:rPr>
          <w:color w:val="000000"/>
          <w:lang w:eastAsia="en-AU"/>
        </w:rPr>
        <w:t xml:space="preserve"> and</w:t>
      </w:r>
      <w:r w:rsidR="007A1A0C">
        <w:rPr>
          <w:color w:val="000000"/>
          <w:lang w:eastAsia="en-AU"/>
        </w:rPr>
        <w:t xml:space="preserve"> longitude </w:t>
      </w:r>
      <w:r w:rsidR="007A1A0C" w:rsidRPr="00047B07">
        <w:rPr>
          <w:color w:val="000000"/>
          <w:lang w:eastAsia="en-AU"/>
        </w:rPr>
        <w:t>115.885160</w:t>
      </w:r>
      <w:r w:rsidR="007A1A0C">
        <w:rPr>
          <w:b/>
        </w:rPr>
        <w:t xml:space="preserve"> </w:t>
      </w:r>
      <w:r w:rsidR="00E8610B" w:rsidRPr="00E8610B">
        <w:t>East</w:t>
      </w:r>
      <w:r w:rsidR="007A1A0C">
        <w:rPr>
          <w:b/>
        </w:rPr>
        <w:t>.</w:t>
      </w:r>
      <w:r w:rsidR="007A1A0C" w:rsidRPr="00047B07">
        <w:rPr>
          <w:b/>
        </w:rPr>
        <w:t xml:space="preserve"> </w:t>
      </w:r>
      <w:r w:rsidR="007A1A0C">
        <w:rPr>
          <w:color w:val="000000"/>
          <w:lang w:eastAsia="en-AU"/>
        </w:rPr>
        <w:t xml:space="preserve"> </w:t>
      </w:r>
    </w:p>
    <w:p w:rsidR="00D01D48" w:rsidRDefault="00765C49" w:rsidP="00AD0172">
      <w:pPr>
        <w:pStyle w:val="definition"/>
      </w:pPr>
      <w:r>
        <w:rPr>
          <w:b/>
          <w:bCs/>
          <w:i/>
          <w:iCs/>
        </w:rPr>
        <w:t>regulations</w:t>
      </w:r>
      <w:r>
        <w:t xml:space="preserve"> means the </w:t>
      </w:r>
      <w:r>
        <w:rPr>
          <w:i/>
          <w:iCs/>
        </w:rPr>
        <w:t>Radiocommunications Regulations 1993</w:t>
      </w:r>
      <w:r>
        <w:t>.</w:t>
      </w:r>
    </w:p>
    <w:p w:rsidR="00D01D48" w:rsidRDefault="00765C49" w:rsidP="00AD0172">
      <w:pPr>
        <w:pStyle w:val="definition"/>
      </w:pPr>
      <w:r>
        <w:rPr>
          <w:b/>
          <w:bCs/>
          <w:i/>
          <w:iCs/>
        </w:rPr>
        <w:t>spectrum plan</w:t>
      </w:r>
      <w:r>
        <w:t xml:space="preserve"> means the </w:t>
      </w:r>
      <w:r>
        <w:rPr>
          <w:i/>
          <w:iCs/>
        </w:rPr>
        <w:t>Australian Radiofrequency Spectrum Plan</w:t>
      </w:r>
      <w:r>
        <w:t xml:space="preserve"> </w:t>
      </w:r>
      <w:r w:rsidR="009D1457" w:rsidRPr="009D1457">
        <w:rPr>
          <w:i/>
        </w:rPr>
        <w:t>2009</w:t>
      </w:r>
      <w:r>
        <w:t>.</w:t>
      </w:r>
    </w:p>
    <w:p w:rsidR="00D01D48" w:rsidRDefault="00496684" w:rsidP="00AD0172">
      <w:pPr>
        <w:pStyle w:val="definition"/>
        <w:rPr>
          <w:bCs/>
          <w:iCs/>
        </w:rPr>
      </w:pPr>
      <w:r>
        <w:rPr>
          <w:b/>
          <w:bCs/>
          <w:i/>
          <w:iCs/>
        </w:rPr>
        <w:t>television outside broadcast</w:t>
      </w:r>
      <w:r w:rsidR="00690750">
        <w:rPr>
          <w:b/>
          <w:bCs/>
          <w:i/>
          <w:iCs/>
        </w:rPr>
        <w:t xml:space="preserve"> </w:t>
      </w:r>
      <w:r>
        <w:rPr>
          <w:b/>
          <w:bCs/>
          <w:i/>
          <w:iCs/>
        </w:rPr>
        <w:t xml:space="preserve">service </w:t>
      </w:r>
      <w:r>
        <w:rPr>
          <w:bCs/>
          <w:iCs/>
        </w:rPr>
        <w:t xml:space="preserve">means a radiocommunications service that is </w:t>
      </w:r>
      <w:r w:rsidR="00E878FE">
        <w:rPr>
          <w:bCs/>
          <w:iCs/>
        </w:rPr>
        <w:t>provided</w:t>
      </w:r>
      <w:r>
        <w:rPr>
          <w:bCs/>
          <w:iCs/>
        </w:rPr>
        <w:t xml:space="preserve"> by the </w:t>
      </w:r>
      <w:r w:rsidR="0018176C">
        <w:rPr>
          <w:bCs/>
          <w:iCs/>
        </w:rPr>
        <w:t>operation</w:t>
      </w:r>
      <w:r>
        <w:rPr>
          <w:bCs/>
          <w:iCs/>
        </w:rPr>
        <w:t xml:space="preserve"> of a television outside broadcast station.</w:t>
      </w:r>
    </w:p>
    <w:p w:rsidR="00496684" w:rsidRDefault="00496684" w:rsidP="00AD0172">
      <w:pPr>
        <w:pStyle w:val="dd0"/>
        <w:keepNext/>
        <w:ind w:left="964"/>
        <w:jc w:val="both"/>
      </w:pPr>
      <w:r w:rsidRPr="00496684">
        <w:rPr>
          <w:b/>
          <w:bCs/>
          <w:i/>
          <w:iCs/>
        </w:rPr>
        <w:t>television outside broadcast station</w:t>
      </w:r>
      <w:r w:rsidRPr="00496684">
        <w:t xml:space="preserve"> </w:t>
      </w:r>
      <w:r>
        <w:t>has the meaning it has in the interpretation determination.</w:t>
      </w:r>
    </w:p>
    <w:p w:rsidR="00765C49" w:rsidRDefault="00765C49" w:rsidP="00AD0172">
      <w:pPr>
        <w:pStyle w:val="R2"/>
      </w:pPr>
      <w:r>
        <w:tab/>
        <w:t>(2)</w:t>
      </w:r>
      <w:r>
        <w:tab/>
        <w:t xml:space="preserve">Unless the contrary intention appears, an expression used in this Frequency Band Plan that is defined in the spectrum plan, the </w:t>
      </w:r>
      <w:r w:rsidR="008E05E2">
        <w:t>interpretation determination</w:t>
      </w:r>
      <w:r>
        <w:t xml:space="preserve"> or the regulations has the same meaning in this Frequency Band Plan as it has in the spectrum plan, the </w:t>
      </w:r>
      <w:r w:rsidR="008E05E2">
        <w:t>interpretation determination</w:t>
      </w:r>
      <w:r>
        <w:t xml:space="preserve"> or the regulations.</w:t>
      </w:r>
    </w:p>
    <w:p w:rsidR="002B5071" w:rsidRDefault="002B5071" w:rsidP="00AD0172">
      <w:pPr>
        <w:pStyle w:val="R2"/>
      </w:pPr>
    </w:p>
    <w:p w:rsidR="002B5071" w:rsidRDefault="002B5071" w:rsidP="00AD0172">
      <w:pPr>
        <w:pStyle w:val="R2"/>
      </w:pPr>
    </w:p>
    <w:p w:rsidR="00765C49" w:rsidRDefault="00765C49" w:rsidP="00AD0172">
      <w:pPr>
        <w:pStyle w:val="ZR2"/>
      </w:pPr>
      <w:r>
        <w:tab/>
        <w:t>(3)</w:t>
      </w:r>
      <w:r>
        <w:tab/>
        <w:t>However:</w:t>
      </w:r>
    </w:p>
    <w:p w:rsidR="00765C49" w:rsidRDefault="00765C49" w:rsidP="00AD0172">
      <w:pPr>
        <w:pStyle w:val="P1"/>
      </w:pPr>
      <w:r>
        <w:tab/>
        <w:t>(a)</w:t>
      </w:r>
      <w:r>
        <w:tab/>
        <w:t xml:space="preserve">an expression defined in the spectrum plan and in the </w:t>
      </w:r>
      <w:r w:rsidR="008E05E2">
        <w:t>interpretation determination</w:t>
      </w:r>
      <w:r>
        <w:t xml:space="preserve"> or the regulations has the meaning given in the spectrum plan; and</w:t>
      </w:r>
    </w:p>
    <w:p w:rsidR="00765C49" w:rsidRDefault="00765C49" w:rsidP="00AD0172">
      <w:pPr>
        <w:pStyle w:val="P1"/>
      </w:pPr>
      <w:r>
        <w:tab/>
        <w:t>(b)</w:t>
      </w:r>
      <w:r>
        <w:tab/>
        <w:t xml:space="preserve">an expression defined in the </w:t>
      </w:r>
      <w:r w:rsidR="008E05E2">
        <w:t>interpretation determination</w:t>
      </w:r>
      <w:r>
        <w:t xml:space="preserve"> and in the regulations (but not in the spectrum plan) has the meaning given in the </w:t>
      </w:r>
      <w:r w:rsidR="008E05E2">
        <w:t>interpretation determination</w:t>
      </w:r>
      <w:r>
        <w:t>.</w:t>
      </w:r>
    </w:p>
    <w:p w:rsidR="00B03FFA" w:rsidRDefault="00765C49" w:rsidP="00AD0172">
      <w:pPr>
        <w:pStyle w:val="R2"/>
        <w:keepNext/>
      </w:pPr>
      <w:r>
        <w:tab/>
        <w:t>(4)</w:t>
      </w:r>
      <w:r>
        <w:tab/>
        <w:t>In this Frequency Band Plan</w:t>
      </w:r>
      <w:r w:rsidR="007C33A6">
        <w:t>:</w:t>
      </w:r>
      <w:r>
        <w:t xml:space="preserve"> </w:t>
      </w:r>
    </w:p>
    <w:p w:rsidR="00435AFA" w:rsidRDefault="00435AFA" w:rsidP="00AD0172">
      <w:pPr>
        <w:pStyle w:val="P1"/>
      </w:pPr>
      <w:r>
        <w:tab/>
        <w:t>(a)</w:t>
      </w:r>
      <w:r>
        <w:tab/>
        <w:t xml:space="preserve">the range of numbers that identifies a frequency band is taken to include the higher, but not the lower, number; </w:t>
      </w:r>
    </w:p>
    <w:p w:rsidR="00435AFA" w:rsidRDefault="00435AFA" w:rsidP="00AD0172">
      <w:pPr>
        <w:pStyle w:val="P1"/>
      </w:pPr>
      <w:r>
        <w:tab/>
        <w:t>(b)</w:t>
      </w:r>
      <w:r>
        <w:tab/>
        <w:t xml:space="preserve">geographical </w:t>
      </w:r>
      <w:r w:rsidRPr="000839C3">
        <w:t xml:space="preserve">coordinates </w:t>
      </w:r>
      <w:r>
        <w:t xml:space="preserve">describing </w:t>
      </w:r>
      <w:r w:rsidR="00F51DCD">
        <w:t>a</w:t>
      </w:r>
      <w:r w:rsidR="0069141F">
        <w:t xml:space="preserve"> point</w:t>
      </w:r>
      <w:r>
        <w:t xml:space="preserve"> are based on datum in</w:t>
      </w:r>
      <w:r w:rsidRPr="000839C3">
        <w:t xml:space="preserve"> the </w:t>
      </w:r>
      <w:r w:rsidR="00E8610B" w:rsidRPr="00E8610B">
        <w:rPr>
          <w:i/>
        </w:rPr>
        <w:t>Geocentric Datum of Australia 1994</w:t>
      </w:r>
      <w:r w:rsidR="00D73CC7">
        <w:t>;</w:t>
      </w:r>
      <w:r w:rsidR="0069141F">
        <w:t xml:space="preserve"> and</w:t>
      </w:r>
    </w:p>
    <w:p w:rsidR="00D73CC7" w:rsidRDefault="00D73CC7" w:rsidP="00AD0172">
      <w:pPr>
        <w:pStyle w:val="P1"/>
      </w:pPr>
      <w:r>
        <w:tab/>
        <w:t>(c)</w:t>
      </w:r>
      <w:r>
        <w:tab/>
        <w:t>w</w:t>
      </w:r>
      <w:r w:rsidR="0095638B" w:rsidRPr="0095638B">
        <w:t xml:space="preserve">here </w:t>
      </w:r>
      <w:r w:rsidR="0087412C">
        <w:t xml:space="preserve">an </w:t>
      </w:r>
      <w:r>
        <w:t xml:space="preserve">area </w:t>
      </w:r>
      <w:r w:rsidR="0095638B" w:rsidRPr="0095638B">
        <w:t>overlap</w:t>
      </w:r>
      <w:r>
        <w:t>s with an adjacent area</w:t>
      </w:r>
      <w:r w:rsidR="0095638B" w:rsidRPr="0095638B">
        <w:t xml:space="preserve">, the </w:t>
      </w:r>
      <w:r>
        <w:t xml:space="preserve">first </w:t>
      </w:r>
      <w:r w:rsidR="0095638B" w:rsidRPr="0095638B">
        <w:t xml:space="preserve">area </w:t>
      </w:r>
      <w:r w:rsidR="0087412C">
        <w:t>is taken to be part</w:t>
      </w:r>
      <w:r>
        <w:t xml:space="preserve"> of the second area</w:t>
      </w:r>
      <w:r w:rsidR="0095638B" w:rsidRPr="0095638B">
        <w:t>.</w:t>
      </w:r>
    </w:p>
    <w:p w:rsidR="00765C49" w:rsidRDefault="004463A1" w:rsidP="00AD0172">
      <w:pPr>
        <w:pStyle w:val="HR"/>
        <w:jc w:val="both"/>
      </w:pPr>
      <w:bookmarkStart w:id="6" w:name="_Toc84401422"/>
      <w:r>
        <w:rPr>
          <w:rStyle w:val="CharSectno"/>
        </w:rPr>
        <w:t>5</w:t>
      </w:r>
      <w:r w:rsidR="00765C49">
        <w:tab/>
        <w:t>Purpose of Frequency Band Plan</w:t>
      </w:r>
      <w:bookmarkEnd w:id="6"/>
    </w:p>
    <w:p w:rsidR="00765C49" w:rsidRDefault="00765C49" w:rsidP="00AD0172">
      <w:pPr>
        <w:pStyle w:val="ZR1"/>
      </w:pPr>
      <w:r>
        <w:tab/>
      </w:r>
      <w:r>
        <w:tab/>
        <w:t xml:space="preserve">This Frequency Band Plan </w:t>
      </w:r>
      <w:r w:rsidR="007C33A6">
        <w:t>makes provision for</w:t>
      </w:r>
      <w:r>
        <w:t xml:space="preserve"> the purposes for which the following frequency bands may be used:</w:t>
      </w:r>
    </w:p>
    <w:p w:rsidR="00496684" w:rsidRDefault="00765C49" w:rsidP="00AD0172">
      <w:pPr>
        <w:pStyle w:val="P1"/>
      </w:pPr>
      <w:r w:rsidRPr="00496684">
        <w:tab/>
        <w:t>(a)</w:t>
      </w:r>
      <w:r w:rsidRPr="00496684">
        <w:tab/>
      </w:r>
      <w:r w:rsidR="00496684" w:rsidRPr="00496684">
        <w:t xml:space="preserve">1980–2110 MHz; </w:t>
      </w:r>
      <w:r w:rsidR="006F2B02">
        <w:t>and</w:t>
      </w:r>
    </w:p>
    <w:p w:rsidR="00765C49" w:rsidRPr="00496684" w:rsidRDefault="00765C49" w:rsidP="00AD0172">
      <w:pPr>
        <w:pStyle w:val="P1"/>
      </w:pPr>
      <w:r w:rsidRPr="00496684">
        <w:tab/>
        <w:t>(b)</w:t>
      </w:r>
      <w:r w:rsidRPr="00496684">
        <w:tab/>
      </w:r>
      <w:r w:rsidR="00496684" w:rsidRPr="00496684">
        <w:t>2170–2300 MHz</w:t>
      </w:r>
      <w:r w:rsidR="00496684">
        <w:t>.</w:t>
      </w:r>
      <w:r w:rsidR="00496684" w:rsidRPr="00496684">
        <w:t xml:space="preserve"> </w:t>
      </w:r>
    </w:p>
    <w:p w:rsidR="00C46845" w:rsidRDefault="00381607" w:rsidP="00AD0172">
      <w:pPr>
        <w:pStyle w:val="HR"/>
        <w:jc w:val="both"/>
      </w:pPr>
      <w:r>
        <w:rPr>
          <w:rStyle w:val="CharSectno"/>
        </w:rPr>
        <w:t>6</w:t>
      </w:r>
      <w:r w:rsidR="00C46845" w:rsidRPr="00AC6F8D">
        <w:tab/>
        <w:t xml:space="preserve">Purpose for which the </w:t>
      </w:r>
      <w:r w:rsidR="00690750">
        <w:t>1980</w:t>
      </w:r>
      <w:r w:rsidR="002B5071" w:rsidRPr="00B761EF">
        <w:t>–</w:t>
      </w:r>
      <w:r w:rsidR="00690750">
        <w:t xml:space="preserve">2010 </w:t>
      </w:r>
      <w:r w:rsidR="002B5071">
        <w:t>MHz</w:t>
      </w:r>
      <w:r w:rsidR="00C46845" w:rsidRPr="00AC6F8D">
        <w:t xml:space="preserve"> </w:t>
      </w:r>
      <w:r w:rsidR="00392630">
        <w:t xml:space="preserve">frequency band may be used </w:t>
      </w:r>
      <w:r w:rsidR="003171C0" w:rsidRPr="003171C0">
        <w:t>–</w:t>
      </w:r>
      <w:r w:rsidR="0052096F">
        <w:t xml:space="preserve"> </w:t>
      </w:r>
      <w:r w:rsidR="004B2DFF">
        <w:t xml:space="preserve">mobile satellite </w:t>
      </w:r>
      <w:r w:rsidR="00DC7426">
        <w:t xml:space="preserve">services </w:t>
      </w:r>
      <w:r w:rsidR="004B2DFF">
        <w:t>(E</w:t>
      </w:r>
      <w:r w:rsidR="00392630">
        <w:t>arth-to-</w:t>
      </w:r>
      <w:r w:rsidR="004B2DFF">
        <w:t>s</w:t>
      </w:r>
      <w:r w:rsidR="00392630">
        <w:t xml:space="preserve">pace) </w:t>
      </w:r>
    </w:p>
    <w:p w:rsidR="00D01D48" w:rsidRDefault="00100EB5" w:rsidP="00AD0172">
      <w:pPr>
        <w:pStyle w:val="R1"/>
        <w:ind w:left="885" w:firstLine="0"/>
      </w:pPr>
      <w:r>
        <w:t xml:space="preserve">The </w:t>
      </w:r>
      <w:r w:rsidR="00A6675C">
        <w:t xml:space="preserve">frequency </w:t>
      </w:r>
      <w:r>
        <w:t xml:space="preserve">band </w:t>
      </w:r>
      <w:r w:rsidR="00690750">
        <w:t xml:space="preserve">1980-2010 </w:t>
      </w:r>
      <w:r w:rsidR="002B5071">
        <w:t xml:space="preserve">MHz </w:t>
      </w:r>
      <w:r>
        <w:t>may be used for mobile satellite</w:t>
      </w:r>
      <w:r w:rsidR="007E3D4A">
        <w:t xml:space="preserve"> services</w:t>
      </w:r>
      <w:r>
        <w:t xml:space="preserve"> (</w:t>
      </w:r>
      <w:r w:rsidR="004B2DFF">
        <w:t>E</w:t>
      </w:r>
      <w:r>
        <w:t>arth-to-</w:t>
      </w:r>
      <w:r w:rsidR="004B2DFF">
        <w:t>s</w:t>
      </w:r>
      <w:r>
        <w:t>pace)</w:t>
      </w:r>
      <w:r w:rsidR="007A757B">
        <w:t>.</w:t>
      </w:r>
    </w:p>
    <w:p w:rsidR="0052096F" w:rsidRDefault="00381607" w:rsidP="00AD0172">
      <w:pPr>
        <w:pStyle w:val="HR"/>
        <w:jc w:val="both"/>
      </w:pPr>
      <w:bookmarkStart w:id="7" w:name="_Toc4917726"/>
      <w:r>
        <w:rPr>
          <w:rStyle w:val="CharSectno"/>
        </w:rPr>
        <w:t>7</w:t>
      </w:r>
      <w:r w:rsidR="0052096F">
        <w:tab/>
        <w:t xml:space="preserve">Purpose for which the </w:t>
      </w:r>
      <w:r w:rsidR="00FD0D19">
        <w:t>2170-2200</w:t>
      </w:r>
      <w:r w:rsidR="002B5071">
        <w:t xml:space="preserve"> MHz</w:t>
      </w:r>
      <w:r w:rsidR="0052096F">
        <w:t xml:space="preserve"> frequency band may be used </w:t>
      </w:r>
      <w:r w:rsidR="003171C0" w:rsidRPr="003171C0">
        <w:t>–</w:t>
      </w:r>
      <w:r w:rsidR="0052096F">
        <w:t xml:space="preserve"> mobile-satellite services (space</w:t>
      </w:r>
      <w:r w:rsidR="0033651C">
        <w:t>-</w:t>
      </w:r>
      <w:r w:rsidR="0052096F">
        <w:t>to</w:t>
      </w:r>
      <w:r w:rsidR="0033651C">
        <w:t>-</w:t>
      </w:r>
      <w:r w:rsidR="004B2DFF">
        <w:t>E</w:t>
      </w:r>
      <w:r w:rsidR="0052096F">
        <w:t>arth)</w:t>
      </w:r>
      <w:bookmarkEnd w:id="7"/>
    </w:p>
    <w:p w:rsidR="00D01D48" w:rsidRDefault="0071101C" w:rsidP="00AD0172">
      <w:pPr>
        <w:pStyle w:val="R1"/>
        <w:ind w:left="885" w:firstLine="0"/>
      </w:pPr>
      <w:r>
        <w:t xml:space="preserve">The </w:t>
      </w:r>
      <w:r w:rsidR="00A6675C">
        <w:t xml:space="preserve">frequency </w:t>
      </w:r>
      <w:r>
        <w:t xml:space="preserve">band </w:t>
      </w:r>
      <w:r w:rsidR="00FD0D19">
        <w:t>2170-2200</w:t>
      </w:r>
      <w:r w:rsidR="002B5071">
        <w:t xml:space="preserve"> MHz </w:t>
      </w:r>
      <w:r>
        <w:t xml:space="preserve">may be used for mobile satellite </w:t>
      </w:r>
      <w:r w:rsidR="007E3D4A">
        <w:t xml:space="preserve">services </w:t>
      </w:r>
      <w:r>
        <w:t>(space-to-</w:t>
      </w:r>
      <w:r w:rsidR="004B2DFF">
        <w:t>E</w:t>
      </w:r>
      <w:r>
        <w:t>arth)</w:t>
      </w:r>
      <w:r w:rsidR="0052096F">
        <w:t>.</w:t>
      </w:r>
    </w:p>
    <w:p w:rsidR="0052096F" w:rsidRDefault="00381607" w:rsidP="00AD0172">
      <w:pPr>
        <w:pStyle w:val="HR"/>
        <w:jc w:val="both"/>
      </w:pPr>
      <w:bookmarkStart w:id="8" w:name="_Toc4917725"/>
      <w:r>
        <w:rPr>
          <w:rStyle w:val="CharSectno"/>
        </w:rPr>
        <w:t>8</w:t>
      </w:r>
      <w:r w:rsidR="0052096F">
        <w:tab/>
        <w:t>Purposes for which the 1980</w:t>
      </w:r>
      <w:r w:rsidR="00BB4709">
        <w:t>–</w:t>
      </w:r>
      <w:r w:rsidR="002C5DBB">
        <w:t xml:space="preserve">2010 </w:t>
      </w:r>
      <w:r w:rsidR="0052096F">
        <w:t>MHz and 2170–2200 MHz frequency bands may be used </w:t>
      </w:r>
      <w:r w:rsidR="003171C0" w:rsidRPr="003171C0">
        <w:t>–</w:t>
      </w:r>
      <w:r w:rsidR="0052096F">
        <w:t xml:space="preserve"> fixed services</w:t>
      </w:r>
      <w:bookmarkEnd w:id="8"/>
    </w:p>
    <w:p w:rsidR="00C02D48" w:rsidRDefault="00082207">
      <w:pPr>
        <w:pStyle w:val="R1"/>
      </w:pPr>
      <w:r>
        <w:t xml:space="preserve"> </w:t>
      </w:r>
      <w:r>
        <w:tab/>
      </w:r>
      <w:r>
        <w:tab/>
      </w:r>
      <w:r w:rsidR="00C46845">
        <w:t xml:space="preserve">A person must not operate a fixed service in the 1980–2010 MHz </w:t>
      </w:r>
      <w:r w:rsidR="0071101C">
        <w:t>and 2170</w:t>
      </w:r>
      <w:r w:rsidR="00626A6B">
        <w:t>–</w:t>
      </w:r>
      <w:r w:rsidR="0071101C">
        <w:t xml:space="preserve">2200 MHz </w:t>
      </w:r>
      <w:r w:rsidR="00C46845">
        <w:t xml:space="preserve">frequency band </w:t>
      </w:r>
      <w:r w:rsidR="006E1519">
        <w:t>unless</w:t>
      </w:r>
      <w:r w:rsidR="00100EB5">
        <w:t>:</w:t>
      </w:r>
    </w:p>
    <w:p w:rsidR="00D01D48" w:rsidRDefault="00C46845" w:rsidP="00AD0172">
      <w:pPr>
        <w:pStyle w:val="R1"/>
        <w:numPr>
          <w:ilvl w:val="0"/>
          <w:numId w:val="28"/>
        </w:numPr>
        <w:tabs>
          <w:tab w:val="clear" w:pos="794"/>
          <w:tab w:val="right" w:pos="993"/>
        </w:tabs>
      </w:pPr>
      <w:r>
        <w:t>at the commencement of this Frequency Band Plan, the person held a licence authorising the person to operate the fixe</w:t>
      </w:r>
      <w:r w:rsidR="00100EB5">
        <w:t>d service in the frequency band; or</w:t>
      </w:r>
    </w:p>
    <w:p w:rsidR="00C02D48" w:rsidRDefault="00690750">
      <w:pPr>
        <w:pStyle w:val="R2"/>
        <w:numPr>
          <w:ilvl w:val="0"/>
          <w:numId w:val="28"/>
        </w:numPr>
        <w:tabs>
          <w:tab w:val="clear" w:pos="794"/>
          <w:tab w:val="right" w:pos="993"/>
        </w:tabs>
      </w:pPr>
      <w:r>
        <w:t>the service is a television outside broadcast service.</w:t>
      </w:r>
    </w:p>
    <w:p w:rsidR="00765C49" w:rsidRPr="00AC6F8D" w:rsidRDefault="00381607" w:rsidP="00AD0172">
      <w:pPr>
        <w:pStyle w:val="HR"/>
        <w:jc w:val="both"/>
      </w:pPr>
      <w:bookmarkStart w:id="9" w:name="_Toc84401424"/>
      <w:r>
        <w:rPr>
          <w:rStyle w:val="CharSectno"/>
        </w:rPr>
        <w:t>9</w:t>
      </w:r>
      <w:r w:rsidR="00753966">
        <w:rPr>
          <w:rStyle w:val="CharSectno"/>
        </w:rPr>
        <w:tab/>
      </w:r>
      <w:r w:rsidR="00765C49" w:rsidRPr="00AC6F8D">
        <w:t xml:space="preserve">Purposes for which the </w:t>
      </w:r>
      <w:r w:rsidR="0071101C">
        <w:t>20</w:t>
      </w:r>
      <w:r w:rsidR="00982DD5">
        <w:t>1</w:t>
      </w:r>
      <w:r w:rsidR="0071101C">
        <w:t>0</w:t>
      </w:r>
      <w:r w:rsidR="00BB4709">
        <w:t>–</w:t>
      </w:r>
      <w:r w:rsidR="00952080" w:rsidRPr="00AC6F8D">
        <w:t>2110 MHz and 2</w:t>
      </w:r>
      <w:r w:rsidR="0071101C">
        <w:t>200</w:t>
      </w:r>
      <w:r w:rsidR="00BB4709">
        <w:t>–</w:t>
      </w:r>
      <w:r w:rsidR="00952080" w:rsidRPr="00AC6F8D">
        <w:t xml:space="preserve">2300 MHz </w:t>
      </w:r>
      <w:r w:rsidR="00A12C6D" w:rsidRPr="00AC6F8D">
        <w:t xml:space="preserve">frequency bands </w:t>
      </w:r>
      <w:r w:rsidR="00765C49" w:rsidRPr="00AC6F8D">
        <w:t>may be used</w:t>
      </w:r>
      <w:bookmarkEnd w:id="9"/>
    </w:p>
    <w:p w:rsidR="00250CC2" w:rsidRPr="00AC6F8D" w:rsidRDefault="00765C49" w:rsidP="00AD0172">
      <w:pPr>
        <w:pStyle w:val="ZR1"/>
      </w:pPr>
      <w:r w:rsidRPr="00AC6F8D">
        <w:tab/>
      </w:r>
      <w:r w:rsidR="00F51DCD">
        <w:tab/>
      </w:r>
      <w:r w:rsidR="00952080" w:rsidRPr="00AC6F8D">
        <w:t xml:space="preserve">Subject to </w:t>
      </w:r>
      <w:r w:rsidR="00F2595E" w:rsidRPr="00AC6F8D">
        <w:t xml:space="preserve">sections </w:t>
      </w:r>
      <w:r w:rsidR="00753966">
        <w:t>1</w:t>
      </w:r>
      <w:r w:rsidR="00381607">
        <w:t>0</w:t>
      </w:r>
      <w:r w:rsidR="00AE5A8E">
        <w:t>,</w:t>
      </w:r>
      <w:r w:rsidR="00F2595E" w:rsidRPr="00AC6F8D">
        <w:t xml:space="preserve"> </w:t>
      </w:r>
      <w:r w:rsidR="00753966">
        <w:t>1</w:t>
      </w:r>
      <w:r w:rsidR="00381607">
        <w:t>1</w:t>
      </w:r>
      <w:r w:rsidR="00AE5A8E">
        <w:t xml:space="preserve"> and 12</w:t>
      </w:r>
      <w:r w:rsidR="00F2595E" w:rsidRPr="00AC6F8D">
        <w:t>,</w:t>
      </w:r>
      <w:r w:rsidR="00952080" w:rsidRPr="00AC6F8D">
        <w:t xml:space="preserve"> t</w:t>
      </w:r>
      <w:r w:rsidRPr="00AC6F8D">
        <w:t xml:space="preserve">he </w:t>
      </w:r>
      <w:r w:rsidR="00333580">
        <w:t>2010</w:t>
      </w:r>
      <w:r w:rsidR="00BB4709">
        <w:t>–</w:t>
      </w:r>
      <w:r w:rsidR="00952080" w:rsidRPr="00AC6F8D">
        <w:t>2110 MHz and 2</w:t>
      </w:r>
      <w:r w:rsidR="00333580">
        <w:t>200</w:t>
      </w:r>
      <w:r w:rsidR="00BB4709">
        <w:t>–</w:t>
      </w:r>
      <w:r w:rsidR="00952080" w:rsidRPr="00AC6F8D">
        <w:t xml:space="preserve">2300 MHz </w:t>
      </w:r>
      <w:r w:rsidRPr="00AC6F8D">
        <w:t>frequency band</w:t>
      </w:r>
      <w:r w:rsidR="00952080" w:rsidRPr="00AC6F8D">
        <w:t>s</w:t>
      </w:r>
      <w:r w:rsidRPr="00AC6F8D">
        <w:t xml:space="preserve"> may be </w:t>
      </w:r>
      <w:r w:rsidR="00F30F54" w:rsidRPr="00AC6F8D">
        <w:t>used for:</w:t>
      </w:r>
    </w:p>
    <w:p w:rsidR="00250CC2" w:rsidRPr="00AC6F8D" w:rsidRDefault="00250CC2" w:rsidP="00AD0172">
      <w:pPr>
        <w:pStyle w:val="P1"/>
      </w:pPr>
      <w:r w:rsidRPr="00AC6F8D">
        <w:tab/>
        <w:t>(a)</w:t>
      </w:r>
      <w:r w:rsidRPr="00AC6F8D">
        <w:tab/>
        <w:t>a television outside broadcast service;</w:t>
      </w:r>
    </w:p>
    <w:p w:rsidR="00250CC2" w:rsidRPr="00AC6F8D" w:rsidRDefault="00250CC2" w:rsidP="00AD0172">
      <w:pPr>
        <w:pStyle w:val="P1"/>
      </w:pPr>
      <w:r w:rsidRPr="00AC6F8D">
        <w:tab/>
        <w:t>(b)</w:t>
      </w:r>
      <w:r w:rsidRPr="00AC6F8D">
        <w:tab/>
        <w:t xml:space="preserve">a fixed service (point-to-point); </w:t>
      </w:r>
    </w:p>
    <w:p w:rsidR="007B282A" w:rsidRDefault="00250CC2" w:rsidP="00AD0172">
      <w:pPr>
        <w:pStyle w:val="P1"/>
      </w:pPr>
      <w:r w:rsidRPr="00AC6F8D">
        <w:tab/>
        <w:t>(c)</w:t>
      </w:r>
      <w:r w:rsidRPr="00AC6F8D">
        <w:tab/>
        <w:t xml:space="preserve">any service </w:t>
      </w:r>
      <w:r w:rsidR="0033651C">
        <w:t>that</w:t>
      </w:r>
      <w:r w:rsidR="00952002">
        <w:t>,</w:t>
      </w:r>
      <w:r w:rsidR="0033651C">
        <w:t xml:space="preserve"> </w:t>
      </w:r>
      <w:r w:rsidR="004B2DFF">
        <w:t>according to</w:t>
      </w:r>
      <w:r w:rsidR="0033651C">
        <w:t xml:space="preserve"> the spectrum plan, may be operated in </w:t>
      </w:r>
      <w:r w:rsidR="00CC37BB">
        <w:t>the 2010</w:t>
      </w:r>
      <w:r w:rsidR="00BB4709">
        <w:t>–</w:t>
      </w:r>
      <w:r w:rsidR="00CC37BB">
        <w:t>2110 MHz and 2200</w:t>
      </w:r>
      <w:r w:rsidR="00BB4709">
        <w:t>–</w:t>
      </w:r>
      <w:r w:rsidR="00CC37BB">
        <w:t>2300 MHz frequency bands</w:t>
      </w:r>
      <w:r w:rsidRPr="00AC6F8D">
        <w:t>.</w:t>
      </w:r>
    </w:p>
    <w:p w:rsidR="007B282A" w:rsidRDefault="007B282A" w:rsidP="00AD0172">
      <w:pPr>
        <w:pStyle w:val="HR"/>
        <w:jc w:val="both"/>
      </w:pPr>
      <w:r>
        <w:rPr>
          <w:rStyle w:val="CharSectno"/>
        </w:rPr>
        <w:t>10</w:t>
      </w:r>
      <w:r>
        <w:tab/>
        <w:t>Purpose for which the 2010</w:t>
      </w:r>
      <w:r w:rsidR="00BB4709">
        <w:t>–</w:t>
      </w:r>
      <w:r>
        <w:t>2110 MHz and 2200</w:t>
      </w:r>
      <w:r w:rsidR="00BB4709">
        <w:t>–</w:t>
      </w:r>
      <w:r>
        <w:t>2300 MHz frequency bands may be used – fixed services (point-to-point) in specified areas</w:t>
      </w:r>
    </w:p>
    <w:p w:rsidR="007B282A" w:rsidRDefault="007B282A" w:rsidP="00AD0172">
      <w:pPr>
        <w:pStyle w:val="R2"/>
        <w:keepNext/>
        <w:numPr>
          <w:ilvl w:val="0"/>
          <w:numId w:val="23"/>
        </w:numPr>
        <w:ind w:left="851"/>
      </w:pPr>
      <w:r>
        <w:t xml:space="preserve"> After 1 November 2013, the 2010</w:t>
      </w:r>
      <w:r w:rsidR="00BB4709">
        <w:t>–</w:t>
      </w:r>
      <w:r>
        <w:t>2110 MHz and 2200</w:t>
      </w:r>
      <w:r w:rsidR="00BB4709">
        <w:t>–</w:t>
      </w:r>
      <w:r>
        <w:t xml:space="preserve">2300 MHz frequency bands must not be used for a fixed service (point-to-point) except in accordance with this section. </w:t>
      </w:r>
    </w:p>
    <w:p w:rsidR="007B282A" w:rsidRDefault="00507B47" w:rsidP="00AD0172">
      <w:pPr>
        <w:pStyle w:val="R2"/>
        <w:keepNext/>
        <w:numPr>
          <w:ilvl w:val="0"/>
          <w:numId w:val="23"/>
        </w:numPr>
        <w:ind w:left="851"/>
      </w:pPr>
      <w:r>
        <w:t xml:space="preserve"> </w:t>
      </w:r>
      <w:r w:rsidR="007B282A">
        <w:t>A person must not operate a fixed service (point-to-point) in the 2010</w:t>
      </w:r>
      <w:r w:rsidR="00BB4709">
        <w:t>–</w:t>
      </w:r>
      <w:r w:rsidR="007B282A">
        <w:t xml:space="preserve">2110 MHz </w:t>
      </w:r>
      <w:r w:rsidR="00F4074F">
        <w:t xml:space="preserve">or </w:t>
      </w:r>
      <w:r w:rsidR="007B282A">
        <w:t>2200</w:t>
      </w:r>
      <w:r w:rsidR="00BB4709">
        <w:t>–</w:t>
      </w:r>
      <w:r w:rsidR="007B282A">
        <w:t xml:space="preserve">2300 MHz frequency bands in </w:t>
      </w:r>
      <w:r w:rsidR="006F2B02">
        <w:t>an area</w:t>
      </w:r>
      <w:r w:rsidR="007B282A">
        <w:t xml:space="preserve"> described in Schedule 1. </w:t>
      </w:r>
    </w:p>
    <w:p w:rsidR="007B282A" w:rsidRDefault="00507B47" w:rsidP="00AD0172">
      <w:pPr>
        <w:pStyle w:val="R2"/>
        <w:keepNext/>
        <w:numPr>
          <w:ilvl w:val="0"/>
          <w:numId w:val="23"/>
        </w:numPr>
        <w:ind w:left="851"/>
      </w:pPr>
      <w:r>
        <w:t xml:space="preserve"> </w:t>
      </w:r>
      <w:r w:rsidR="007B282A">
        <w:t>A person must not operate a fixed service (point-to-point) in the 2010</w:t>
      </w:r>
      <w:r w:rsidR="00BB4709">
        <w:t>–</w:t>
      </w:r>
      <w:r w:rsidR="007B282A">
        <w:t xml:space="preserve">2110 MHz frequency band in </w:t>
      </w:r>
      <w:r w:rsidR="006F2B02">
        <w:t>an area</w:t>
      </w:r>
      <w:r w:rsidR="007B282A">
        <w:t xml:space="preserve"> described in Schedule 2 if</w:t>
      </w:r>
      <w:r w:rsidR="00952002">
        <w:t>,</w:t>
      </w:r>
      <w:r w:rsidR="007B282A">
        <w:t xml:space="preserve"> </w:t>
      </w:r>
      <w:r w:rsidR="003A3587">
        <w:t>before</w:t>
      </w:r>
      <w:r w:rsidR="007B282A">
        <w:t xml:space="preserve"> the commencement of this Frequency Band Plan, that service was authorised under an apparatus licence.</w:t>
      </w:r>
    </w:p>
    <w:p w:rsidR="007B282A" w:rsidRDefault="00507B47" w:rsidP="00AD0172">
      <w:pPr>
        <w:pStyle w:val="R2"/>
        <w:keepNext/>
        <w:numPr>
          <w:ilvl w:val="0"/>
          <w:numId w:val="23"/>
        </w:numPr>
        <w:ind w:left="851"/>
      </w:pPr>
      <w:r>
        <w:t xml:space="preserve"> </w:t>
      </w:r>
      <w:r w:rsidR="007B282A">
        <w:t xml:space="preserve">A person may only operate a fixed service (point-to-point) as a </w:t>
      </w:r>
      <w:r w:rsidR="007B282A" w:rsidRPr="007B282A">
        <w:t>secondary</w:t>
      </w:r>
      <w:r w:rsidR="007B282A">
        <w:t xml:space="preserve"> service in the 2010</w:t>
      </w:r>
      <w:r w:rsidR="00BB4709">
        <w:t>–</w:t>
      </w:r>
      <w:r w:rsidR="007B282A">
        <w:t xml:space="preserve">2110 MHz frequency band in </w:t>
      </w:r>
      <w:r w:rsidR="006F2B02">
        <w:t>an area</w:t>
      </w:r>
      <w:r w:rsidR="007B282A">
        <w:t xml:space="preserve"> described in Schedule 2.</w:t>
      </w:r>
      <w:r w:rsidR="007B282A">
        <w:rPr>
          <w:highlight w:val="yellow"/>
        </w:rPr>
        <w:t xml:space="preserve"> </w:t>
      </w:r>
    </w:p>
    <w:p w:rsidR="00F2595E" w:rsidRPr="00AC6F8D" w:rsidRDefault="00753966" w:rsidP="00AD0172">
      <w:pPr>
        <w:pStyle w:val="HR"/>
        <w:jc w:val="both"/>
      </w:pPr>
      <w:r>
        <w:t>1</w:t>
      </w:r>
      <w:r w:rsidR="00381607">
        <w:t>1</w:t>
      </w:r>
      <w:r w:rsidR="00D17197" w:rsidRPr="00AC6F8D">
        <w:tab/>
      </w:r>
      <w:r w:rsidR="00F2595E" w:rsidRPr="00AC6F8D">
        <w:t>Purposes for which the 2025</w:t>
      </w:r>
      <w:r w:rsidR="00BB4709">
        <w:t>–</w:t>
      </w:r>
      <w:r w:rsidR="00F2595E" w:rsidRPr="00AC6F8D">
        <w:t>2110 MHz and 2200</w:t>
      </w:r>
      <w:r w:rsidR="00BB4709">
        <w:t>–</w:t>
      </w:r>
      <w:r w:rsidR="00F2595E" w:rsidRPr="00AC6F8D">
        <w:t xml:space="preserve">2300 MHz </w:t>
      </w:r>
      <w:r w:rsidR="00A12C6D" w:rsidRPr="00AC6F8D">
        <w:t xml:space="preserve">frequency bands </w:t>
      </w:r>
      <w:r w:rsidR="00F2595E" w:rsidRPr="00AC6F8D">
        <w:t>may be used – earth s</w:t>
      </w:r>
      <w:r w:rsidR="00D17197" w:rsidRPr="00AC6F8D">
        <w:t>tations</w:t>
      </w:r>
      <w:r w:rsidR="00060422">
        <w:t xml:space="preserve"> and earth receive stations</w:t>
      </w:r>
      <w:r w:rsidR="00F2595E" w:rsidRPr="00AC6F8D">
        <w:t xml:space="preserve"> in the Perth </w:t>
      </w:r>
      <w:r w:rsidR="007B282A">
        <w:t>area</w:t>
      </w:r>
    </w:p>
    <w:p w:rsidR="00636085" w:rsidRDefault="00941C70" w:rsidP="00AD0172">
      <w:pPr>
        <w:pStyle w:val="ZR1"/>
      </w:pPr>
      <w:r w:rsidRPr="00AC6F8D">
        <w:tab/>
      </w:r>
      <w:r w:rsidR="00F51DCD">
        <w:tab/>
      </w:r>
      <w:r w:rsidRPr="00AC6F8D">
        <w:t>After 31 December 2015, a person</w:t>
      </w:r>
      <w:r w:rsidR="00060422">
        <w:t xml:space="preserve"> </w:t>
      </w:r>
      <w:r w:rsidRPr="00AC6F8D">
        <w:t>must not operate</w:t>
      </w:r>
      <w:r w:rsidR="009E4ACB">
        <w:t xml:space="preserve"> as a primary service</w:t>
      </w:r>
      <w:r w:rsidR="00636085">
        <w:t>:</w:t>
      </w:r>
    </w:p>
    <w:p w:rsidR="00636085" w:rsidRDefault="00636085" w:rsidP="00AD0172">
      <w:pPr>
        <w:pStyle w:val="ZR1"/>
        <w:ind w:left="1928"/>
      </w:pPr>
      <w:r>
        <w:t>(a)</w:t>
      </w:r>
      <w:r w:rsidR="00941C70" w:rsidRPr="00AC6F8D">
        <w:t xml:space="preserve"> </w:t>
      </w:r>
      <w:r>
        <w:t xml:space="preserve">  </w:t>
      </w:r>
      <w:r w:rsidR="00941C70" w:rsidRPr="00AC6F8D">
        <w:t>an earth station</w:t>
      </w:r>
      <w:r w:rsidR="00941C70">
        <w:t xml:space="preserve"> </w:t>
      </w:r>
      <w:r w:rsidR="00941C70" w:rsidRPr="00AC6F8D">
        <w:t>in the</w:t>
      </w:r>
      <w:r w:rsidR="00941C70" w:rsidRPr="00060422">
        <w:rPr>
          <w:i/>
          <w:sz w:val="20"/>
          <w:szCs w:val="20"/>
        </w:rPr>
        <w:t xml:space="preserve"> </w:t>
      </w:r>
      <w:r w:rsidR="00941C70" w:rsidRPr="00AC6F8D">
        <w:t>2025</w:t>
      </w:r>
      <w:r w:rsidR="00BB4709">
        <w:t>–</w:t>
      </w:r>
      <w:r w:rsidR="00941C70" w:rsidRPr="00AC6F8D">
        <w:t xml:space="preserve">2110 MHz </w:t>
      </w:r>
      <w:r w:rsidR="00941C70">
        <w:t>frequency band</w:t>
      </w:r>
      <w:r>
        <w:t>;</w:t>
      </w:r>
      <w:r w:rsidR="00060422">
        <w:t xml:space="preserve"> or </w:t>
      </w:r>
    </w:p>
    <w:p w:rsidR="00636085" w:rsidRDefault="00636085" w:rsidP="00AD0172">
      <w:pPr>
        <w:pStyle w:val="ZR1"/>
        <w:ind w:left="1276" w:hanging="283"/>
      </w:pPr>
      <w:r>
        <w:t xml:space="preserve">(b)  </w:t>
      </w:r>
      <w:r w:rsidR="00060422">
        <w:t xml:space="preserve">an earth receive station </w:t>
      </w:r>
      <w:r w:rsidR="00060422" w:rsidRPr="00AC6F8D">
        <w:t>in the 2</w:t>
      </w:r>
      <w:r w:rsidR="00060422">
        <w:t>200</w:t>
      </w:r>
      <w:r w:rsidR="00BB4709">
        <w:t>–</w:t>
      </w:r>
      <w:r w:rsidR="00060422">
        <w:t>2300</w:t>
      </w:r>
      <w:r w:rsidR="00096A3E">
        <w:t xml:space="preserve"> </w:t>
      </w:r>
      <w:r w:rsidR="00060422">
        <w:t>MHz frequency</w:t>
      </w:r>
      <w:r>
        <w:t xml:space="preserve"> </w:t>
      </w:r>
      <w:r w:rsidR="00060422">
        <w:t>band</w:t>
      </w:r>
      <w:r>
        <w:t>;</w:t>
      </w:r>
    </w:p>
    <w:p w:rsidR="007B282A" w:rsidRPr="007B282A" w:rsidRDefault="00060422" w:rsidP="00AD0172">
      <w:pPr>
        <w:pStyle w:val="ZR1"/>
        <w:ind w:left="1928"/>
      </w:pPr>
      <w:r>
        <w:t xml:space="preserve">within </w:t>
      </w:r>
      <w:r w:rsidR="007B282A">
        <w:t>the Perth area</w:t>
      </w:r>
      <w:r w:rsidR="007B282A" w:rsidRPr="007B282A">
        <w:t>.</w:t>
      </w:r>
    </w:p>
    <w:p w:rsidR="00DB4F78" w:rsidRDefault="00DB4F78" w:rsidP="00AD0172">
      <w:pPr>
        <w:pStyle w:val="ZR1"/>
        <w:ind w:left="1928"/>
      </w:pPr>
    </w:p>
    <w:p w:rsidR="004B2DFF" w:rsidRDefault="000C4F4E" w:rsidP="00986EBA">
      <w:pPr>
        <w:pStyle w:val="R2"/>
        <w:rPr>
          <w:rFonts w:ascii="Arial" w:hAnsi="Arial" w:cs="Arial"/>
          <w:b/>
        </w:rPr>
      </w:pPr>
      <w:r w:rsidRPr="000C4F4E">
        <w:rPr>
          <w:rFonts w:ascii="Arial" w:hAnsi="Arial" w:cs="Arial"/>
          <w:b/>
        </w:rPr>
        <w:t>12</w:t>
      </w:r>
      <w:r w:rsidRPr="000C4F4E">
        <w:rPr>
          <w:rFonts w:ascii="Arial" w:hAnsi="Arial" w:cs="Arial"/>
          <w:b/>
        </w:rPr>
        <w:tab/>
      </w:r>
      <w:r w:rsidRPr="000C4F4E">
        <w:rPr>
          <w:rFonts w:ascii="Arial" w:hAnsi="Arial" w:cs="Arial"/>
          <w:b/>
        </w:rPr>
        <w:tab/>
        <w:t xml:space="preserve">Purposes for which the 2200–2300 MHz frequency band may be used – </w:t>
      </w:r>
      <w:r w:rsidR="00AE5A8E">
        <w:rPr>
          <w:rFonts w:ascii="Arial" w:hAnsi="Arial" w:cs="Arial"/>
          <w:b/>
        </w:rPr>
        <w:t xml:space="preserve">airborne </w:t>
      </w:r>
      <w:r w:rsidR="00D948BE">
        <w:rPr>
          <w:rFonts w:ascii="Arial" w:hAnsi="Arial" w:cs="Arial"/>
          <w:b/>
        </w:rPr>
        <w:t xml:space="preserve">television outside broadcast </w:t>
      </w:r>
      <w:r w:rsidR="006E21DD">
        <w:rPr>
          <w:rFonts w:ascii="Arial" w:hAnsi="Arial" w:cs="Arial"/>
          <w:b/>
        </w:rPr>
        <w:t>station</w:t>
      </w:r>
    </w:p>
    <w:p w:rsidR="00AE5A8E" w:rsidRPr="00AE5A8E" w:rsidRDefault="00AE5A8E" w:rsidP="00986EBA">
      <w:pPr>
        <w:pStyle w:val="R2"/>
      </w:pPr>
      <w:r>
        <w:rPr>
          <w:rFonts w:ascii="Arial" w:hAnsi="Arial" w:cs="Arial"/>
          <w:b/>
        </w:rPr>
        <w:tab/>
      </w:r>
      <w:r>
        <w:rPr>
          <w:rFonts w:ascii="Arial" w:hAnsi="Arial" w:cs="Arial"/>
          <w:b/>
        </w:rPr>
        <w:tab/>
      </w:r>
      <w:r w:rsidR="000C4F4E" w:rsidRPr="000C4F4E">
        <w:t xml:space="preserve">A person must not operate an airborne </w:t>
      </w:r>
      <w:r w:rsidR="00D948BE">
        <w:t>television outside broadcast</w:t>
      </w:r>
      <w:r w:rsidR="000C4F4E" w:rsidRPr="000C4F4E">
        <w:t xml:space="preserve"> </w:t>
      </w:r>
      <w:r w:rsidR="006E21DD">
        <w:t>station</w:t>
      </w:r>
      <w:r w:rsidR="000C4F4E" w:rsidRPr="000C4F4E">
        <w:t xml:space="preserve"> in the 2200-2300</w:t>
      </w:r>
      <w:r w:rsidR="00C009ED">
        <w:t xml:space="preserve"> </w:t>
      </w:r>
      <w:r w:rsidR="000C4F4E" w:rsidRPr="000C4F4E">
        <w:t>MHz frequency band.</w:t>
      </w:r>
    </w:p>
    <w:p w:rsidR="004B2DFF" w:rsidRDefault="004B2DFF" w:rsidP="00986EBA">
      <w:pPr>
        <w:pStyle w:val="R2"/>
      </w:pPr>
    </w:p>
    <w:p w:rsidR="00C02D48" w:rsidRDefault="00526F15">
      <w:pPr>
        <w:pStyle w:val="HR"/>
        <w:ind w:left="0" w:firstLine="0"/>
      </w:pPr>
      <w:r>
        <w:t xml:space="preserve">Schedule </w:t>
      </w:r>
      <w:r w:rsidR="00C2744E">
        <w:t>1</w:t>
      </w:r>
      <w:r w:rsidR="00641E93">
        <w:t xml:space="preserve"> </w:t>
      </w:r>
      <w:r w:rsidR="00B94B20">
        <w:tab/>
      </w:r>
      <w:r w:rsidR="00B94B20">
        <w:tab/>
      </w:r>
      <w:r w:rsidR="00CA60E6" w:rsidRPr="00BE3D9E">
        <w:rPr>
          <w:rFonts w:cs="Arial"/>
        </w:rPr>
        <w:t>Fixed service (point-to-point) areas</w:t>
      </w:r>
      <w:r w:rsidR="00CA60E6" w:rsidDel="00E45EC8">
        <w:t xml:space="preserve"> </w:t>
      </w:r>
    </w:p>
    <w:p w:rsidR="00CD324D" w:rsidRDefault="00B94B20">
      <w:pPr>
        <w:pStyle w:val="R1"/>
        <w:spacing w:befor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4B20">
        <w:rPr>
          <w:rFonts w:ascii="Arial" w:hAnsi="Arial" w:cs="Arial"/>
          <w:sz w:val="20"/>
          <w:szCs w:val="20"/>
        </w:rPr>
        <w:t>(subsection 10(2))</w:t>
      </w:r>
    </w:p>
    <w:p w:rsidR="004B2DFF" w:rsidRPr="00FA70E6" w:rsidRDefault="00F2595E" w:rsidP="00231782">
      <w:pPr>
        <w:pStyle w:val="R2"/>
        <w:outlineLvl w:val="0"/>
        <w:rPr>
          <w:rFonts w:ascii="Arial" w:hAnsi="Arial" w:cs="Arial"/>
          <w:b/>
        </w:rPr>
      </w:pPr>
      <w:r w:rsidRPr="00B94B20">
        <w:rPr>
          <w:rFonts w:ascii="Arial" w:hAnsi="Arial" w:cs="Arial"/>
          <w:b/>
        </w:rPr>
        <w:tab/>
      </w:r>
      <w:r w:rsidR="00B94B20" w:rsidRPr="00FA70E6">
        <w:rPr>
          <w:rFonts w:ascii="Arial" w:hAnsi="Arial" w:cs="Arial"/>
          <w:b/>
        </w:rPr>
        <w:t xml:space="preserve">Part 1 </w:t>
      </w:r>
      <w:r w:rsidR="00E45EC8">
        <w:rPr>
          <w:rFonts w:ascii="Arial" w:hAnsi="Arial" w:cs="Arial"/>
          <w:b/>
        </w:rPr>
        <w:t>Areas for 2010</w:t>
      </w:r>
      <w:r w:rsidR="00996C40" w:rsidRPr="00096A3E">
        <w:rPr>
          <w:rFonts w:ascii="Arial" w:hAnsi="Arial" w:cs="Arial"/>
        </w:rPr>
        <w:t>–</w:t>
      </w:r>
      <w:r w:rsidR="00E45EC8">
        <w:rPr>
          <w:rFonts w:ascii="Arial" w:hAnsi="Arial" w:cs="Arial"/>
          <w:b/>
        </w:rPr>
        <w:t>2110 MHz</w:t>
      </w:r>
    </w:p>
    <w:p w:rsidR="00F75693" w:rsidRPr="009938AC" w:rsidRDefault="00F75693" w:rsidP="004B2DFF">
      <w:pPr>
        <w:rPr>
          <w:b/>
        </w:rPr>
      </w:pPr>
      <w:r w:rsidRPr="009938AC">
        <w:rPr>
          <w:b/>
        </w:rPr>
        <w:t xml:space="preserve"> </w:t>
      </w:r>
    </w:p>
    <w:p w:rsidR="0087412C" w:rsidRDefault="0095638B" w:rsidP="00972037">
      <w:pPr>
        <w:jc w:val="both"/>
      </w:pPr>
      <w:r w:rsidRPr="0095638B">
        <w:t>For the frequency band 2010</w:t>
      </w:r>
      <w:r w:rsidR="00BB4709">
        <w:t>–</w:t>
      </w:r>
      <w:r w:rsidR="00693128">
        <w:t xml:space="preserve">2110 MHz, </w:t>
      </w:r>
      <w:r w:rsidR="006F2B02">
        <w:t>the</w:t>
      </w:r>
      <w:r w:rsidR="00693128">
        <w:t xml:space="preserve"> area</w:t>
      </w:r>
      <w:r w:rsidR="00E21C30">
        <w:t>s</w:t>
      </w:r>
      <w:r w:rsidR="00693128">
        <w:t xml:space="preserve"> </w:t>
      </w:r>
      <w:r w:rsidR="00E21C30">
        <w:t xml:space="preserve">are each </w:t>
      </w:r>
      <w:r w:rsidR="00B94B20">
        <w:t>geographic</w:t>
      </w:r>
      <w:r w:rsidR="00693128">
        <w:t xml:space="preserve"> area</w:t>
      </w:r>
      <w:r w:rsidR="003E6F89">
        <w:t xml:space="preserve"> </w:t>
      </w:r>
      <w:r w:rsidR="00B94B20">
        <w:t xml:space="preserve">described by a circle with a radius of </w:t>
      </w:r>
      <w:r w:rsidR="00693128">
        <w:t>150</w:t>
      </w:r>
      <w:r w:rsidR="00B94B20">
        <w:t xml:space="preserve"> kilometres whose centre is located at</w:t>
      </w:r>
      <w:r w:rsidR="00693128">
        <w:t xml:space="preserve"> a</w:t>
      </w:r>
      <w:r w:rsidRPr="0095638B">
        <w:t xml:space="preserve"> point </w:t>
      </w:r>
      <w:r w:rsidR="00507B47">
        <w:t>specified</w:t>
      </w:r>
      <w:r w:rsidRPr="0095638B">
        <w:t xml:space="preserve"> in </w:t>
      </w:r>
      <w:r w:rsidR="00D73CC7">
        <w:t>T</w:t>
      </w:r>
      <w:r w:rsidRPr="0095638B">
        <w:t xml:space="preserve">able 1.   </w:t>
      </w:r>
    </w:p>
    <w:p w:rsidR="008562C0" w:rsidRDefault="008562C0" w:rsidP="0087412C">
      <w:pPr>
        <w:rPr>
          <w:b/>
          <w:sz w:val="28"/>
        </w:rPr>
      </w:pPr>
    </w:p>
    <w:p w:rsidR="008562C0" w:rsidRPr="00096A3E" w:rsidRDefault="00E22160" w:rsidP="00231782">
      <w:pPr>
        <w:outlineLvl w:val="0"/>
        <w:rPr>
          <w:rFonts w:ascii="Arial" w:hAnsi="Arial" w:cs="Arial"/>
          <w:b/>
        </w:rPr>
      </w:pPr>
      <w:r w:rsidRPr="00E22160">
        <w:rPr>
          <w:rFonts w:ascii="Arial" w:hAnsi="Arial" w:cs="Arial"/>
          <w:b/>
        </w:rPr>
        <w:t>Table 1:  Centre coordinates for the frequency band 2010</w:t>
      </w:r>
      <w:r w:rsidRPr="00E22160">
        <w:rPr>
          <w:rFonts w:ascii="Arial" w:hAnsi="Arial" w:cs="Arial"/>
        </w:rPr>
        <w:t>–</w:t>
      </w:r>
      <w:r w:rsidRPr="00E22160">
        <w:rPr>
          <w:rFonts w:ascii="Arial" w:hAnsi="Arial" w:cs="Arial"/>
          <w:b/>
        </w:rPr>
        <w:t>2110</w:t>
      </w:r>
      <w:r w:rsidR="00996C40">
        <w:rPr>
          <w:rFonts w:ascii="Arial" w:hAnsi="Arial" w:cs="Arial"/>
          <w:b/>
        </w:rPr>
        <w:t xml:space="preserve"> </w:t>
      </w:r>
      <w:r w:rsidRPr="00E22160">
        <w:rPr>
          <w:rFonts w:ascii="Arial" w:hAnsi="Arial" w:cs="Arial"/>
          <w:b/>
        </w:rPr>
        <w:t xml:space="preserve">MHz </w:t>
      </w:r>
    </w:p>
    <w:tbl>
      <w:tblPr>
        <w:tblW w:w="324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1720"/>
      </w:tblGrid>
      <w:tr w:rsidR="0087412C" w:rsidRPr="00D73CC7" w:rsidTr="00A34965">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87412C" w:rsidRPr="00D73CC7" w:rsidRDefault="0087412C" w:rsidP="00A34965">
            <w:pPr>
              <w:ind w:right="120"/>
              <w:jc w:val="right"/>
              <w:rPr>
                <w:b/>
              </w:rPr>
            </w:pPr>
            <w:r w:rsidRPr="00D73CC7">
              <w:rPr>
                <w:b/>
              </w:rPr>
              <w:t>° South</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87412C" w:rsidRPr="00D73CC7" w:rsidRDefault="0087412C" w:rsidP="00A34965">
            <w:pPr>
              <w:ind w:right="120"/>
              <w:jc w:val="right"/>
              <w:rPr>
                <w:b/>
              </w:rPr>
            </w:pPr>
            <w:r w:rsidRPr="00D73CC7">
              <w:rPr>
                <w:b/>
              </w:rPr>
              <w:t>° East</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37.814048</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144.971860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37.838770</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144.996027</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37.834878</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145.348522</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37.818493</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144.957138</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37.880993</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144.999082</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37.828212</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145.353244</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33.819533</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151.185321</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33.810644</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151.196709</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33.781756</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151.070600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33.868699</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151.209488</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33.934533</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151.156990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33.805366</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151.181432</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32.890085</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151.538640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27.463138</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152.948007</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27.472304</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153.025227</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27.969524</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153.213562</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26.789806</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152.918280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28.001189</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153.426614</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35.269830</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149.158148</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35.275386</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149.097593</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42.897395</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147.236091</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34.979923</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138.707189</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34.887980</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138.613856</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34.924647</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138.598579</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31.950754</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115.872040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31.953254</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115.855373</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32.012419</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116.061762</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32.008252</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116.083985</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31.878253</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115.859817</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32.057978</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115.751210</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12.463580</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130.835066</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12.464135</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130.844233</w:t>
            </w:r>
          </w:p>
        </w:tc>
      </w:tr>
      <w:tr w:rsidR="0087412C" w:rsidRPr="00D73CC7" w:rsidTr="00A34965">
        <w:trPr>
          <w:trHeight w:val="300"/>
        </w:trPr>
        <w:tc>
          <w:tcPr>
            <w:tcW w:w="15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12.448302</w:t>
            </w:r>
          </w:p>
        </w:tc>
        <w:tc>
          <w:tcPr>
            <w:tcW w:w="1720" w:type="dxa"/>
            <w:shd w:val="clear" w:color="auto" w:fill="auto"/>
            <w:noWrap/>
            <w:vAlign w:val="bottom"/>
            <w:hideMark/>
          </w:tcPr>
          <w:p w:rsidR="0087412C" w:rsidRPr="00D73CC7" w:rsidRDefault="0087412C" w:rsidP="00A34965">
            <w:pPr>
              <w:jc w:val="right"/>
              <w:rPr>
                <w:color w:val="000000"/>
                <w:lang w:eastAsia="en-AU"/>
              </w:rPr>
            </w:pPr>
            <w:r w:rsidRPr="00D73CC7">
              <w:rPr>
                <w:color w:val="000000"/>
                <w:lang w:eastAsia="en-AU"/>
              </w:rPr>
              <w:t>130.836455</w:t>
            </w:r>
          </w:p>
        </w:tc>
      </w:tr>
    </w:tbl>
    <w:p w:rsidR="0087412C" w:rsidRDefault="0087412C" w:rsidP="0087412C">
      <w:pPr>
        <w:rPr>
          <w:sz w:val="22"/>
          <w:szCs w:val="22"/>
        </w:rPr>
      </w:pPr>
    </w:p>
    <w:p w:rsidR="00FA70E6" w:rsidRPr="00FA70E6" w:rsidRDefault="00FA70E6" w:rsidP="00231782">
      <w:pPr>
        <w:pStyle w:val="R2"/>
        <w:outlineLvl w:val="0"/>
        <w:rPr>
          <w:rFonts w:ascii="Arial" w:hAnsi="Arial" w:cs="Arial"/>
          <w:b/>
        </w:rPr>
      </w:pPr>
      <w:r w:rsidRPr="00B94B20">
        <w:rPr>
          <w:rFonts w:ascii="Arial" w:hAnsi="Arial" w:cs="Arial"/>
          <w:b/>
        </w:rPr>
        <w:tab/>
      </w:r>
      <w:r>
        <w:rPr>
          <w:rFonts w:ascii="Arial" w:hAnsi="Arial" w:cs="Arial"/>
          <w:b/>
        </w:rPr>
        <w:t>Part 2</w:t>
      </w:r>
      <w:r w:rsidRPr="00FA70E6">
        <w:rPr>
          <w:rFonts w:ascii="Arial" w:hAnsi="Arial" w:cs="Arial"/>
          <w:b/>
        </w:rPr>
        <w:t xml:space="preserve"> </w:t>
      </w:r>
      <w:r w:rsidR="00E45EC8">
        <w:rPr>
          <w:rFonts w:ascii="Arial" w:hAnsi="Arial" w:cs="Arial"/>
          <w:b/>
        </w:rPr>
        <w:t>Areas for 2200</w:t>
      </w:r>
      <w:r w:rsidR="00996C40" w:rsidRPr="00096A3E">
        <w:rPr>
          <w:rFonts w:ascii="Arial" w:hAnsi="Arial" w:cs="Arial"/>
        </w:rPr>
        <w:t>–</w:t>
      </w:r>
      <w:r w:rsidR="00E45EC8">
        <w:rPr>
          <w:rFonts w:ascii="Arial" w:hAnsi="Arial" w:cs="Arial"/>
          <w:b/>
        </w:rPr>
        <w:t>2300 MHz</w:t>
      </w:r>
    </w:p>
    <w:p w:rsidR="00FA70E6" w:rsidRDefault="00FA70E6" w:rsidP="00FA70E6"/>
    <w:p w:rsidR="002F29A4" w:rsidRPr="00C2744E" w:rsidRDefault="0095638B" w:rsidP="0080575E">
      <w:pPr>
        <w:jc w:val="both"/>
      </w:pPr>
      <w:r w:rsidRPr="0095638B">
        <w:t>For the frequency band 2200</w:t>
      </w:r>
      <w:r w:rsidR="00BB4709">
        <w:t>–</w:t>
      </w:r>
      <w:r w:rsidRPr="0095638B">
        <w:t xml:space="preserve">2300 MHz, </w:t>
      </w:r>
      <w:r w:rsidR="00FA70E6">
        <w:t>the area</w:t>
      </w:r>
      <w:r w:rsidR="003E6F89">
        <w:t>s</w:t>
      </w:r>
      <w:r w:rsidR="00FA70E6">
        <w:t xml:space="preserve"> </w:t>
      </w:r>
      <w:r w:rsidR="00E21C30">
        <w:t>are each</w:t>
      </w:r>
      <w:r w:rsidR="00FA70E6">
        <w:t xml:space="preserve"> geographic area described by a circle with a radius of 150 kilometres whose centre is located at a</w:t>
      </w:r>
      <w:r w:rsidR="00FA70E6" w:rsidRPr="0095638B">
        <w:t xml:space="preserve"> point </w:t>
      </w:r>
      <w:r w:rsidR="00FA70E6">
        <w:t>specified</w:t>
      </w:r>
      <w:r w:rsidR="00FA70E6" w:rsidRPr="0095638B">
        <w:t xml:space="preserve"> in </w:t>
      </w:r>
      <w:r w:rsidR="00D73CC7" w:rsidRPr="0087412C">
        <w:t>T</w:t>
      </w:r>
      <w:r w:rsidRPr="0095638B">
        <w:t xml:space="preserve">able 2.  </w:t>
      </w:r>
    </w:p>
    <w:p w:rsidR="004B5EAB" w:rsidRPr="00D73CC7" w:rsidRDefault="004B5EAB" w:rsidP="004B2DFF">
      <w:pPr>
        <w:rPr>
          <w:sz w:val="22"/>
          <w:szCs w:val="22"/>
        </w:rPr>
      </w:pPr>
    </w:p>
    <w:p w:rsidR="008562C0" w:rsidRPr="00996C40" w:rsidRDefault="00E22160" w:rsidP="00231782">
      <w:pPr>
        <w:outlineLvl w:val="0"/>
        <w:rPr>
          <w:rFonts w:ascii="Arial" w:hAnsi="Arial" w:cs="Arial"/>
          <w:b/>
        </w:rPr>
      </w:pPr>
      <w:r w:rsidRPr="00E22160">
        <w:rPr>
          <w:rFonts w:ascii="Arial" w:hAnsi="Arial" w:cs="Arial"/>
          <w:b/>
        </w:rPr>
        <w:t>Table 2:  Centre coordinates for the frequency band 2200</w:t>
      </w:r>
      <w:r w:rsidRPr="00E22160">
        <w:rPr>
          <w:rFonts w:ascii="Arial" w:hAnsi="Arial" w:cs="Arial"/>
        </w:rPr>
        <w:t>–</w:t>
      </w:r>
      <w:r w:rsidRPr="00E22160">
        <w:rPr>
          <w:rFonts w:ascii="Arial" w:hAnsi="Arial" w:cs="Arial"/>
          <w:b/>
        </w:rPr>
        <w:t>2300</w:t>
      </w:r>
      <w:r w:rsidR="00996C40">
        <w:rPr>
          <w:rFonts w:ascii="Arial" w:hAnsi="Arial" w:cs="Arial"/>
          <w:b/>
        </w:rPr>
        <w:t xml:space="preserve"> </w:t>
      </w:r>
      <w:r w:rsidRPr="00E22160">
        <w:rPr>
          <w:rFonts w:ascii="Arial" w:hAnsi="Arial" w:cs="Arial"/>
          <w:b/>
        </w:rPr>
        <w:t>MHz</w:t>
      </w:r>
    </w:p>
    <w:tbl>
      <w:tblPr>
        <w:tblW w:w="324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1720"/>
      </w:tblGrid>
      <w:tr w:rsidR="00FA70E6" w:rsidRPr="00D73CC7" w:rsidTr="00E45EC8">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FA70E6" w:rsidRPr="00D73CC7" w:rsidRDefault="00FA70E6" w:rsidP="00E45EC8">
            <w:pPr>
              <w:ind w:right="120"/>
              <w:jc w:val="right"/>
              <w:rPr>
                <w:b/>
              </w:rPr>
            </w:pPr>
            <w:r w:rsidRPr="00D73CC7">
              <w:rPr>
                <w:b/>
              </w:rPr>
              <w:t>° South</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FA70E6" w:rsidRPr="00D73CC7" w:rsidRDefault="00FA70E6" w:rsidP="00E45EC8">
            <w:pPr>
              <w:ind w:right="120"/>
              <w:jc w:val="right"/>
              <w:rPr>
                <w:b/>
              </w:rPr>
            </w:pPr>
            <w:r w:rsidRPr="00D73CC7">
              <w:rPr>
                <w:b/>
              </w:rPr>
              <w:t>° East</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37.814048</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144.971860</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37.838770</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144.996027</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37.834878</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145.348522</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37.818493</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144.957138</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37.880993</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144.999082</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37.828212</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145.353244</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33.819533</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151.185321</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33.810644</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151.196709</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33.781756</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151.070600</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33.868699</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151.209488</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33.934533</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151.156990</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33.805366</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151.181432</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32.890085</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151.538640</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27.463138</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152.948007</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27.472304</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153.025227</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27.969524</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153.213562</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26.789806</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152.918280</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28.001189</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153.426614</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35.269830</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149.158148</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35.275386</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149.097593</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42.897395</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147.236091</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34.979923</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138.707189</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34.887980</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138.613856</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34.924647</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138.598579</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31.950754</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115.872040</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31.953254</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115.855373</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32.012419</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116.061762</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32.008252</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116.083985</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31.878253</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115.859817</w:t>
            </w:r>
          </w:p>
        </w:tc>
      </w:tr>
      <w:tr w:rsidR="004B5EAB" w:rsidRPr="00D73CC7" w:rsidTr="004B5EA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32.057978</w:t>
            </w:r>
          </w:p>
        </w:tc>
        <w:tc>
          <w:tcPr>
            <w:tcW w:w="1720" w:type="dxa"/>
            <w:tcBorders>
              <w:top w:val="single" w:sz="4" w:space="0" w:color="auto"/>
              <w:left w:val="single" w:sz="4" w:space="0" w:color="auto"/>
              <w:bottom w:val="single" w:sz="4" w:space="0" w:color="auto"/>
              <w:right w:val="single" w:sz="4" w:space="0" w:color="auto"/>
            </w:tcBorders>
            <w:noWrap/>
            <w:vAlign w:val="bottom"/>
            <w:hideMark/>
          </w:tcPr>
          <w:p w:rsidR="004B5EAB" w:rsidRPr="00D73CC7" w:rsidRDefault="004B5EAB" w:rsidP="004B5EAB">
            <w:pPr>
              <w:jc w:val="right"/>
              <w:rPr>
                <w:color w:val="000000"/>
                <w:sz w:val="22"/>
                <w:szCs w:val="22"/>
                <w:lang w:eastAsia="en-AU"/>
              </w:rPr>
            </w:pPr>
            <w:r w:rsidRPr="00D73CC7">
              <w:rPr>
                <w:color w:val="000000"/>
                <w:lang w:eastAsia="en-AU"/>
              </w:rPr>
              <w:t>115.751210</w:t>
            </w:r>
          </w:p>
        </w:tc>
      </w:tr>
    </w:tbl>
    <w:p w:rsidR="004B5EAB" w:rsidRPr="00D73CC7" w:rsidRDefault="004B5EAB" w:rsidP="004B5EAB">
      <w:pPr>
        <w:rPr>
          <w:sz w:val="22"/>
          <w:szCs w:val="22"/>
        </w:rPr>
      </w:pPr>
    </w:p>
    <w:p w:rsidR="0022009C" w:rsidRPr="00D73CC7" w:rsidRDefault="0022009C" w:rsidP="004B2DFF">
      <w:pPr>
        <w:rPr>
          <w:sz w:val="22"/>
          <w:szCs w:val="22"/>
        </w:rPr>
      </w:pPr>
    </w:p>
    <w:p w:rsidR="00D73CC7" w:rsidRPr="00D73CC7" w:rsidRDefault="00D73CC7" w:rsidP="004B2DFF">
      <w:pPr>
        <w:rPr>
          <w:sz w:val="22"/>
          <w:szCs w:val="22"/>
        </w:rPr>
      </w:pPr>
    </w:p>
    <w:p w:rsidR="0022009C" w:rsidRPr="00BE3D9E" w:rsidRDefault="0022009C" w:rsidP="00641E93">
      <w:pPr>
        <w:pStyle w:val="HR"/>
        <w:rPr>
          <w:rFonts w:cs="Arial"/>
          <w:b w:val="0"/>
          <w:sz w:val="20"/>
          <w:szCs w:val="20"/>
        </w:rPr>
      </w:pPr>
      <w:r w:rsidRPr="0087412C">
        <w:rPr>
          <w:rFonts w:cs="Arial"/>
        </w:rPr>
        <w:t>Schedule 2</w:t>
      </w:r>
      <w:r w:rsidR="00BE3D9E">
        <w:rPr>
          <w:rFonts w:cs="Arial"/>
        </w:rPr>
        <w:t xml:space="preserve"> </w:t>
      </w:r>
      <w:r w:rsidR="00BE3D9E">
        <w:rPr>
          <w:rFonts w:cs="Arial"/>
        </w:rPr>
        <w:tab/>
      </w:r>
      <w:r w:rsidR="00BE3D9E">
        <w:rPr>
          <w:rFonts w:cs="Arial"/>
        </w:rPr>
        <w:tab/>
      </w:r>
      <w:r w:rsidR="00BE3D9E" w:rsidRPr="00BE3D9E">
        <w:rPr>
          <w:rFonts w:cs="Arial"/>
        </w:rPr>
        <w:t xml:space="preserve">Fixed service (point-to-point) </w:t>
      </w:r>
      <w:r w:rsidR="00E45EC8">
        <w:rPr>
          <w:rFonts w:cs="Arial"/>
        </w:rPr>
        <w:t xml:space="preserve">secondary </w:t>
      </w:r>
      <w:r w:rsidR="00BE3D9E" w:rsidRPr="00BE3D9E">
        <w:rPr>
          <w:rFonts w:cs="Arial"/>
        </w:rPr>
        <w:t>areas</w:t>
      </w:r>
      <w:r w:rsidR="00BE3D9E" w:rsidRPr="00BE3D9E">
        <w:rPr>
          <w:rFonts w:cs="Arial"/>
        </w:rPr>
        <w:tab/>
      </w:r>
      <w:r w:rsidR="00BE3D9E" w:rsidRPr="00BE3D9E">
        <w:rPr>
          <w:rFonts w:cs="Arial"/>
        </w:rPr>
        <w:tab/>
      </w:r>
      <w:r w:rsidR="00BE3D9E" w:rsidRPr="00BE3D9E">
        <w:rPr>
          <w:rFonts w:cs="Arial"/>
        </w:rPr>
        <w:tab/>
      </w:r>
      <w:r w:rsidR="00BE3D9E" w:rsidRPr="00BE3D9E">
        <w:rPr>
          <w:rFonts w:cs="Arial"/>
          <w:b w:val="0"/>
          <w:sz w:val="20"/>
          <w:szCs w:val="20"/>
        </w:rPr>
        <w:t>(subsection</w:t>
      </w:r>
      <w:r w:rsidR="00BE3D9E">
        <w:rPr>
          <w:rFonts w:cs="Arial"/>
          <w:b w:val="0"/>
          <w:sz w:val="20"/>
          <w:szCs w:val="20"/>
        </w:rPr>
        <w:t>s</w:t>
      </w:r>
      <w:r w:rsidR="00BE3D9E" w:rsidRPr="00BE3D9E">
        <w:rPr>
          <w:rFonts w:cs="Arial"/>
          <w:b w:val="0"/>
          <w:sz w:val="20"/>
          <w:szCs w:val="20"/>
        </w:rPr>
        <w:t xml:space="preserve"> 10(</w:t>
      </w:r>
      <w:r w:rsidR="00BE3D9E">
        <w:rPr>
          <w:rFonts w:cs="Arial"/>
          <w:b w:val="0"/>
          <w:sz w:val="20"/>
          <w:szCs w:val="20"/>
        </w:rPr>
        <w:t>3</w:t>
      </w:r>
      <w:r w:rsidR="00BE3D9E" w:rsidRPr="00BE3D9E">
        <w:rPr>
          <w:rFonts w:cs="Arial"/>
          <w:b w:val="0"/>
          <w:sz w:val="20"/>
          <w:szCs w:val="20"/>
        </w:rPr>
        <w:t>)</w:t>
      </w:r>
      <w:r w:rsidR="00BE3D9E">
        <w:rPr>
          <w:rFonts w:cs="Arial"/>
          <w:b w:val="0"/>
          <w:sz w:val="20"/>
          <w:szCs w:val="20"/>
        </w:rPr>
        <w:t xml:space="preserve"> and (4))</w:t>
      </w:r>
    </w:p>
    <w:p w:rsidR="0087412C" w:rsidRPr="00D73CC7" w:rsidRDefault="0087412C" w:rsidP="00507B47">
      <w:pPr>
        <w:jc w:val="both"/>
        <w:rPr>
          <w:b/>
        </w:rPr>
      </w:pPr>
    </w:p>
    <w:p w:rsidR="009938AC" w:rsidRPr="00D73CC7" w:rsidRDefault="0022009C" w:rsidP="00BE3D9E">
      <w:pPr>
        <w:jc w:val="both"/>
        <w:rPr>
          <w:lang w:eastAsia="en-AU"/>
        </w:rPr>
      </w:pPr>
      <w:r w:rsidRPr="00D73CC7">
        <w:t>For the</w:t>
      </w:r>
      <w:r w:rsidR="003207C3" w:rsidRPr="00D73CC7">
        <w:t xml:space="preserve"> frequency</w:t>
      </w:r>
      <w:r w:rsidRPr="00D73CC7">
        <w:t xml:space="preserve"> band 2010</w:t>
      </w:r>
      <w:r w:rsidR="00BB4709">
        <w:t>–</w:t>
      </w:r>
      <w:r w:rsidRPr="00D73CC7">
        <w:t>2110 MHz</w:t>
      </w:r>
      <w:r w:rsidR="003207C3" w:rsidRPr="00D73CC7">
        <w:t>,</w:t>
      </w:r>
      <w:r w:rsidR="00F75693" w:rsidRPr="00D73CC7">
        <w:t xml:space="preserve"> </w:t>
      </w:r>
      <w:r w:rsidR="006F2B02">
        <w:t>the</w:t>
      </w:r>
      <w:r w:rsidRPr="00D73CC7">
        <w:t xml:space="preserve"> area</w:t>
      </w:r>
      <w:r w:rsidR="00E21C30">
        <w:t>s are</w:t>
      </w:r>
      <w:r w:rsidRPr="00D73CC7">
        <w:t xml:space="preserve"> </w:t>
      </w:r>
      <w:r w:rsidR="00E21C30">
        <w:t>each</w:t>
      </w:r>
      <w:r w:rsidR="00693128">
        <w:t xml:space="preserve"> </w:t>
      </w:r>
      <w:r w:rsidR="006A5EA2">
        <w:t xml:space="preserve">geographic </w:t>
      </w:r>
      <w:r w:rsidR="00693128">
        <w:t>area</w:t>
      </w:r>
      <w:r w:rsidR="009938AC" w:rsidRPr="00D73CC7">
        <w:t>:</w:t>
      </w:r>
    </w:p>
    <w:p w:rsidR="00693128" w:rsidRPr="00D73CC7" w:rsidRDefault="00693128" w:rsidP="00BE3D9E">
      <w:pPr>
        <w:numPr>
          <w:ilvl w:val="0"/>
          <w:numId w:val="26"/>
        </w:numPr>
        <w:ind w:left="567" w:hanging="567"/>
        <w:jc w:val="both"/>
        <w:rPr>
          <w:lang w:eastAsia="en-AU"/>
        </w:rPr>
      </w:pPr>
      <w:r w:rsidRPr="00D73CC7">
        <w:rPr>
          <w:lang w:eastAsia="en-AU"/>
        </w:rPr>
        <w:t xml:space="preserve">bounded by a line starting at the intersection of the first coordinates </w:t>
      </w:r>
      <w:r w:rsidR="00BE3D9E">
        <w:rPr>
          <w:lang w:eastAsia="en-AU"/>
        </w:rPr>
        <w:t>listed</w:t>
      </w:r>
      <w:r w:rsidR="00507B47">
        <w:rPr>
          <w:lang w:eastAsia="en-AU"/>
        </w:rPr>
        <w:t xml:space="preserve"> </w:t>
      </w:r>
      <w:r w:rsidRPr="00D73CC7">
        <w:rPr>
          <w:lang w:eastAsia="en-AU"/>
        </w:rPr>
        <w:t xml:space="preserve">in </w:t>
      </w:r>
      <w:r w:rsidR="00A43D24">
        <w:rPr>
          <w:lang w:eastAsia="en-AU"/>
        </w:rPr>
        <w:t>Table 3</w:t>
      </w:r>
      <w:r w:rsidR="00A43D24" w:rsidRPr="00D73CC7">
        <w:rPr>
          <w:lang w:eastAsia="en-AU"/>
        </w:rPr>
        <w:t xml:space="preserve"> </w:t>
      </w:r>
      <w:r w:rsidRPr="00D73CC7">
        <w:rPr>
          <w:lang w:eastAsia="en-AU"/>
        </w:rPr>
        <w:t>in relation to the area;</w:t>
      </w:r>
      <w:r w:rsidR="00BE3D9E">
        <w:rPr>
          <w:lang w:eastAsia="en-AU"/>
        </w:rPr>
        <w:t xml:space="preserve"> and</w:t>
      </w:r>
      <w:r w:rsidRPr="00D73CC7">
        <w:rPr>
          <w:lang w:eastAsia="en-AU"/>
        </w:rPr>
        <w:t xml:space="preserve">  </w:t>
      </w:r>
    </w:p>
    <w:p w:rsidR="00693128" w:rsidRPr="00D73CC7" w:rsidRDefault="00693128" w:rsidP="00BE3D9E">
      <w:pPr>
        <w:numPr>
          <w:ilvl w:val="0"/>
          <w:numId w:val="26"/>
        </w:numPr>
        <w:ind w:left="567" w:hanging="567"/>
        <w:jc w:val="both"/>
        <w:rPr>
          <w:lang w:eastAsia="en-AU"/>
        </w:rPr>
      </w:pPr>
      <w:r w:rsidRPr="00D73CC7">
        <w:rPr>
          <w:lang w:eastAsia="en-AU"/>
        </w:rPr>
        <w:t xml:space="preserve">passing sequentially through the intersection of each set of coordinates </w:t>
      </w:r>
      <w:r w:rsidR="00507B47">
        <w:rPr>
          <w:lang w:eastAsia="en-AU"/>
        </w:rPr>
        <w:t>s</w:t>
      </w:r>
      <w:r w:rsidR="006A5EA2">
        <w:rPr>
          <w:lang w:eastAsia="en-AU"/>
        </w:rPr>
        <w:t>hown</w:t>
      </w:r>
      <w:r w:rsidRPr="00D73CC7">
        <w:rPr>
          <w:lang w:eastAsia="en-AU"/>
        </w:rPr>
        <w:t xml:space="preserve"> in </w:t>
      </w:r>
      <w:r w:rsidR="00A43D24">
        <w:rPr>
          <w:lang w:eastAsia="en-AU"/>
        </w:rPr>
        <w:t>Table 3</w:t>
      </w:r>
      <w:r w:rsidRPr="00D73CC7">
        <w:rPr>
          <w:lang w:eastAsia="en-AU"/>
        </w:rPr>
        <w:t xml:space="preserve"> to the point of commencement;</w:t>
      </w:r>
    </w:p>
    <w:p w:rsidR="009938AC" w:rsidRDefault="00D73CC7" w:rsidP="00BE3D9E">
      <w:pPr>
        <w:ind w:left="567" w:hanging="567"/>
        <w:jc w:val="both"/>
        <w:rPr>
          <w:lang w:eastAsia="en-AU"/>
        </w:rPr>
      </w:pPr>
      <w:r>
        <w:rPr>
          <w:lang w:eastAsia="en-AU"/>
        </w:rPr>
        <w:t xml:space="preserve">but </w:t>
      </w:r>
      <w:r w:rsidR="0087412C">
        <w:rPr>
          <w:lang w:eastAsia="en-AU"/>
        </w:rPr>
        <w:t>excludes</w:t>
      </w:r>
      <w:r w:rsidR="009938AC" w:rsidRPr="00D73CC7">
        <w:rPr>
          <w:lang w:eastAsia="en-AU"/>
        </w:rPr>
        <w:t>:</w:t>
      </w:r>
    </w:p>
    <w:p w:rsidR="00E8610B" w:rsidRPr="00D73CC7" w:rsidRDefault="00996C40" w:rsidP="00BE3D9E">
      <w:pPr>
        <w:numPr>
          <w:ilvl w:val="0"/>
          <w:numId w:val="26"/>
        </w:numPr>
        <w:ind w:left="567" w:hanging="567"/>
        <w:jc w:val="both"/>
        <w:rPr>
          <w:lang w:eastAsia="en-AU"/>
        </w:rPr>
      </w:pPr>
      <w:r>
        <w:rPr>
          <w:lang w:eastAsia="en-AU"/>
        </w:rPr>
        <w:t>each</w:t>
      </w:r>
      <w:r w:rsidR="003E6F89">
        <w:rPr>
          <w:lang w:eastAsia="en-AU"/>
        </w:rPr>
        <w:t xml:space="preserve"> </w:t>
      </w:r>
      <w:r w:rsidR="006A5EA2">
        <w:t>geographic area described by a circle with a radius of 150 kilometres whose centre is located at a</w:t>
      </w:r>
      <w:r w:rsidR="006A5EA2" w:rsidRPr="0095638B">
        <w:t xml:space="preserve"> point </w:t>
      </w:r>
      <w:r w:rsidR="006A5EA2">
        <w:t>specified</w:t>
      </w:r>
      <w:r w:rsidR="006A5EA2" w:rsidRPr="0095638B">
        <w:t xml:space="preserve"> in </w:t>
      </w:r>
      <w:r w:rsidR="0069141F">
        <w:rPr>
          <w:lang w:eastAsia="en-AU"/>
        </w:rPr>
        <w:t>T</w:t>
      </w:r>
      <w:r w:rsidR="0022009C" w:rsidRPr="00D73CC7">
        <w:rPr>
          <w:lang w:eastAsia="en-AU"/>
        </w:rPr>
        <w:t xml:space="preserve">able 4.  </w:t>
      </w:r>
    </w:p>
    <w:p w:rsidR="00BE3D9E" w:rsidRDefault="00BE3D9E" w:rsidP="0022009C">
      <w:pPr>
        <w:rPr>
          <w:sz w:val="22"/>
          <w:szCs w:val="22"/>
          <w:lang w:eastAsia="en-AU"/>
        </w:rPr>
      </w:pPr>
    </w:p>
    <w:p w:rsidR="0022009C" w:rsidRPr="00996C40" w:rsidRDefault="00E22160" w:rsidP="00231782">
      <w:pPr>
        <w:outlineLvl w:val="0"/>
        <w:rPr>
          <w:rFonts w:ascii="Arial" w:hAnsi="Arial" w:cs="Arial"/>
          <w:b/>
        </w:rPr>
      </w:pPr>
      <w:r w:rsidRPr="00E22160">
        <w:rPr>
          <w:rFonts w:ascii="Arial" w:hAnsi="Arial" w:cs="Arial"/>
          <w:b/>
          <w:lang w:eastAsia="en-AU"/>
        </w:rPr>
        <w:t xml:space="preserve">Table 3:  </w:t>
      </w:r>
      <w:r w:rsidRPr="00E22160">
        <w:rPr>
          <w:rFonts w:ascii="Arial" w:hAnsi="Arial" w:cs="Arial"/>
          <w:b/>
        </w:rPr>
        <w:t>Coordinates for secondary areas 2010</w:t>
      </w:r>
      <w:r w:rsidR="00996C40" w:rsidRPr="00096A3E">
        <w:rPr>
          <w:rFonts w:ascii="Arial" w:hAnsi="Arial" w:cs="Arial"/>
        </w:rPr>
        <w:t>–</w:t>
      </w:r>
      <w:r w:rsidRPr="00E22160">
        <w:rPr>
          <w:rFonts w:ascii="Arial" w:hAnsi="Arial" w:cs="Arial"/>
          <w:b/>
        </w:rPr>
        <w:t>2110 MHz</w:t>
      </w:r>
    </w:p>
    <w:p w:rsidR="00996C40" w:rsidRDefault="00996C40" w:rsidP="004B2DFF">
      <w:pPr>
        <w:spacing w:before="120"/>
        <w:ind w:right="120"/>
        <w:jc w:val="right"/>
        <w:rPr>
          <w:b/>
        </w:rPr>
        <w:sectPr w:rsidR="00996C40" w:rsidSect="00E9056F">
          <w:headerReference w:type="even" r:id="rId12"/>
          <w:headerReference w:type="default" r:id="rId13"/>
          <w:pgSz w:w="11906" w:h="16838" w:code="9"/>
          <w:pgMar w:top="1440" w:right="1797" w:bottom="1440" w:left="17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476"/>
      </w:tblGrid>
      <w:tr w:rsidR="004B2DFF" w:rsidRPr="00D73CC7" w:rsidTr="004B2DFF">
        <w:trPr>
          <w:tblHeader/>
        </w:trPr>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D73CC7" w:rsidRDefault="004B2DFF" w:rsidP="004B2DFF">
            <w:pPr>
              <w:spacing w:before="120"/>
              <w:ind w:right="120"/>
              <w:jc w:val="right"/>
              <w:rPr>
                <w:b/>
                <w:sz w:val="22"/>
                <w:szCs w:val="22"/>
              </w:rPr>
            </w:pPr>
            <w:r w:rsidRPr="00D73CC7">
              <w:rPr>
                <w:b/>
              </w:rPr>
              <w:t>° South</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D73CC7" w:rsidRDefault="004B2DFF" w:rsidP="004B2DFF">
            <w:pPr>
              <w:spacing w:before="120"/>
              <w:ind w:right="120"/>
              <w:jc w:val="right"/>
              <w:rPr>
                <w:b/>
                <w:sz w:val="22"/>
                <w:szCs w:val="22"/>
              </w:rPr>
            </w:pPr>
            <w:r w:rsidRPr="00D73CC7">
              <w:rPr>
                <w:b/>
              </w:rPr>
              <w:t>° East</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31.998556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136.001359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31.998546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137.001345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31.998537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138.001335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31.998521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139.001320</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31.998513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140.001305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31.998499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141.001291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32.998503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141.001301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32.998492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142.001289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32.998484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143.001274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33.998489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143.001286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33.998479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144.001273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33.998470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145.001258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33.998459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146.001242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33.998450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147.001227</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32.998449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147.001211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32.998441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148.001196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31.998441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148.001188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30.998441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148.001176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30.998435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149.001159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29.998435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149.001149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28.998437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149.001143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28.998431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150.001125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27.998425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150.001112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26.998429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150.001100</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25.998434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150.001089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24.998427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150.001086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24.998425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151.001070</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24.998429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152.001054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24.998417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153.001040</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24.998402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154.001025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25.998401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154.001033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26.998397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154.001041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27.998398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154.001049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28.998397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154.001059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29.998395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154.001068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30.998395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154.001078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31.998395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154.001088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31.998405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153.001103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32.998404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153.001116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32.998415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152.001132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33.998414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152.001145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34.998416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152.001158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34.998426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151.001172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35.998427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151.001188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36.998431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151.001203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37.998434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151.001218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37.998444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150.001236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37.998457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149.001255</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38.998459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149.001268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39.998464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149.001286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40.998469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149.001304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41.998475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149.001323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42.998481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149.001343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43.998488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149.001364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43.998499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148.001382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43.998511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147.001401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43.998522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146.001418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43.998534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145.001436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42.998527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145.001413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41.998522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145.001384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41.998531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144.001408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40.998524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144.001387</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40.998536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143.001403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39.998529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143.001383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38.998522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143.001358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38.998534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142.001379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38.998546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141.001393</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38.998557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140.001407</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37.998545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140.001384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37.998562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139.001401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36.998554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139.001381</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36.998567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138.001396</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36.998578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137.001408</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36.998590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136.001420</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35.998576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136.001402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34.998562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136.001392</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33.998560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136.001384</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32.998557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136.001369</w:t>
            </w:r>
          </w:p>
        </w:tc>
      </w:tr>
      <w:tr w:rsidR="004B2DFF" w:rsidRPr="00D73CC7" w:rsidTr="004B2DFF">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31.998556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2DFF" w:rsidRPr="00507B47" w:rsidRDefault="004B2DFF" w:rsidP="004B2DFF">
            <w:pPr>
              <w:spacing w:before="120"/>
              <w:ind w:right="120"/>
              <w:jc w:val="right"/>
              <w:rPr>
                <w:sz w:val="22"/>
                <w:szCs w:val="22"/>
              </w:rPr>
            </w:pPr>
            <w:r w:rsidRPr="00507B47">
              <w:t>136.001359</w:t>
            </w:r>
          </w:p>
        </w:tc>
      </w:tr>
    </w:tbl>
    <w:p w:rsidR="00996C40" w:rsidRDefault="00996C40" w:rsidP="004B2DFF">
      <w:pPr>
        <w:rPr>
          <w:b/>
        </w:rPr>
        <w:sectPr w:rsidR="00996C40" w:rsidSect="00996C40">
          <w:type w:val="continuous"/>
          <w:pgSz w:w="11906" w:h="16838" w:code="9"/>
          <w:pgMar w:top="1440" w:right="1797" w:bottom="1440" w:left="1797" w:header="709" w:footer="709" w:gutter="0"/>
          <w:cols w:num="2" w:space="708"/>
          <w:docGrid w:linePitch="360"/>
        </w:sectPr>
      </w:pPr>
    </w:p>
    <w:p w:rsidR="009E4ACB" w:rsidRPr="00D73CC7" w:rsidRDefault="009E4ACB" w:rsidP="004B2DFF">
      <w:pPr>
        <w:rPr>
          <w:b/>
        </w:rPr>
      </w:pPr>
    </w:p>
    <w:p w:rsidR="005C5906" w:rsidRPr="00996C40" w:rsidRDefault="00E22160" w:rsidP="00231782">
      <w:pPr>
        <w:outlineLvl w:val="0"/>
        <w:rPr>
          <w:rFonts w:ascii="Arial" w:hAnsi="Arial" w:cs="Arial"/>
          <w:b/>
        </w:rPr>
      </w:pPr>
      <w:r w:rsidRPr="00E22160">
        <w:rPr>
          <w:rFonts w:ascii="Arial" w:hAnsi="Arial" w:cs="Arial"/>
          <w:b/>
        </w:rPr>
        <w:t xml:space="preserve">Table 4:  Centre coordinates for excluded areas </w:t>
      </w:r>
      <w:r w:rsidR="00996C40" w:rsidRPr="00996C40">
        <w:rPr>
          <w:rFonts w:ascii="Arial" w:hAnsi="Arial" w:cs="Arial"/>
          <w:b/>
        </w:rPr>
        <w:t>2010</w:t>
      </w:r>
      <w:r w:rsidR="00996C40" w:rsidRPr="00996C40">
        <w:rPr>
          <w:rFonts w:ascii="Arial" w:hAnsi="Arial" w:cs="Arial"/>
        </w:rPr>
        <w:t>–</w:t>
      </w:r>
      <w:r w:rsidR="00996C40" w:rsidRPr="00996C40">
        <w:rPr>
          <w:rFonts w:ascii="Arial" w:hAnsi="Arial" w:cs="Arial"/>
          <w:b/>
        </w:rPr>
        <w:t>2110 MHz</w:t>
      </w:r>
    </w:p>
    <w:p w:rsidR="005C5906" w:rsidRPr="00D73CC7" w:rsidRDefault="005C5906" w:rsidP="005C5906">
      <w:pPr>
        <w:rPr>
          <w:b/>
        </w:rPr>
      </w:pPr>
    </w:p>
    <w:p w:rsidR="00996C40" w:rsidRDefault="00996C40" w:rsidP="005C5906">
      <w:pPr>
        <w:ind w:right="120"/>
        <w:jc w:val="right"/>
        <w:rPr>
          <w:b/>
        </w:rPr>
        <w:sectPr w:rsidR="00996C40" w:rsidSect="00996C40">
          <w:type w:val="continuous"/>
          <w:pgSz w:w="11906" w:h="16838" w:code="9"/>
          <w:pgMar w:top="1440" w:right="1797" w:bottom="1440" w:left="1797" w:header="709" w:footer="709" w:gutter="0"/>
          <w:cols w:space="708"/>
          <w:docGrid w:linePitch="360"/>
        </w:sectPr>
      </w:pPr>
    </w:p>
    <w:tbl>
      <w:tblPr>
        <w:tblW w:w="324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1720"/>
      </w:tblGrid>
      <w:tr w:rsidR="005C5906" w:rsidRPr="00D73CC7" w:rsidTr="005C5906">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5C5906" w:rsidRPr="00D73CC7" w:rsidRDefault="005C5906" w:rsidP="005C5906">
            <w:pPr>
              <w:ind w:right="120"/>
              <w:jc w:val="right"/>
              <w:rPr>
                <w:b/>
              </w:rPr>
            </w:pPr>
            <w:r w:rsidRPr="00D73CC7">
              <w:rPr>
                <w:b/>
              </w:rPr>
              <w:t>° South</w:t>
            </w:r>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5C5906" w:rsidRPr="00D73CC7" w:rsidRDefault="005C5906" w:rsidP="005C5906">
            <w:pPr>
              <w:ind w:right="120"/>
              <w:jc w:val="right"/>
              <w:rPr>
                <w:b/>
              </w:rPr>
            </w:pPr>
            <w:r w:rsidRPr="00D73CC7">
              <w:rPr>
                <w:b/>
              </w:rPr>
              <w:t>° East</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37.814048</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144.971860</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37.838770</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144.996027</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37.834878</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145.348522</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37.818493</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144.957138</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37.880993</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144.999082</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37.828212</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145.353244</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33.819533</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151.185321</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33.810644</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151.196709</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33.781756</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151.070600</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33.868699</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151.209488</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33.934533</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151.156990</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33.805366</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151.181432</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32.890085</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151.538640</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27.463138</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152.948007</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27.472304</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153.025227</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27.969524</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153.213562</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26.789806</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152.918280</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28.001189</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153.426614</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35.269830</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149.158148</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35.275386</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149.097593</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42.897395</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147.236091</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34.979923</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138.707189</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34.887980</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138.613856</w:t>
            </w:r>
          </w:p>
        </w:tc>
      </w:tr>
      <w:tr w:rsidR="005C5906" w:rsidRPr="00D73CC7" w:rsidTr="005C5906">
        <w:trPr>
          <w:trHeight w:val="300"/>
        </w:trPr>
        <w:tc>
          <w:tcPr>
            <w:tcW w:w="15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34.924647</w:t>
            </w:r>
          </w:p>
        </w:tc>
        <w:tc>
          <w:tcPr>
            <w:tcW w:w="1720" w:type="dxa"/>
            <w:shd w:val="clear" w:color="auto" w:fill="auto"/>
            <w:noWrap/>
            <w:vAlign w:val="bottom"/>
            <w:hideMark/>
          </w:tcPr>
          <w:p w:rsidR="005C5906" w:rsidRPr="00D73CC7" w:rsidRDefault="005C5906" w:rsidP="005C5906">
            <w:pPr>
              <w:jc w:val="right"/>
              <w:rPr>
                <w:color w:val="000000"/>
                <w:lang w:eastAsia="en-AU"/>
              </w:rPr>
            </w:pPr>
            <w:r w:rsidRPr="00D73CC7">
              <w:rPr>
                <w:color w:val="000000"/>
                <w:lang w:eastAsia="en-AU"/>
              </w:rPr>
              <w:t>138.598579</w:t>
            </w:r>
          </w:p>
        </w:tc>
      </w:tr>
    </w:tbl>
    <w:p w:rsidR="00996C40" w:rsidRDefault="00996C40" w:rsidP="004B2DFF">
      <w:pPr>
        <w:rPr>
          <w:b/>
        </w:rPr>
        <w:sectPr w:rsidR="00996C40" w:rsidSect="00996C40">
          <w:type w:val="continuous"/>
          <w:pgSz w:w="11906" w:h="16838" w:code="9"/>
          <w:pgMar w:top="1440" w:right="1797" w:bottom="1440" w:left="1797" w:header="709" w:footer="709" w:gutter="0"/>
          <w:cols w:num="2" w:space="708"/>
          <w:docGrid w:linePitch="360"/>
        </w:sectPr>
      </w:pPr>
    </w:p>
    <w:p w:rsidR="005801E5" w:rsidRDefault="005801E5">
      <w:pPr>
        <w:pStyle w:val="HR"/>
      </w:pPr>
    </w:p>
    <w:sectPr w:rsidR="005801E5" w:rsidSect="00892036">
      <w:headerReference w:type="even" r:id="rId14"/>
      <w:headerReference w:type="default" r:id="rId15"/>
      <w:footerReference w:type="even" r:id="rId16"/>
      <w:footerReference w:type="default" r:id="rId17"/>
      <w:type w:val="continuous"/>
      <w:pgSz w:w="11906" w:h="16838" w:code="9"/>
      <w:pgMar w:top="1440" w:right="1797" w:bottom="1440" w:left="1797" w:header="709" w:footer="709" w:gutter="0"/>
      <w:paperSrc w:first="15" w:other="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7BF" w:rsidRDefault="002837BF">
      <w:r>
        <w:separator/>
      </w:r>
    </w:p>
  </w:endnote>
  <w:endnote w:type="continuationSeparator" w:id="0">
    <w:p w:rsidR="002837BF" w:rsidRDefault="00283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D5" w:rsidRDefault="00354C94">
    <w:pPr>
      <w:pStyle w:val="Footer"/>
    </w:pPr>
    <w:fldSimple w:instr=" PAGE   \* MERGEFORMAT ">
      <w:r w:rsidR="00A35211">
        <w:rPr>
          <w:noProof/>
        </w:rPr>
        <w:t>8</w:t>
      </w:r>
    </w:fldSimple>
  </w:p>
  <w:p w:rsidR="00E24BD5" w:rsidRDefault="00E24B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D5" w:rsidRDefault="00354C94">
    <w:pPr>
      <w:pStyle w:val="Footer"/>
    </w:pPr>
    <w:fldSimple w:instr=" PAGE   \* MERGEFORMAT ">
      <w:r w:rsidR="00A35211">
        <w:rPr>
          <w:noProof/>
        </w:rPr>
        <w:t>1</w:t>
      </w:r>
    </w:fldSimple>
  </w:p>
  <w:p w:rsidR="00E24BD5" w:rsidRDefault="00E24B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D5" w:rsidRDefault="00E24BD5">
    <w:pPr>
      <w:spacing w:line="200" w:lineRule="exact"/>
      <w:ind w:right="360"/>
    </w:pPr>
  </w:p>
  <w:tbl>
    <w:tblPr>
      <w:tblW w:w="0" w:type="auto"/>
      <w:tblInd w:w="108" w:type="dxa"/>
      <w:tblBorders>
        <w:top w:val="single" w:sz="4" w:space="0" w:color="auto"/>
      </w:tblBorders>
      <w:tblLayout w:type="fixed"/>
      <w:tblLook w:val="01E0"/>
    </w:tblPr>
    <w:tblGrid>
      <w:gridCol w:w="1134"/>
      <w:gridCol w:w="11758"/>
      <w:gridCol w:w="1134"/>
    </w:tblGrid>
    <w:tr w:rsidR="00E24BD5" w:rsidTr="00754324">
      <w:tc>
        <w:tcPr>
          <w:tcW w:w="1134" w:type="dxa"/>
        </w:tcPr>
        <w:p w:rsidR="00E24BD5" w:rsidRPr="00754324" w:rsidRDefault="00354C94" w:rsidP="00754324">
          <w:pPr>
            <w:spacing w:line="240" w:lineRule="exact"/>
            <w:rPr>
              <w:rFonts w:ascii="Arial" w:hAnsi="Arial" w:cs="Arial"/>
              <w:sz w:val="22"/>
              <w:szCs w:val="22"/>
            </w:rPr>
          </w:pPr>
          <w:r w:rsidRPr="00754324">
            <w:rPr>
              <w:rStyle w:val="PageNumber"/>
              <w:rFonts w:ascii="Arial" w:hAnsi="Arial" w:cs="Arial"/>
              <w:sz w:val="22"/>
              <w:szCs w:val="22"/>
            </w:rPr>
            <w:fldChar w:fldCharType="begin"/>
          </w:r>
          <w:r w:rsidR="00E24BD5" w:rsidRPr="00754324">
            <w:rPr>
              <w:rStyle w:val="PageNumber"/>
              <w:rFonts w:ascii="Arial" w:hAnsi="Arial" w:cs="Arial"/>
              <w:sz w:val="22"/>
              <w:szCs w:val="22"/>
            </w:rPr>
            <w:instrText xml:space="preserve">PAGE  </w:instrText>
          </w:r>
          <w:r w:rsidRPr="00754324">
            <w:rPr>
              <w:rStyle w:val="PageNumber"/>
              <w:rFonts w:ascii="Arial" w:hAnsi="Arial" w:cs="Arial"/>
              <w:sz w:val="22"/>
              <w:szCs w:val="22"/>
            </w:rPr>
            <w:fldChar w:fldCharType="separate"/>
          </w:r>
          <w:r w:rsidR="00E24BD5">
            <w:rPr>
              <w:rStyle w:val="PageNumber"/>
              <w:rFonts w:ascii="Arial" w:hAnsi="Arial" w:cs="Arial"/>
              <w:noProof/>
              <w:sz w:val="22"/>
              <w:szCs w:val="22"/>
            </w:rPr>
            <w:t>4</w:t>
          </w:r>
          <w:r w:rsidRPr="00754324">
            <w:rPr>
              <w:rStyle w:val="PageNumber"/>
              <w:rFonts w:ascii="Arial" w:hAnsi="Arial" w:cs="Arial"/>
              <w:sz w:val="22"/>
              <w:szCs w:val="22"/>
            </w:rPr>
            <w:fldChar w:fldCharType="end"/>
          </w:r>
        </w:p>
      </w:tc>
      <w:tc>
        <w:tcPr>
          <w:tcW w:w="11758" w:type="dxa"/>
        </w:tcPr>
        <w:p w:rsidR="00E24BD5" w:rsidRDefault="00354C94" w:rsidP="00754324">
          <w:pPr>
            <w:pStyle w:val="Footer"/>
            <w:spacing w:before="20" w:line="240" w:lineRule="exact"/>
            <w:jc w:val="center"/>
          </w:pPr>
          <w:fldSimple w:instr=" REF citation \* CHARFORMAT ">
            <w:r w:rsidR="00E24BD5">
              <w:t xml:space="preserve">Television Outside Broadcast Service (1980–2110 MHz and 2170–2300 MHz) Frequency Band Plan </w:t>
            </w:r>
          </w:fldSimple>
        </w:p>
      </w:tc>
      <w:tc>
        <w:tcPr>
          <w:tcW w:w="1134" w:type="dxa"/>
        </w:tcPr>
        <w:p w:rsidR="00E24BD5" w:rsidRPr="00451BF5" w:rsidRDefault="00E24BD5" w:rsidP="00754324">
          <w:pPr>
            <w:spacing w:line="240" w:lineRule="exact"/>
            <w:jc w:val="right"/>
            <w:rPr>
              <w:rStyle w:val="PageNumber"/>
            </w:rPr>
          </w:pPr>
        </w:p>
      </w:tc>
    </w:tr>
  </w:tbl>
  <w:p w:rsidR="00E24BD5" w:rsidRDefault="00E24BD5">
    <w:pPr>
      <w:pStyle w:val="FooterDraft"/>
      <w:ind w:right="360" w:firstLine="360"/>
    </w:pPr>
    <w:r>
      <w:t>DRAFT ONLY</w:t>
    </w:r>
  </w:p>
  <w:p w:rsidR="00E24BD5" w:rsidRDefault="00354C94">
    <w:pPr>
      <w:pStyle w:val="FooterInfo"/>
    </w:pPr>
    <w:fldSimple w:instr=" FILENAME   \* MERGEFORMAT ">
      <w:r w:rsidR="00E24BD5">
        <w:rPr>
          <w:noProof/>
        </w:rPr>
        <w:t>Band Plan DRAFT - s32 2nd SIB CommentsSept12.docx</w:t>
      </w:r>
    </w:fldSimple>
    <w:r w:rsidR="00E24BD5" w:rsidRPr="00974D8C">
      <w:t xml:space="preserve"> </w:t>
    </w:r>
    <w:fldSimple w:instr=" CREATEDATE  \@ &quot;dd/MM/yyyy h:mm am/pm&quot;  \* MERGEFORMAT ">
      <w:r w:rsidR="00E24BD5">
        <w:rPr>
          <w:noProof/>
        </w:rPr>
        <w:t>12/01/2012 11:46 AM</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D5" w:rsidRDefault="00E24BD5">
    <w:pPr>
      <w:spacing w:line="200" w:lineRule="exact"/>
    </w:pPr>
  </w:p>
  <w:tbl>
    <w:tblPr>
      <w:tblW w:w="0" w:type="auto"/>
      <w:tblInd w:w="108" w:type="dxa"/>
      <w:tblBorders>
        <w:top w:val="single" w:sz="4" w:space="0" w:color="auto"/>
      </w:tblBorders>
      <w:tblLayout w:type="fixed"/>
      <w:tblLook w:val="01E0"/>
    </w:tblPr>
    <w:tblGrid>
      <w:gridCol w:w="1134"/>
      <w:gridCol w:w="11758"/>
      <w:gridCol w:w="1134"/>
    </w:tblGrid>
    <w:tr w:rsidR="00E24BD5" w:rsidTr="00754324">
      <w:tc>
        <w:tcPr>
          <w:tcW w:w="1134" w:type="dxa"/>
        </w:tcPr>
        <w:p w:rsidR="00E24BD5" w:rsidRDefault="00E24BD5" w:rsidP="00754324">
          <w:pPr>
            <w:spacing w:line="240" w:lineRule="exact"/>
          </w:pPr>
        </w:p>
      </w:tc>
      <w:tc>
        <w:tcPr>
          <w:tcW w:w="11758" w:type="dxa"/>
        </w:tcPr>
        <w:p w:rsidR="00E24BD5" w:rsidRDefault="00354C94" w:rsidP="00754324">
          <w:pPr>
            <w:pStyle w:val="Footer"/>
            <w:spacing w:before="20" w:line="240" w:lineRule="exact"/>
            <w:jc w:val="center"/>
          </w:pPr>
          <w:fldSimple w:instr=" REF citation \* CHARFORMAT ">
            <w:r w:rsidR="00E24BD5">
              <w:t xml:space="preserve">Television Outside Broadcast Service (1980–2110 MHz and 2170–2300 MHz) Frequency Band Plan </w:t>
            </w:r>
          </w:fldSimple>
        </w:p>
      </w:tc>
      <w:tc>
        <w:tcPr>
          <w:tcW w:w="1134" w:type="dxa"/>
        </w:tcPr>
        <w:p w:rsidR="00E24BD5" w:rsidRPr="00754324" w:rsidRDefault="00354C94" w:rsidP="00754324">
          <w:pPr>
            <w:spacing w:line="240" w:lineRule="exact"/>
            <w:jc w:val="right"/>
            <w:rPr>
              <w:rStyle w:val="PageNumber"/>
              <w:rFonts w:ascii="Arial" w:hAnsi="Arial" w:cs="Arial"/>
              <w:sz w:val="22"/>
              <w:szCs w:val="22"/>
            </w:rPr>
          </w:pPr>
          <w:r w:rsidRPr="00754324">
            <w:rPr>
              <w:rStyle w:val="PageNumber"/>
              <w:rFonts w:ascii="Arial" w:hAnsi="Arial" w:cs="Arial"/>
              <w:sz w:val="22"/>
              <w:szCs w:val="22"/>
            </w:rPr>
            <w:fldChar w:fldCharType="begin"/>
          </w:r>
          <w:r w:rsidR="00E24BD5" w:rsidRPr="00754324">
            <w:rPr>
              <w:rStyle w:val="PageNumber"/>
              <w:rFonts w:ascii="Arial" w:hAnsi="Arial" w:cs="Arial"/>
              <w:sz w:val="22"/>
              <w:szCs w:val="22"/>
            </w:rPr>
            <w:instrText xml:space="preserve">PAGE  </w:instrText>
          </w:r>
          <w:r w:rsidRPr="00754324">
            <w:rPr>
              <w:rStyle w:val="PageNumber"/>
              <w:rFonts w:ascii="Arial" w:hAnsi="Arial" w:cs="Arial"/>
              <w:sz w:val="22"/>
              <w:szCs w:val="22"/>
            </w:rPr>
            <w:fldChar w:fldCharType="separate"/>
          </w:r>
          <w:r w:rsidR="00E24BD5">
            <w:rPr>
              <w:rStyle w:val="PageNumber"/>
              <w:rFonts w:ascii="Arial" w:hAnsi="Arial" w:cs="Arial"/>
              <w:noProof/>
              <w:sz w:val="22"/>
              <w:szCs w:val="22"/>
            </w:rPr>
            <w:t>3</w:t>
          </w:r>
          <w:r w:rsidRPr="00754324">
            <w:rPr>
              <w:rStyle w:val="PageNumber"/>
              <w:rFonts w:ascii="Arial" w:hAnsi="Arial" w:cs="Arial"/>
              <w:sz w:val="22"/>
              <w:szCs w:val="22"/>
            </w:rPr>
            <w:fldChar w:fldCharType="end"/>
          </w:r>
        </w:p>
      </w:tc>
    </w:tr>
  </w:tbl>
  <w:p w:rsidR="00E24BD5" w:rsidRDefault="00E24BD5">
    <w:pPr>
      <w:pStyle w:val="FooterDraft"/>
    </w:pPr>
    <w:r>
      <w:t>DRAFT ONLY</w:t>
    </w:r>
  </w:p>
  <w:p w:rsidR="00E24BD5" w:rsidRDefault="00354C94">
    <w:pPr>
      <w:pStyle w:val="FooterInfo"/>
    </w:pPr>
    <w:fldSimple w:instr=" FILENAME   \* MERGEFORMAT ">
      <w:r w:rsidR="00E24BD5">
        <w:rPr>
          <w:noProof/>
        </w:rPr>
        <w:t>Band Plan DRAFT - s32 2nd SIB CommentsSept12.docx</w:t>
      </w:r>
    </w:fldSimple>
    <w:r w:rsidR="00E24BD5" w:rsidRPr="00974D8C">
      <w:t xml:space="preserve"> </w:t>
    </w:r>
    <w:fldSimple w:instr=" CREATEDATE  \@ &quot;dd/MM/yyyy h:mm am/pm&quot;  \* MERGEFORMAT ">
      <w:r w:rsidR="00E24BD5">
        <w:rPr>
          <w:noProof/>
        </w:rPr>
        <w:t>12/01/2012 11:46 AM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7BF" w:rsidRDefault="002837BF">
      <w:r>
        <w:separator/>
      </w:r>
    </w:p>
  </w:footnote>
  <w:footnote w:type="continuationSeparator" w:id="0">
    <w:p w:rsidR="002837BF" w:rsidRDefault="00283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E24BD5" w:rsidRPr="00754324" w:rsidTr="00754324">
      <w:tc>
        <w:tcPr>
          <w:tcW w:w="8385" w:type="dxa"/>
        </w:tcPr>
        <w:p w:rsidR="00E24BD5" w:rsidRDefault="00E24BD5">
          <w:pPr>
            <w:pStyle w:val="HeaderLiteEven"/>
          </w:pPr>
          <w:r>
            <w:t>Contents</w:t>
          </w:r>
        </w:p>
      </w:tc>
    </w:tr>
    <w:tr w:rsidR="00E24BD5" w:rsidRPr="00754324" w:rsidTr="00754324">
      <w:tc>
        <w:tcPr>
          <w:tcW w:w="8385" w:type="dxa"/>
        </w:tcPr>
        <w:p w:rsidR="00E24BD5" w:rsidRDefault="00E24BD5">
          <w:pPr>
            <w:pStyle w:val="HeaderLiteEven"/>
          </w:pPr>
        </w:p>
      </w:tc>
    </w:tr>
    <w:tr w:rsidR="00E24BD5" w:rsidTr="00754324">
      <w:tc>
        <w:tcPr>
          <w:tcW w:w="8385" w:type="dxa"/>
        </w:tcPr>
        <w:p w:rsidR="00E24BD5" w:rsidRDefault="00E24BD5" w:rsidP="00754324">
          <w:pPr>
            <w:pStyle w:val="HeaderBoldEven"/>
            <w:ind w:left="720" w:hanging="720"/>
          </w:pPr>
        </w:p>
      </w:tc>
    </w:tr>
  </w:tbl>
  <w:p w:rsidR="00E24BD5" w:rsidRDefault="00E24BD5" w:rsidP="004B2DFF">
    <w:pPr>
      <w:pStyle w:val="HeaderContentsPage"/>
      <w:tabs>
        <w:tab w:val="left" w:pos="3944"/>
        <w:tab w:val="right" w:pos="9026"/>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1494"/>
      <w:gridCol w:w="6891"/>
    </w:tblGrid>
    <w:tr w:rsidR="00E24BD5" w:rsidTr="00754324">
      <w:trPr>
        <w:cantSplit/>
      </w:trPr>
      <w:tc>
        <w:tcPr>
          <w:tcW w:w="1494" w:type="dxa"/>
        </w:tcPr>
        <w:p w:rsidR="00E24BD5" w:rsidRDefault="00354C94">
          <w:pPr>
            <w:pStyle w:val="HeaderLiteEven"/>
          </w:pPr>
          <w:r>
            <w:fldChar w:fldCharType="begin"/>
          </w:r>
          <w:r w:rsidR="00E24BD5">
            <w:instrText xml:space="preserve"> STYLEREF CharPartNo \*Charformat </w:instrText>
          </w:r>
          <w:r>
            <w:fldChar w:fldCharType="end"/>
          </w:r>
        </w:p>
      </w:tc>
      <w:tc>
        <w:tcPr>
          <w:tcW w:w="6891" w:type="dxa"/>
          <w:vAlign w:val="bottom"/>
        </w:tcPr>
        <w:p w:rsidR="00E24BD5" w:rsidRDefault="00354C94">
          <w:pPr>
            <w:pStyle w:val="HeaderLiteEven"/>
          </w:pPr>
          <w:r>
            <w:fldChar w:fldCharType="begin"/>
          </w:r>
          <w:r w:rsidR="00E24BD5">
            <w:instrText xml:space="preserve"> STYLEREF CharPartText \*Charformat </w:instrText>
          </w:r>
          <w:r>
            <w:fldChar w:fldCharType="end"/>
          </w:r>
        </w:p>
      </w:tc>
    </w:tr>
    <w:tr w:rsidR="00E24BD5" w:rsidTr="00754324">
      <w:trPr>
        <w:cantSplit/>
      </w:trPr>
      <w:tc>
        <w:tcPr>
          <w:tcW w:w="1494" w:type="dxa"/>
        </w:tcPr>
        <w:p w:rsidR="00E24BD5" w:rsidRDefault="00354C94">
          <w:pPr>
            <w:pStyle w:val="HeaderLiteEven"/>
          </w:pPr>
          <w:r>
            <w:fldChar w:fldCharType="begin"/>
          </w:r>
          <w:r w:rsidR="00E24BD5">
            <w:instrText xml:space="preserve"> STYLEREF CharDivNo \*Charformat </w:instrText>
          </w:r>
          <w:r>
            <w:fldChar w:fldCharType="end"/>
          </w:r>
        </w:p>
      </w:tc>
      <w:tc>
        <w:tcPr>
          <w:tcW w:w="6891" w:type="dxa"/>
          <w:vAlign w:val="bottom"/>
        </w:tcPr>
        <w:p w:rsidR="00E24BD5" w:rsidRDefault="00354C94">
          <w:pPr>
            <w:pStyle w:val="HeaderLiteEven"/>
          </w:pPr>
          <w:r>
            <w:fldChar w:fldCharType="begin"/>
          </w:r>
          <w:r w:rsidR="00E24BD5">
            <w:instrText xml:space="preserve"> STYLEREF CharDivText \*Charformat </w:instrText>
          </w:r>
          <w:r>
            <w:fldChar w:fldCharType="end"/>
          </w:r>
        </w:p>
      </w:tc>
    </w:tr>
    <w:tr w:rsidR="00E24BD5" w:rsidRPr="00754324" w:rsidTr="00754324">
      <w:trPr>
        <w:cantSplit/>
      </w:trPr>
      <w:tc>
        <w:tcPr>
          <w:tcW w:w="8385" w:type="dxa"/>
          <w:gridSpan w:val="2"/>
        </w:tcPr>
        <w:p w:rsidR="00E24BD5" w:rsidRDefault="00E24BD5" w:rsidP="00A12C6D">
          <w:pPr>
            <w:pStyle w:val="HeaderBoldEven"/>
          </w:pPr>
        </w:p>
      </w:tc>
    </w:tr>
  </w:tbl>
  <w:p w:rsidR="00E24BD5" w:rsidRDefault="00E24BD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99" w:type="dxa"/>
      <w:tblInd w:w="80" w:type="dxa"/>
      <w:tblBorders>
        <w:bottom w:val="single" w:sz="4" w:space="0" w:color="auto"/>
      </w:tblBorders>
      <w:tblLook w:val="01E0"/>
    </w:tblPr>
    <w:tblGrid>
      <w:gridCol w:w="6914"/>
      <w:gridCol w:w="1485"/>
    </w:tblGrid>
    <w:tr w:rsidR="00E24BD5" w:rsidTr="00754324">
      <w:trPr>
        <w:cantSplit/>
      </w:trPr>
      <w:tc>
        <w:tcPr>
          <w:tcW w:w="6914" w:type="dxa"/>
          <w:vAlign w:val="bottom"/>
        </w:tcPr>
        <w:p w:rsidR="00E24BD5" w:rsidRDefault="00354C94">
          <w:pPr>
            <w:pStyle w:val="HeaderLiteOdd"/>
          </w:pPr>
          <w:r>
            <w:fldChar w:fldCharType="begin"/>
          </w:r>
          <w:r w:rsidR="00E24BD5">
            <w:instrText xml:space="preserve"> STYLEREF CharPartText \*Charformat \l  </w:instrText>
          </w:r>
          <w:r>
            <w:fldChar w:fldCharType="end"/>
          </w:r>
        </w:p>
      </w:tc>
      <w:tc>
        <w:tcPr>
          <w:tcW w:w="1485" w:type="dxa"/>
        </w:tcPr>
        <w:p w:rsidR="00E24BD5" w:rsidRDefault="00354C94">
          <w:pPr>
            <w:pStyle w:val="HeaderLiteOdd"/>
          </w:pPr>
          <w:r>
            <w:fldChar w:fldCharType="begin"/>
          </w:r>
          <w:r w:rsidR="00E24BD5">
            <w:instrText xml:space="preserve"> STYLEREF CharPartNo \*Charformat \l  </w:instrText>
          </w:r>
          <w:r>
            <w:fldChar w:fldCharType="end"/>
          </w:r>
        </w:p>
      </w:tc>
    </w:tr>
    <w:tr w:rsidR="00E24BD5" w:rsidTr="00754324">
      <w:trPr>
        <w:cantSplit/>
      </w:trPr>
      <w:tc>
        <w:tcPr>
          <w:tcW w:w="6914" w:type="dxa"/>
          <w:vAlign w:val="bottom"/>
        </w:tcPr>
        <w:p w:rsidR="00E24BD5" w:rsidRDefault="00354C94">
          <w:pPr>
            <w:pStyle w:val="HeaderLiteOdd"/>
          </w:pPr>
          <w:r>
            <w:fldChar w:fldCharType="begin"/>
          </w:r>
          <w:r w:rsidR="00E24BD5">
            <w:instrText xml:space="preserve"> STYLEREF CharDivText \*Charformat \l  </w:instrText>
          </w:r>
          <w:r>
            <w:fldChar w:fldCharType="end"/>
          </w:r>
        </w:p>
      </w:tc>
      <w:tc>
        <w:tcPr>
          <w:tcW w:w="1485" w:type="dxa"/>
        </w:tcPr>
        <w:p w:rsidR="00E24BD5" w:rsidRDefault="00354C94">
          <w:pPr>
            <w:pStyle w:val="HeaderLiteOdd"/>
          </w:pPr>
          <w:r>
            <w:fldChar w:fldCharType="begin"/>
          </w:r>
          <w:r w:rsidR="00E24BD5">
            <w:instrText xml:space="preserve"> STYLEREF CharDivNo \*Charformat \l  </w:instrText>
          </w:r>
          <w:r>
            <w:fldChar w:fldCharType="end"/>
          </w:r>
        </w:p>
      </w:tc>
    </w:tr>
    <w:tr w:rsidR="00E24BD5" w:rsidRPr="00754324" w:rsidTr="00754324">
      <w:trPr>
        <w:cantSplit/>
      </w:trPr>
      <w:tc>
        <w:tcPr>
          <w:tcW w:w="8399" w:type="dxa"/>
          <w:gridSpan w:val="2"/>
        </w:tcPr>
        <w:p w:rsidR="00E24BD5" w:rsidRDefault="00E24BD5" w:rsidP="00A12C6D">
          <w:pPr>
            <w:pStyle w:val="HeaderBoldOdd"/>
          </w:pPr>
        </w:p>
      </w:tc>
    </w:tr>
  </w:tbl>
  <w:p w:rsidR="00E24BD5" w:rsidRDefault="00E24BD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068" w:type="dxa"/>
      <w:tblInd w:w="80" w:type="dxa"/>
      <w:tblBorders>
        <w:bottom w:val="single" w:sz="4" w:space="0" w:color="auto"/>
      </w:tblBorders>
      <w:tblLook w:val="01E0"/>
    </w:tblPr>
    <w:tblGrid>
      <w:gridCol w:w="1494"/>
      <w:gridCol w:w="12574"/>
    </w:tblGrid>
    <w:tr w:rsidR="00E24BD5" w:rsidTr="00754324">
      <w:tc>
        <w:tcPr>
          <w:tcW w:w="1494" w:type="dxa"/>
        </w:tcPr>
        <w:p w:rsidR="00E24BD5" w:rsidRDefault="00354C94">
          <w:pPr>
            <w:pStyle w:val="HeaderLiteEven"/>
          </w:pPr>
          <w:r>
            <w:fldChar w:fldCharType="begin"/>
          </w:r>
          <w:r w:rsidR="00E24BD5">
            <w:instrText xml:space="preserve"> STYLEREF CharAmSchNo </w:instrText>
          </w:r>
          <w:r>
            <w:fldChar w:fldCharType="separate"/>
          </w:r>
          <w:r w:rsidR="00E24BD5">
            <w:rPr>
              <w:b/>
              <w:bCs/>
              <w:noProof/>
              <w:lang w:val="en-US"/>
            </w:rPr>
            <w:t>Error! No text of specified style in document.</w:t>
          </w:r>
          <w:r>
            <w:fldChar w:fldCharType="end"/>
          </w:r>
        </w:p>
      </w:tc>
      <w:tc>
        <w:tcPr>
          <w:tcW w:w="12574" w:type="dxa"/>
        </w:tcPr>
        <w:p w:rsidR="00E24BD5" w:rsidRDefault="00354C94">
          <w:pPr>
            <w:pStyle w:val="HeaderLiteEven"/>
          </w:pPr>
          <w:r>
            <w:fldChar w:fldCharType="begin"/>
          </w:r>
          <w:r w:rsidR="00E24BD5">
            <w:instrText xml:space="preserve"> STYLEREF CharAmSchText </w:instrText>
          </w:r>
          <w:r>
            <w:fldChar w:fldCharType="separate"/>
          </w:r>
          <w:r w:rsidR="00E24BD5">
            <w:rPr>
              <w:b/>
              <w:bCs/>
              <w:noProof/>
              <w:lang w:val="en-US"/>
            </w:rPr>
            <w:t>Error! No text of specified style in document.</w:t>
          </w:r>
          <w:r>
            <w:fldChar w:fldCharType="end"/>
          </w:r>
        </w:p>
      </w:tc>
    </w:tr>
    <w:tr w:rsidR="00E24BD5" w:rsidTr="00754324">
      <w:tc>
        <w:tcPr>
          <w:tcW w:w="1494" w:type="dxa"/>
        </w:tcPr>
        <w:p w:rsidR="00E24BD5" w:rsidRDefault="00354C94">
          <w:pPr>
            <w:pStyle w:val="HeaderLiteEven"/>
          </w:pPr>
          <w:r>
            <w:fldChar w:fldCharType="begin"/>
          </w:r>
          <w:r w:rsidR="00E24BD5">
            <w:instrText xml:space="preserve"> STYLEREF CharSchPTNo </w:instrText>
          </w:r>
          <w:r>
            <w:fldChar w:fldCharType="separate"/>
          </w:r>
          <w:r w:rsidR="00E24BD5">
            <w:rPr>
              <w:b/>
              <w:bCs/>
              <w:noProof/>
              <w:lang w:val="en-US"/>
            </w:rPr>
            <w:t>Error! No text of specified style in document.</w:t>
          </w:r>
          <w:r>
            <w:fldChar w:fldCharType="end"/>
          </w:r>
        </w:p>
      </w:tc>
      <w:tc>
        <w:tcPr>
          <w:tcW w:w="12574" w:type="dxa"/>
        </w:tcPr>
        <w:p w:rsidR="00E24BD5" w:rsidRDefault="00354C94">
          <w:pPr>
            <w:pStyle w:val="HeaderLiteEven"/>
          </w:pPr>
          <w:r>
            <w:fldChar w:fldCharType="begin"/>
          </w:r>
          <w:r w:rsidR="00E24BD5">
            <w:instrText xml:space="preserve"> STYLEREF CharSchPTText </w:instrText>
          </w:r>
          <w:r>
            <w:fldChar w:fldCharType="separate"/>
          </w:r>
          <w:r w:rsidR="00E24BD5">
            <w:rPr>
              <w:b/>
              <w:bCs/>
              <w:noProof/>
              <w:lang w:val="en-US"/>
            </w:rPr>
            <w:t>Error! No text of specified style in document.</w:t>
          </w:r>
          <w:r>
            <w:fldChar w:fldCharType="end"/>
          </w:r>
        </w:p>
      </w:tc>
    </w:tr>
    <w:tr w:rsidR="00E24BD5" w:rsidRPr="00754324" w:rsidTr="00754324">
      <w:tc>
        <w:tcPr>
          <w:tcW w:w="14068" w:type="dxa"/>
          <w:gridSpan w:val="2"/>
        </w:tcPr>
        <w:p w:rsidR="00E24BD5" w:rsidRDefault="00E24BD5">
          <w:pPr>
            <w:pStyle w:val="HeaderBoldEven"/>
          </w:pPr>
        </w:p>
      </w:tc>
    </w:tr>
  </w:tbl>
  <w:p w:rsidR="00E24BD5" w:rsidRDefault="00E24BD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055" w:type="dxa"/>
      <w:tblInd w:w="80" w:type="dxa"/>
      <w:tblBorders>
        <w:bottom w:val="single" w:sz="4" w:space="0" w:color="auto"/>
      </w:tblBorders>
      <w:tblLook w:val="01E0"/>
    </w:tblPr>
    <w:tblGrid>
      <w:gridCol w:w="12584"/>
      <w:gridCol w:w="1471"/>
    </w:tblGrid>
    <w:tr w:rsidR="00E24BD5" w:rsidTr="00754324">
      <w:tc>
        <w:tcPr>
          <w:tcW w:w="12584" w:type="dxa"/>
        </w:tcPr>
        <w:p w:rsidR="00E24BD5" w:rsidRDefault="00354C94">
          <w:pPr>
            <w:pStyle w:val="HeaderLiteOdd"/>
          </w:pPr>
          <w:r>
            <w:fldChar w:fldCharType="begin"/>
          </w:r>
          <w:r w:rsidR="00E24BD5">
            <w:instrText xml:space="preserve"> STYLEREF \l CharAmSchText </w:instrText>
          </w:r>
          <w:r>
            <w:fldChar w:fldCharType="separate"/>
          </w:r>
          <w:r w:rsidR="00E24BD5">
            <w:rPr>
              <w:b/>
              <w:bCs/>
              <w:noProof/>
              <w:lang w:val="en-US"/>
            </w:rPr>
            <w:t>Error! No text of specified style in document.</w:t>
          </w:r>
          <w:r>
            <w:fldChar w:fldCharType="end"/>
          </w:r>
        </w:p>
      </w:tc>
      <w:tc>
        <w:tcPr>
          <w:tcW w:w="1471" w:type="dxa"/>
        </w:tcPr>
        <w:p w:rsidR="00E24BD5" w:rsidRDefault="00354C94">
          <w:pPr>
            <w:pStyle w:val="HeaderLiteOdd"/>
          </w:pPr>
          <w:r>
            <w:fldChar w:fldCharType="begin"/>
          </w:r>
          <w:r w:rsidR="00E24BD5">
            <w:instrText xml:space="preserve"> STYLEREF \l CharAmSchNo </w:instrText>
          </w:r>
          <w:r>
            <w:fldChar w:fldCharType="separate"/>
          </w:r>
          <w:r w:rsidR="00E24BD5">
            <w:rPr>
              <w:b/>
              <w:bCs/>
              <w:noProof/>
              <w:lang w:val="en-US"/>
            </w:rPr>
            <w:t>Error! No text of specified style in document.</w:t>
          </w:r>
          <w:r>
            <w:fldChar w:fldCharType="end"/>
          </w:r>
        </w:p>
      </w:tc>
    </w:tr>
    <w:tr w:rsidR="00E24BD5" w:rsidTr="00754324">
      <w:tc>
        <w:tcPr>
          <w:tcW w:w="12584" w:type="dxa"/>
        </w:tcPr>
        <w:p w:rsidR="00E24BD5" w:rsidRDefault="00354C94">
          <w:pPr>
            <w:pStyle w:val="HeaderLiteOdd"/>
          </w:pPr>
          <w:r>
            <w:fldChar w:fldCharType="begin"/>
          </w:r>
          <w:r w:rsidR="00E24BD5">
            <w:instrText xml:space="preserve"> STYLEREF \l CharSchPTText </w:instrText>
          </w:r>
          <w:r>
            <w:fldChar w:fldCharType="separate"/>
          </w:r>
          <w:r w:rsidR="00E24BD5">
            <w:rPr>
              <w:b/>
              <w:bCs/>
              <w:noProof/>
              <w:lang w:val="en-US"/>
            </w:rPr>
            <w:t>Error! No text of specified style in document.</w:t>
          </w:r>
          <w:r>
            <w:fldChar w:fldCharType="end"/>
          </w:r>
        </w:p>
      </w:tc>
      <w:tc>
        <w:tcPr>
          <w:tcW w:w="1471" w:type="dxa"/>
        </w:tcPr>
        <w:p w:rsidR="00E24BD5" w:rsidRDefault="00354C94">
          <w:pPr>
            <w:pStyle w:val="HeaderLiteOdd"/>
          </w:pPr>
          <w:r>
            <w:fldChar w:fldCharType="begin"/>
          </w:r>
          <w:r w:rsidR="00E24BD5">
            <w:instrText xml:space="preserve"> STYLEREF \l CharSchPTNo </w:instrText>
          </w:r>
          <w:r>
            <w:fldChar w:fldCharType="separate"/>
          </w:r>
          <w:r w:rsidR="00E24BD5">
            <w:rPr>
              <w:b/>
              <w:bCs/>
              <w:noProof/>
              <w:lang w:val="en-US"/>
            </w:rPr>
            <w:t>Error! No text of specified style in document.</w:t>
          </w:r>
          <w:r>
            <w:fldChar w:fldCharType="end"/>
          </w:r>
        </w:p>
      </w:tc>
    </w:tr>
    <w:tr w:rsidR="00E24BD5" w:rsidRPr="00754324" w:rsidTr="00754324">
      <w:tc>
        <w:tcPr>
          <w:tcW w:w="14055" w:type="dxa"/>
          <w:gridSpan w:val="2"/>
        </w:tcPr>
        <w:p w:rsidR="00E24BD5" w:rsidRDefault="00E24BD5">
          <w:pPr>
            <w:pStyle w:val="HeaderBoldOdd"/>
          </w:pPr>
        </w:p>
      </w:tc>
    </w:tr>
  </w:tbl>
  <w:p w:rsidR="00E24BD5" w:rsidRDefault="00E24BD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478F"/>
    <w:multiLevelType w:val="hybridMultilevel"/>
    <w:tmpl w:val="EED86D30"/>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14366CA"/>
    <w:multiLevelType w:val="hybridMultilevel"/>
    <w:tmpl w:val="1D56B118"/>
    <w:lvl w:ilvl="0" w:tplc="C3949452">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3">
    <w:nsid w:val="1535511A"/>
    <w:multiLevelType w:val="hybridMultilevel"/>
    <w:tmpl w:val="F6AE1CFC"/>
    <w:lvl w:ilvl="0" w:tplc="4D4246EA">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
    <w:nsid w:val="16DF2012"/>
    <w:multiLevelType w:val="hybridMultilevel"/>
    <w:tmpl w:val="27648750"/>
    <w:lvl w:ilvl="0" w:tplc="560ED314">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5">
    <w:nsid w:val="188F5077"/>
    <w:multiLevelType w:val="hybridMultilevel"/>
    <w:tmpl w:val="4DAC286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574C1F"/>
    <w:multiLevelType w:val="hybridMultilevel"/>
    <w:tmpl w:val="1D56B118"/>
    <w:lvl w:ilvl="0" w:tplc="C3949452">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02272EA"/>
    <w:multiLevelType w:val="hybridMultilevel"/>
    <w:tmpl w:val="BD143268"/>
    <w:lvl w:ilvl="0" w:tplc="B29A4258">
      <w:start w:val="1"/>
      <w:numFmt w:val="lowerLetter"/>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9">
    <w:nsid w:val="209C4774"/>
    <w:multiLevelType w:val="hybridMultilevel"/>
    <w:tmpl w:val="D2A6EB9C"/>
    <w:lvl w:ilvl="0" w:tplc="6AEA2E3A">
      <w:start w:val="1"/>
      <w:numFmt w:val="lowerLetter"/>
      <w:lvlText w:val="(%1)"/>
      <w:lvlJc w:val="left"/>
      <w:pPr>
        <w:ind w:left="1324" w:hanging="360"/>
      </w:pPr>
      <w:rPr>
        <w:rFonts w:ascii="Times New Roman" w:eastAsia="Times New Roman" w:hAnsi="Times New Roman" w:cs="Times New Roman"/>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0">
    <w:nsid w:val="217B1908"/>
    <w:multiLevelType w:val="hybridMultilevel"/>
    <w:tmpl w:val="FF006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465C1B"/>
    <w:multiLevelType w:val="hybridMultilevel"/>
    <w:tmpl w:val="776043E6"/>
    <w:lvl w:ilvl="0" w:tplc="07D85F10">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2">
    <w:nsid w:val="24796D99"/>
    <w:multiLevelType w:val="hybridMultilevel"/>
    <w:tmpl w:val="ED8A590A"/>
    <w:lvl w:ilvl="0" w:tplc="C00C1D2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FD0F54"/>
    <w:multiLevelType w:val="hybridMultilevel"/>
    <w:tmpl w:val="6388CF4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307538B"/>
    <w:multiLevelType w:val="multilevel"/>
    <w:tmpl w:val="A00A45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C8501D8"/>
    <w:multiLevelType w:val="hybridMultilevel"/>
    <w:tmpl w:val="EA569BEE"/>
    <w:lvl w:ilvl="0" w:tplc="0C090001">
      <w:start w:val="1"/>
      <w:numFmt w:val="bullet"/>
      <w:lvlText w:val=""/>
      <w:lvlJc w:val="left"/>
      <w:pPr>
        <w:ind w:left="1692" w:hanging="360"/>
      </w:pPr>
      <w:rPr>
        <w:rFonts w:ascii="Symbol" w:hAnsi="Symbol" w:hint="default"/>
      </w:r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17">
    <w:nsid w:val="3CD869D8"/>
    <w:multiLevelType w:val="hybridMultilevel"/>
    <w:tmpl w:val="9BEE7D54"/>
    <w:lvl w:ilvl="0" w:tplc="C3949452">
      <w:start w:val="1"/>
      <w:numFmt w:val="decimal"/>
      <w:lvlText w:val="(%1)"/>
      <w:lvlJc w:val="left"/>
      <w:pPr>
        <w:ind w:left="885" w:hanging="360"/>
      </w:pPr>
      <w:rPr>
        <w:rFonts w:hint="default"/>
      </w:rPr>
    </w:lvl>
    <w:lvl w:ilvl="1" w:tplc="9D287558">
      <w:start w:val="1"/>
      <w:numFmt w:val="lowerLetter"/>
      <w:lvlText w:val="(%2)"/>
      <w:lvlJc w:val="left"/>
      <w:pPr>
        <w:ind w:left="1605" w:hanging="360"/>
      </w:pPr>
      <w:rPr>
        <w:rFonts w:ascii="Times New Roman" w:eastAsia="Times New Roman" w:hAnsi="Times New Roman" w:cs="Times New Roman"/>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8">
    <w:nsid w:val="4A11227E"/>
    <w:multiLevelType w:val="hybridMultilevel"/>
    <w:tmpl w:val="C47C4F8E"/>
    <w:lvl w:ilvl="0" w:tplc="59EE8A9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4E3345B4"/>
    <w:multiLevelType w:val="hybridMultilevel"/>
    <w:tmpl w:val="9BEE7D54"/>
    <w:lvl w:ilvl="0" w:tplc="C3949452">
      <w:start w:val="1"/>
      <w:numFmt w:val="decimal"/>
      <w:lvlText w:val="(%1)"/>
      <w:lvlJc w:val="left"/>
      <w:pPr>
        <w:ind w:left="1440" w:hanging="360"/>
      </w:pPr>
      <w:rPr>
        <w:rFonts w:cs="Times New Roman"/>
      </w:rPr>
    </w:lvl>
    <w:lvl w:ilvl="1" w:tplc="9D287558">
      <w:start w:val="1"/>
      <w:numFmt w:val="lowerLetter"/>
      <w:lvlText w:val="(%2)"/>
      <w:lvlJc w:val="left"/>
      <w:pPr>
        <w:ind w:left="1834" w:hanging="360"/>
      </w:pPr>
      <w:rPr>
        <w:rFonts w:ascii="Times New Roman" w:eastAsia="Times New Roman" w:hAnsi="Times New Roman" w:cs="Times New Roman"/>
      </w:rPr>
    </w:lvl>
    <w:lvl w:ilvl="2" w:tplc="0C09001B">
      <w:start w:val="1"/>
      <w:numFmt w:val="decimal"/>
      <w:lvlText w:val="%3."/>
      <w:lvlJc w:val="left"/>
      <w:pPr>
        <w:tabs>
          <w:tab w:val="num" w:pos="2389"/>
        </w:tabs>
        <w:ind w:left="2389" w:hanging="360"/>
      </w:pPr>
      <w:rPr>
        <w:rFonts w:cs="Times New Roman"/>
      </w:rPr>
    </w:lvl>
    <w:lvl w:ilvl="3" w:tplc="0C09000F">
      <w:start w:val="1"/>
      <w:numFmt w:val="decimal"/>
      <w:lvlText w:val="%4."/>
      <w:lvlJc w:val="left"/>
      <w:pPr>
        <w:tabs>
          <w:tab w:val="num" w:pos="3109"/>
        </w:tabs>
        <w:ind w:left="3109" w:hanging="360"/>
      </w:pPr>
      <w:rPr>
        <w:rFonts w:cs="Times New Roman"/>
      </w:rPr>
    </w:lvl>
    <w:lvl w:ilvl="4" w:tplc="0C090019">
      <w:start w:val="1"/>
      <w:numFmt w:val="decimal"/>
      <w:lvlText w:val="%5."/>
      <w:lvlJc w:val="left"/>
      <w:pPr>
        <w:tabs>
          <w:tab w:val="num" w:pos="3829"/>
        </w:tabs>
        <w:ind w:left="3829" w:hanging="360"/>
      </w:pPr>
      <w:rPr>
        <w:rFonts w:cs="Times New Roman"/>
      </w:rPr>
    </w:lvl>
    <w:lvl w:ilvl="5" w:tplc="0C09001B">
      <w:start w:val="1"/>
      <w:numFmt w:val="decimal"/>
      <w:lvlText w:val="%6."/>
      <w:lvlJc w:val="left"/>
      <w:pPr>
        <w:tabs>
          <w:tab w:val="num" w:pos="4549"/>
        </w:tabs>
        <w:ind w:left="4549" w:hanging="360"/>
      </w:pPr>
      <w:rPr>
        <w:rFonts w:cs="Times New Roman"/>
      </w:rPr>
    </w:lvl>
    <w:lvl w:ilvl="6" w:tplc="0C09000F">
      <w:start w:val="1"/>
      <w:numFmt w:val="decimal"/>
      <w:lvlText w:val="%7."/>
      <w:lvlJc w:val="left"/>
      <w:pPr>
        <w:tabs>
          <w:tab w:val="num" w:pos="5269"/>
        </w:tabs>
        <w:ind w:left="5269" w:hanging="360"/>
      </w:pPr>
      <w:rPr>
        <w:rFonts w:cs="Times New Roman"/>
      </w:rPr>
    </w:lvl>
    <w:lvl w:ilvl="7" w:tplc="0C090019">
      <w:start w:val="1"/>
      <w:numFmt w:val="decimal"/>
      <w:lvlText w:val="%8."/>
      <w:lvlJc w:val="left"/>
      <w:pPr>
        <w:tabs>
          <w:tab w:val="num" w:pos="5989"/>
        </w:tabs>
        <w:ind w:left="5989" w:hanging="360"/>
      </w:pPr>
      <w:rPr>
        <w:rFonts w:cs="Times New Roman"/>
      </w:rPr>
    </w:lvl>
    <w:lvl w:ilvl="8" w:tplc="0C09001B">
      <w:start w:val="1"/>
      <w:numFmt w:val="decimal"/>
      <w:lvlText w:val="%9."/>
      <w:lvlJc w:val="left"/>
      <w:pPr>
        <w:tabs>
          <w:tab w:val="num" w:pos="6709"/>
        </w:tabs>
        <w:ind w:left="6709" w:hanging="360"/>
      </w:pPr>
      <w:rPr>
        <w:rFonts w:cs="Times New Roman"/>
      </w:rPr>
    </w:lvl>
  </w:abstractNum>
  <w:abstractNum w:abstractNumId="20">
    <w:nsid w:val="5DB2393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1E67954"/>
    <w:multiLevelType w:val="hybridMultilevel"/>
    <w:tmpl w:val="E53A852C"/>
    <w:lvl w:ilvl="0" w:tplc="D29AE6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6995A40"/>
    <w:multiLevelType w:val="hybridMultilevel"/>
    <w:tmpl w:val="A75622A8"/>
    <w:lvl w:ilvl="0" w:tplc="C3949452">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3">
    <w:nsid w:val="680432B6"/>
    <w:multiLevelType w:val="hybridMultilevel"/>
    <w:tmpl w:val="2A463D18"/>
    <w:lvl w:ilvl="0" w:tplc="B61CCF24">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6B79541F"/>
    <w:multiLevelType w:val="hybridMultilevel"/>
    <w:tmpl w:val="ADFC2424"/>
    <w:lvl w:ilvl="0" w:tplc="24ECC6C2">
      <w:start w:val="1"/>
      <w:numFmt w:val="lowerLetter"/>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5">
    <w:nsid w:val="6EBF53B4"/>
    <w:multiLevelType w:val="hybridMultilevel"/>
    <w:tmpl w:val="4D62333A"/>
    <w:lvl w:ilvl="0" w:tplc="C4B01A54">
      <w:start w:val="1"/>
      <w:numFmt w:val="lowerLetter"/>
      <w:lvlText w:val="(%1)"/>
      <w:lvlJc w:val="left"/>
      <w:pPr>
        <w:ind w:left="1692" w:hanging="360"/>
      </w:pPr>
      <w:rPr>
        <w:rFonts w:hint="default"/>
      </w:r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26">
    <w:nsid w:val="76AC00FA"/>
    <w:multiLevelType w:val="hybridMultilevel"/>
    <w:tmpl w:val="5AAAB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D024C4"/>
    <w:multiLevelType w:val="hybridMultilevel"/>
    <w:tmpl w:val="47829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121C38"/>
    <w:multiLevelType w:val="hybridMultilevel"/>
    <w:tmpl w:val="226AA89C"/>
    <w:lvl w:ilvl="0" w:tplc="D28C00B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FFA7C50"/>
    <w:multiLevelType w:val="hybridMultilevel"/>
    <w:tmpl w:val="4C722946"/>
    <w:lvl w:ilvl="0" w:tplc="C2A61162">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num w:numId="1">
    <w:abstractNumId w:val="1"/>
  </w:num>
  <w:num w:numId="2">
    <w:abstractNumId w:val="7"/>
  </w:num>
  <w:num w:numId="3">
    <w:abstractNumId w:val="15"/>
  </w:num>
  <w:num w:numId="4">
    <w:abstractNumId w:val="20"/>
  </w:num>
  <w:num w:numId="5">
    <w:abstractNumId w:val="14"/>
  </w:num>
  <w:num w:numId="6">
    <w:abstractNumId w:val="5"/>
  </w:num>
  <w:num w:numId="7">
    <w:abstractNumId w:val="13"/>
  </w:num>
  <w:num w:numId="8">
    <w:abstractNumId w:val="9"/>
  </w:num>
  <w:num w:numId="9">
    <w:abstractNumId w:val="4"/>
  </w:num>
  <w:num w:numId="10">
    <w:abstractNumId w:val="23"/>
  </w:num>
  <w:num w:numId="11">
    <w:abstractNumId w:val="0"/>
  </w:num>
  <w:num w:numId="12">
    <w:abstractNumId w:val="12"/>
  </w:num>
  <w:num w:numId="13">
    <w:abstractNumId w:val="27"/>
  </w:num>
  <w:num w:numId="14">
    <w:abstractNumId w:val="26"/>
  </w:num>
  <w:num w:numId="15">
    <w:abstractNumId w:val="22"/>
  </w:num>
  <w:num w:numId="16">
    <w:abstractNumId w:val="25"/>
  </w:num>
  <w:num w:numId="17">
    <w:abstractNumId w:val="29"/>
  </w:num>
  <w:num w:numId="18">
    <w:abstractNumId w:val="2"/>
  </w:num>
  <w:num w:numId="19">
    <w:abstractNumId w:val="17"/>
  </w:num>
  <w:num w:numId="20">
    <w:abstractNumId w:val="6"/>
  </w:num>
  <w:num w:numId="21">
    <w:abstractNumId w:val="10"/>
  </w:num>
  <w:num w:numId="22">
    <w:abstractNumId w:val="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1"/>
  </w:num>
  <w:num w:numId="26">
    <w:abstractNumId w:val="11"/>
  </w:num>
  <w:num w:numId="27">
    <w:abstractNumId w:val="16"/>
  </w:num>
  <w:num w:numId="28">
    <w:abstractNumId w:val="18"/>
  </w:num>
  <w:num w:numId="29">
    <w:abstractNumId w:val="24"/>
  </w:num>
  <w:num w:numId="30">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804"/>
  <w:doNotTrackMoves/>
  <w:defaultTabStop w:val="720"/>
  <w:evenAndOddHeaders/>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DD7"/>
    <w:rsid w:val="0000635E"/>
    <w:rsid w:val="00012F8A"/>
    <w:rsid w:val="000230F1"/>
    <w:rsid w:val="00024360"/>
    <w:rsid w:val="00032F2C"/>
    <w:rsid w:val="00040CAD"/>
    <w:rsid w:val="000417AA"/>
    <w:rsid w:val="000427E4"/>
    <w:rsid w:val="00047B07"/>
    <w:rsid w:val="00051B9D"/>
    <w:rsid w:val="00051FFB"/>
    <w:rsid w:val="000521B7"/>
    <w:rsid w:val="00052808"/>
    <w:rsid w:val="000549F3"/>
    <w:rsid w:val="00056667"/>
    <w:rsid w:val="00057F6C"/>
    <w:rsid w:val="00060076"/>
    <w:rsid w:val="00060422"/>
    <w:rsid w:val="00063054"/>
    <w:rsid w:val="00072B4D"/>
    <w:rsid w:val="000739C3"/>
    <w:rsid w:val="00082207"/>
    <w:rsid w:val="00085813"/>
    <w:rsid w:val="00087990"/>
    <w:rsid w:val="00091146"/>
    <w:rsid w:val="0009526D"/>
    <w:rsid w:val="00095849"/>
    <w:rsid w:val="00096A3E"/>
    <w:rsid w:val="00096EA3"/>
    <w:rsid w:val="00097D47"/>
    <w:rsid w:val="000A1742"/>
    <w:rsid w:val="000B0AB2"/>
    <w:rsid w:val="000B3960"/>
    <w:rsid w:val="000B4121"/>
    <w:rsid w:val="000B47F8"/>
    <w:rsid w:val="000B51B3"/>
    <w:rsid w:val="000B535B"/>
    <w:rsid w:val="000C4F4E"/>
    <w:rsid w:val="000D0F58"/>
    <w:rsid w:val="000E6D2A"/>
    <w:rsid w:val="000E7494"/>
    <w:rsid w:val="000F78A7"/>
    <w:rsid w:val="00100EB5"/>
    <w:rsid w:val="00105BB8"/>
    <w:rsid w:val="00111D90"/>
    <w:rsid w:val="0011426D"/>
    <w:rsid w:val="00116989"/>
    <w:rsid w:val="001312D8"/>
    <w:rsid w:val="00140090"/>
    <w:rsid w:val="0014186A"/>
    <w:rsid w:val="00141CBA"/>
    <w:rsid w:val="00147FBD"/>
    <w:rsid w:val="00153195"/>
    <w:rsid w:val="00161065"/>
    <w:rsid w:val="00165D61"/>
    <w:rsid w:val="0018176C"/>
    <w:rsid w:val="00185F83"/>
    <w:rsid w:val="00186360"/>
    <w:rsid w:val="001A0235"/>
    <w:rsid w:val="001A54A3"/>
    <w:rsid w:val="001A6A7B"/>
    <w:rsid w:val="001C1A00"/>
    <w:rsid w:val="001C22F5"/>
    <w:rsid w:val="001C25FE"/>
    <w:rsid w:val="001D07FD"/>
    <w:rsid w:val="001E0916"/>
    <w:rsid w:val="001E78E1"/>
    <w:rsid w:val="001F108C"/>
    <w:rsid w:val="001F1FF3"/>
    <w:rsid w:val="002015B2"/>
    <w:rsid w:val="00204C72"/>
    <w:rsid w:val="0020588A"/>
    <w:rsid w:val="00205995"/>
    <w:rsid w:val="00206C71"/>
    <w:rsid w:val="00210652"/>
    <w:rsid w:val="00214C3B"/>
    <w:rsid w:val="00216190"/>
    <w:rsid w:val="0022009C"/>
    <w:rsid w:val="00223E9A"/>
    <w:rsid w:val="0022734F"/>
    <w:rsid w:val="00227725"/>
    <w:rsid w:val="00231782"/>
    <w:rsid w:val="00232948"/>
    <w:rsid w:val="00233C57"/>
    <w:rsid w:val="0023699A"/>
    <w:rsid w:val="00237E86"/>
    <w:rsid w:val="0024423E"/>
    <w:rsid w:val="00244C01"/>
    <w:rsid w:val="00246042"/>
    <w:rsid w:val="00250CC2"/>
    <w:rsid w:val="002546F3"/>
    <w:rsid w:val="0025642F"/>
    <w:rsid w:val="00263631"/>
    <w:rsid w:val="002639F7"/>
    <w:rsid w:val="00264BB6"/>
    <w:rsid w:val="00281E63"/>
    <w:rsid w:val="002837BF"/>
    <w:rsid w:val="00286CEA"/>
    <w:rsid w:val="0029106E"/>
    <w:rsid w:val="002A0924"/>
    <w:rsid w:val="002A1885"/>
    <w:rsid w:val="002A27D7"/>
    <w:rsid w:val="002A52C8"/>
    <w:rsid w:val="002B0FF0"/>
    <w:rsid w:val="002B5071"/>
    <w:rsid w:val="002B519A"/>
    <w:rsid w:val="002B6B49"/>
    <w:rsid w:val="002B7543"/>
    <w:rsid w:val="002C08BF"/>
    <w:rsid w:val="002C1956"/>
    <w:rsid w:val="002C4FAC"/>
    <w:rsid w:val="002C5DBB"/>
    <w:rsid w:val="002C6503"/>
    <w:rsid w:val="002D258B"/>
    <w:rsid w:val="002D5528"/>
    <w:rsid w:val="002E1EA7"/>
    <w:rsid w:val="002E20AF"/>
    <w:rsid w:val="002E3399"/>
    <w:rsid w:val="002F29A4"/>
    <w:rsid w:val="002F3B24"/>
    <w:rsid w:val="002F5329"/>
    <w:rsid w:val="0030121E"/>
    <w:rsid w:val="00302335"/>
    <w:rsid w:val="00306194"/>
    <w:rsid w:val="00306518"/>
    <w:rsid w:val="00313405"/>
    <w:rsid w:val="003160F6"/>
    <w:rsid w:val="003171C0"/>
    <w:rsid w:val="003207C3"/>
    <w:rsid w:val="00326B45"/>
    <w:rsid w:val="00326CBD"/>
    <w:rsid w:val="00327CFB"/>
    <w:rsid w:val="00333580"/>
    <w:rsid w:val="0033651C"/>
    <w:rsid w:val="003422CC"/>
    <w:rsid w:val="003469E3"/>
    <w:rsid w:val="00354C94"/>
    <w:rsid w:val="00356DA2"/>
    <w:rsid w:val="003614DD"/>
    <w:rsid w:val="00361FA2"/>
    <w:rsid w:val="00370C17"/>
    <w:rsid w:val="00370C78"/>
    <w:rsid w:val="00370DD7"/>
    <w:rsid w:val="0037255F"/>
    <w:rsid w:val="0037289C"/>
    <w:rsid w:val="00377347"/>
    <w:rsid w:val="00381607"/>
    <w:rsid w:val="003818D9"/>
    <w:rsid w:val="0038199B"/>
    <w:rsid w:val="003837E6"/>
    <w:rsid w:val="00392557"/>
    <w:rsid w:val="00392630"/>
    <w:rsid w:val="00394E1F"/>
    <w:rsid w:val="00397809"/>
    <w:rsid w:val="003A2BE4"/>
    <w:rsid w:val="003A3587"/>
    <w:rsid w:val="003C176B"/>
    <w:rsid w:val="003D1079"/>
    <w:rsid w:val="003D2008"/>
    <w:rsid w:val="003D4464"/>
    <w:rsid w:val="003D5FC8"/>
    <w:rsid w:val="003E08EF"/>
    <w:rsid w:val="003E3063"/>
    <w:rsid w:val="003E3844"/>
    <w:rsid w:val="003E6F89"/>
    <w:rsid w:val="003F1CF0"/>
    <w:rsid w:val="003F23AE"/>
    <w:rsid w:val="003F6833"/>
    <w:rsid w:val="004005D4"/>
    <w:rsid w:val="00413C75"/>
    <w:rsid w:val="00433B06"/>
    <w:rsid w:val="00435AFA"/>
    <w:rsid w:val="004361A5"/>
    <w:rsid w:val="004363B2"/>
    <w:rsid w:val="00437401"/>
    <w:rsid w:val="00440B24"/>
    <w:rsid w:val="00442AA3"/>
    <w:rsid w:val="00442DE6"/>
    <w:rsid w:val="00443890"/>
    <w:rsid w:val="00444F77"/>
    <w:rsid w:val="004459DE"/>
    <w:rsid w:val="004463A1"/>
    <w:rsid w:val="00446E47"/>
    <w:rsid w:val="00453A17"/>
    <w:rsid w:val="00464092"/>
    <w:rsid w:val="00476A0F"/>
    <w:rsid w:val="00496684"/>
    <w:rsid w:val="004A1C4B"/>
    <w:rsid w:val="004A260C"/>
    <w:rsid w:val="004A309D"/>
    <w:rsid w:val="004A3946"/>
    <w:rsid w:val="004A7B08"/>
    <w:rsid w:val="004B26FB"/>
    <w:rsid w:val="004B2DFF"/>
    <w:rsid w:val="004B5EAB"/>
    <w:rsid w:val="004B6DFA"/>
    <w:rsid w:val="004C64F1"/>
    <w:rsid w:val="004C7303"/>
    <w:rsid w:val="004D5EAB"/>
    <w:rsid w:val="004E7590"/>
    <w:rsid w:val="004F45F0"/>
    <w:rsid w:val="004F470C"/>
    <w:rsid w:val="00501E0C"/>
    <w:rsid w:val="00507B47"/>
    <w:rsid w:val="00512974"/>
    <w:rsid w:val="005168BB"/>
    <w:rsid w:val="0052096F"/>
    <w:rsid w:val="00526F15"/>
    <w:rsid w:val="005315AF"/>
    <w:rsid w:val="0053456C"/>
    <w:rsid w:val="0054260E"/>
    <w:rsid w:val="00544785"/>
    <w:rsid w:val="00544C21"/>
    <w:rsid w:val="00547EB3"/>
    <w:rsid w:val="00552D4E"/>
    <w:rsid w:val="00554CE8"/>
    <w:rsid w:val="005601A7"/>
    <w:rsid w:val="005749F6"/>
    <w:rsid w:val="00574C87"/>
    <w:rsid w:val="005801E5"/>
    <w:rsid w:val="00580CA9"/>
    <w:rsid w:val="00586F24"/>
    <w:rsid w:val="005924C4"/>
    <w:rsid w:val="00593012"/>
    <w:rsid w:val="005A593F"/>
    <w:rsid w:val="005A697B"/>
    <w:rsid w:val="005B1761"/>
    <w:rsid w:val="005B1D66"/>
    <w:rsid w:val="005B6483"/>
    <w:rsid w:val="005B7D7C"/>
    <w:rsid w:val="005C5906"/>
    <w:rsid w:val="005E43E5"/>
    <w:rsid w:val="005F3681"/>
    <w:rsid w:val="006008F0"/>
    <w:rsid w:val="00601C6D"/>
    <w:rsid w:val="00611B1F"/>
    <w:rsid w:val="00612130"/>
    <w:rsid w:val="006171BE"/>
    <w:rsid w:val="0061798D"/>
    <w:rsid w:val="00626A6B"/>
    <w:rsid w:val="0062769F"/>
    <w:rsid w:val="00636085"/>
    <w:rsid w:val="00641E93"/>
    <w:rsid w:val="00647024"/>
    <w:rsid w:val="0065001E"/>
    <w:rsid w:val="0065211A"/>
    <w:rsid w:val="00654A21"/>
    <w:rsid w:val="00663D33"/>
    <w:rsid w:val="00690750"/>
    <w:rsid w:val="0069141F"/>
    <w:rsid w:val="00693128"/>
    <w:rsid w:val="00697E87"/>
    <w:rsid w:val="006A0ACB"/>
    <w:rsid w:val="006A5EA2"/>
    <w:rsid w:val="006B372D"/>
    <w:rsid w:val="006B4840"/>
    <w:rsid w:val="006C4258"/>
    <w:rsid w:val="006C5142"/>
    <w:rsid w:val="006C5742"/>
    <w:rsid w:val="006D08E3"/>
    <w:rsid w:val="006D1653"/>
    <w:rsid w:val="006E1519"/>
    <w:rsid w:val="006E21DD"/>
    <w:rsid w:val="006E34B1"/>
    <w:rsid w:val="006F0BD8"/>
    <w:rsid w:val="006F1C14"/>
    <w:rsid w:val="006F2B02"/>
    <w:rsid w:val="006F55C8"/>
    <w:rsid w:val="006F6DB9"/>
    <w:rsid w:val="006F7E37"/>
    <w:rsid w:val="007009CA"/>
    <w:rsid w:val="0070294F"/>
    <w:rsid w:val="00702998"/>
    <w:rsid w:val="0071055A"/>
    <w:rsid w:val="0071079F"/>
    <w:rsid w:val="0071101C"/>
    <w:rsid w:val="00716BFA"/>
    <w:rsid w:val="00716F1E"/>
    <w:rsid w:val="00721E57"/>
    <w:rsid w:val="00732D3E"/>
    <w:rsid w:val="00735D7F"/>
    <w:rsid w:val="00740916"/>
    <w:rsid w:val="00743E9C"/>
    <w:rsid w:val="0074638D"/>
    <w:rsid w:val="00750070"/>
    <w:rsid w:val="007501ED"/>
    <w:rsid w:val="00753966"/>
    <w:rsid w:val="00754324"/>
    <w:rsid w:val="00755D70"/>
    <w:rsid w:val="0075786E"/>
    <w:rsid w:val="007578D6"/>
    <w:rsid w:val="00761713"/>
    <w:rsid w:val="00765C49"/>
    <w:rsid w:val="0077199D"/>
    <w:rsid w:val="00774285"/>
    <w:rsid w:val="00776161"/>
    <w:rsid w:val="00783ACA"/>
    <w:rsid w:val="007856B8"/>
    <w:rsid w:val="00793B85"/>
    <w:rsid w:val="00794754"/>
    <w:rsid w:val="00795127"/>
    <w:rsid w:val="007A0316"/>
    <w:rsid w:val="007A08D2"/>
    <w:rsid w:val="007A1A0C"/>
    <w:rsid w:val="007A757B"/>
    <w:rsid w:val="007B282A"/>
    <w:rsid w:val="007C156E"/>
    <w:rsid w:val="007C33A6"/>
    <w:rsid w:val="007C3C71"/>
    <w:rsid w:val="007C6D66"/>
    <w:rsid w:val="007C726B"/>
    <w:rsid w:val="007D1A1E"/>
    <w:rsid w:val="007E231D"/>
    <w:rsid w:val="007E35D3"/>
    <w:rsid w:val="007E3AA5"/>
    <w:rsid w:val="007E3D4A"/>
    <w:rsid w:val="007E4ACB"/>
    <w:rsid w:val="007E6A58"/>
    <w:rsid w:val="008006D5"/>
    <w:rsid w:val="00800794"/>
    <w:rsid w:val="0080187A"/>
    <w:rsid w:val="00805476"/>
    <w:rsid w:val="0080575E"/>
    <w:rsid w:val="008104CD"/>
    <w:rsid w:val="00812BC0"/>
    <w:rsid w:val="00822E3A"/>
    <w:rsid w:val="00836024"/>
    <w:rsid w:val="0084392E"/>
    <w:rsid w:val="00847850"/>
    <w:rsid w:val="00854857"/>
    <w:rsid w:val="008562C0"/>
    <w:rsid w:val="00856DF5"/>
    <w:rsid w:val="00860E29"/>
    <w:rsid w:val="00863597"/>
    <w:rsid w:val="00864C36"/>
    <w:rsid w:val="00873699"/>
    <w:rsid w:val="0087412C"/>
    <w:rsid w:val="00876486"/>
    <w:rsid w:val="008802AD"/>
    <w:rsid w:val="00885009"/>
    <w:rsid w:val="00892036"/>
    <w:rsid w:val="00892709"/>
    <w:rsid w:val="008B20E7"/>
    <w:rsid w:val="008B512A"/>
    <w:rsid w:val="008C48D9"/>
    <w:rsid w:val="008D293B"/>
    <w:rsid w:val="008D5B3D"/>
    <w:rsid w:val="008E05E2"/>
    <w:rsid w:val="008E3797"/>
    <w:rsid w:val="008F1DAB"/>
    <w:rsid w:val="00913281"/>
    <w:rsid w:val="009146C1"/>
    <w:rsid w:val="00915D96"/>
    <w:rsid w:val="00921C3A"/>
    <w:rsid w:val="00921F8E"/>
    <w:rsid w:val="00922311"/>
    <w:rsid w:val="00923B7C"/>
    <w:rsid w:val="00932254"/>
    <w:rsid w:val="0094030D"/>
    <w:rsid w:val="00941C70"/>
    <w:rsid w:val="00941F5C"/>
    <w:rsid w:val="00950004"/>
    <w:rsid w:val="00952002"/>
    <w:rsid w:val="00952080"/>
    <w:rsid w:val="0095638B"/>
    <w:rsid w:val="009564EB"/>
    <w:rsid w:val="009612A7"/>
    <w:rsid w:val="009632A6"/>
    <w:rsid w:val="009656C4"/>
    <w:rsid w:val="00967444"/>
    <w:rsid w:val="00970369"/>
    <w:rsid w:val="00971026"/>
    <w:rsid w:val="00972037"/>
    <w:rsid w:val="009725AB"/>
    <w:rsid w:val="00974B0B"/>
    <w:rsid w:val="00976374"/>
    <w:rsid w:val="00977F78"/>
    <w:rsid w:val="00982DD5"/>
    <w:rsid w:val="00983A1F"/>
    <w:rsid w:val="00986EBA"/>
    <w:rsid w:val="00990806"/>
    <w:rsid w:val="0099167B"/>
    <w:rsid w:val="009938AC"/>
    <w:rsid w:val="00996C40"/>
    <w:rsid w:val="009970CF"/>
    <w:rsid w:val="009A03BE"/>
    <w:rsid w:val="009A2E07"/>
    <w:rsid w:val="009A3551"/>
    <w:rsid w:val="009A4F67"/>
    <w:rsid w:val="009A6D1B"/>
    <w:rsid w:val="009B2761"/>
    <w:rsid w:val="009B3BDA"/>
    <w:rsid w:val="009B582D"/>
    <w:rsid w:val="009B6C8F"/>
    <w:rsid w:val="009D1075"/>
    <w:rsid w:val="009D1457"/>
    <w:rsid w:val="009D6F4A"/>
    <w:rsid w:val="009E3071"/>
    <w:rsid w:val="009E4ACB"/>
    <w:rsid w:val="009E5A97"/>
    <w:rsid w:val="009F628F"/>
    <w:rsid w:val="009F6A79"/>
    <w:rsid w:val="00A00C88"/>
    <w:rsid w:val="00A0621D"/>
    <w:rsid w:val="00A12C6D"/>
    <w:rsid w:val="00A13F63"/>
    <w:rsid w:val="00A15D6B"/>
    <w:rsid w:val="00A22C72"/>
    <w:rsid w:val="00A22F2F"/>
    <w:rsid w:val="00A24F06"/>
    <w:rsid w:val="00A25362"/>
    <w:rsid w:val="00A34965"/>
    <w:rsid w:val="00A35211"/>
    <w:rsid w:val="00A35A1F"/>
    <w:rsid w:val="00A36A92"/>
    <w:rsid w:val="00A40A0B"/>
    <w:rsid w:val="00A420B0"/>
    <w:rsid w:val="00A42902"/>
    <w:rsid w:val="00A43D24"/>
    <w:rsid w:val="00A563B7"/>
    <w:rsid w:val="00A5744A"/>
    <w:rsid w:val="00A609DD"/>
    <w:rsid w:val="00A64E0A"/>
    <w:rsid w:val="00A6675C"/>
    <w:rsid w:val="00A74796"/>
    <w:rsid w:val="00A74CA6"/>
    <w:rsid w:val="00A77A32"/>
    <w:rsid w:val="00A81151"/>
    <w:rsid w:val="00A8341A"/>
    <w:rsid w:val="00A84F61"/>
    <w:rsid w:val="00A85919"/>
    <w:rsid w:val="00A93F5E"/>
    <w:rsid w:val="00AA4208"/>
    <w:rsid w:val="00AB00DA"/>
    <w:rsid w:val="00AB10D7"/>
    <w:rsid w:val="00AB2B01"/>
    <w:rsid w:val="00AB444A"/>
    <w:rsid w:val="00AC64FB"/>
    <w:rsid w:val="00AC6F8D"/>
    <w:rsid w:val="00AD0172"/>
    <w:rsid w:val="00AE5A8E"/>
    <w:rsid w:val="00AE7ABD"/>
    <w:rsid w:val="00B00782"/>
    <w:rsid w:val="00B02B35"/>
    <w:rsid w:val="00B03FFA"/>
    <w:rsid w:val="00B04646"/>
    <w:rsid w:val="00B067E6"/>
    <w:rsid w:val="00B12260"/>
    <w:rsid w:val="00B13ECC"/>
    <w:rsid w:val="00B23CDD"/>
    <w:rsid w:val="00B24FCB"/>
    <w:rsid w:val="00B3728B"/>
    <w:rsid w:val="00B42B20"/>
    <w:rsid w:val="00B5312A"/>
    <w:rsid w:val="00B56345"/>
    <w:rsid w:val="00B670FF"/>
    <w:rsid w:val="00B75A9D"/>
    <w:rsid w:val="00B761EF"/>
    <w:rsid w:val="00B80913"/>
    <w:rsid w:val="00B86D5C"/>
    <w:rsid w:val="00B87870"/>
    <w:rsid w:val="00B91A8D"/>
    <w:rsid w:val="00B94B20"/>
    <w:rsid w:val="00B97FC2"/>
    <w:rsid w:val="00BA4B2A"/>
    <w:rsid w:val="00BB20B9"/>
    <w:rsid w:val="00BB353C"/>
    <w:rsid w:val="00BB417D"/>
    <w:rsid w:val="00BB4709"/>
    <w:rsid w:val="00BB78E8"/>
    <w:rsid w:val="00BC586E"/>
    <w:rsid w:val="00BC5C86"/>
    <w:rsid w:val="00BC6AD3"/>
    <w:rsid w:val="00BE3D9E"/>
    <w:rsid w:val="00BF6D92"/>
    <w:rsid w:val="00BF738E"/>
    <w:rsid w:val="00C009ED"/>
    <w:rsid w:val="00C02D48"/>
    <w:rsid w:val="00C14CE5"/>
    <w:rsid w:val="00C16765"/>
    <w:rsid w:val="00C26315"/>
    <w:rsid w:val="00C2744E"/>
    <w:rsid w:val="00C35EC8"/>
    <w:rsid w:val="00C40D52"/>
    <w:rsid w:val="00C42FF3"/>
    <w:rsid w:val="00C447FD"/>
    <w:rsid w:val="00C448C2"/>
    <w:rsid w:val="00C46845"/>
    <w:rsid w:val="00C50AD3"/>
    <w:rsid w:val="00C51399"/>
    <w:rsid w:val="00C639B5"/>
    <w:rsid w:val="00C63DEA"/>
    <w:rsid w:val="00C66220"/>
    <w:rsid w:val="00C77F74"/>
    <w:rsid w:val="00C8251B"/>
    <w:rsid w:val="00C83A6F"/>
    <w:rsid w:val="00C861A7"/>
    <w:rsid w:val="00C869BD"/>
    <w:rsid w:val="00C87B75"/>
    <w:rsid w:val="00C91D40"/>
    <w:rsid w:val="00C93DEA"/>
    <w:rsid w:val="00C9602C"/>
    <w:rsid w:val="00C96EC4"/>
    <w:rsid w:val="00CA197B"/>
    <w:rsid w:val="00CA25B9"/>
    <w:rsid w:val="00CA2A23"/>
    <w:rsid w:val="00CA60E6"/>
    <w:rsid w:val="00CA752C"/>
    <w:rsid w:val="00CB221F"/>
    <w:rsid w:val="00CC3524"/>
    <w:rsid w:val="00CC37BB"/>
    <w:rsid w:val="00CC465C"/>
    <w:rsid w:val="00CC792B"/>
    <w:rsid w:val="00CD324D"/>
    <w:rsid w:val="00CE6E1F"/>
    <w:rsid w:val="00CF3697"/>
    <w:rsid w:val="00D01733"/>
    <w:rsid w:val="00D01D48"/>
    <w:rsid w:val="00D027F8"/>
    <w:rsid w:val="00D05785"/>
    <w:rsid w:val="00D06923"/>
    <w:rsid w:val="00D15738"/>
    <w:rsid w:val="00D17197"/>
    <w:rsid w:val="00D22AE7"/>
    <w:rsid w:val="00D2591D"/>
    <w:rsid w:val="00D3367E"/>
    <w:rsid w:val="00D34F1B"/>
    <w:rsid w:val="00D37039"/>
    <w:rsid w:val="00D4359B"/>
    <w:rsid w:val="00D534E3"/>
    <w:rsid w:val="00D56BC3"/>
    <w:rsid w:val="00D619DA"/>
    <w:rsid w:val="00D73CC7"/>
    <w:rsid w:val="00D8013A"/>
    <w:rsid w:val="00D8329C"/>
    <w:rsid w:val="00D834B0"/>
    <w:rsid w:val="00D84CCB"/>
    <w:rsid w:val="00D8651D"/>
    <w:rsid w:val="00D948BE"/>
    <w:rsid w:val="00DB2470"/>
    <w:rsid w:val="00DB30B7"/>
    <w:rsid w:val="00DB4F78"/>
    <w:rsid w:val="00DC2B64"/>
    <w:rsid w:val="00DC2FBA"/>
    <w:rsid w:val="00DC46DA"/>
    <w:rsid w:val="00DC7426"/>
    <w:rsid w:val="00DD07CC"/>
    <w:rsid w:val="00DD668B"/>
    <w:rsid w:val="00DD677F"/>
    <w:rsid w:val="00DE0CF5"/>
    <w:rsid w:val="00DE3116"/>
    <w:rsid w:val="00DE51AE"/>
    <w:rsid w:val="00DE6C8E"/>
    <w:rsid w:val="00DF3DFE"/>
    <w:rsid w:val="00DF52CA"/>
    <w:rsid w:val="00E00369"/>
    <w:rsid w:val="00E05AF6"/>
    <w:rsid w:val="00E10958"/>
    <w:rsid w:val="00E127AC"/>
    <w:rsid w:val="00E15573"/>
    <w:rsid w:val="00E20DE7"/>
    <w:rsid w:val="00E21C30"/>
    <w:rsid w:val="00E22160"/>
    <w:rsid w:val="00E24BD5"/>
    <w:rsid w:val="00E24EF9"/>
    <w:rsid w:val="00E26CD1"/>
    <w:rsid w:val="00E27F34"/>
    <w:rsid w:val="00E30961"/>
    <w:rsid w:val="00E32C89"/>
    <w:rsid w:val="00E44ECA"/>
    <w:rsid w:val="00E45EC8"/>
    <w:rsid w:val="00E47910"/>
    <w:rsid w:val="00E53A61"/>
    <w:rsid w:val="00E57384"/>
    <w:rsid w:val="00E57C7E"/>
    <w:rsid w:val="00E66F43"/>
    <w:rsid w:val="00E7293B"/>
    <w:rsid w:val="00E82037"/>
    <w:rsid w:val="00E83509"/>
    <w:rsid w:val="00E83542"/>
    <w:rsid w:val="00E8610B"/>
    <w:rsid w:val="00E869DF"/>
    <w:rsid w:val="00E878FE"/>
    <w:rsid w:val="00E87975"/>
    <w:rsid w:val="00E9056F"/>
    <w:rsid w:val="00E9529E"/>
    <w:rsid w:val="00EA0DE3"/>
    <w:rsid w:val="00EA0E4D"/>
    <w:rsid w:val="00EA5884"/>
    <w:rsid w:val="00EB7CEA"/>
    <w:rsid w:val="00EC46CF"/>
    <w:rsid w:val="00EC57D0"/>
    <w:rsid w:val="00EE7951"/>
    <w:rsid w:val="00EF58AD"/>
    <w:rsid w:val="00EF63BE"/>
    <w:rsid w:val="00EF69B2"/>
    <w:rsid w:val="00F03499"/>
    <w:rsid w:val="00F172D2"/>
    <w:rsid w:val="00F2595E"/>
    <w:rsid w:val="00F261BF"/>
    <w:rsid w:val="00F266D2"/>
    <w:rsid w:val="00F30F54"/>
    <w:rsid w:val="00F336D9"/>
    <w:rsid w:val="00F3794E"/>
    <w:rsid w:val="00F4074F"/>
    <w:rsid w:val="00F41F12"/>
    <w:rsid w:val="00F4568D"/>
    <w:rsid w:val="00F511C0"/>
    <w:rsid w:val="00F51DCD"/>
    <w:rsid w:val="00F7072A"/>
    <w:rsid w:val="00F719EC"/>
    <w:rsid w:val="00F75693"/>
    <w:rsid w:val="00F76ECD"/>
    <w:rsid w:val="00F85722"/>
    <w:rsid w:val="00F86BD5"/>
    <w:rsid w:val="00F90201"/>
    <w:rsid w:val="00F9199B"/>
    <w:rsid w:val="00F91AAA"/>
    <w:rsid w:val="00FA3108"/>
    <w:rsid w:val="00FA5783"/>
    <w:rsid w:val="00FA70E6"/>
    <w:rsid w:val="00FB022E"/>
    <w:rsid w:val="00FB0A18"/>
    <w:rsid w:val="00FB1E32"/>
    <w:rsid w:val="00FB4A9F"/>
    <w:rsid w:val="00FC3488"/>
    <w:rsid w:val="00FC3520"/>
    <w:rsid w:val="00FD0D19"/>
    <w:rsid w:val="00FE36CF"/>
    <w:rsid w:val="00FE4483"/>
    <w:rsid w:val="00FE4C3E"/>
    <w:rsid w:val="00FE640D"/>
    <w:rsid w:val="00FF4830"/>
    <w:rsid w:val="00FF6C6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06"/>
    <w:rPr>
      <w:sz w:val="24"/>
      <w:szCs w:val="24"/>
      <w:lang w:eastAsia="en-US"/>
    </w:rPr>
  </w:style>
  <w:style w:type="paragraph" w:styleId="Heading1">
    <w:name w:val="heading 1"/>
    <w:basedOn w:val="Normal"/>
    <w:next w:val="Normal"/>
    <w:qFormat/>
    <w:rsid w:val="0099080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080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0806"/>
    <w:pPr>
      <w:keepNext/>
      <w:spacing w:before="240" w:after="60"/>
      <w:outlineLvl w:val="2"/>
    </w:pPr>
    <w:rPr>
      <w:rFonts w:ascii="Arial" w:hAnsi="Arial" w:cs="Arial"/>
      <w:b/>
      <w:bCs/>
      <w:sz w:val="26"/>
      <w:szCs w:val="26"/>
    </w:rPr>
  </w:style>
  <w:style w:type="paragraph" w:styleId="Heading4">
    <w:name w:val="heading 4"/>
    <w:basedOn w:val="Normal"/>
    <w:next w:val="Normal"/>
    <w:qFormat/>
    <w:rsid w:val="00990806"/>
    <w:pPr>
      <w:keepNext/>
      <w:spacing w:before="240" w:after="60"/>
      <w:outlineLvl w:val="3"/>
    </w:pPr>
    <w:rPr>
      <w:b/>
      <w:bCs/>
      <w:sz w:val="28"/>
      <w:szCs w:val="28"/>
    </w:rPr>
  </w:style>
  <w:style w:type="paragraph" w:styleId="Heading5">
    <w:name w:val="heading 5"/>
    <w:basedOn w:val="Normal"/>
    <w:next w:val="Normal"/>
    <w:qFormat/>
    <w:rsid w:val="00990806"/>
    <w:pPr>
      <w:spacing w:before="240" w:after="60"/>
      <w:outlineLvl w:val="4"/>
    </w:pPr>
    <w:rPr>
      <w:b/>
      <w:bCs/>
      <w:i/>
      <w:iCs/>
      <w:sz w:val="26"/>
      <w:szCs w:val="26"/>
    </w:rPr>
  </w:style>
  <w:style w:type="paragraph" w:styleId="Heading6">
    <w:name w:val="heading 6"/>
    <w:basedOn w:val="Normal"/>
    <w:next w:val="Normal"/>
    <w:qFormat/>
    <w:rsid w:val="00990806"/>
    <w:pPr>
      <w:spacing w:before="240" w:after="60"/>
      <w:outlineLvl w:val="5"/>
    </w:pPr>
    <w:rPr>
      <w:b/>
      <w:bCs/>
      <w:sz w:val="22"/>
      <w:szCs w:val="22"/>
    </w:rPr>
  </w:style>
  <w:style w:type="paragraph" w:styleId="Heading7">
    <w:name w:val="heading 7"/>
    <w:basedOn w:val="Normal"/>
    <w:next w:val="Normal"/>
    <w:qFormat/>
    <w:rsid w:val="00990806"/>
    <w:pPr>
      <w:spacing w:before="240" w:after="60"/>
      <w:outlineLvl w:val="6"/>
    </w:pPr>
  </w:style>
  <w:style w:type="paragraph" w:styleId="Heading8">
    <w:name w:val="heading 8"/>
    <w:basedOn w:val="Normal"/>
    <w:next w:val="Normal"/>
    <w:qFormat/>
    <w:rsid w:val="00990806"/>
    <w:pPr>
      <w:spacing w:before="240" w:after="60"/>
      <w:outlineLvl w:val="7"/>
    </w:pPr>
    <w:rPr>
      <w:i/>
      <w:iCs/>
    </w:rPr>
  </w:style>
  <w:style w:type="paragraph" w:styleId="Heading9">
    <w:name w:val="heading 9"/>
    <w:basedOn w:val="Normal"/>
    <w:next w:val="Normal"/>
    <w:qFormat/>
    <w:rsid w:val="009908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990806"/>
    <w:pPr>
      <w:spacing w:before="120" w:after="60"/>
    </w:pPr>
    <w:rPr>
      <w:rFonts w:ascii="Arial" w:hAnsi="Arial"/>
      <w:b/>
      <w:sz w:val="20"/>
    </w:rPr>
  </w:style>
  <w:style w:type="paragraph" w:customStyle="1" w:styleId="HeaderBoldOdd">
    <w:name w:val="HeaderBoldOdd"/>
    <w:basedOn w:val="Normal"/>
    <w:rsid w:val="00990806"/>
    <w:pPr>
      <w:spacing w:before="120" w:after="60"/>
      <w:jc w:val="right"/>
    </w:pPr>
    <w:rPr>
      <w:rFonts w:ascii="Arial" w:hAnsi="Arial"/>
      <w:b/>
      <w:sz w:val="20"/>
    </w:rPr>
  </w:style>
  <w:style w:type="paragraph" w:customStyle="1" w:styleId="HeaderLiteEven">
    <w:name w:val="HeaderLiteEven"/>
    <w:basedOn w:val="Normal"/>
    <w:rsid w:val="00990806"/>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990806"/>
    <w:pPr>
      <w:spacing w:before="120" w:after="120"/>
      <w:jc w:val="right"/>
    </w:pPr>
    <w:rPr>
      <w:rFonts w:ascii="Arial" w:hAnsi="Arial"/>
      <w:sz w:val="20"/>
    </w:rPr>
  </w:style>
  <w:style w:type="paragraph" w:customStyle="1" w:styleId="HeaderLiteOdd">
    <w:name w:val="HeaderLiteOdd"/>
    <w:basedOn w:val="Normal"/>
    <w:rsid w:val="00990806"/>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990806"/>
    <w:pPr>
      <w:tabs>
        <w:tab w:val="center" w:pos="3600"/>
        <w:tab w:val="right" w:pos="7201"/>
      </w:tabs>
      <w:jc w:val="both"/>
    </w:pPr>
    <w:rPr>
      <w:rFonts w:ascii="Arial" w:hAnsi="Arial"/>
      <w:i/>
      <w:sz w:val="18"/>
      <w:szCs w:val="18"/>
    </w:rPr>
  </w:style>
  <w:style w:type="paragraph" w:customStyle="1" w:styleId="FooterDraft">
    <w:name w:val="FooterDraft"/>
    <w:basedOn w:val="Normal"/>
    <w:semiHidden/>
    <w:rsid w:val="00990806"/>
    <w:pPr>
      <w:jc w:val="center"/>
    </w:pPr>
    <w:rPr>
      <w:rFonts w:ascii="Arial" w:hAnsi="Arial"/>
      <w:b/>
      <w:sz w:val="40"/>
    </w:rPr>
  </w:style>
  <w:style w:type="paragraph" w:customStyle="1" w:styleId="FooterInfo">
    <w:name w:val="FooterInfo"/>
    <w:basedOn w:val="Normal"/>
    <w:semiHidden/>
    <w:rsid w:val="00990806"/>
    <w:rPr>
      <w:rFonts w:ascii="Arial" w:hAnsi="Arial"/>
      <w:sz w:val="12"/>
    </w:rPr>
  </w:style>
  <w:style w:type="numbering" w:styleId="111111">
    <w:name w:val="Outline List 2"/>
    <w:basedOn w:val="NoList"/>
    <w:semiHidden/>
    <w:rsid w:val="00990806"/>
    <w:pPr>
      <w:numPr>
        <w:numId w:val="2"/>
      </w:numPr>
    </w:pPr>
  </w:style>
  <w:style w:type="numbering" w:styleId="1ai">
    <w:name w:val="Outline List 1"/>
    <w:basedOn w:val="NoList"/>
    <w:semiHidden/>
    <w:rsid w:val="00990806"/>
    <w:pPr>
      <w:numPr>
        <w:numId w:val="3"/>
      </w:numPr>
    </w:pPr>
  </w:style>
  <w:style w:type="numbering" w:styleId="ArticleSection">
    <w:name w:val="Outline List 3"/>
    <w:basedOn w:val="NoList"/>
    <w:semiHidden/>
    <w:rsid w:val="00990806"/>
    <w:pPr>
      <w:numPr>
        <w:numId w:val="1"/>
      </w:numPr>
    </w:pPr>
  </w:style>
  <w:style w:type="paragraph" w:styleId="BlockText">
    <w:name w:val="Block Text"/>
    <w:basedOn w:val="Normal"/>
    <w:semiHidden/>
    <w:rsid w:val="00990806"/>
    <w:pPr>
      <w:spacing w:after="120"/>
      <w:ind w:left="1440" w:right="1440"/>
    </w:pPr>
  </w:style>
  <w:style w:type="paragraph" w:styleId="BodyText">
    <w:name w:val="Body Text"/>
    <w:basedOn w:val="Normal"/>
    <w:semiHidden/>
    <w:rsid w:val="00990806"/>
    <w:pPr>
      <w:spacing w:after="120"/>
    </w:pPr>
  </w:style>
  <w:style w:type="paragraph" w:styleId="BodyText2">
    <w:name w:val="Body Text 2"/>
    <w:basedOn w:val="Normal"/>
    <w:semiHidden/>
    <w:rsid w:val="00990806"/>
    <w:pPr>
      <w:spacing w:after="120" w:line="480" w:lineRule="auto"/>
    </w:pPr>
  </w:style>
  <w:style w:type="paragraph" w:styleId="BodyText3">
    <w:name w:val="Body Text 3"/>
    <w:basedOn w:val="Normal"/>
    <w:semiHidden/>
    <w:rsid w:val="00990806"/>
    <w:pPr>
      <w:spacing w:after="120"/>
    </w:pPr>
    <w:rPr>
      <w:sz w:val="16"/>
      <w:szCs w:val="16"/>
    </w:rPr>
  </w:style>
  <w:style w:type="paragraph" w:styleId="BodyTextFirstIndent">
    <w:name w:val="Body Text First Indent"/>
    <w:basedOn w:val="BodyText"/>
    <w:semiHidden/>
    <w:rsid w:val="00990806"/>
    <w:pPr>
      <w:ind w:firstLine="210"/>
    </w:pPr>
  </w:style>
  <w:style w:type="paragraph" w:styleId="BodyTextIndent">
    <w:name w:val="Body Text Indent"/>
    <w:basedOn w:val="Normal"/>
    <w:semiHidden/>
    <w:rsid w:val="00990806"/>
    <w:pPr>
      <w:spacing w:after="120"/>
      <w:ind w:left="283"/>
    </w:pPr>
  </w:style>
  <w:style w:type="paragraph" w:styleId="BodyTextFirstIndent2">
    <w:name w:val="Body Text First Indent 2"/>
    <w:basedOn w:val="BodyTextIndent"/>
    <w:semiHidden/>
    <w:rsid w:val="00990806"/>
    <w:pPr>
      <w:ind w:firstLine="210"/>
    </w:pPr>
  </w:style>
  <w:style w:type="paragraph" w:styleId="BodyTextIndent2">
    <w:name w:val="Body Text Indent 2"/>
    <w:basedOn w:val="Normal"/>
    <w:semiHidden/>
    <w:rsid w:val="00990806"/>
    <w:pPr>
      <w:spacing w:after="120" w:line="480" w:lineRule="auto"/>
      <w:ind w:left="283"/>
    </w:pPr>
  </w:style>
  <w:style w:type="paragraph" w:styleId="BodyTextIndent3">
    <w:name w:val="Body Text Indent 3"/>
    <w:basedOn w:val="Normal"/>
    <w:semiHidden/>
    <w:rsid w:val="00990806"/>
    <w:pPr>
      <w:spacing w:after="120"/>
      <w:ind w:left="283"/>
    </w:pPr>
    <w:rPr>
      <w:sz w:val="16"/>
      <w:szCs w:val="16"/>
    </w:rPr>
  </w:style>
  <w:style w:type="paragraph" w:styleId="Closing">
    <w:name w:val="Closing"/>
    <w:basedOn w:val="Normal"/>
    <w:semiHidden/>
    <w:rsid w:val="00990806"/>
    <w:pPr>
      <w:ind w:left="4252"/>
    </w:pPr>
  </w:style>
  <w:style w:type="paragraph" w:styleId="Date">
    <w:name w:val="Date"/>
    <w:basedOn w:val="Normal"/>
    <w:next w:val="Normal"/>
    <w:semiHidden/>
    <w:rsid w:val="00990806"/>
  </w:style>
  <w:style w:type="paragraph" w:styleId="E-mailSignature">
    <w:name w:val="E-mail Signature"/>
    <w:basedOn w:val="Normal"/>
    <w:semiHidden/>
    <w:rsid w:val="00990806"/>
  </w:style>
  <w:style w:type="character" w:styleId="Emphasis">
    <w:name w:val="Emphasis"/>
    <w:basedOn w:val="DefaultParagraphFont"/>
    <w:qFormat/>
    <w:rsid w:val="00990806"/>
    <w:rPr>
      <w:i/>
      <w:iCs/>
    </w:rPr>
  </w:style>
  <w:style w:type="paragraph" w:styleId="EnvelopeAddress">
    <w:name w:val="envelope address"/>
    <w:basedOn w:val="Normal"/>
    <w:semiHidden/>
    <w:rsid w:val="0099080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990806"/>
    <w:rPr>
      <w:rFonts w:ascii="Arial" w:hAnsi="Arial" w:cs="Arial"/>
      <w:sz w:val="20"/>
      <w:szCs w:val="20"/>
    </w:rPr>
  </w:style>
  <w:style w:type="character" w:styleId="FollowedHyperlink">
    <w:name w:val="FollowedHyperlink"/>
    <w:basedOn w:val="DefaultParagraphFont"/>
    <w:semiHidden/>
    <w:rsid w:val="00990806"/>
    <w:rPr>
      <w:color w:val="800080"/>
      <w:u w:val="single"/>
    </w:rPr>
  </w:style>
  <w:style w:type="paragraph" w:styleId="Header">
    <w:name w:val="header"/>
    <w:basedOn w:val="Normal"/>
    <w:rsid w:val="00990806"/>
    <w:pPr>
      <w:tabs>
        <w:tab w:val="center" w:pos="3969"/>
        <w:tab w:val="right" w:pos="8505"/>
      </w:tabs>
      <w:jc w:val="both"/>
    </w:pPr>
    <w:rPr>
      <w:rFonts w:ascii="Arial" w:hAnsi="Arial"/>
      <w:sz w:val="16"/>
    </w:rPr>
  </w:style>
  <w:style w:type="character" w:styleId="HTMLAcronym">
    <w:name w:val="HTML Acronym"/>
    <w:basedOn w:val="DefaultParagraphFont"/>
    <w:semiHidden/>
    <w:rsid w:val="00990806"/>
  </w:style>
  <w:style w:type="paragraph" w:styleId="HTMLAddress">
    <w:name w:val="HTML Address"/>
    <w:basedOn w:val="Normal"/>
    <w:semiHidden/>
    <w:rsid w:val="00990806"/>
    <w:rPr>
      <w:i/>
      <w:iCs/>
    </w:rPr>
  </w:style>
  <w:style w:type="character" w:styleId="HTMLCite">
    <w:name w:val="HTML Cite"/>
    <w:basedOn w:val="DefaultParagraphFont"/>
    <w:semiHidden/>
    <w:rsid w:val="00990806"/>
    <w:rPr>
      <w:i/>
      <w:iCs/>
    </w:rPr>
  </w:style>
  <w:style w:type="character" w:styleId="HTMLCode">
    <w:name w:val="HTML Code"/>
    <w:basedOn w:val="DefaultParagraphFont"/>
    <w:semiHidden/>
    <w:rsid w:val="00990806"/>
    <w:rPr>
      <w:rFonts w:ascii="Courier New" w:hAnsi="Courier New" w:cs="Courier New"/>
      <w:sz w:val="20"/>
      <w:szCs w:val="20"/>
    </w:rPr>
  </w:style>
  <w:style w:type="character" w:styleId="HTMLDefinition">
    <w:name w:val="HTML Definition"/>
    <w:basedOn w:val="DefaultParagraphFont"/>
    <w:semiHidden/>
    <w:rsid w:val="00990806"/>
    <w:rPr>
      <w:i/>
      <w:iCs/>
    </w:rPr>
  </w:style>
  <w:style w:type="character" w:styleId="HTMLKeyboard">
    <w:name w:val="HTML Keyboard"/>
    <w:basedOn w:val="DefaultParagraphFont"/>
    <w:semiHidden/>
    <w:rsid w:val="00990806"/>
    <w:rPr>
      <w:rFonts w:ascii="Courier New" w:hAnsi="Courier New" w:cs="Courier New"/>
      <w:sz w:val="20"/>
      <w:szCs w:val="20"/>
    </w:rPr>
  </w:style>
  <w:style w:type="paragraph" w:styleId="HTMLPreformatted">
    <w:name w:val="HTML Preformatted"/>
    <w:basedOn w:val="Normal"/>
    <w:semiHidden/>
    <w:rsid w:val="00990806"/>
    <w:rPr>
      <w:rFonts w:ascii="Courier New" w:hAnsi="Courier New" w:cs="Courier New"/>
      <w:sz w:val="20"/>
      <w:szCs w:val="20"/>
    </w:rPr>
  </w:style>
  <w:style w:type="character" w:styleId="HTMLSample">
    <w:name w:val="HTML Sample"/>
    <w:basedOn w:val="DefaultParagraphFont"/>
    <w:semiHidden/>
    <w:rsid w:val="00990806"/>
    <w:rPr>
      <w:rFonts w:ascii="Courier New" w:hAnsi="Courier New" w:cs="Courier New"/>
    </w:rPr>
  </w:style>
  <w:style w:type="character" w:styleId="HTMLTypewriter">
    <w:name w:val="HTML Typewriter"/>
    <w:basedOn w:val="DefaultParagraphFont"/>
    <w:semiHidden/>
    <w:rsid w:val="00990806"/>
    <w:rPr>
      <w:rFonts w:ascii="Courier New" w:hAnsi="Courier New" w:cs="Courier New"/>
      <w:sz w:val="20"/>
      <w:szCs w:val="20"/>
    </w:rPr>
  </w:style>
  <w:style w:type="character" w:styleId="HTMLVariable">
    <w:name w:val="HTML Variable"/>
    <w:basedOn w:val="DefaultParagraphFont"/>
    <w:semiHidden/>
    <w:rsid w:val="00990806"/>
    <w:rPr>
      <w:i/>
      <w:iCs/>
    </w:rPr>
  </w:style>
  <w:style w:type="character" w:styleId="Hyperlink">
    <w:name w:val="Hyperlink"/>
    <w:basedOn w:val="DefaultParagraphFont"/>
    <w:semiHidden/>
    <w:rsid w:val="00990806"/>
    <w:rPr>
      <w:color w:val="0000FF"/>
      <w:u w:val="single"/>
    </w:rPr>
  </w:style>
  <w:style w:type="character" w:styleId="LineNumber">
    <w:name w:val="line number"/>
    <w:basedOn w:val="DefaultParagraphFont"/>
    <w:semiHidden/>
    <w:rsid w:val="00990806"/>
  </w:style>
  <w:style w:type="paragraph" w:styleId="List">
    <w:name w:val="List"/>
    <w:basedOn w:val="Normal"/>
    <w:semiHidden/>
    <w:rsid w:val="00990806"/>
    <w:pPr>
      <w:ind w:left="283" w:hanging="283"/>
    </w:pPr>
  </w:style>
  <w:style w:type="paragraph" w:styleId="List2">
    <w:name w:val="List 2"/>
    <w:basedOn w:val="Normal"/>
    <w:semiHidden/>
    <w:rsid w:val="00990806"/>
    <w:pPr>
      <w:ind w:left="566" w:hanging="283"/>
    </w:pPr>
  </w:style>
  <w:style w:type="paragraph" w:styleId="List3">
    <w:name w:val="List 3"/>
    <w:basedOn w:val="Normal"/>
    <w:semiHidden/>
    <w:rsid w:val="00990806"/>
    <w:pPr>
      <w:ind w:left="849" w:hanging="283"/>
    </w:pPr>
  </w:style>
  <w:style w:type="paragraph" w:styleId="List4">
    <w:name w:val="List 4"/>
    <w:basedOn w:val="Normal"/>
    <w:semiHidden/>
    <w:rsid w:val="00990806"/>
    <w:pPr>
      <w:ind w:left="1132" w:hanging="283"/>
    </w:pPr>
  </w:style>
  <w:style w:type="paragraph" w:styleId="List5">
    <w:name w:val="List 5"/>
    <w:basedOn w:val="Normal"/>
    <w:semiHidden/>
    <w:rsid w:val="00990806"/>
    <w:pPr>
      <w:ind w:left="1415" w:hanging="283"/>
    </w:pPr>
  </w:style>
  <w:style w:type="paragraph" w:styleId="ListBullet">
    <w:name w:val="List Bullet"/>
    <w:basedOn w:val="Normal"/>
    <w:autoRedefine/>
    <w:semiHidden/>
    <w:rsid w:val="00990806"/>
    <w:pPr>
      <w:tabs>
        <w:tab w:val="num" w:pos="360"/>
      </w:tabs>
      <w:ind w:left="360" w:hanging="360"/>
    </w:pPr>
  </w:style>
  <w:style w:type="paragraph" w:styleId="ListBullet2">
    <w:name w:val="List Bullet 2"/>
    <w:basedOn w:val="Normal"/>
    <w:autoRedefine/>
    <w:semiHidden/>
    <w:rsid w:val="00990806"/>
    <w:pPr>
      <w:tabs>
        <w:tab w:val="num" w:pos="643"/>
      </w:tabs>
      <w:ind w:left="643" w:hanging="360"/>
    </w:pPr>
  </w:style>
  <w:style w:type="paragraph" w:styleId="ListBullet3">
    <w:name w:val="List Bullet 3"/>
    <w:basedOn w:val="Normal"/>
    <w:autoRedefine/>
    <w:semiHidden/>
    <w:rsid w:val="00990806"/>
    <w:pPr>
      <w:tabs>
        <w:tab w:val="num" w:pos="926"/>
      </w:tabs>
      <w:ind w:left="926" w:hanging="360"/>
    </w:pPr>
  </w:style>
  <w:style w:type="paragraph" w:styleId="ListBullet4">
    <w:name w:val="List Bullet 4"/>
    <w:basedOn w:val="Normal"/>
    <w:autoRedefine/>
    <w:semiHidden/>
    <w:rsid w:val="00990806"/>
    <w:pPr>
      <w:tabs>
        <w:tab w:val="num" w:pos="1209"/>
      </w:tabs>
      <w:ind w:left="1209" w:hanging="360"/>
    </w:pPr>
  </w:style>
  <w:style w:type="paragraph" w:styleId="ListBullet5">
    <w:name w:val="List Bullet 5"/>
    <w:basedOn w:val="Normal"/>
    <w:autoRedefine/>
    <w:semiHidden/>
    <w:rsid w:val="00990806"/>
    <w:pPr>
      <w:tabs>
        <w:tab w:val="num" w:pos="1492"/>
      </w:tabs>
      <w:ind w:left="1492" w:hanging="360"/>
    </w:pPr>
  </w:style>
  <w:style w:type="paragraph" w:styleId="ListContinue">
    <w:name w:val="List Continue"/>
    <w:basedOn w:val="Normal"/>
    <w:semiHidden/>
    <w:rsid w:val="00990806"/>
    <w:pPr>
      <w:spacing w:after="120"/>
      <w:ind w:left="283"/>
    </w:pPr>
  </w:style>
  <w:style w:type="paragraph" w:styleId="ListContinue2">
    <w:name w:val="List Continue 2"/>
    <w:basedOn w:val="Normal"/>
    <w:semiHidden/>
    <w:rsid w:val="00990806"/>
    <w:pPr>
      <w:spacing w:after="120"/>
      <w:ind w:left="566"/>
    </w:pPr>
  </w:style>
  <w:style w:type="paragraph" w:styleId="ListContinue3">
    <w:name w:val="List Continue 3"/>
    <w:basedOn w:val="Normal"/>
    <w:semiHidden/>
    <w:rsid w:val="00990806"/>
    <w:pPr>
      <w:spacing w:after="120"/>
      <w:ind w:left="849"/>
    </w:pPr>
  </w:style>
  <w:style w:type="paragraph" w:styleId="ListContinue4">
    <w:name w:val="List Continue 4"/>
    <w:basedOn w:val="Normal"/>
    <w:semiHidden/>
    <w:rsid w:val="00990806"/>
    <w:pPr>
      <w:spacing w:after="120"/>
      <w:ind w:left="1132"/>
    </w:pPr>
  </w:style>
  <w:style w:type="paragraph" w:styleId="ListContinue5">
    <w:name w:val="List Continue 5"/>
    <w:basedOn w:val="Normal"/>
    <w:semiHidden/>
    <w:rsid w:val="00990806"/>
    <w:pPr>
      <w:spacing w:after="120"/>
      <w:ind w:left="1415"/>
    </w:pPr>
  </w:style>
  <w:style w:type="paragraph" w:styleId="ListNumber">
    <w:name w:val="List Number"/>
    <w:basedOn w:val="Normal"/>
    <w:semiHidden/>
    <w:rsid w:val="00990806"/>
    <w:pPr>
      <w:tabs>
        <w:tab w:val="num" w:pos="360"/>
      </w:tabs>
      <w:ind w:left="360" w:hanging="360"/>
    </w:pPr>
  </w:style>
  <w:style w:type="paragraph" w:styleId="ListNumber2">
    <w:name w:val="List Number 2"/>
    <w:basedOn w:val="Normal"/>
    <w:semiHidden/>
    <w:rsid w:val="00990806"/>
    <w:pPr>
      <w:tabs>
        <w:tab w:val="num" w:pos="643"/>
      </w:tabs>
      <w:ind w:left="643" w:hanging="360"/>
    </w:pPr>
  </w:style>
  <w:style w:type="paragraph" w:styleId="ListNumber3">
    <w:name w:val="List Number 3"/>
    <w:basedOn w:val="Normal"/>
    <w:semiHidden/>
    <w:rsid w:val="00990806"/>
    <w:pPr>
      <w:tabs>
        <w:tab w:val="num" w:pos="926"/>
      </w:tabs>
      <w:ind w:left="926" w:hanging="360"/>
    </w:pPr>
  </w:style>
  <w:style w:type="paragraph" w:styleId="ListNumber4">
    <w:name w:val="List Number 4"/>
    <w:basedOn w:val="Normal"/>
    <w:semiHidden/>
    <w:rsid w:val="00990806"/>
    <w:pPr>
      <w:tabs>
        <w:tab w:val="num" w:pos="1209"/>
      </w:tabs>
      <w:ind w:left="1209" w:hanging="360"/>
    </w:pPr>
  </w:style>
  <w:style w:type="paragraph" w:styleId="ListNumber5">
    <w:name w:val="List Number 5"/>
    <w:basedOn w:val="Normal"/>
    <w:semiHidden/>
    <w:rsid w:val="00990806"/>
    <w:pPr>
      <w:tabs>
        <w:tab w:val="num" w:pos="1492"/>
      </w:tabs>
      <w:ind w:left="1492" w:hanging="360"/>
    </w:pPr>
  </w:style>
  <w:style w:type="paragraph" w:styleId="MessageHeader">
    <w:name w:val="Message Header"/>
    <w:basedOn w:val="Normal"/>
    <w:semiHidden/>
    <w:rsid w:val="009908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990806"/>
  </w:style>
  <w:style w:type="paragraph" w:styleId="NormalIndent">
    <w:name w:val="Normal Indent"/>
    <w:basedOn w:val="Normal"/>
    <w:semiHidden/>
    <w:rsid w:val="00990806"/>
    <w:pPr>
      <w:ind w:left="720"/>
    </w:pPr>
  </w:style>
  <w:style w:type="paragraph" w:styleId="NoteHeading">
    <w:name w:val="Note Heading"/>
    <w:basedOn w:val="Normal"/>
    <w:next w:val="Normal"/>
    <w:semiHidden/>
    <w:rsid w:val="00990806"/>
  </w:style>
  <w:style w:type="character" w:styleId="PageNumber">
    <w:name w:val="page number"/>
    <w:basedOn w:val="DefaultParagraphFont"/>
    <w:semiHidden/>
    <w:rsid w:val="00990806"/>
  </w:style>
  <w:style w:type="paragraph" w:styleId="PlainText">
    <w:name w:val="Plain Text"/>
    <w:basedOn w:val="Normal"/>
    <w:rsid w:val="00990806"/>
    <w:rPr>
      <w:rFonts w:ascii="Courier New" w:hAnsi="Courier New" w:cs="Courier New"/>
      <w:sz w:val="20"/>
      <w:szCs w:val="20"/>
    </w:rPr>
  </w:style>
  <w:style w:type="paragraph" w:styleId="Salutation">
    <w:name w:val="Salutation"/>
    <w:basedOn w:val="Normal"/>
    <w:next w:val="Normal"/>
    <w:semiHidden/>
    <w:rsid w:val="00990806"/>
  </w:style>
  <w:style w:type="paragraph" w:styleId="Signature">
    <w:name w:val="Signature"/>
    <w:basedOn w:val="Normal"/>
    <w:semiHidden/>
    <w:rsid w:val="00990806"/>
    <w:pPr>
      <w:ind w:left="4252"/>
    </w:pPr>
  </w:style>
  <w:style w:type="character" w:styleId="Strong">
    <w:name w:val="Strong"/>
    <w:basedOn w:val="DefaultParagraphFont"/>
    <w:qFormat/>
    <w:rsid w:val="00990806"/>
    <w:rPr>
      <w:b/>
      <w:bCs/>
    </w:rPr>
  </w:style>
  <w:style w:type="paragraph" w:styleId="Subtitle">
    <w:name w:val="Subtitle"/>
    <w:basedOn w:val="Normal"/>
    <w:qFormat/>
    <w:rsid w:val="00990806"/>
    <w:pPr>
      <w:spacing w:after="60"/>
      <w:jc w:val="center"/>
      <w:outlineLvl w:val="1"/>
    </w:pPr>
    <w:rPr>
      <w:rFonts w:ascii="Arial" w:hAnsi="Arial" w:cs="Arial"/>
    </w:rPr>
  </w:style>
  <w:style w:type="table" w:styleId="Table3Deffects1">
    <w:name w:val="Table 3D effects 1"/>
    <w:basedOn w:val="TableNormal"/>
    <w:semiHidden/>
    <w:rsid w:val="0099080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080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080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080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080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080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080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080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080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080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080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080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080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080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080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080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080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90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9080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080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080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080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080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080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080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080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080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080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080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08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080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08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08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080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080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080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080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080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080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080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0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080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080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080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990806"/>
    <w:pPr>
      <w:spacing w:before="480"/>
    </w:pPr>
    <w:rPr>
      <w:rFonts w:ascii="Arial" w:hAnsi="Arial" w:cs="Arial"/>
      <w:b/>
      <w:bCs/>
      <w:sz w:val="40"/>
      <w:szCs w:val="40"/>
    </w:rPr>
  </w:style>
  <w:style w:type="paragraph" w:customStyle="1" w:styleId="A1">
    <w:name w:val="A1"/>
    <w:aliases w:val="Heading Amendment,1. Amendment"/>
    <w:basedOn w:val="Normal"/>
    <w:next w:val="Normal"/>
    <w:rsid w:val="00990806"/>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99080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990806"/>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990806"/>
    <w:pPr>
      <w:keepNext/>
      <w:spacing w:before="120" w:line="260" w:lineRule="exact"/>
      <w:ind w:left="964"/>
    </w:pPr>
    <w:rPr>
      <w:i/>
    </w:rPr>
  </w:style>
  <w:style w:type="paragraph" w:customStyle="1" w:styleId="A3">
    <w:name w:val="A3"/>
    <w:aliases w:val="1.2 amendment"/>
    <w:basedOn w:val="Normal"/>
    <w:rsid w:val="00990806"/>
    <w:pPr>
      <w:tabs>
        <w:tab w:val="right" w:pos="794"/>
      </w:tabs>
      <w:spacing w:before="180" w:line="260" w:lineRule="exact"/>
      <w:ind w:left="964" w:hanging="964"/>
      <w:jc w:val="both"/>
    </w:pPr>
  </w:style>
  <w:style w:type="paragraph" w:customStyle="1" w:styleId="A3S">
    <w:name w:val="A3S"/>
    <w:aliases w:val="Schedule Amendment"/>
    <w:basedOn w:val="Normal"/>
    <w:next w:val="A1S"/>
    <w:rsid w:val="00990806"/>
    <w:pPr>
      <w:spacing w:before="60" w:line="260" w:lineRule="exact"/>
      <w:ind w:left="1247"/>
      <w:jc w:val="both"/>
    </w:pPr>
  </w:style>
  <w:style w:type="paragraph" w:customStyle="1" w:styleId="A4">
    <w:name w:val="A4"/>
    <w:aliases w:val="(a) Amendment"/>
    <w:basedOn w:val="Normal"/>
    <w:rsid w:val="00990806"/>
    <w:pPr>
      <w:tabs>
        <w:tab w:val="right" w:pos="1247"/>
      </w:tabs>
      <w:spacing w:before="60" w:line="260" w:lineRule="exact"/>
      <w:ind w:left="1531" w:hanging="1531"/>
      <w:jc w:val="both"/>
    </w:pPr>
  </w:style>
  <w:style w:type="paragraph" w:customStyle="1" w:styleId="A5">
    <w:name w:val="A5"/>
    <w:aliases w:val="(i) Amendment"/>
    <w:basedOn w:val="Normal"/>
    <w:rsid w:val="00990806"/>
    <w:pPr>
      <w:tabs>
        <w:tab w:val="right" w:pos="1758"/>
      </w:tabs>
      <w:spacing w:before="60" w:line="260" w:lineRule="exact"/>
      <w:ind w:left="2041" w:hanging="2041"/>
      <w:jc w:val="both"/>
    </w:pPr>
  </w:style>
  <w:style w:type="paragraph" w:customStyle="1" w:styleId="AN">
    <w:name w:val="AN"/>
    <w:aliases w:val="Note Amendment"/>
    <w:basedOn w:val="Normal"/>
    <w:next w:val="A1"/>
    <w:rsid w:val="00990806"/>
    <w:pPr>
      <w:spacing w:before="120" w:line="220" w:lineRule="exact"/>
      <w:ind w:left="964"/>
      <w:jc w:val="both"/>
    </w:pPr>
    <w:rPr>
      <w:sz w:val="20"/>
    </w:rPr>
  </w:style>
  <w:style w:type="paragraph" w:customStyle="1" w:styleId="ASref">
    <w:name w:val="AS ref"/>
    <w:basedOn w:val="Normal"/>
    <w:next w:val="A1S"/>
    <w:rsid w:val="00990806"/>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990806"/>
    <w:pPr>
      <w:keepNext/>
      <w:spacing w:before="480"/>
      <w:ind w:left="2410" w:hanging="2410"/>
    </w:pPr>
    <w:rPr>
      <w:rFonts w:ascii="Arial" w:hAnsi="Arial"/>
      <w:b/>
      <w:sz w:val="32"/>
    </w:rPr>
  </w:style>
  <w:style w:type="paragraph" w:customStyle="1" w:styleId="ASP">
    <w:name w:val="ASP"/>
    <w:aliases w:val="Schedule Part Amendment"/>
    <w:basedOn w:val="Normal"/>
    <w:next w:val="A1S"/>
    <w:rsid w:val="00990806"/>
    <w:pPr>
      <w:keepNext/>
      <w:spacing w:before="360"/>
      <w:ind w:left="2410" w:hanging="2410"/>
    </w:pPr>
    <w:rPr>
      <w:rFonts w:ascii="Arial" w:hAnsi="Arial"/>
      <w:b/>
      <w:sz w:val="28"/>
    </w:rPr>
  </w:style>
  <w:style w:type="paragraph" w:styleId="BalloonText">
    <w:name w:val="Balloon Text"/>
    <w:basedOn w:val="Normal"/>
    <w:semiHidden/>
    <w:rsid w:val="00990806"/>
    <w:rPr>
      <w:rFonts w:ascii="Tahoma" w:hAnsi="Tahoma" w:cs="Tahoma"/>
      <w:sz w:val="16"/>
      <w:szCs w:val="16"/>
    </w:rPr>
  </w:style>
  <w:style w:type="paragraph" w:styleId="Caption">
    <w:name w:val="caption"/>
    <w:basedOn w:val="Normal"/>
    <w:next w:val="Normal"/>
    <w:qFormat/>
    <w:rsid w:val="00990806"/>
    <w:pPr>
      <w:spacing w:before="120" w:after="120"/>
    </w:pPr>
    <w:rPr>
      <w:b/>
      <w:bCs/>
      <w:sz w:val="20"/>
      <w:szCs w:val="20"/>
    </w:rPr>
  </w:style>
  <w:style w:type="character" w:customStyle="1" w:styleId="CharAmSchNo">
    <w:name w:val="CharAmSchNo"/>
    <w:basedOn w:val="DefaultParagraphFont"/>
    <w:rsid w:val="00990806"/>
  </w:style>
  <w:style w:type="character" w:customStyle="1" w:styleId="CharAmSchText">
    <w:name w:val="CharAmSchText"/>
    <w:basedOn w:val="DefaultParagraphFont"/>
    <w:rsid w:val="00990806"/>
  </w:style>
  <w:style w:type="character" w:customStyle="1" w:styleId="CharChapNo">
    <w:name w:val="CharChapNo"/>
    <w:basedOn w:val="DefaultParagraphFont"/>
    <w:rsid w:val="00990806"/>
  </w:style>
  <w:style w:type="character" w:customStyle="1" w:styleId="CharChapText">
    <w:name w:val="CharChapText"/>
    <w:basedOn w:val="DefaultParagraphFont"/>
    <w:rsid w:val="00990806"/>
  </w:style>
  <w:style w:type="character" w:customStyle="1" w:styleId="CharDivNo">
    <w:name w:val="CharDivNo"/>
    <w:basedOn w:val="DefaultParagraphFont"/>
    <w:rsid w:val="00990806"/>
  </w:style>
  <w:style w:type="character" w:customStyle="1" w:styleId="CharDivText">
    <w:name w:val="CharDivText"/>
    <w:basedOn w:val="DefaultParagraphFont"/>
    <w:rsid w:val="00990806"/>
  </w:style>
  <w:style w:type="character" w:customStyle="1" w:styleId="CharPartNo">
    <w:name w:val="CharPartNo"/>
    <w:basedOn w:val="DefaultParagraphFont"/>
    <w:rsid w:val="00990806"/>
  </w:style>
  <w:style w:type="character" w:customStyle="1" w:styleId="CharPartText">
    <w:name w:val="CharPartText"/>
    <w:basedOn w:val="DefaultParagraphFont"/>
    <w:rsid w:val="00990806"/>
  </w:style>
  <w:style w:type="character" w:customStyle="1" w:styleId="CharSchPTNo">
    <w:name w:val="CharSchPTNo"/>
    <w:basedOn w:val="DefaultParagraphFont"/>
    <w:rsid w:val="00990806"/>
  </w:style>
  <w:style w:type="character" w:customStyle="1" w:styleId="CharSchPTText">
    <w:name w:val="CharSchPTText"/>
    <w:basedOn w:val="DefaultParagraphFont"/>
    <w:rsid w:val="00990806"/>
  </w:style>
  <w:style w:type="character" w:customStyle="1" w:styleId="CharSectno">
    <w:name w:val="CharSectno"/>
    <w:basedOn w:val="DefaultParagraphFont"/>
    <w:rsid w:val="00990806"/>
  </w:style>
  <w:style w:type="character" w:styleId="CommentReference">
    <w:name w:val="annotation reference"/>
    <w:basedOn w:val="DefaultParagraphFont"/>
    <w:semiHidden/>
    <w:rsid w:val="00990806"/>
    <w:rPr>
      <w:sz w:val="16"/>
      <w:szCs w:val="16"/>
    </w:rPr>
  </w:style>
  <w:style w:type="paragraph" w:styleId="CommentText">
    <w:name w:val="annotation text"/>
    <w:basedOn w:val="Normal"/>
    <w:semiHidden/>
    <w:rsid w:val="00990806"/>
    <w:rPr>
      <w:sz w:val="20"/>
      <w:szCs w:val="20"/>
    </w:rPr>
  </w:style>
  <w:style w:type="paragraph" w:styleId="CommentSubject">
    <w:name w:val="annotation subject"/>
    <w:basedOn w:val="CommentText"/>
    <w:next w:val="CommentText"/>
    <w:semiHidden/>
    <w:rsid w:val="00990806"/>
    <w:rPr>
      <w:b/>
      <w:bCs/>
    </w:rPr>
  </w:style>
  <w:style w:type="paragraph" w:customStyle="1" w:styleId="ContentsHead">
    <w:name w:val="ContentsHead"/>
    <w:basedOn w:val="Normal"/>
    <w:next w:val="Normal"/>
    <w:rsid w:val="00990806"/>
    <w:pPr>
      <w:keepNext/>
      <w:spacing w:before="240" w:after="240"/>
    </w:pPr>
    <w:rPr>
      <w:rFonts w:ascii="Arial" w:hAnsi="Arial"/>
      <w:b/>
      <w:sz w:val="28"/>
    </w:rPr>
  </w:style>
  <w:style w:type="paragraph" w:customStyle="1" w:styleId="ContentsSectionBreak">
    <w:name w:val="ContentsSectionBreak"/>
    <w:basedOn w:val="Normal"/>
    <w:next w:val="Normal"/>
    <w:rsid w:val="00990806"/>
  </w:style>
  <w:style w:type="paragraph" w:customStyle="1" w:styleId="DD">
    <w:name w:val="DD"/>
    <w:aliases w:val="Dictionary Definition"/>
    <w:basedOn w:val="Normal"/>
    <w:rsid w:val="00990806"/>
    <w:pPr>
      <w:spacing w:before="80" w:line="260" w:lineRule="exact"/>
      <w:jc w:val="both"/>
    </w:pPr>
  </w:style>
  <w:style w:type="paragraph" w:customStyle="1" w:styleId="definition">
    <w:name w:val="definition"/>
    <w:basedOn w:val="Normal"/>
    <w:rsid w:val="00990806"/>
    <w:pPr>
      <w:spacing w:before="80" w:line="260" w:lineRule="exact"/>
      <w:ind w:left="964"/>
      <w:jc w:val="both"/>
    </w:pPr>
  </w:style>
  <w:style w:type="paragraph" w:customStyle="1" w:styleId="DictionaryHeading">
    <w:name w:val="Dictionary Heading"/>
    <w:basedOn w:val="Normal"/>
    <w:next w:val="DD"/>
    <w:rsid w:val="00990806"/>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990806"/>
  </w:style>
  <w:style w:type="paragraph" w:customStyle="1" w:styleId="DNote">
    <w:name w:val="DNote"/>
    <w:aliases w:val="DictionaryNote"/>
    <w:basedOn w:val="Normal"/>
    <w:rsid w:val="00990806"/>
    <w:pPr>
      <w:spacing w:before="120" w:line="220" w:lineRule="exact"/>
      <w:ind w:left="425"/>
      <w:jc w:val="both"/>
    </w:pPr>
    <w:rPr>
      <w:sz w:val="20"/>
    </w:rPr>
  </w:style>
  <w:style w:type="paragraph" w:styleId="DocumentMap">
    <w:name w:val="Document Map"/>
    <w:basedOn w:val="Normal"/>
    <w:semiHidden/>
    <w:rsid w:val="00990806"/>
    <w:pPr>
      <w:shd w:val="clear" w:color="auto" w:fill="000080"/>
    </w:pPr>
    <w:rPr>
      <w:rFonts w:ascii="Tahoma" w:hAnsi="Tahoma" w:cs="Tahoma"/>
    </w:rPr>
  </w:style>
  <w:style w:type="paragraph" w:customStyle="1" w:styleId="DP1a">
    <w:name w:val="DP1(a)"/>
    <w:aliases w:val="Dictionary (a)"/>
    <w:basedOn w:val="Normal"/>
    <w:rsid w:val="00990806"/>
    <w:pPr>
      <w:tabs>
        <w:tab w:val="right" w:pos="709"/>
      </w:tabs>
      <w:spacing w:before="60" w:line="260" w:lineRule="exact"/>
      <w:ind w:left="936" w:hanging="936"/>
      <w:jc w:val="both"/>
    </w:pPr>
  </w:style>
  <w:style w:type="paragraph" w:customStyle="1" w:styleId="DP2i">
    <w:name w:val="DP2(i)"/>
    <w:aliases w:val="Dictionary(i)"/>
    <w:basedOn w:val="Normal"/>
    <w:rsid w:val="00990806"/>
    <w:pPr>
      <w:tabs>
        <w:tab w:val="right" w:pos="1276"/>
      </w:tabs>
      <w:spacing w:before="60" w:line="260" w:lineRule="exact"/>
      <w:ind w:left="1503" w:hanging="1503"/>
      <w:jc w:val="both"/>
    </w:pPr>
  </w:style>
  <w:style w:type="character" w:styleId="EndnoteReference">
    <w:name w:val="endnote reference"/>
    <w:basedOn w:val="DefaultParagraphFont"/>
    <w:semiHidden/>
    <w:rsid w:val="00990806"/>
    <w:rPr>
      <w:vertAlign w:val="superscript"/>
    </w:rPr>
  </w:style>
  <w:style w:type="paragraph" w:styleId="EndnoteText">
    <w:name w:val="endnote text"/>
    <w:basedOn w:val="Normal"/>
    <w:semiHidden/>
    <w:rsid w:val="00990806"/>
    <w:rPr>
      <w:sz w:val="20"/>
      <w:szCs w:val="20"/>
    </w:rPr>
  </w:style>
  <w:style w:type="paragraph" w:customStyle="1" w:styleId="ExampleBody">
    <w:name w:val="Example Body"/>
    <w:basedOn w:val="Normal"/>
    <w:rsid w:val="00990806"/>
    <w:pPr>
      <w:spacing w:before="60" w:line="220" w:lineRule="exact"/>
      <w:ind w:left="964"/>
      <w:jc w:val="both"/>
    </w:pPr>
    <w:rPr>
      <w:sz w:val="20"/>
    </w:rPr>
  </w:style>
  <w:style w:type="paragraph" w:customStyle="1" w:styleId="ExampleList">
    <w:name w:val="Example List"/>
    <w:basedOn w:val="Normal"/>
    <w:rsid w:val="00990806"/>
    <w:pPr>
      <w:tabs>
        <w:tab w:val="left" w:pos="1247"/>
        <w:tab w:val="left" w:pos="1349"/>
      </w:tabs>
      <w:spacing w:before="60" w:line="220" w:lineRule="exact"/>
      <w:ind w:left="340" w:firstLine="652"/>
      <w:jc w:val="both"/>
    </w:pPr>
    <w:rPr>
      <w:sz w:val="20"/>
    </w:rPr>
  </w:style>
  <w:style w:type="character" w:styleId="FootnoteReference">
    <w:name w:val="footnote reference"/>
    <w:aliases w:val="Appel note de bas de p,Appel note de bas de p + 11 pt,Italic,Footnote"/>
    <w:basedOn w:val="DefaultParagraphFont"/>
    <w:rsid w:val="00990806"/>
    <w:rPr>
      <w:rFonts w:ascii="Times New Roman" w:hAnsi="Times New Roman"/>
      <w:sz w:val="20"/>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rsid w:val="00990806"/>
    <w:rPr>
      <w:sz w:val="20"/>
      <w:szCs w:val="20"/>
    </w:rPr>
  </w:style>
  <w:style w:type="paragraph" w:customStyle="1" w:styleId="Formula">
    <w:name w:val="Formula"/>
    <w:basedOn w:val="Normal"/>
    <w:next w:val="Normal"/>
    <w:rsid w:val="00990806"/>
    <w:pPr>
      <w:spacing w:before="180" w:after="180"/>
      <w:jc w:val="center"/>
    </w:pPr>
  </w:style>
  <w:style w:type="paragraph" w:customStyle="1" w:styleId="HC">
    <w:name w:val="HC"/>
    <w:aliases w:val="Chapter Heading"/>
    <w:basedOn w:val="Normal"/>
    <w:next w:val="Normal"/>
    <w:rsid w:val="00990806"/>
    <w:pPr>
      <w:keepNext/>
      <w:spacing w:before="480"/>
      <w:ind w:left="2410" w:hanging="2410"/>
    </w:pPr>
    <w:rPr>
      <w:rFonts w:ascii="Arial" w:hAnsi="Arial"/>
      <w:b/>
      <w:sz w:val="40"/>
    </w:rPr>
  </w:style>
  <w:style w:type="paragraph" w:customStyle="1" w:styleId="HD">
    <w:name w:val="HD"/>
    <w:aliases w:val="Division Heading"/>
    <w:basedOn w:val="Normal"/>
    <w:next w:val="Normal"/>
    <w:rsid w:val="00990806"/>
    <w:pPr>
      <w:keepNext/>
      <w:spacing w:before="360"/>
      <w:ind w:left="2410" w:hanging="2410"/>
    </w:pPr>
    <w:rPr>
      <w:rFonts w:ascii="Arial" w:hAnsi="Arial"/>
      <w:b/>
      <w:sz w:val="28"/>
    </w:rPr>
  </w:style>
  <w:style w:type="paragraph" w:customStyle="1" w:styleId="HE">
    <w:name w:val="HE"/>
    <w:aliases w:val="Example heading"/>
    <w:basedOn w:val="Normal"/>
    <w:next w:val="ExampleBody"/>
    <w:rsid w:val="00990806"/>
    <w:pPr>
      <w:keepNext/>
      <w:spacing w:before="120" w:line="220" w:lineRule="exact"/>
      <w:ind w:left="964"/>
    </w:pPr>
    <w:rPr>
      <w:i/>
      <w:sz w:val="20"/>
    </w:rPr>
  </w:style>
  <w:style w:type="paragraph" w:customStyle="1" w:styleId="HP">
    <w:name w:val="HP"/>
    <w:aliases w:val="Part Heading"/>
    <w:basedOn w:val="Normal"/>
    <w:next w:val="HD"/>
    <w:rsid w:val="00990806"/>
    <w:pPr>
      <w:keepNext/>
      <w:spacing w:before="360"/>
      <w:ind w:left="2410" w:hanging="2410"/>
    </w:pPr>
    <w:rPr>
      <w:rFonts w:ascii="Arial" w:hAnsi="Arial"/>
      <w:b/>
      <w:sz w:val="32"/>
    </w:rPr>
  </w:style>
  <w:style w:type="paragraph" w:customStyle="1" w:styleId="HR">
    <w:name w:val="HR"/>
    <w:aliases w:val="Regulation Heading"/>
    <w:basedOn w:val="Normal"/>
    <w:next w:val="R1"/>
    <w:rsid w:val="00990806"/>
    <w:pPr>
      <w:keepNext/>
      <w:spacing w:before="360"/>
      <w:ind w:left="964" w:hanging="964"/>
    </w:pPr>
    <w:rPr>
      <w:rFonts w:ascii="Arial" w:hAnsi="Arial"/>
      <w:b/>
    </w:rPr>
  </w:style>
  <w:style w:type="paragraph" w:customStyle="1" w:styleId="HS">
    <w:name w:val="HS"/>
    <w:aliases w:val="Subdiv Heading"/>
    <w:basedOn w:val="Normal"/>
    <w:next w:val="HR"/>
    <w:rsid w:val="00990806"/>
    <w:pPr>
      <w:keepNext/>
      <w:spacing w:before="360"/>
      <w:ind w:left="2410" w:hanging="2410"/>
    </w:pPr>
    <w:rPr>
      <w:rFonts w:ascii="Arial" w:hAnsi="Arial"/>
      <w:b/>
    </w:rPr>
  </w:style>
  <w:style w:type="paragraph" w:customStyle="1" w:styleId="HSR">
    <w:name w:val="HSR"/>
    <w:aliases w:val="Subregulation Heading"/>
    <w:basedOn w:val="Normal"/>
    <w:next w:val="Normal"/>
    <w:rsid w:val="00990806"/>
    <w:pPr>
      <w:keepNext/>
      <w:spacing w:before="300"/>
      <w:ind w:left="964"/>
    </w:pPr>
    <w:rPr>
      <w:rFonts w:ascii="Arial" w:hAnsi="Arial"/>
      <w:i/>
    </w:rPr>
  </w:style>
  <w:style w:type="paragraph" w:styleId="Index1">
    <w:name w:val="index 1"/>
    <w:basedOn w:val="Normal"/>
    <w:next w:val="Normal"/>
    <w:autoRedefine/>
    <w:semiHidden/>
    <w:rsid w:val="00990806"/>
    <w:pPr>
      <w:ind w:left="240" w:hanging="240"/>
    </w:pPr>
  </w:style>
  <w:style w:type="paragraph" w:styleId="Index2">
    <w:name w:val="index 2"/>
    <w:basedOn w:val="Normal"/>
    <w:next w:val="Normal"/>
    <w:autoRedefine/>
    <w:semiHidden/>
    <w:rsid w:val="00990806"/>
    <w:pPr>
      <w:ind w:left="480" w:hanging="240"/>
    </w:pPr>
  </w:style>
  <w:style w:type="paragraph" w:styleId="Index3">
    <w:name w:val="index 3"/>
    <w:basedOn w:val="Normal"/>
    <w:next w:val="Normal"/>
    <w:autoRedefine/>
    <w:semiHidden/>
    <w:rsid w:val="00990806"/>
    <w:pPr>
      <w:ind w:left="720" w:hanging="240"/>
    </w:pPr>
  </w:style>
  <w:style w:type="paragraph" w:styleId="Index4">
    <w:name w:val="index 4"/>
    <w:basedOn w:val="Normal"/>
    <w:next w:val="Normal"/>
    <w:autoRedefine/>
    <w:semiHidden/>
    <w:rsid w:val="00990806"/>
    <w:pPr>
      <w:ind w:left="960" w:hanging="240"/>
    </w:pPr>
  </w:style>
  <w:style w:type="paragraph" w:styleId="Index5">
    <w:name w:val="index 5"/>
    <w:basedOn w:val="Normal"/>
    <w:next w:val="Normal"/>
    <w:autoRedefine/>
    <w:semiHidden/>
    <w:rsid w:val="00990806"/>
    <w:pPr>
      <w:ind w:left="1200" w:hanging="240"/>
    </w:pPr>
  </w:style>
  <w:style w:type="paragraph" w:styleId="Index6">
    <w:name w:val="index 6"/>
    <w:basedOn w:val="Normal"/>
    <w:next w:val="Normal"/>
    <w:autoRedefine/>
    <w:semiHidden/>
    <w:rsid w:val="00990806"/>
    <w:pPr>
      <w:ind w:left="1440" w:hanging="240"/>
    </w:pPr>
  </w:style>
  <w:style w:type="paragraph" w:styleId="Index7">
    <w:name w:val="index 7"/>
    <w:basedOn w:val="Normal"/>
    <w:next w:val="Normal"/>
    <w:autoRedefine/>
    <w:semiHidden/>
    <w:rsid w:val="00990806"/>
    <w:pPr>
      <w:ind w:left="1680" w:hanging="240"/>
    </w:pPr>
  </w:style>
  <w:style w:type="paragraph" w:styleId="Index8">
    <w:name w:val="index 8"/>
    <w:basedOn w:val="Normal"/>
    <w:next w:val="Normal"/>
    <w:autoRedefine/>
    <w:semiHidden/>
    <w:rsid w:val="00990806"/>
    <w:pPr>
      <w:ind w:left="1920" w:hanging="240"/>
    </w:pPr>
  </w:style>
  <w:style w:type="paragraph" w:styleId="Index9">
    <w:name w:val="index 9"/>
    <w:basedOn w:val="Normal"/>
    <w:next w:val="Normal"/>
    <w:autoRedefine/>
    <w:semiHidden/>
    <w:rsid w:val="00990806"/>
    <w:pPr>
      <w:ind w:left="2160" w:hanging="240"/>
    </w:pPr>
  </w:style>
  <w:style w:type="paragraph" w:styleId="IndexHeading">
    <w:name w:val="index heading"/>
    <w:basedOn w:val="Normal"/>
    <w:next w:val="Index1"/>
    <w:semiHidden/>
    <w:rsid w:val="00990806"/>
    <w:rPr>
      <w:rFonts w:ascii="Arial" w:hAnsi="Arial" w:cs="Arial"/>
      <w:b/>
      <w:bCs/>
    </w:rPr>
  </w:style>
  <w:style w:type="paragraph" w:customStyle="1" w:styleId="Lt">
    <w:name w:val="Lt"/>
    <w:aliases w:val="Long title"/>
    <w:basedOn w:val="Normal"/>
    <w:rsid w:val="00990806"/>
    <w:pPr>
      <w:spacing w:before="260"/>
    </w:pPr>
    <w:rPr>
      <w:rFonts w:ascii="Arial" w:hAnsi="Arial"/>
      <w:b/>
      <w:sz w:val="28"/>
    </w:rPr>
  </w:style>
  <w:style w:type="paragraph" w:customStyle="1" w:styleId="M1">
    <w:name w:val="M1"/>
    <w:aliases w:val="Modification Heading"/>
    <w:basedOn w:val="Normal"/>
    <w:next w:val="Normal"/>
    <w:rsid w:val="00990806"/>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990806"/>
    <w:pPr>
      <w:keepNext/>
      <w:spacing w:before="120" w:line="260" w:lineRule="exact"/>
      <w:ind w:left="964"/>
    </w:pPr>
    <w:rPr>
      <w:i/>
    </w:rPr>
  </w:style>
  <w:style w:type="paragraph" w:customStyle="1" w:styleId="M3">
    <w:name w:val="M3"/>
    <w:aliases w:val="Modification Text"/>
    <w:basedOn w:val="Normal"/>
    <w:next w:val="M1"/>
    <w:rsid w:val="00990806"/>
    <w:pPr>
      <w:spacing w:before="60" w:line="260" w:lineRule="exact"/>
      <w:ind w:left="1247"/>
      <w:jc w:val="both"/>
    </w:pPr>
  </w:style>
  <w:style w:type="paragraph" w:styleId="MacroText">
    <w:name w:val="macro"/>
    <w:semiHidden/>
    <w:rsid w:val="009908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990806"/>
  </w:style>
  <w:style w:type="paragraph" w:customStyle="1" w:styleId="Maker">
    <w:name w:val="Maker"/>
    <w:basedOn w:val="Normal"/>
    <w:rsid w:val="00990806"/>
    <w:pPr>
      <w:tabs>
        <w:tab w:val="left" w:pos="3119"/>
      </w:tabs>
      <w:spacing w:line="300" w:lineRule="atLeast"/>
    </w:pPr>
  </w:style>
  <w:style w:type="paragraph" w:customStyle="1" w:styleId="MHD">
    <w:name w:val="MHD"/>
    <w:aliases w:val="Mod Division Heading"/>
    <w:basedOn w:val="Normal"/>
    <w:next w:val="Normal"/>
    <w:rsid w:val="00990806"/>
    <w:pPr>
      <w:keepNext/>
      <w:spacing w:before="360"/>
      <w:ind w:left="2410" w:hanging="2410"/>
    </w:pPr>
    <w:rPr>
      <w:b/>
      <w:sz w:val="28"/>
    </w:rPr>
  </w:style>
  <w:style w:type="paragraph" w:customStyle="1" w:styleId="MHP">
    <w:name w:val="MHP"/>
    <w:aliases w:val="Mod Part Heading"/>
    <w:basedOn w:val="Normal"/>
    <w:next w:val="Normal"/>
    <w:rsid w:val="00990806"/>
    <w:pPr>
      <w:keepNext/>
      <w:spacing w:before="360"/>
      <w:ind w:left="2410" w:hanging="2410"/>
    </w:pPr>
    <w:rPr>
      <w:b/>
      <w:sz w:val="32"/>
    </w:rPr>
  </w:style>
  <w:style w:type="paragraph" w:customStyle="1" w:styleId="MHR">
    <w:name w:val="MHR"/>
    <w:aliases w:val="Mod Regulation Heading"/>
    <w:basedOn w:val="Normal"/>
    <w:next w:val="Normal"/>
    <w:rsid w:val="00990806"/>
    <w:pPr>
      <w:keepNext/>
      <w:spacing w:before="360"/>
      <w:ind w:left="964" w:hanging="964"/>
    </w:pPr>
    <w:rPr>
      <w:b/>
    </w:rPr>
  </w:style>
  <w:style w:type="paragraph" w:customStyle="1" w:styleId="MHS">
    <w:name w:val="MHS"/>
    <w:aliases w:val="Mod Subdivision Heading"/>
    <w:basedOn w:val="Normal"/>
    <w:next w:val="MHR"/>
    <w:rsid w:val="00990806"/>
    <w:pPr>
      <w:keepNext/>
      <w:spacing w:before="360"/>
      <w:ind w:left="2410" w:hanging="2410"/>
    </w:pPr>
    <w:rPr>
      <w:b/>
    </w:rPr>
  </w:style>
  <w:style w:type="paragraph" w:customStyle="1" w:styleId="MHSR">
    <w:name w:val="MHSR"/>
    <w:aliases w:val="Mod Subregulation Heading"/>
    <w:basedOn w:val="Normal"/>
    <w:next w:val="Normal"/>
    <w:rsid w:val="00990806"/>
    <w:pPr>
      <w:keepNext/>
      <w:spacing w:before="300"/>
      <w:ind w:left="964" w:hanging="964"/>
    </w:pPr>
    <w:rPr>
      <w:i/>
    </w:rPr>
  </w:style>
  <w:style w:type="paragraph" w:customStyle="1" w:styleId="Note">
    <w:name w:val="Note"/>
    <w:basedOn w:val="Normal"/>
    <w:rsid w:val="00990806"/>
    <w:pPr>
      <w:spacing w:before="120" w:line="220" w:lineRule="exact"/>
      <w:ind w:left="964"/>
      <w:jc w:val="both"/>
    </w:pPr>
    <w:rPr>
      <w:sz w:val="20"/>
    </w:rPr>
  </w:style>
  <w:style w:type="paragraph" w:customStyle="1" w:styleId="NoteEnd">
    <w:name w:val="Note End"/>
    <w:basedOn w:val="Normal"/>
    <w:rsid w:val="00990806"/>
    <w:pPr>
      <w:spacing w:before="120" w:line="240" w:lineRule="exact"/>
      <w:ind w:left="567" w:hanging="567"/>
      <w:jc w:val="both"/>
    </w:pPr>
    <w:rPr>
      <w:sz w:val="22"/>
    </w:rPr>
  </w:style>
  <w:style w:type="paragraph" w:customStyle="1" w:styleId="Notepara">
    <w:name w:val="Note para"/>
    <w:basedOn w:val="Normal"/>
    <w:rsid w:val="00990806"/>
    <w:pPr>
      <w:spacing w:before="60" w:line="220" w:lineRule="exact"/>
      <w:ind w:left="1304" w:hanging="340"/>
      <w:jc w:val="both"/>
    </w:pPr>
    <w:rPr>
      <w:sz w:val="20"/>
    </w:rPr>
  </w:style>
  <w:style w:type="paragraph" w:customStyle="1" w:styleId="NotesSectionBreak">
    <w:name w:val="NotesSectionBreak"/>
    <w:basedOn w:val="Normal"/>
    <w:next w:val="Normal"/>
    <w:rsid w:val="00990806"/>
  </w:style>
  <w:style w:type="paragraph" w:customStyle="1" w:styleId="P1">
    <w:name w:val="P1"/>
    <w:aliases w:val="(a)"/>
    <w:basedOn w:val="Normal"/>
    <w:rsid w:val="00990806"/>
    <w:pPr>
      <w:tabs>
        <w:tab w:val="right" w:pos="1191"/>
      </w:tabs>
      <w:spacing w:before="60" w:line="260" w:lineRule="exact"/>
      <w:ind w:left="1418" w:hanging="1418"/>
      <w:jc w:val="both"/>
    </w:pPr>
  </w:style>
  <w:style w:type="paragraph" w:customStyle="1" w:styleId="P2">
    <w:name w:val="P2"/>
    <w:aliases w:val="(i)"/>
    <w:basedOn w:val="Normal"/>
    <w:rsid w:val="00990806"/>
    <w:pPr>
      <w:tabs>
        <w:tab w:val="right" w:pos="1758"/>
        <w:tab w:val="left" w:pos="2155"/>
      </w:tabs>
      <w:spacing w:before="60" w:line="260" w:lineRule="exact"/>
      <w:ind w:left="1985" w:hanging="1985"/>
      <w:jc w:val="both"/>
    </w:pPr>
  </w:style>
  <w:style w:type="paragraph" w:customStyle="1" w:styleId="P3">
    <w:name w:val="P3"/>
    <w:aliases w:val="(A)"/>
    <w:basedOn w:val="Normal"/>
    <w:rsid w:val="00990806"/>
    <w:pPr>
      <w:tabs>
        <w:tab w:val="right" w:pos="2410"/>
      </w:tabs>
      <w:spacing w:before="60" w:line="260" w:lineRule="exact"/>
      <w:ind w:left="2693" w:hanging="2693"/>
      <w:jc w:val="both"/>
    </w:pPr>
  </w:style>
  <w:style w:type="paragraph" w:customStyle="1" w:styleId="P4">
    <w:name w:val="P4"/>
    <w:aliases w:val="(I)"/>
    <w:basedOn w:val="Normal"/>
    <w:rsid w:val="00990806"/>
    <w:pPr>
      <w:tabs>
        <w:tab w:val="right" w:pos="3119"/>
      </w:tabs>
      <w:spacing w:before="60" w:line="260" w:lineRule="exact"/>
      <w:ind w:left="3419" w:hanging="3419"/>
      <w:jc w:val="both"/>
    </w:pPr>
  </w:style>
  <w:style w:type="paragraph" w:customStyle="1" w:styleId="PageBreak">
    <w:name w:val="PageBreak"/>
    <w:aliases w:val="pb"/>
    <w:basedOn w:val="Normal"/>
    <w:next w:val="Normal"/>
    <w:rsid w:val="00990806"/>
    <w:rPr>
      <w:sz w:val="4"/>
      <w:szCs w:val="2"/>
    </w:rPr>
  </w:style>
  <w:style w:type="paragraph" w:customStyle="1" w:styleId="Penalty">
    <w:name w:val="Penalty"/>
    <w:basedOn w:val="Normal"/>
    <w:next w:val="Normal"/>
    <w:rsid w:val="00990806"/>
    <w:pPr>
      <w:spacing w:before="180" w:line="260" w:lineRule="exact"/>
      <w:ind w:left="964"/>
      <w:jc w:val="both"/>
    </w:pPr>
  </w:style>
  <w:style w:type="paragraph" w:customStyle="1" w:styleId="Query">
    <w:name w:val="Query"/>
    <w:aliases w:val="QY"/>
    <w:basedOn w:val="Normal"/>
    <w:rsid w:val="00990806"/>
    <w:pPr>
      <w:spacing w:before="180" w:line="260" w:lineRule="exact"/>
      <w:ind w:left="964" w:hanging="964"/>
      <w:jc w:val="both"/>
    </w:pPr>
    <w:rPr>
      <w:b/>
      <w:i/>
    </w:rPr>
  </w:style>
  <w:style w:type="paragraph" w:customStyle="1" w:styleId="R1">
    <w:name w:val="R1"/>
    <w:aliases w:val="1. or 1.(1)"/>
    <w:basedOn w:val="Normal"/>
    <w:next w:val="R2"/>
    <w:rsid w:val="00990806"/>
    <w:pPr>
      <w:tabs>
        <w:tab w:val="right" w:pos="794"/>
      </w:tabs>
      <w:spacing w:before="120" w:line="260" w:lineRule="exact"/>
      <w:ind w:left="964" w:hanging="964"/>
      <w:jc w:val="both"/>
    </w:pPr>
  </w:style>
  <w:style w:type="paragraph" w:customStyle="1" w:styleId="R2">
    <w:name w:val="R2"/>
    <w:aliases w:val="(2)"/>
    <w:basedOn w:val="Normal"/>
    <w:rsid w:val="00990806"/>
    <w:pPr>
      <w:tabs>
        <w:tab w:val="right" w:pos="794"/>
      </w:tabs>
      <w:spacing w:before="180" w:line="260" w:lineRule="exact"/>
      <w:ind w:left="964" w:hanging="964"/>
      <w:jc w:val="both"/>
    </w:pPr>
  </w:style>
  <w:style w:type="paragraph" w:customStyle="1" w:styleId="Rc">
    <w:name w:val="Rc"/>
    <w:aliases w:val="Rn continued"/>
    <w:basedOn w:val="Normal"/>
    <w:next w:val="R2"/>
    <w:rsid w:val="00990806"/>
    <w:pPr>
      <w:spacing w:before="60" w:line="260" w:lineRule="exact"/>
      <w:ind w:left="964"/>
      <w:jc w:val="both"/>
    </w:pPr>
  </w:style>
  <w:style w:type="paragraph" w:customStyle="1" w:styleId="ReadersGuideSectionBreak">
    <w:name w:val="ReadersGuideSectionBreak"/>
    <w:basedOn w:val="Normal"/>
    <w:next w:val="Normal"/>
    <w:rsid w:val="00990806"/>
  </w:style>
  <w:style w:type="paragraph" w:customStyle="1" w:styleId="RGHead">
    <w:name w:val="RGHead"/>
    <w:basedOn w:val="Normal"/>
    <w:next w:val="Normal"/>
    <w:rsid w:val="00990806"/>
    <w:pPr>
      <w:keepNext/>
      <w:spacing w:before="360"/>
    </w:pPr>
    <w:rPr>
      <w:rFonts w:ascii="Arial" w:hAnsi="Arial"/>
      <w:b/>
      <w:sz w:val="32"/>
    </w:rPr>
  </w:style>
  <w:style w:type="paragraph" w:customStyle="1" w:styleId="RGPara">
    <w:name w:val="RGPara"/>
    <w:aliases w:val="Readers Guide Para"/>
    <w:basedOn w:val="Normal"/>
    <w:rsid w:val="00990806"/>
    <w:pPr>
      <w:spacing w:before="120" w:line="260" w:lineRule="exact"/>
      <w:jc w:val="both"/>
    </w:pPr>
  </w:style>
  <w:style w:type="paragraph" w:customStyle="1" w:styleId="RGPtHd">
    <w:name w:val="RGPtHd"/>
    <w:aliases w:val="Readers Guide PT Heading"/>
    <w:basedOn w:val="Normal"/>
    <w:next w:val="Normal"/>
    <w:rsid w:val="00990806"/>
    <w:pPr>
      <w:keepNext/>
      <w:spacing w:before="360"/>
    </w:pPr>
    <w:rPr>
      <w:rFonts w:ascii="Arial" w:hAnsi="Arial"/>
      <w:b/>
      <w:sz w:val="28"/>
    </w:rPr>
  </w:style>
  <w:style w:type="paragraph" w:customStyle="1" w:styleId="RGSecHdg">
    <w:name w:val="RGSecHdg"/>
    <w:aliases w:val="Readers Guide Sec Heading"/>
    <w:basedOn w:val="Normal"/>
    <w:next w:val="RGPara"/>
    <w:rsid w:val="00990806"/>
    <w:pPr>
      <w:keepNext/>
      <w:spacing w:before="360"/>
      <w:ind w:left="964" w:hanging="964"/>
    </w:pPr>
    <w:rPr>
      <w:rFonts w:ascii="Arial" w:hAnsi="Arial"/>
      <w:b/>
    </w:rPr>
  </w:style>
  <w:style w:type="paragraph" w:customStyle="1" w:styleId="LandscapeSectionBreak">
    <w:name w:val="LandscapeSectionBreak"/>
    <w:basedOn w:val="Normal"/>
    <w:next w:val="Normal"/>
    <w:rsid w:val="00990806"/>
  </w:style>
  <w:style w:type="paragraph" w:customStyle="1" w:styleId="ScheduleDivision">
    <w:name w:val="Schedule Division"/>
    <w:basedOn w:val="Normal"/>
    <w:next w:val="ScheduleHeading"/>
    <w:rsid w:val="00990806"/>
    <w:pPr>
      <w:keepNext/>
      <w:spacing w:before="360"/>
      <w:ind w:left="1559" w:hanging="1559"/>
    </w:pPr>
    <w:rPr>
      <w:rFonts w:ascii="Arial" w:hAnsi="Arial"/>
      <w:b/>
    </w:rPr>
  </w:style>
  <w:style w:type="character" w:customStyle="1" w:styleId="CharSchNo">
    <w:name w:val="CharSchNo"/>
    <w:basedOn w:val="DefaultParagraphFont"/>
    <w:rsid w:val="00990806"/>
  </w:style>
  <w:style w:type="character" w:customStyle="1" w:styleId="CharSchText">
    <w:name w:val="CharSchText"/>
    <w:basedOn w:val="DefaultParagraphFont"/>
    <w:rsid w:val="00990806"/>
  </w:style>
  <w:style w:type="paragraph" w:customStyle="1" w:styleId="dd0">
    <w:name w:val="dd"/>
    <w:basedOn w:val="Normal"/>
    <w:rsid w:val="00496684"/>
    <w:pPr>
      <w:spacing w:before="100" w:beforeAutospacing="1" w:after="100" w:afterAutospacing="1"/>
    </w:pPr>
    <w:rPr>
      <w:lang w:eastAsia="en-AU"/>
    </w:rPr>
  </w:style>
  <w:style w:type="character" w:customStyle="1" w:styleId="CharAmSchPTNo">
    <w:name w:val="CharAmSchPTNo"/>
    <w:basedOn w:val="DefaultParagraphFont"/>
    <w:rsid w:val="00990806"/>
  </w:style>
  <w:style w:type="character" w:customStyle="1" w:styleId="CharAmSchPTText">
    <w:name w:val="CharAmSchPTText"/>
    <w:basedOn w:val="DefaultParagraphFont"/>
    <w:rsid w:val="00990806"/>
  </w:style>
  <w:style w:type="paragraph" w:customStyle="1" w:styleId="dp1a0">
    <w:name w:val="dp1a"/>
    <w:basedOn w:val="Normal"/>
    <w:rsid w:val="00496684"/>
    <w:pPr>
      <w:spacing w:before="100" w:beforeAutospacing="1" w:after="100" w:afterAutospacing="1"/>
    </w:pPr>
    <w:rPr>
      <w:lang w:eastAsia="en-AU"/>
    </w:rPr>
  </w:style>
  <w:style w:type="paragraph" w:customStyle="1" w:styleId="dp2i0">
    <w:name w:val="dp2i"/>
    <w:basedOn w:val="Normal"/>
    <w:rsid w:val="00496684"/>
    <w:pPr>
      <w:spacing w:before="100" w:beforeAutospacing="1" w:after="100" w:afterAutospacing="1"/>
    </w:pPr>
    <w:rPr>
      <w:lang w:eastAsia="en-AU"/>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rsid w:val="004463A1"/>
    <w:rPr>
      <w:lang w:eastAsia="en-US"/>
    </w:rPr>
  </w:style>
  <w:style w:type="paragraph" w:styleId="ListParagraph">
    <w:name w:val="List Paragraph"/>
    <w:basedOn w:val="Normal"/>
    <w:uiPriority w:val="34"/>
    <w:qFormat/>
    <w:rsid w:val="004463A1"/>
    <w:pPr>
      <w:ind w:left="720"/>
      <w:contextualSpacing/>
    </w:pPr>
    <w:rPr>
      <w:rFonts w:ascii="Arial" w:hAnsi="Arial"/>
      <w:sz w:val="20"/>
      <w:szCs w:val="20"/>
      <w:lang w:bidi="he-IL"/>
    </w:rPr>
  </w:style>
  <w:style w:type="paragraph" w:customStyle="1" w:styleId="SchedSectionBreak">
    <w:name w:val="SchedSectionBreak"/>
    <w:basedOn w:val="Normal"/>
    <w:next w:val="Normal"/>
    <w:rsid w:val="00990806"/>
  </w:style>
  <w:style w:type="paragraph" w:customStyle="1" w:styleId="ScheduleHeading">
    <w:name w:val="Schedule Heading"/>
    <w:basedOn w:val="Normal"/>
    <w:next w:val="Normal"/>
    <w:rsid w:val="00990806"/>
    <w:pPr>
      <w:keepNext/>
      <w:keepLines/>
      <w:spacing w:before="360"/>
      <w:ind w:left="964" w:hanging="964"/>
    </w:pPr>
    <w:rPr>
      <w:rFonts w:ascii="Arial" w:hAnsi="Arial"/>
      <w:b/>
    </w:rPr>
  </w:style>
  <w:style w:type="paragraph" w:customStyle="1" w:styleId="Schedulelist">
    <w:name w:val="Schedule list"/>
    <w:basedOn w:val="Normal"/>
    <w:rsid w:val="00990806"/>
    <w:pPr>
      <w:tabs>
        <w:tab w:val="right" w:pos="1985"/>
      </w:tabs>
      <w:spacing w:before="60" w:line="260" w:lineRule="exact"/>
      <w:ind w:left="454"/>
    </w:pPr>
  </w:style>
  <w:style w:type="paragraph" w:customStyle="1" w:styleId="Schedulepara">
    <w:name w:val="Schedule para"/>
    <w:basedOn w:val="Normal"/>
    <w:rsid w:val="00990806"/>
    <w:pPr>
      <w:tabs>
        <w:tab w:val="right" w:pos="567"/>
      </w:tabs>
      <w:spacing w:before="180" w:line="260" w:lineRule="exact"/>
      <w:ind w:left="964" w:hanging="964"/>
      <w:jc w:val="both"/>
    </w:pPr>
  </w:style>
  <w:style w:type="paragraph" w:customStyle="1" w:styleId="Schedulepart">
    <w:name w:val="Schedule part"/>
    <w:basedOn w:val="Normal"/>
    <w:rsid w:val="00990806"/>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990806"/>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990806"/>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990806"/>
  </w:style>
  <w:style w:type="paragraph" w:customStyle="1" w:styleId="SRNo">
    <w:name w:val="SRNo"/>
    <w:basedOn w:val="Normal"/>
    <w:next w:val="Normal"/>
    <w:rsid w:val="00990806"/>
    <w:pPr>
      <w:pBdr>
        <w:bottom w:val="single" w:sz="4" w:space="3" w:color="auto"/>
      </w:pBdr>
      <w:spacing w:before="480"/>
    </w:pPr>
    <w:rPr>
      <w:rFonts w:ascii="Arial" w:hAnsi="Arial"/>
      <w:b/>
    </w:rPr>
  </w:style>
  <w:style w:type="paragraph" w:styleId="TableofAuthorities">
    <w:name w:val="table of authorities"/>
    <w:basedOn w:val="Normal"/>
    <w:next w:val="Normal"/>
    <w:semiHidden/>
    <w:rsid w:val="00990806"/>
    <w:pPr>
      <w:ind w:left="240" w:hanging="240"/>
    </w:pPr>
  </w:style>
  <w:style w:type="paragraph" w:styleId="TableofFigures">
    <w:name w:val="table of figures"/>
    <w:basedOn w:val="Normal"/>
    <w:next w:val="Normal"/>
    <w:semiHidden/>
    <w:rsid w:val="00990806"/>
    <w:pPr>
      <w:ind w:left="480" w:hanging="480"/>
    </w:pPr>
  </w:style>
  <w:style w:type="paragraph" w:customStyle="1" w:styleId="TableColHead">
    <w:name w:val="TableColHead"/>
    <w:basedOn w:val="Normal"/>
    <w:rsid w:val="00990806"/>
    <w:pPr>
      <w:keepNext/>
      <w:spacing w:before="120" w:after="60" w:line="200" w:lineRule="exact"/>
    </w:pPr>
    <w:rPr>
      <w:rFonts w:ascii="Arial" w:hAnsi="Arial"/>
      <w:b/>
      <w:sz w:val="18"/>
    </w:rPr>
  </w:style>
  <w:style w:type="table" w:customStyle="1" w:styleId="TableGeneral">
    <w:name w:val="TableGeneral"/>
    <w:basedOn w:val="TableNormal"/>
    <w:rsid w:val="00990806"/>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990806"/>
    <w:pPr>
      <w:tabs>
        <w:tab w:val="right" w:pos="408"/>
      </w:tabs>
      <w:spacing w:after="60" w:line="240" w:lineRule="exact"/>
      <w:ind w:left="533" w:hanging="533"/>
    </w:pPr>
    <w:rPr>
      <w:sz w:val="22"/>
    </w:rPr>
  </w:style>
  <w:style w:type="paragraph" w:customStyle="1" w:styleId="TableP2i">
    <w:name w:val="TableP2(i)"/>
    <w:basedOn w:val="Normal"/>
    <w:rsid w:val="00990806"/>
    <w:pPr>
      <w:tabs>
        <w:tab w:val="right" w:pos="726"/>
      </w:tabs>
      <w:spacing w:after="60" w:line="240" w:lineRule="exact"/>
      <w:ind w:left="868" w:hanging="868"/>
    </w:pPr>
    <w:rPr>
      <w:sz w:val="22"/>
    </w:rPr>
  </w:style>
  <w:style w:type="paragraph" w:customStyle="1" w:styleId="TableText">
    <w:name w:val="TableText"/>
    <w:basedOn w:val="Normal"/>
    <w:rsid w:val="00990806"/>
    <w:pPr>
      <w:spacing w:before="60" w:after="60" w:line="240" w:lineRule="exact"/>
    </w:pPr>
    <w:rPr>
      <w:sz w:val="22"/>
    </w:rPr>
  </w:style>
  <w:style w:type="paragraph" w:styleId="TOAHeading">
    <w:name w:val="toa heading"/>
    <w:basedOn w:val="Normal"/>
    <w:next w:val="Normal"/>
    <w:rsid w:val="00990806"/>
    <w:pPr>
      <w:spacing w:before="120"/>
    </w:pPr>
    <w:rPr>
      <w:rFonts w:ascii="Arial" w:hAnsi="Arial" w:cs="Arial"/>
      <w:b/>
      <w:bCs/>
    </w:rPr>
  </w:style>
  <w:style w:type="paragraph" w:customStyle="1" w:styleId="TOC">
    <w:name w:val="TOC"/>
    <w:basedOn w:val="Normal"/>
    <w:next w:val="Normal"/>
    <w:rsid w:val="00990806"/>
    <w:pPr>
      <w:tabs>
        <w:tab w:val="right" w:pos="7088"/>
      </w:tabs>
      <w:spacing w:after="120"/>
    </w:pPr>
    <w:rPr>
      <w:rFonts w:ascii="Arial" w:hAnsi="Arial"/>
      <w:sz w:val="20"/>
    </w:rPr>
  </w:style>
  <w:style w:type="paragraph" w:styleId="TOC1">
    <w:name w:val="toc 1"/>
    <w:basedOn w:val="Normal"/>
    <w:next w:val="Normal"/>
    <w:autoRedefine/>
    <w:rsid w:val="00990806"/>
    <w:pPr>
      <w:keepNext/>
      <w:tabs>
        <w:tab w:val="right" w:pos="8278"/>
      </w:tabs>
      <w:spacing w:before="120"/>
      <w:ind w:left="1843" w:hanging="1843"/>
    </w:pPr>
    <w:rPr>
      <w:rFonts w:ascii="Arial" w:hAnsi="Arial"/>
      <w:b/>
    </w:rPr>
  </w:style>
  <w:style w:type="paragraph" w:styleId="TOC2">
    <w:name w:val="toc 2"/>
    <w:basedOn w:val="Normal"/>
    <w:next w:val="Normal"/>
    <w:autoRedefine/>
    <w:rsid w:val="00990806"/>
    <w:pPr>
      <w:keepNext/>
      <w:tabs>
        <w:tab w:val="right" w:pos="8278"/>
      </w:tabs>
      <w:spacing w:before="240" w:after="120"/>
      <w:ind w:left="1843" w:right="714" w:hanging="1843"/>
    </w:pPr>
    <w:rPr>
      <w:rFonts w:ascii="Arial" w:hAnsi="Arial"/>
      <w:b/>
    </w:rPr>
  </w:style>
  <w:style w:type="paragraph" w:styleId="TOC3">
    <w:name w:val="toc 3"/>
    <w:basedOn w:val="Normal"/>
    <w:next w:val="Normal"/>
    <w:autoRedefine/>
    <w:rsid w:val="00990806"/>
    <w:pPr>
      <w:keepNext/>
      <w:tabs>
        <w:tab w:val="right" w:pos="8278"/>
      </w:tabs>
      <w:spacing w:before="180" w:after="60"/>
      <w:ind w:left="1843" w:right="714" w:hanging="1843"/>
    </w:pPr>
    <w:rPr>
      <w:rFonts w:ascii="Arial" w:hAnsi="Arial"/>
      <w:b/>
      <w:sz w:val="20"/>
    </w:rPr>
  </w:style>
  <w:style w:type="paragraph" w:styleId="TOC4">
    <w:name w:val="toc 4"/>
    <w:basedOn w:val="Normal"/>
    <w:next w:val="Normal"/>
    <w:autoRedefine/>
    <w:rsid w:val="00990806"/>
    <w:pPr>
      <w:keepNext/>
      <w:tabs>
        <w:tab w:val="right" w:pos="8278"/>
      </w:tabs>
      <w:spacing w:before="80"/>
      <w:ind w:left="1843" w:hanging="1843"/>
    </w:pPr>
    <w:rPr>
      <w:rFonts w:ascii="Arial" w:hAnsi="Arial"/>
      <w:b/>
      <w:sz w:val="18"/>
    </w:rPr>
  </w:style>
  <w:style w:type="paragraph" w:styleId="TOC5">
    <w:name w:val="toc 5"/>
    <w:basedOn w:val="Normal"/>
    <w:next w:val="Normal"/>
    <w:autoRedefine/>
    <w:rsid w:val="00990806"/>
    <w:pPr>
      <w:tabs>
        <w:tab w:val="right" w:pos="1559"/>
        <w:tab w:val="right" w:pos="8278"/>
      </w:tabs>
      <w:spacing w:before="40"/>
      <w:ind w:left="1843" w:right="714" w:hanging="1843"/>
    </w:pPr>
    <w:rPr>
      <w:rFonts w:ascii="Arial" w:hAnsi="Arial"/>
      <w:sz w:val="20"/>
    </w:rPr>
  </w:style>
  <w:style w:type="paragraph" w:styleId="TOC6">
    <w:name w:val="toc 6"/>
    <w:basedOn w:val="Normal"/>
    <w:next w:val="Normal"/>
    <w:autoRedefine/>
    <w:rsid w:val="00990806"/>
    <w:pPr>
      <w:keepNext/>
      <w:tabs>
        <w:tab w:val="right" w:pos="8278"/>
      </w:tabs>
      <w:spacing w:before="120"/>
      <w:ind w:left="1843" w:right="561" w:hanging="1843"/>
    </w:pPr>
    <w:rPr>
      <w:rFonts w:ascii="Arial" w:hAnsi="Arial"/>
      <w:b/>
      <w:sz w:val="20"/>
    </w:rPr>
  </w:style>
  <w:style w:type="paragraph" w:styleId="TOC7">
    <w:name w:val="toc 7"/>
    <w:basedOn w:val="Normal"/>
    <w:next w:val="Normal"/>
    <w:autoRedefine/>
    <w:rsid w:val="00990806"/>
    <w:pPr>
      <w:tabs>
        <w:tab w:val="right" w:pos="8278"/>
      </w:tabs>
      <w:spacing w:before="240" w:after="120"/>
      <w:ind w:left="1134" w:right="714" w:hanging="1134"/>
    </w:pPr>
    <w:rPr>
      <w:rFonts w:ascii="Arial" w:hAnsi="Arial"/>
      <w:b/>
      <w:sz w:val="20"/>
    </w:rPr>
  </w:style>
  <w:style w:type="paragraph" w:styleId="TOC8">
    <w:name w:val="toc 8"/>
    <w:basedOn w:val="Normal"/>
    <w:next w:val="Normal"/>
    <w:autoRedefine/>
    <w:rsid w:val="00990806"/>
    <w:pPr>
      <w:tabs>
        <w:tab w:val="right" w:pos="8278"/>
      </w:tabs>
      <w:spacing w:before="60"/>
      <w:ind w:left="1843" w:right="714" w:hanging="1843"/>
    </w:pPr>
    <w:rPr>
      <w:rFonts w:ascii="Arial" w:hAnsi="Arial"/>
      <w:sz w:val="20"/>
    </w:rPr>
  </w:style>
  <w:style w:type="paragraph" w:styleId="TOC9">
    <w:name w:val="toc 9"/>
    <w:basedOn w:val="Normal"/>
    <w:next w:val="Normal"/>
    <w:autoRedefine/>
    <w:rsid w:val="00990806"/>
    <w:pPr>
      <w:tabs>
        <w:tab w:val="right" w:pos="8278"/>
      </w:tabs>
      <w:spacing w:before="240" w:after="120"/>
    </w:pPr>
    <w:rPr>
      <w:rFonts w:ascii="Arial" w:hAnsi="Arial"/>
      <w:b/>
      <w:sz w:val="20"/>
    </w:rPr>
  </w:style>
  <w:style w:type="paragraph" w:customStyle="1" w:styleId="ZA2">
    <w:name w:val="ZA2"/>
    <w:basedOn w:val="A2"/>
    <w:rsid w:val="00990806"/>
    <w:pPr>
      <w:keepNext/>
    </w:pPr>
  </w:style>
  <w:style w:type="paragraph" w:customStyle="1" w:styleId="ZA3">
    <w:name w:val="ZA3"/>
    <w:basedOn w:val="A3"/>
    <w:rsid w:val="00990806"/>
    <w:pPr>
      <w:keepNext/>
    </w:pPr>
  </w:style>
  <w:style w:type="paragraph" w:customStyle="1" w:styleId="ZA4">
    <w:name w:val="ZA4"/>
    <w:basedOn w:val="Normal"/>
    <w:next w:val="A4"/>
    <w:rsid w:val="00990806"/>
    <w:pPr>
      <w:keepNext/>
      <w:tabs>
        <w:tab w:val="right" w:pos="1247"/>
      </w:tabs>
      <w:spacing w:before="60" w:line="260" w:lineRule="exact"/>
      <w:ind w:left="1531" w:hanging="1531"/>
      <w:jc w:val="both"/>
    </w:pPr>
  </w:style>
  <w:style w:type="paragraph" w:customStyle="1" w:styleId="ZDD">
    <w:name w:val="ZDD"/>
    <w:aliases w:val="Dict Def"/>
    <w:basedOn w:val="DD"/>
    <w:rsid w:val="00990806"/>
    <w:pPr>
      <w:keepNext/>
    </w:pPr>
  </w:style>
  <w:style w:type="paragraph" w:customStyle="1" w:styleId="Zdefinition">
    <w:name w:val="Zdefinition"/>
    <w:basedOn w:val="definition"/>
    <w:rsid w:val="00990806"/>
    <w:pPr>
      <w:keepNext/>
    </w:pPr>
  </w:style>
  <w:style w:type="paragraph" w:customStyle="1" w:styleId="ZDP1">
    <w:name w:val="ZDP1"/>
    <w:basedOn w:val="DP1a"/>
    <w:rsid w:val="00990806"/>
    <w:pPr>
      <w:keepNext/>
    </w:pPr>
  </w:style>
  <w:style w:type="paragraph" w:customStyle="1" w:styleId="ZExampleBody">
    <w:name w:val="ZExample Body"/>
    <w:basedOn w:val="ExampleBody"/>
    <w:rsid w:val="00990806"/>
    <w:pPr>
      <w:keepNext/>
    </w:pPr>
  </w:style>
  <w:style w:type="paragraph" w:customStyle="1" w:styleId="ZNote">
    <w:name w:val="ZNote"/>
    <w:basedOn w:val="Note"/>
    <w:rsid w:val="00990806"/>
    <w:pPr>
      <w:keepNext/>
    </w:pPr>
  </w:style>
  <w:style w:type="paragraph" w:customStyle="1" w:styleId="ZP1">
    <w:name w:val="ZP1"/>
    <w:basedOn w:val="P1"/>
    <w:rsid w:val="00990806"/>
    <w:pPr>
      <w:keepNext/>
    </w:pPr>
  </w:style>
  <w:style w:type="paragraph" w:customStyle="1" w:styleId="ZP2">
    <w:name w:val="ZP2"/>
    <w:basedOn w:val="P2"/>
    <w:rsid w:val="00990806"/>
    <w:pPr>
      <w:keepNext/>
    </w:pPr>
  </w:style>
  <w:style w:type="paragraph" w:customStyle="1" w:styleId="ZP3">
    <w:name w:val="ZP3"/>
    <w:basedOn w:val="P3"/>
    <w:rsid w:val="00990806"/>
    <w:pPr>
      <w:keepNext/>
    </w:pPr>
  </w:style>
  <w:style w:type="paragraph" w:customStyle="1" w:styleId="ZR1">
    <w:name w:val="ZR1"/>
    <w:basedOn w:val="R1"/>
    <w:rsid w:val="00990806"/>
    <w:pPr>
      <w:keepNext/>
    </w:pPr>
  </w:style>
  <w:style w:type="paragraph" w:customStyle="1" w:styleId="ZR2">
    <w:name w:val="ZR2"/>
    <w:basedOn w:val="R2"/>
    <w:rsid w:val="00990806"/>
    <w:pPr>
      <w:keepNext/>
    </w:pPr>
  </w:style>
  <w:style w:type="paragraph" w:customStyle="1" w:styleId="ZRcN">
    <w:name w:val="ZRcN"/>
    <w:basedOn w:val="Rc"/>
    <w:rsid w:val="00990806"/>
    <w:pPr>
      <w:keepNext/>
    </w:pPr>
  </w:style>
  <w:style w:type="paragraph" w:styleId="Revision">
    <w:name w:val="Revision"/>
    <w:hidden/>
    <w:uiPriority w:val="99"/>
    <w:semiHidden/>
    <w:rsid w:val="005C5906"/>
    <w:rPr>
      <w:sz w:val="24"/>
      <w:szCs w:val="24"/>
      <w:lang w:eastAsia="en-US"/>
    </w:rPr>
  </w:style>
  <w:style w:type="character" w:customStyle="1" w:styleId="FooterChar">
    <w:name w:val="Footer Char"/>
    <w:basedOn w:val="DefaultParagraphFont"/>
    <w:link w:val="Footer"/>
    <w:uiPriority w:val="99"/>
    <w:rsid w:val="00F51DCD"/>
    <w:rPr>
      <w:rFonts w:ascii="Arial" w:hAnsi="Arial"/>
      <w:i/>
      <w:sz w:val="18"/>
      <w:szCs w:val="18"/>
      <w:lang w:eastAsia="en-US"/>
    </w:rPr>
  </w:style>
</w:styles>
</file>

<file path=word/webSettings.xml><?xml version="1.0" encoding="utf-8"?>
<w:webSettings xmlns:r="http://schemas.openxmlformats.org/officeDocument/2006/relationships" xmlns:w="http://schemas.openxmlformats.org/wordprocessingml/2006/main">
  <w:divs>
    <w:div w:id="264770776">
      <w:bodyDiv w:val="1"/>
      <w:marLeft w:val="0"/>
      <w:marRight w:val="0"/>
      <w:marTop w:val="0"/>
      <w:marBottom w:val="0"/>
      <w:divBdr>
        <w:top w:val="none" w:sz="0" w:space="0" w:color="auto"/>
        <w:left w:val="none" w:sz="0" w:space="0" w:color="auto"/>
        <w:bottom w:val="none" w:sz="0" w:space="0" w:color="auto"/>
        <w:right w:val="none" w:sz="0" w:space="0" w:color="auto"/>
      </w:divBdr>
    </w:div>
    <w:div w:id="330065076">
      <w:bodyDiv w:val="1"/>
      <w:marLeft w:val="0"/>
      <w:marRight w:val="0"/>
      <w:marTop w:val="0"/>
      <w:marBottom w:val="0"/>
      <w:divBdr>
        <w:top w:val="none" w:sz="0" w:space="0" w:color="auto"/>
        <w:left w:val="none" w:sz="0" w:space="0" w:color="auto"/>
        <w:bottom w:val="none" w:sz="0" w:space="0" w:color="auto"/>
        <w:right w:val="none" w:sz="0" w:space="0" w:color="auto"/>
      </w:divBdr>
    </w:div>
    <w:div w:id="476606157">
      <w:bodyDiv w:val="1"/>
      <w:marLeft w:val="0"/>
      <w:marRight w:val="0"/>
      <w:marTop w:val="0"/>
      <w:marBottom w:val="0"/>
      <w:divBdr>
        <w:top w:val="none" w:sz="0" w:space="0" w:color="auto"/>
        <w:left w:val="none" w:sz="0" w:space="0" w:color="auto"/>
        <w:bottom w:val="none" w:sz="0" w:space="0" w:color="auto"/>
        <w:right w:val="none" w:sz="0" w:space="0" w:color="auto"/>
      </w:divBdr>
      <w:divsChild>
        <w:div w:id="152573013">
          <w:marLeft w:val="0"/>
          <w:marRight w:val="0"/>
          <w:marTop w:val="0"/>
          <w:marBottom w:val="0"/>
          <w:divBdr>
            <w:top w:val="none" w:sz="0" w:space="0" w:color="auto"/>
            <w:left w:val="none" w:sz="0" w:space="0" w:color="auto"/>
            <w:bottom w:val="none" w:sz="0" w:space="0" w:color="auto"/>
            <w:right w:val="none" w:sz="0" w:space="0" w:color="auto"/>
          </w:divBdr>
          <w:divsChild>
            <w:div w:id="215241901">
              <w:marLeft w:val="0"/>
              <w:marRight w:val="0"/>
              <w:marTop w:val="0"/>
              <w:marBottom w:val="0"/>
              <w:divBdr>
                <w:top w:val="none" w:sz="0" w:space="0" w:color="auto"/>
                <w:left w:val="none" w:sz="0" w:space="0" w:color="auto"/>
                <w:bottom w:val="none" w:sz="0" w:space="0" w:color="auto"/>
                <w:right w:val="none" w:sz="0" w:space="0" w:color="auto"/>
              </w:divBdr>
              <w:divsChild>
                <w:div w:id="478962261">
                  <w:marLeft w:val="0"/>
                  <w:marRight w:val="0"/>
                  <w:marTop w:val="0"/>
                  <w:marBottom w:val="0"/>
                  <w:divBdr>
                    <w:top w:val="none" w:sz="0" w:space="0" w:color="auto"/>
                    <w:left w:val="none" w:sz="0" w:space="0" w:color="auto"/>
                    <w:bottom w:val="none" w:sz="0" w:space="0" w:color="auto"/>
                    <w:right w:val="none" w:sz="0" w:space="0" w:color="auto"/>
                  </w:divBdr>
                  <w:divsChild>
                    <w:div w:id="1002657248">
                      <w:marLeft w:val="0"/>
                      <w:marRight w:val="0"/>
                      <w:marTop w:val="0"/>
                      <w:marBottom w:val="0"/>
                      <w:divBdr>
                        <w:top w:val="none" w:sz="0" w:space="0" w:color="auto"/>
                        <w:left w:val="none" w:sz="0" w:space="0" w:color="auto"/>
                        <w:bottom w:val="none" w:sz="0" w:space="0" w:color="auto"/>
                        <w:right w:val="none" w:sz="0" w:space="0" w:color="auto"/>
                      </w:divBdr>
                      <w:divsChild>
                        <w:div w:id="356393180">
                          <w:marLeft w:val="0"/>
                          <w:marRight w:val="0"/>
                          <w:marTop w:val="0"/>
                          <w:marBottom w:val="0"/>
                          <w:divBdr>
                            <w:top w:val="single" w:sz="8" w:space="0" w:color="828282"/>
                            <w:left w:val="single" w:sz="8" w:space="0" w:color="828282"/>
                            <w:bottom w:val="single" w:sz="8" w:space="0" w:color="828282"/>
                            <w:right w:val="single" w:sz="8" w:space="0" w:color="828282"/>
                          </w:divBdr>
                          <w:divsChild>
                            <w:div w:id="301426152">
                              <w:marLeft w:val="0"/>
                              <w:marRight w:val="0"/>
                              <w:marTop w:val="0"/>
                              <w:marBottom w:val="0"/>
                              <w:divBdr>
                                <w:top w:val="none" w:sz="0" w:space="0" w:color="auto"/>
                                <w:left w:val="none" w:sz="0" w:space="0" w:color="auto"/>
                                <w:bottom w:val="none" w:sz="0" w:space="0" w:color="auto"/>
                                <w:right w:val="none" w:sz="0" w:space="0" w:color="auto"/>
                              </w:divBdr>
                              <w:divsChild>
                                <w:div w:id="1357659034">
                                  <w:marLeft w:val="0"/>
                                  <w:marRight w:val="0"/>
                                  <w:marTop w:val="0"/>
                                  <w:marBottom w:val="0"/>
                                  <w:divBdr>
                                    <w:top w:val="none" w:sz="0" w:space="0" w:color="auto"/>
                                    <w:left w:val="none" w:sz="0" w:space="0" w:color="auto"/>
                                    <w:bottom w:val="none" w:sz="0" w:space="0" w:color="auto"/>
                                    <w:right w:val="none" w:sz="0" w:space="0" w:color="auto"/>
                                  </w:divBdr>
                                  <w:divsChild>
                                    <w:div w:id="1794472914">
                                      <w:marLeft w:val="0"/>
                                      <w:marRight w:val="0"/>
                                      <w:marTop w:val="0"/>
                                      <w:marBottom w:val="0"/>
                                      <w:divBdr>
                                        <w:top w:val="none" w:sz="0" w:space="0" w:color="auto"/>
                                        <w:left w:val="none" w:sz="0" w:space="0" w:color="auto"/>
                                        <w:bottom w:val="none" w:sz="0" w:space="0" w:color="auto"/>
                                        <w:right w:val="none" w:sz="0" w:space="0" w:color="auto"/>
                                      </w:divBdr>
                                      <w:divsChild>
                                        <w:div w:id="484514994">
                                          <w:marLeft w:val="0"/>
                                          <w:marRight w:val="0"/>
                                          <w:marTop w:val="0"/>
                                          <w:marBottom w:val="0"/>
                                          <w:divBdr>
                                            <w:top w:val="none" w:sz="0" w:space="0" w:color="auto"/>
                                            <w:left w:val="none" w:sz="0" w:space="0" w:color="auto"/>
                                            <w:bottom w:val="none" w:sz="0" w:space="0" w:color="auto"/>
                                            <w:right w:val="none" w:sz="0" w:space="0" w:color="auto"/>
                                          </w:divBdr>
                                          <w:divsChild>
                                            <w:div w:id="571425447">
                                              <w:marLeft w:val="0"/>
                                              <w:marRight w:val="0"/>
                                              <w:marTop w:val="0"/>
                                              <w:marBottom w:val="0"/>
                                              <w:divBdr>
                                                <w:top w:val="none" w:sz="0" w:space="0" w:color="auto"/>
                                                <w:left w:val="none" w:sz="0" w:space="0" w:color="auto"/>
                                                <w:bottom w:val="none" w:sz="0" w:space="0" w:color="auto"/>
                                                <w:right w:val="none" w:sz="0" w:space="0" w:color="auto"/>
                                              </w:divBdr>
                                              <w:divsChild>
                                                <w:div w:id="6392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545176">
      <w:bodyDiv w:val="1"/>
      <w:marLeft w:val="0"/>
      <w:marRight w:val="0"/>
      <w:marTop w:val="0"/>
      <w:marBottom w:val="0"/>
      <w:divBdr>
        <w:top w:val="none" w:sz="0" w:space="0" w:color="auto"/>
        <w:left w:val="none" w:sz="0" w:space="0" w:color="auto"/>
        <w:bottom w:val="none" w:sz="0" w:space="0" w:color="auto"/>
        <w:right w:val="none" w:sz="0" w:space="0" w:color="auto"/>
      </w:divBdr>
    </w:div>
    <w:div w:id="919827540">
      <w:bodyDiv w:val="1"/>
      <w:marLeft w:val="0"/>
      <w:marRight w:val="0"/>
      <w:marTop w:val="0"/>
      <w:marBottom w:val="0"/>
      <w:divBdr>
        <w:top w:val="none" w:sz="0" w:space="0" w:color="auto"/>
        <w:left w:val="none" w:sz="0" w:space="0" w:color="auto"/>
        <w:bottom w:val="none" w:sz="0" w:space="0" w:color="auto"/>
        <w:right w:val="none" w:sz="0" w:space="0" w:color="auto"/>
      </w:divBdr>
    </w:div>
    <w:div w:id="924415638">
      <w:bodyDiv w:val="1"/>
      <w:marLeft w:val="0"/>
      <w:marRight w:val="0"/>
      <w:marTop w:val="0"/>
      <w:marBottom w:val="0"/>
      <w:divBdr>
        <w:top w:val="none" w:sz="0" w:space="0" w:color="auto"/>
        <w:left w:val="none" w:sz="0" w:space="0" w:color="auto"/>
        <w:bottom w:val="none" w:sz="0" w:space="0" w:color="auto"/>
        <w:right w:val="none" w:sz="0" w:space="0" w:color="auto"/>
      </w:divBdr>
    </w:div>
    <w:div w:id="998389121">
      <w:bodyDiv w:val="1"/>
      <w:marLeft w:val="0"/>
      <w:marRight w:val="0"/>
      <w:marTop w:val="0"/>
      <w:marBottom w:val="0"/>
      <w:divBdr>
        <w:top w:val="none" w:sz="0" w:space="0" w:color="auto"/>
        <w:left w:val="none" w:sz="0" w:space="0" w:color="auto"/>
        <w:bottom w:val="none" w:sz="0" w:space="0" w:color="auto"/>
        <w:right w:val="none" w:sz="0" w:space="0" w:color="auto"/>
      </w:divBdr>
      <w:divsChild>
        <w:div w:id="690767521">
          <w:marLeft w:val="0"/>
          <w:marRight w:val="0"/>
          <w:marTop w:val="0"/>
          <w:marBottom w:val="0"/>
          <w:divBdr>
            <w:top w:val="none" w:sz="0" w:space="0" w:color="auto"/>
            <w:left w:val="none" w:sz="0" w:space="0" w:color="auto"/>
            <w:bottom w:val="none" w:sz="0" w:space="0" w:color="auto"/>
            <w:right w:val="none" w:sz="0" w:space="0" w:color="auto"/>
          </w:divBdr>
          <w:divsChild>
            <w:div w:id="1910191275">
              <w:marLeft w:val="0"/>
              <w:marRight w:val="0"/>
              <w:marTop w:val="0"/>
              <w:marBottom w:val="0"/>
              <w:divBdr>
                <w:top w:val="none" w:sz="0" w:space="0" w:color="auto"/>
                <w:left w:val="none" w:sz="0" w:space="0" w:color="auto"/>
                <w:bottom w:val="none" w:sz="0" w:space="0" w:color="auto"/>
                <w:right w:val="none" w:sz="0" w:space="0" w:color="auto"/>
              </w:divBdr>
              <w:divsChild>
                <w:div w:id="558903506">
                  <w:marLeft w:val="0"/>
                  <w:marRight w:val="0"/>
                  <w:marTop w:val="0"/>
                  <w:marBottom w:val="0"/>
                  <w:divBdr>
                    <w:top w:val="none" w:sz="0" w:space="0" w:color="auto"/>
                    <w:left w:val="none" w:sz="0" w:space="0" w:color="auto"/>
                    <w:bottom w:val="none" w:sz="0" w:space="0" w:color="auto"/>
                    <w:right w:val="none" w:sz="0" w:space="0" w:color="auto"/>
                  </w:divBdr>
                  <w:divsChild>
                    <w:div w:id="2111391753">
                      <w:marLeft w:val="0"/>
                      <w:marRight w:val="0"/>
                      <w:marTop w:val="0"/>
                      <w:marBottom w:val="0"/>
                      <w:divBdr>
                        <w:top w:val="none" w:sz="0" w:space="0" w:color="auto"/>
                        <w:left w:val="none" w:sz="0" w:space="0" w:color="auto"/>
                        <w:bottom w:val="none" w:sz="0" w:space="0" w:color="auto"/>
                        <w:right w:val="none" w:sz="0" w:space="0" w:color="auto"/>
                      </w:divBdr>
                      <w:divsChild>
                        <w:div w:id="197551965">
                          <w:marLeft w:val="0"/>
                          <w:marRight w:val="0"/>
                          <w:marTop w:val="0"/>
                          <w:marBottom w:val="0"/>
                          <w:divBdr>
                            <w:top w:val="single" w:sz="6" w:space="0" w:color="828282"/>
                            <w:left w:val="single" w:sz="6" w:space="0" w:color="828282"/>
                            <w:bottom w:val="single" w:sz="6" w:space="0" w:color="828282"/>
                            <w:right w:val="single" w:sz="6" w:space="0" w:color="828282"/>
                          </w:divBdr>
                          <w:divsChild>
                            <w:div w:id="624435072">
                              <w:marLeft w:val="0"/>
                              <w:marRight w:val="0"/>
                              <w:marTop w:val="0"/>
                              <w:marBottom w:val="0"/>
                              <w:divBdr>
                                <w:top w:val="none" w:sz="0" w:space="0" w:color="auto"/>
                                <w:left w:val="none" w:sz="0" w:space="0" w:color="auto"/>
                                <w:bottom w:val="none" w:sz="0" w:space="0" w:color="auto"/>
                                <w:right w:val="none" w:sz="0" w:space="0" w:color="auto"/>
                              </w:divBdr>
                              <w:divsChild>
                                <w:div w:id="1695838874">
                                  <w:marLeft w:val="0"/>
                                  <w:marRight w:val="0"/>
                                  <w:marTop w:val="0"/>
                                  <w:marBottom w:val="0"/>
                                  <w:divBdr>
                                    <w:top w:val="none" w:sz="0" w:space="0" w:color="auto"/>
                                    <w:left w:val="none" w:sz="0" w:space="0" w:color="auto"/>
                                    <w:bottom w:val="none" w:sz="0" w:space="0" w:color="auto"/>
                                    <w:right w:val="none" w:sz="0" w:space="0" w:color="auto"/>
                                  </w:divBdr>
                                  <w:divsChild>
                                    <w:div w:id="1498185629">
                                      <w:marLeft w:val="0"/>
                                      <w:marRight w:val="0"/>
                                      <w:marTop w:val="0"/>
                                      <w:marBottom w:val="0"/>
                                      <w:divBdr>
                                        <w:top w:val="none" w:sz="0" w:space="0" w:color="auto"/>
                                        <w:left w:val="none" w:sz="0" w:space="0" w:color="auto"/>
                                        <w:bottom w:val="none" w:sz="0" w:space="0" w:color="auto"/>
                                        <w:right w:val="none" w:sz="0" w:space="0" w:color="auto"/>
                                      </w:divBdr>
                                      <w:divsChild>
                                        <w:div w:id="791099785">
                                          <w:marLeft w:val="0"/>
                                          <w:marRight w:val="0"/>
                                          <w:marTop w:val="0"/>
                                          <w:marBottom w:val="0"/>
                                          <w:divBdr>
                                            <w:top w:val="none" w:sz="0" w:space="0" w:color="auto"/>
                                            <w:left w:val="none" w:sz="0" w:space="0" w:color="auto"/>
                                            <w:bottom w:val="none" w:sz="0" w:space="0" w:color="auto"/>
                                            <w:right w:val="none" w:sz="0" w:space="0" w:color="auto"/>
                                          </w:divBdr>
                                          <w:divsChild>
                                            <w:div w:id="972710306">
                                              <w:marLeft w:val="0"/>
                                              <w:marRight w:val="0"/>
                                              <w:marTop w:val="0"/>
                                              <w:marBottom w:val="0"/>
                                              <w:divBdr>
                                                <w:top w:val="none" w:sz="0" w:space="0" w:color="auto"/>
                                                <w:left w:val="none" w:sz="0" w:space="0" w:color="auto"/>
                                                <w:bottom w:val="none" w:sz="0" w:space="0" w:color="auto"/>
                                                <w:right w:val="none" w:sz="0" w:space="0" w:color="auto"/>
                                              </w:divBdr>
                                              <w:divsChild>
                                                <w:div w:id="523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119565">
      <w:bodyDiv w:val="1"/>
      <w:marLeft w:val="0"/>
      <w:marRight w:val="0"/>
      <w:marTop w:val="0"/>
      <w:marBottom w:val="0"/>
      <w:divBdr>
        <w:top w:val="none" w:sz="0" w:space="0" w:color="auto"/>
        <w:left w:val="none" w:sz="0" w:space="0" w:color="auto"/>
        <w:bottom w:val="none" w:sz="0" w:space="0" w:color="auto"/>
        <w:right w:val="none" w:sz="0" w:space="0" w:color="auto"/>
      </w:divBdr>
    </w:div>
    <w:div w:id="1723746228">
      <w:bodyDiv w:val="1"/>
      <w:marLeft w:val="0"/>
      <w:marRight w:val="0"/>
      <w:marTop w:val="0"/>
      <w:marBottom w:val="0"/>
      <w:divBdr>
        <w:top w:val="none" w:sz="0" w:space="0" w:color="auto"/>
        <w:left w:val="none" w:sz="0" w:space="0" w:color="auto"/>
        <w:bottom w:val="none" w:sz="0" w:space="0" w:color="auto"/>
        <w:right w:val="none" w:sz="0" w:space="0" w:color="auto"/>
      </w:divBdr>
      <w:divsChild>
        <w:div w:id="1627007675">
          <w:marLeft w:val="0"/>
          <w:marRight w:val="0"/>
          <w:marTop w:val="0"/>
          <w:marBottom w:val="0"/>
          <w:divBdr>
            <w:top w:val="none" w:sz="0" w:space="0" w:color="auto"/>
            <w:left w:val="none" w:sz="0" w:space="0" w:color="auto"/>
            <w:bottom w:val="none" w:sz="0" w:space="0" w:color="auto"/>
            <w:right w:val="none" w:sz="0" w:space="0" w:color="auto"/>
          </w:divBdr>
          <w:divsChild>
            <w:div w:id="1533418457">
              <w:marLeft w:val="0"/>
              <w:marRight w:val="0"/>
              <w:marTop w:val="0"/>
              <w:marBottom w:val="0"/>
              <w:divBdr>
                <w:top w:val="none" w:sz="0" w:space="0" w:color="auto"/>
                <w:left w:val="none" w:sz="0" w:space="0" w:color="auto"/>
                <w:bottom w:val="none" w:sz="0" w:space="0" w:color="auto"/>
                <w:right w:val="none" w:sz="0" w:space="0" w:color="auto"/>
              </w:divBdr>
              <w:divsChild>
                <w:div w:id="1262370512">
                  <w:marLeft w:val="0"/>
                  <w:marRight w:val="0"/>
                  <w:marTop w:val="0"/>
                  <w:marBottom w:val="0"/>
                  <w:divBdr>
                    <w:top w:val="none" w:sz="0" w:space="0" w:color="auto"/>
                    <w:left w:val="none" w:sz="0" w:space="0" w:color="auto"/>
                    <w:bottom w:val="none" w:sz="0" w:space="0" w:color="auto"/>
                    <w:right w:val="none" w:sz="0" w:space="0" w:color="auto"/>
                  </w:divBdr>
                  <w:divsChild>
                    <w:div w:id="135027563">
                      <w:marLeft w:val="0"/>
                      <w:marRight w:val="0"/>
                      <w:marTop w:val="0"/>
                      <w:marBottom w:val="0"/>
                      <w:divBdr>
                        <w:top w:val="none" w:sz="0" w:space="0" w:color="auto"/>
                        <w:left w:val="none" w:sz="0" w:space="0" w:color="auto"/>
                        <w:bottom w:val="none" w:sz="0" w:space="0" w:color="auto"/>
                        <w:right w:val="none" w:sz="0" w:space="0" w:color="auto"/>
                      </w:divBdr>
                      <w:divsChild>
                        <w:div w:id="576595070">
                          <w:marLeft w:val="0"/>
                          <w:marRight w:val="0"/>
                          <w:marTop w:val="0"/>
                          <w:marBottom w:val="0"/>
                          <w:divBdr>
                            <w:top w:val="single" w:sz="6" w:space="0" w:color="828282"/>
                            <w:left w:val="single" w:sz="6" w:space="0" w:color="828282"/>
                            <w:bottom w:val="single" w:sz="6" w:space="0" w:color="828282"/>
                            <w:right w:val="single" w:sz="6" w:space="0" w:color="828282"/>
                          </w:divBdr>
                          <w:divsChild>
                            <w:div w:id="730924437">
                              <w:marLeft w:val="0"/>
                              <w:marRight w:val="0"/>
                              <w:marTop w:val="0"/>
                              <w:marBottom w:val="0"/>
                              <w:divBdr>
                                <w:top w:val="none" w:sz="0" w:space="0" w:color="auto"/>
                                <w:left w:val="none" w:sz="0" w:space="0" w:color="auto"/>
                                <w:bottom w:val="none" w:sz="0" w:space="0" w:color="auto"/>
                                <w:right w:val="none" w:sz="0" w:space="0" w:color="auto"/>
                              </w:divBdr>
                              <w:divsChild>
                                <w:div w:id="495606871">
                                  <w:marLeft w:val="0"/>
                                  <w:marRight w:val="0"/>
                                  <w:marTop w:val="0"/>
                                  <w:marBottom w:val="0"/>
                                  <w:divBdr>
                                    <w:top w:val="none" w:sz="0" w:space="0" w:color="auto"/>
                                    <w:left w:val="none" w:sz="0" w:space="0" w:color="auto"/>
                                    <w:bottom w:val="none" w:sz="0" w:space="0" w:color="auto"/>
                                    <w:right w:val="none" w:sz="0" w:space="0" w:color="auto"/>
                                  </w:divBdr>
                                  <w:divsChild>
                                    <w:div w:id="772474394">
                                      <w:marLeft w:val="0"/>
                                      <w:marRight w:val="0"/>
                                      <w:marTop w:val="0"/>
                                      <w:marBottom w:val="0"/>
                                      <w:divBdr>
                                        <w:top w:val="none" w:sz="0" w:space="0" w:color="auto"/>
                                        <w:left w:val="none" w:sz="0" w:space="0" w:color="auto"/>
                                        <w:bottom w:val="none" w:sz="0" w:space="0" w:color="auto"/>
                                        <w:right w:val="none" w:sz="0" w:space="0" w:color="auto"/>
                                      </w:divBdr>
                                      <w:divsChild>
                                        <w:div w:id="136384424">
                                          <w:marLeft w:val="0"/>
                                          <w:marRight w:val="0"/>
                                          <w:marTop w:val="0"/>
                                          <w:marBottom w:val="0"/>
                                          <w:divBdr>
                                            <w:top w:val="none" w:sz="0" w:space="0" w:color="auto"/>
                                            <w:left w:val="none" w:sz="0" w:space="0" w:color="auto"/>
                                            <w:bottom w:val="none" w:sz="0" w:space="0" w:color="auto"/>
                                            <w:right w:val="none" w:sz="0" w:space="0" w:color="auto"/>
                                          </w:divBdr>
                                          <w:divsChild>
                                            <w:div w:id="495338868">
                                              <w:marLeft w:val="0"/>
                                              <w:marRight w:val="0"/>
                                              <w:marTop w:val="0"/>
                                              <w:marBottom w:val="0"/>
                                              <w:divBdr>
                                                <w:top w:val="none" w:sz="0" w:space="0" w:color="auto"/>
                                                <w:left w:val="none" w:sz="0" w:space="0" w:color="auto"/>
                                                <w:bottom w:val="none" w:sz="0" w:space="0" w:color="auto"/>
                                                <w:right w:val="none" w:sz="0" w:space="0" w:color="auto"/>
                                              </w:divBdr>
                                              <w:divsChild>
                                                <w:div w:id="1234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735419">
      <w:bodyDiv w:val="1"/>
      <w:marLeft w:val="0"/>
      <w:marRight w:val="0"/>
      <w:marTop w:val="0"/>
      <w:marBottom w:val="0"/>
      <w:divBdr>
        <w:top w:val="none" w:sz="0" w:space="0" w:color="auto"/>
        <w:left w:val="none" w:sz="0" w:space="0" w:color="auto"/>
        <w:bottom w:val="none" w:sz="0" w:space="0" w:color="auto"/>
        <w:right w:val="none" w:sz="0" w:space="0" w:color="auto"/>
      </w:divBdr>
    </w:div>
    <w:div w:id="2113817510">
      <w:bodyDiv w:val="1"/>
      <w:marLeft w:val="0"/>
      <w:marRight w:val="0"/>
      <w:marTop w:val="0"/>
      <w:marBottom w:val="0"/>
      <w:divBdr>
        <w:top w:val="none" w:sz="0" w:space="0" w:color="auto"/>
        <w:left w:val="none" w:sz="0" w:space="0" w:color="auto"/>
        <w:bottom w:val="none" w:sz="0" w:space="0" w:color="auto"/>
        <w:right w:val="none" w:sz="0" w:space="0" w:color="auto"/>
      </w:divBdr>
      <w:divsChild>
        <w:div w:id="1504855598">
          <w:marLeft w:val="0"/>
          <w:marRight w:val="0"/>
          <w:marTop w:val="0"/>
          <w:marBottom w:val="0"/>
          <w:divBdr>
            <w:top w:val="none" w:sz="0" w:space="0" w:color="auto"/>
            <w:left w:val="none" w:sz="0" w:space="0" w:color="auto"/>
            <w:bottom w:val="none" w:sz="0" w:space="0" w:color="auto"/>
            <w:right w:val="none" w:sz="0" w:space="0" w:color="auto"/>
          </w:divBdr>
          <w:divsChild>
            <w:div w:id="251091997">
              <w:marLeft w:val="0"/>
              <w:marRight w:val="0"/>
              <w:marTop w:val="0"/>
              <w:marBottom w:val="0"/>
              <w:divBdr>
                <w:top w:val="none" w:sz="0" w:space="0" w:color="auto"/>
                <w:left w:val="none" w:sz="0" w:space="0" w:color="auto"/>
                <w:bottom w:val="none" w:sz="0" w:space="0" w:color="auto"/>
                <w:right w:val="none" w:sz="0" w:space="0" w:color="auto"/>
              </w:divBdr>
              <w:divsChild>
                <w:div w:id="770248595">
                  <w:marLeft w:val="0"/>
                  <w:marRight w:val="0"/>
                  <w:marTop w:val="0"/>
                  <w:marBottom w:val="0"/>
                  <w:divBdr>
                    <w:top w:val="none" w:sz="0" w:space="0" w:color="auto"/>
                    <w:left w:val="none" w:sz="0" w:space="0" w:color="auto"/>
                    <w:bottom w:val="none" w:sz="0" w:space="0" w:color="auto"/>
                    <w:right w:val="none" w:sz="0" w:space="0" w:color="auto"/>
                  </w:divBdr>
                  <w:divsChild>
                    <w:div w:id="2113502101">
                      <w:marLeft w:val="0"/>
                      <w:marRight w:val="0"/>
                      <w:marTop w:val="0"/>
                      <w:marBottom w:val="0"/>
                      <w:divBdr>
                        <w:top w:val="none" w:sz="0" w:space="0" w:color="auto"/>
                        <w:left w:val="none" w:sz="0" w:space="0" w:color="auto"/>
                        <w:bottom w:val="none" w:sz="0" w:space="0" w:color="auto"/>
                        <w:right w:val="none" w:sz="0" w:space="0" w:color="auto"/>
                      </w:divBdr>
                      <w:divsChild>
                        <w:div w:id="814759023">
                          <w:marLeft w:val="0"/>
                          <w:marRight w:val="0"/>
                          <w:marTop w:val="0"/>
                          <w:marBottom w:val="0"/>
                          <w:divBdr>
                            <w:top w:val="single" w:sz="6" w:space="0" w:color="828282"/>
                            <w:left w:val="single" w:sz="6" w:space="0" w:color="828282"/>
                            <w:bottom w:val="single" w:sz="6" w:space="0" w:color="828282"/>
                            <w:right w:val="single" w:sz="6" w:space="0" w:color="828282"/>
                          </w:divBdr>
                          <w:divsChild>
                            <w:div w:id="529999599">
                              <w:marLeft w:val="0"/>
                              <w:marRight w:val="0"/>
                              <w:marTop w:val="0"/>
                              <w:marBottom w:val="0"/>
                              <w:divBdr>
                                <w:top w:val="none" w:sz="0" w:space="0" w:color="auto"/>
                                <w:left w:val="none" w:sz="0" w:space="0" w:color="auto"/>
                                <w:bottom w:val="none" w:sz="0" w:space="0" w:color="auto"/>
                                <w:right w:val="none" w:sz="0" w:space="0" w:color="auto"/>
                              </w:divBdr>
                              <w:divsChild>
                                <w:div w:id="1977644334">
                                  <w:marLeft w:val="0"/>
                                  <w:marRight w:val="0"/>
                                  <w:marTop w:val="0"/>
                                  <w:marBottom w:val="0"/>
                                  <w:divBdr>
                                    <w:top w:val="none" w:sz="0" w:space="0" w:color="auto"/>
                                    <w:left w:val="none" w:sz="0" w:space="0" w:color="auto"/>
                                    <w:bottom w:val="none" w:sz="0" w:space="0" w:color="auto"/>
                                    <w:right w:val="none" w:sz="0" w:space="0" w:color="auto"/>
                                  </w:divBdr>
                                  <w:divsChild>
                                    <w:div w:id="2030905783">
                                      <w:marLeft w:val="0"/>
                                      <w:marRight w:val="0"/>
                                      <w:marTop w:val="0"/>
                                      <w:marBottom w:val="0"/>
                                      <w:divBdr>
                                        <w:top w:val="none" w:sz="0" w:space="0" w:color="auto"/>
                                        <w:left w:val="none" w:sz="0" w:space="0" w:color="auto"/>
                                        <w:bottom w:val="none" w:sz="0" w:space="0" w:color="auto"/>
                                        <w:right w:val="none" w:sz="0" w:space="0" w:color="auto"/>
                                      </w:divBdr>
                                      <w:divsChild>
                                        <w:div w:id="47338395">
                                          <w:marLeft w:val="0"/>
                                          <w:marRight w:val="0"/>
                                          <w:marTop w:val="0"/>
                                          <w:marBottom w:val="0"/>
                                          <w:divBdr>
                                            <w:top w:val="none" w:sz="0" w:space="0" w:color="auto"/>
                                            <w:left w:val="none" w:sz="0" w:space="0" w:color="auto"/>
                                            <w:bottom w:val="none" w:sz="0" w:space="0" w:color="auto"/>
                                            <w:right w:val="none" w:sz="0" w:space="0" w:color="auto"/>
                                          </w:divBdr>
                                          <w:divsChild>
                                            <w:div w:id="1121800344">
                                              <w:marLeft w:val="0"/>
                                              <w:marRight w:val="0"/>
                                              <w:marTop w:val="0"/>
                                              <w:marBottom w:val="0"/>
                                              <w:divBdr>
                                                <w:top w:val="none" w:sz="0" w:space="0" w:color="auto"/>
                                                <w:left w:val="none" w:sz="0" w:space="0" w:color="auto"/>
                                                <w:bottom w:val="none" w:sz="0" w:space="0" w:color="auto"/>
                                                <w:right w:val="none" w:sz="0" w:space="0" w:color="auto"/>
                                              </w:divBdr>
                                              <w:divsChild>
                                                <w:div w:id="9497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92C8-B0AC-44AC-A643-2FD2F07E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1671</Words>
  <Characters>10343</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jcraig</dc:creator>
  <cp:lastModifiedBy>Helen Turnbull</cp:lastModifiedBy>
  <cp:revision>2</cp:revision>
  <cp:lastPrinted>2012-01-12T22:33:00Z</cp:lastPrinted>
  <dcterms:created xsi:type="dcterms:W3CDTF">2012-03-26T21:56:00Z</dcterms:created>
  <dcterms:modified xsi:type="dcterms:W3CDTF">2012-03-26T21:56:00Z</dcterms:modified>
</cp:coreProperties>
</file>