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98" w:rsidRPr="00DB5FB0" w:rsidRDefault="00937AC7" w:rsidP="00EA5C98">
      <w:pPr>
        <w:spacing w:before="120" w:after="120"/>
        <w:jc w:val="center"/>
        <w:rPr>
          <w:rFonts w:cs="Arial"/>
          <w:b/>
          <w:i/>
        </w:rPr>
      </w:pPr>
      <w:r>
        <w:rPr>
          <w:rFonts w:cs="Arial"/>
          <w:b/>
          <w:i/>
          <w:noProof/>
          <w:lang w:eastAsia="en-AU" w:bidi="ar-SA"/>
        </w:rPr>
        <w:pict>
          <v:shapetype id="_x0000_t202" coordsize="21600,21600" o:spt="202" path="m,l,21600r21600,l21600,xe">
            <v:stroke joinstyle="miter"/>
            <v:path gradientshapeok="t" o:connecttype="rect"/>
          </v:shapetype>
          <v:shape id="_x0000_s1026" type="#_x0000_t202" style="position:absolute;left:0;text-align:left;margin-left:314.5pt;margin-top:-61.15pt;width:203.1pt;height:32.6pt;z-index:251658240" strokecolor="white [3212]">
            <v:textbox>
              <w:txbxContent>
                <w:p w:rsidR="00070014" w:rsidRPr="00070014" w:rsidRDefault="00070014" w:rsidP="00070014">
                  <w:pPr>
                    <w:jc w:val="center"/>
                    <w:rPr>
                      <w:b/>
                      <w:sz w:val="28"/>
                      <w:szCs w:val="28"/>
                    </w:rPr>
                  </w:pPr>
                </w:p>
              </w:txbxContent>
            </v:textbox>
          </v:shape>
        </w:pict>
      </w:r>
      <w:r w:rsidR="00254720" w:rsidRPr="00DB5FB0">
        <w:rPr>
          <w:rFonts w:cs="Arial"/>
          <w:b/>
          <w:i/>
        </w:rPr>
        <w:t>Legislative Instruments Act 2003</w:t>
      </w:r>
    </w:p>
    <w:p w:rsidR="00EA5C98" w:rsidRPr="00DB5FB0" w:rsidRDefault="00EA5C98" w:rsidP="008011AB">
      <w:pPr>
        <w:spacing w:before="120" w:after="120"/>
        <w:jc w:val="center"/>
        <w:rPr>
          <w:rFonts w:cs="Arial"/>
          <w:b/>
        </w:rPr>
      </w:pPr>
    </w:p>
    <w:p w:rsidR="00BC5D6F" w:rsidRPr="00DB5FB0" w:rsidRDefault="00EA5C98" w:rsidP="008011AB">
      <w:pPr>
        <w:spacing w:before="120" w:after="120"/>
        <w:jc w:val="center"/>
        <w:rPr>
          <w:rFonts w:cs="Arial"/>
          <w:b/>
        </w:rPr>
      </w:pPr>
      <w:r w:rsidRPr="00DB5FB0">
        <w:rPr>
          <w:rFonts w:cs="Arial"/>
          <w:b/>
        </w:rPr>
        <w:t xml:space="preserve">Section 26 - </w:t>
      </w:r>
      <w:r w:rsidR="00BC5D6F" w:rsidRPr="00DB5FB0">
        <w:rPr>
          <w:rFonts w:cs="Arial"/>
          <w:b/>
        </w:rPr>
        <w:t>Explanatory Statement</w:t>
      </w:r>
    </w:p>
    <w:p w:rsidR="00BC5D6F" w:rsidRPr="00DB5FB0" w:rsidRDefault="00BC5D6F" w:rsidP="008011AB">
      <w:pPr>
        <w:spacing w:before="120" w:after="120"/>
        <w:jc w:val="center"/>
        <w:rPr>
          <w:rFonts w:cs="Arial"/>
          <w:b/>
          <w:i/>
        </w:rPr>
      </w:pPr>
      <w:r w:rsidRPr="00DB5FB0">
        <w:rPr>
          <w:rFonts w:cs="Arial"/>
          <w:b/>
          <w:i/>
        </w:rPr>
        <w:t xml:space="preserve">Broadcasting Services (Commercial Radio Compliance Program) Standard Revocation 2012 </w:t>
      </w:r>
      <w:r w:rsidRPr="00DB5FB0">
        <w:rPr>
          <w:rFonts w:cs="Arial"/>
          <w:b/>
        </w:rPr>
        <w:t xml:space="preserve">made under the </w:t>
      </w:r>
      <w:r w:rsidRPr="00DB5FB0">
        <w:rPr>
          <w:rFonts w:cs="Arial"/>
          <w:b/>
          <w:i/>
        </w:rPr>
        <w:t>Broadcasting Services Act 1992</w:t>
      </w:r>
    </w:p>
    <w:p w:rsidR="00BC5D6F" w:rsidRPr="00DB5FB0" w:rsidRDefault="00BC5D6F" w:rsidP="008011AB">
      <w:pPr>
        <w:spacing w:before="120" w:after="120"/>
        <w:jc w:val="center"/>
        <w:rPr>
          <w:rFonts w:cs="Arial"/>
          <w:b/>
        </w:rPr>
      </w:pPr>
    </w:p>
    <w:p w:rsidR="00BC5D6F" w:rsidRPr="00DB5FB0" w:rsidRDefault="00BC5D6F" w:rsidP="008011AB">
      <w:pPr>
        <w:spacing w:before="120" w:after="120"/>
        <w:jc w:val="center"/>
        <w:rPr>
          <w:rFonts w:cs="Arial"/>
          <w:b/>
        </w:rPr>
      </w:pPr>
      <w:r w:rsidRPr="00DB5FB0">
        <w:rPr>
          <w:rFonts w:cs="Arial"/>
          <w:b/>
        </w:rPr>
        <w:t>Issued by the Australian Communications and Media Authority</w:t>
      </w:r>
    </w:p>
    <w:p w:rsidR="00EA5C98" w:rsidRPr="00DB5FB0" w:rsidRDefault="00EA5C98" w:rsidP="008011AB">
      <w:pPr>
        <w:autoSpaceDE w:val="0"/>
        <w:autoSpaceDN w:val="0"/>
        <w:adjustRightInd w:val="0"/>
        <w:spacing w:before="120" w:after="120" w:line="240" w:lineRule="atLeast"/>
        <w:jc w:val="both"/>
        <w:rPr>
          <w:rFonts w:cs="Arial"/>
        </w:rPr>
      </w:pPr>
    </w:p>
    <w:p w:rsidR="00BC5D6F" w:rsidRPr="00DB5FB0" w:rsidRDefault="00EA5C98" w:rsidP="008011AB">
      <w:pPr>
        <w:autoSpaceDE w:val="0"/>
        <w:autoSpaceDN w:val="0"/>
        <w:adjustRightInd w:val="0"/>
        <w:spacing w:before="120" w:after="120" w:line="240" w:lineRule="atLeast"/>
        <w:jc w:val="both"/>
        <w:rPr>
          <w:rFonts w:cs="Arial"/>
        </w:rPr>
      </w:pPr>
      <w:r w:rsidRPr="00DB5FB0">
        <w:rPr>
          <w:rFonts w:cs="Arial"/>
        </w:rPr>
        <w:t>On</w:t>
      </w:r>
      <w:r w:rsidR="00056C56">
        <w:rPr>
          <w:rFonts w:cs="Arial"/>
          <w:b/>
        </w:rPr>
        <w:t xml:space="preserve"> 14 March 2012</w:t>
      </w:r>
      <w:r w:rsidR="0009426B" w:rsidRPr="00DB5FB0">
        <w:rPr>
          <w:rFonts w:cs="Arial"/>
          <w:b/>
        </w:rPr>
        <w:t>,</w:t>
      </w:r>
      <w:r w:rsidR="00254720" w:rsidRPr="00DB5FB0">
        <w:rPr>
          <w:rFonts w:cs="Arial"/>
          <w:b/>
        </w:rPr>
        <w:t xml:space="preserve"> </w:t>
      </w:r>
      <w:r w:rsidRPr="00DB5FB0">
        <w:rPr>
          <w:rFonts w:cs="Arial"/>
        </w:rPr>
        <w:t xml:space="preserve">the Australian Communications and Media Authority (the </w:t>
      </w:r>
      <w:r w:rsidRPr="00DB5FB0">
        <w:rPr>
          <w:rFonts w:cs="Arial"/>
          <w:b/>
        </w:rPr>
        <w:t>ACMA</w:t>
      </w:r>
      <w:r w:rsidRPr="00DB5FB0">
        <w:rPr>
          <w:rFonts w:cs="Arial"/>
        </w:rPr>
        <w:t>) determined t</w:t>
      </w:r>
      <w:r w:rsidR="00BC5D6F" w:rsidRPr="00DB5FB0">
        <w:rPr>
          <w:rFonts w:cs="Arial"/>
        </w:rPr>
        <w:t xml:space="preserve">he </w:t>
      </w:r>
      <w:r w:rsidR="00254720" w:rsidRPr="00DB5FB0">
        <w:rPr>
          <w:rFonts w:cs="Arial"/>
          <w:bCs/>
          <w:i/>
        </w:rPr>
        <w:t>Broadcasting Services (Commercial Radio Compliance Program) Standard Revocation 2012</w:t>
      </w:r>
      <w:r w:rsidR="00BC5D6F" w:rsidRPr="00DB5FB0">
        <w:rPr>
          <w:rFonts w:cs="Arial"/>
          <w:bCs/>
        </w:rPr>
        <w:t xml:space="preserve"> </w:t>
      </w:r>
      <w:r w:rsidR="00BC5D6F" w:rsidRPr="00DB5FB0">
        <w:rPr>
          <w:rFonts w:cs="Arial"/>
        </w:rPr>
        <w:t>(</w:t>
      </w:r>
      <w:r w:rsidR="00BC5D6F" w:rsidRPr="00DB5FB0">
        <w:rPr>
          <w:rFonts w:cs="Arial"/>
          <w:b/>
        </w:rPr>
        <w:t>the Revocation</w:t>
      </w:r>
      <w:r w:rsidR="00BC5D6F" w:rsidRPr="00DB5FB0">
        <w:rPr>
          <w:rFonts w:cs="Arial"/>
          <w:b/>
          <w:bCs/>
        </w:rPr>
        <w:t xml:space="preserve"> </w:t>
      </w:r>
      <w:r w:rsidRPr="00DB5FB0">
        <w:rPr>
          <w:rFonts w:cs="Arial"/>
          <w:b/>
          <w:bCs/>
        </w:rPr>
        <w:t>Instrument</w:t>
      </w:r>
      <w:r w:rsidR="00BC5D6F" w:rsidRPr="00DB5FB0">
        <w:rPr>
          <w:rFonts w:cs="Arial"/>
        </w:rPr>
        <w:t>)</w:t>
      </w:r>
      <w:r w:rsidR="00A47B3C">
        <w:rPr>
          <w:rFonts w:cs="Arial"/>
        </w:rPr>
        <w:t xml:space="preserve">. </w:t>
      </w:r>
      <w:r w:rsidRPr="00DB5FB0">
        <w:rPr>
          <w:rFonts w:cs="Arial"/>
        </w:rPr>
        <w:t>The Revocation Instrument</w:t>
      </w:r>
      <w:r w:rsidR="00BC5D6F" w:rsidRPr="00DB5FB0">
        <w:rPr>
          <w:rFonts w:cs="Arial"/>
        </w:rPr>
        <w:t xml:space="preserve"> revoke</w:t>
      </w:r>
      <w:r w:rsidRPr="00DB5FB0">
        <w:rPr>
          <w:rFonts w:cs="Arial"/>
        </w:rPr>
        <w:t>s</w:t>
      </w:r>
      <w:r w:rsidR="00BC5D6F" w:rsidRPr="00DB5FB0">
        <w:rPr>
          <w:rFonts w:cs="Arial"/>
        </w:rPr>
        <w:t xml:space="preserve"> the </w:t>
      </w:r>
      <w:r w:rsidR="00254720" w:rsidRPr="00DB5FB0">
        <w:rPr>
          <w:rFonts w:cs="Arial"/>
          <w:i/>
        </w:rPr>
        <w:t>Broadcasting Services (Commercial Radio Compliance Program) Standard 2000</w:t>
      </w:r>
      <w:r w:rsidR="00BC5D6F" w:rsidRPr="00DB5FB0">
        <w:rPr>
          <w:rFonts w:cs="Arial"/>
          <w:i/>
        </w:rPr>
        <w:t xml:space="preserve"> </w:t>
      </w:r>
      <w:r w:rsidR="00BC5D6F" w:rsidRPr="00DB5FB0">
        <w:rPr>
          <w:rFonts w:cs="Arial"/>
        </w:rPr>
        <w:t>(</w:t>
      </w:r>
      <w:r w:rsidR="00BC5D6F" w:rsidRPr="00DB5FB0">
        <w:rPr>
          <w:rFonts w:cs="Arial"/>
          <w:b/>
        </w:rPr>
        <w:t xml:space="preserve">the 2000 </w:t>
      </w:r>
      <w:r w:rsidR="00BC5D6F" w:rsidRPr="00DB5FB0">
        <w:rPr>
          <w:rFonts w:cs="Arial"/>
          <w:b/>
          <w:bCs/>
        </w:rPr>
        <w:t>Compliance Program Standard</w:t>
      </w:r>
      <w:r w:rsidR="00BC5D6F" w:rsidRPr="00DB5FB0">
        <w:rPr>
          <w:rFonts w:cs="Arial"/>
        </w:rPr>
        <w:t xml:space="preserve">). </w:t>
      </w:r>
    </w:p>
    <w:p w:rsidR="00254720" w:rsidRPr="00DB5FB0" w:rsidRDefault="00BC5D6F" w:rsidP="00254720">
      <w:pPr>
        <w:spacing w:before="120" w:after="120"/>
        <w:rPr>
          <w:rFonts w:cs="Arial"/>
        </w:rPr>
      </w:pPr>
      <w:r w:rsidRPr="00DB5FB0">
        <w:rPr>
          <w:rFonts w:cs="Arial"/>
        </w:rPr>
        <w:t xml:space="preserve">The </w:t>
      </w:r>
      <w:r w:rsidR="00254720" w:rsidRPr="00DB5FB0">
        <w:rPr>
          <w:rFonts w:cs="Arial"/>
        </w:rPr>
        <w:t xml:space="preserve">2000 </w:t>
      </w:r>
      <w:r w:rsidR="00254720" w:rsidRPr="00DB5FB0">
        <w:rPr>
          <w:rFonts w:cs="Arial"/>
          <w:bCs/>
        </w:rPr>
        <w:t>Compliance Program Standard</w:t>
      </w:r>
      <w:r w:rsidR="000F3828" w:rsidRPr="00DB5FB0" w:rsidDel="000F3828">
        <w:rPr>
          <w:rFonts w:cs="Arial"/>
        </w:rPr>
        <w:t xml:space="preserve"> </w:t>
      </w:r>
      <w:r w:rsidR="000F3828" w:rsidRPr="00DB5FB0">
        <w:rPr>
          <w:rFonts w:cs="Arial"/>
        </w:rPr>
        <w:t>wa</w:t>
      </w:r>
      <w:r w:rsidRPr="00DB5FB0">
        <w:rPr>
          <w:rFonts w:cs="Arial"/>
        </w:rPr>
        <w:t xml:space="preserve">s </w:t>
      </w:r>
      <w:r w:rsidR="000F3828" w:rsidRPr="00DB5FB0">
        <w:rPr>
          <w:rFonts w:cs="Arial"/>
        </w:rPr>
        <w:t xml:space="preserve">made </w:t>
      </w:r>
      <w:r w:rsidRPr="00DB5FB0">
        <w:rPr>
          <w:rFonts w:cs="Arial"/>
        </w:rPr>
        <w:t>by the ACMA under section 12</w:t>
      </w:r>
      <w:r w:rsidR="000F3828" w:rsidRPr="00DB5FB0">
        <w:rPr>
          <w:rFonts w:cs="Arial"/>
        </w:rPr>
        <w:t>5</w:t>
      </w:r>
      <w:r w:rsidRPr="00DB5FB0">
        <w:rPr>
          <w:rFonts w:cs="Arial"/>
        </w:rPr>
        <w:t xml:space="preserve"> of the </w:t>
      </w:r>
      <w:r w:rsidRPr="00DB5FB0">
        <w:rPr>
          <w:rFonts w:cs="Arial"/>
          <w:i/>
        </w:rPr>
        <w:t>Broadcasting Services Act 1992</w:t>
      </w:r>
      <w:r w:rsidRPr="00DB5FB0">
        <w:rPr>
          <w:rFonts w:cs="Arial"/>
        </w:rPr>
        <w:t xml:space="preserve"> (</w:t>
      </w:r>
      <w:r w:rsidRPr="00DB5FB0">
        <w:rPr>
          <w:rFonts w:cs="Arial"/>
          <w:b/>
        </w:rPr>
        <w:t>the BSA</w:t>
      </w:r>
      <w:r w:rsidRPr="00DB5FB0">
        <w:rPr>
          <w:rFonts w:cs="Arial"/>
        </w:rPr>
        <w:t>)</w:t>
      </w:r>
      <w:r w:rsidR="000F3828" w:rsidRPr="00DB5FB0">
        <w:rPr>
          <w:rFonts w:cs="Arial"/>
        </w:rPr>
        <w:t xml:space="preserve"> which</w:t>
      </w:r>
      <w:r w:rsidRPr="00DB5FB0">
        <w:rPr>
          <w:rFonts w:cs="Arial"/>
        </w:rPr>
        <w:t xml:space="preserve"> provides that the ACMA may</w:t>
      </w:r>
      <w:r w:rsidR="000F3828" w:rsidRPr="00DB5FB0">
        <w:rPr>
          <w:rFonts w:cs="Arial"/>
        </w:rPr>
        <w:t xml:space="preserve"> </w:t>
      </w:r>
      <w:r w:rsidRPr="00DB5FB0">
        <w:rPr>
          <w:rFonts w:cs="Arial"/>
        </w:rPr>
        <w:t>determine program standards</w:t>
      </w:r>
      <w:r w:rsidR="00A47B3C">
        <w:rPr>
          <w:rFonts w:cs="Arial"/>
        </w:rPr>
        <w:t xml:space="preserve">. </w:t>
      </w:r>
    </w:p>
    <w:p w:rsidR="00254720" w:rsidRPr="00DB5FB0" w:rsidRDefault="000F3828" w:rsidP="00254720">
      <w:pPr>
        <w:spacing w:before="120" w:after="120"/>
        <w:rPr>
          <w:rFonts w:cs="Arial"/>
        </w:rPr>
      </w:pPr>
      <w:r w:rsidRPr="00DB5FB0">
        <w:rPr>
          <w:rFonts w:cs="Arial"/>
        </w:rPr>
        <w:t>T</w:t>
      </w:r>
      <w:r w:rsidR="00BC5D6F" w:rsidRPr="00DB5FB0">
        <w:rPr>
          <w:rFonts w:cs="Arial"/>
        </w:rPr>
        <w:t>he ACMA</w:t>
      </w:r>
      <w:r w:rsidRPr="00DB5FB0">
        <w:rPr>
          <w:rFonts w:cs="Arial"/>
        </w:rPr>
        <w:t xml:space="preserve"> may </w:t>
      </w:r>
      <w:r w:rsidR="00BC5D6F" w:rsidRPr="00DB5FB0">
        <w:rPr>
          <w:rFonts w:cs="Arial"/>
        </w:rPr>
        <w:t>revo</w:t>
      </w:r>
      <w:r w:rsidRPr="00DB5FB0">
        <w:rPr>
          <w:rFonts w:cs="Arial"/>
        </w:rPr>
        <w:t>ke</w:t>
      </w:r>
      <w:r w:rsidR="00BC5D6F" w:rsidRPr="00DB5FB0">
        <w:rPr>
          <w:rFonts w:cs="Arial"/>
        </w:rPr>
        <w:t xml:space="preserve"> </w:t>
      </w:r>
      <w:r w:rsidRPr="00DB5FB0">
        <w:rPr>
          <w:rFonts w:cs="Arial"/>
        </w:rPr>
        <w:t>a</w:t>
      </w:r>
      <w:r w:rsidR="00BC5D6F" w:rsidRPr="00DB5FB0">
        <w:rPr>
          <w:rFonts w:cs="Arial"/>
        </w:rPr>
        <w:t xml:space="preserve"> program standard made under section 125, provided the consultation provision in section 126 of the BSA ha</w:t>
      </w:r>
      <w:r w:rsidR="0009426B" w:rsidRPr="00DB5FB0">
        <w:rPr>
          <w:rFonts w:cs="Arial"/>
        </w:rPr>
        <w:t>s</w:t>
      </w:r>
      <w:r w:rsidR="00BC5D6F" w:rsidRPr="00DB5FB0">
        <w:rPr>
          <w:rFonts w:cs="Arial"/>
        </w:rPr>
        <w:t xml:space="preserve"> been followed.</w:t>
      </w:r>
    </w:p>
    <w:p w:rsidR="00BC5D6F" w:rsidRPr="00DB5FB0" w:rsidRDefault="00BC5D6F" w:rsidP="008011AB">
      <w:pPr>
        <w:spacing w:before="120" w:after="120" w:line="240" w:lineRule="atLeast"/>
        <w:jc w:val="both"/>
        <w:rPr>
          <w:rFonts w:cs="Arial"/>
          <w:b/>
        </w:rPr>
      </w:pPr>
      <w:r w:rsidRPr="00DB5FB0">
        <w:rPr>
          <w:rFonts w:cs="Arial"/>
          <w:b/>
        </w:rPr>
        <w:t>Background</w:t>
      </w:r>
    </w:p>
    <w:p w:rsidR="00BC5D6F" w:rsidRPr="00DB5FB0" w:rsidRDefault="00BC5D6F" w:rsidP="008011AB">
      <w:pPr>
        <w:spacing w:before="120" w:after="120" w:line="240" w:lineRule="atLeast"/>
        <w:jc w:val="both"/>
        <w:rPr>
          <w:rFonts w:cs="Arial"/>
        </w:rPr>
      </w:pPr>
      <w:r w:rsidRPr="00DB5FB0">
        <w:rPr>
          <w:rFonts w:cs="Arial"/>
        </w:rPr>
        <w:t xml:space="preserve">As part of the </w:t>
      </w:r>
      <w:r w:rsidRPr="00DB5FB0">
        <w:rPr>
          <w:rFonts w:cs="Arial"/>
          <w:i/>
        </w:rPr>
        <w:t>Commercial Radio Inquiry 2000</w:t>
      </w:r>
      <w:r w:rsidRPr="00DB5FB0">
        <w:rPr>
          <w:rFonts w:cs="Arial"/>
        </w:rPr>
        <w:t xml:space="preserve">, </w:t>
      </w:r>
      <w:r w:rsidR="000F3828" w:rsidRPr="00DB5FB0">
        <w:rPr>
          <w:rFonts w:cs="Arial"/>
        </w:rPr>
        <w:t xml:space="preserve">one of </w:t>
      </w:r>
      <w:r w:rsidRPr="00DB5FB0">
        <w:rPr>
          <w:rFonts w:cs="Arial"/>
        </w:rPr>
        <w:t>the ACMA's predecessor</w:t>
      </w:r>
      <w:r w:rsidR="000F3828" w:rsidRPr="00DB5FB0">
        <w:rPr>
          <w:rFonts w:cs="Arial"/>
        </w:rPr>
        <w:t xml:space="preserve"> agencies</w:t>
      </w:r>
      <w:r w:rsidRPr="00DB5FB0">
        <w:rPr>
          <w:rFonts w:cs="Arial"/>
        </w:rPr>
        <w:t>, the Australian Broadcasting Authority (</w:t>
      </w:r>
      <w:r w:rsidRPr="00DB5FB0">
        <w:rPr>
          <w:rFonts w:cs="Arial"/>
          <w:b/>
        </w:rPr>
        <w:t>the ABA</w:t>
      </w:r>
      <w:r w:rsidRPr="00DB5FB0">
        <w:rPr>
          <w:rFonts w:cs="Arial"/>
        </w:rPr>
        <w:t xml:space="preserve">), </w:t>
      </w:r>
      <w:r w:rsidR="000F3828" w:rsidRPr="00DB5FB0">
        <w:rPr>
          <w:rFonts w:cs="Arial"/>
        </w:rPr>
        <w:t xml:space="preserve">formed the view </w:t>
      </w:r>
      <w:r w:rsidRPr="00DB5FB0">
        <w:rPr>
          <w:rFonts w:cs="Arial"/>
        </w:rPr>
        <w:t xml:space="preserve">that the </w:t>
      </w:r>
      <w:r w:rsidR="000F3828" w:rsidRPr="00DB5FB0">
        <w:rPr>
          <w:rFonts w:cs="Arial"/>
        </w:rPr>
        <w:t xml:space="preserve">commercial radio </w:t>
      </w:r>
      <w:r w:rsidRPr="00DB5FB0">
        <w:rPr>
          <w:rFonts w:cs="Arial"/>
        </w:rPr>
        <w:t xml:space="preserve">industry codes of practice were not operating to provide appropriate community safeguards. In response, the ABA determined three program standards, including the 2000 </w:t>
      </w:r>
      <w:r w:rsidRPr="00DB5FB0">
        <w:rPr>
          <w:rFonts w:cs="Arial"/>
          <w:bCs/>
        </w:rPr>
        <w:t>Compliance Program Standard</w:t>
      </w:r>
      <w:r w:rsidRPr="00DB5FB0">
        <w:rPr>
          <w:rFonts w:cs="Arial"/>
        </w:rPr>
        <w:t>, to deal with advertising, commercial influence and compliance programs across the commercial radio industry (</w:t>
      </w:r>
      <w:r w:rsidRPr="00DB5FB0">
        <w:rPr>
          <w:rFonts w:cs="Arial"/>
          <w:b/>
        </w:rPr>
        <w:t>the commercial radio standards</w:t>
      </w:r>
      <w:r w:rsidRPr="00DB5FB0">
        <w:rPr>
          <w:rFonts w:cs="Arial"/>
        </w:rPr>
        <w:t xml:space="preserve">). </w:t>
      </w:r>
    </w:p>
    <w:p w:rsidR="00BC5D6F" w:rsidRPr="00DB5FB0" w:rsidRDefault="00BC5D6F" w:rsidP="008011AB">
      <w:pPr>
        <w:spacing w:before="120" w:after="120" w:line="240" w:lineRule="atLeast"/>
        <w:jc w:val="both"/>
        <w:rPr>
          <w:rFonts w:cs="Arial"/>
        </w:rPr>
      </w:pPr>
      <w:r w:rsidRPr="00DB5FB0">
        <w:rPr>
          <w:rFonts w:cs="Arial"/>
        </w:rPr>
        <w:t xml:space="preserve">The 2000 </w:t>
      </w:r>
      <w:r w:rsidRPr="00DB5FB0">
        <w:rPr>
          <w:rFonts w:cs="Arial"/>
          <w:bCs/>
        </w:rPr>
        <w:t>Compliance Program Standard</w:t>
      </w:r>
      <w:r w:rsidRPr="00DB5FB0">
        <w:rPr>
          <w:rFonts w:cs="Arial"/>
        </w:rPr>
        <w:t xml:space="preserve"> was determined to </w:t>
      </w:r>
      <w:r w:rsidR="000F3828" w:rsidRPr="00DB5FB0">
        <w:rPr>
          <w:rFonts w:cs="Arial"/>
        </w:rPr>
        <w:t xml:space="preserve">require licensees to formulate, implement and maintain a compliance program </w:t>
      </w:r>
      <w:r w:rsidR="000654B2" w:rsidRPr="00DB5FB0">
        <w:rPr>
          <w:rFonts w:cs="Arial"/>
        </w:rPr>
        <w:t xml:space="preserve">to </w:t>
      </w:r>
      <w:r w:rsidRPr="00DB5FB0">
        <w:rPr>
          <w:rFonts w:cs="Arial"/>
        </w:rPr>
        <w:t xml:space="preserve">ensure that licensees and their staff were educated </w:t>
      </w:r>
      <w:r w:rsidR="000654B2" w:rsidRPr="00DB5FB0">
        <w:rPr>
          <w:rFonts w:cs="Arial"/>
        </w:rPr>
        <w:t xml:space="preserve">about, </w:t>
      </w:r>
      <w:r w:rsidRPr="00DB5FB0">
        <w:rPr>
          <w:rFonts w:cs="Arial"/>
        </w:rPr>
        <w:t xml:space="preserve">and  </w:t>
      </w:r>
      <w:r w:rsidR="000654B2" w:rsidRPr="00DB5FB0">
        <w:rPr>
          <w:rFonts w:cs="Arial"/>
        </w:rPr>
        <w:t>trained in,</w:t>
      </w:r>
      <w:r w:rsidRPr="00DB5FB0">
        <w:rPr>
          <w:rFonts w:cs="Arial"/>
        </w:rPr>
        <w:t xml:space="preserve"> their regulatory obligations under the BSA, the commercial radio standards and the </w:t>
      </w:r>
      <w:r w:rsidR="000654B2" w:rsidRPr="00DB5FB0">
        <w:rPr>
          <w:rFonts w:cs="Arial"/>
        </w:rPr>
        <w:t xml:space="preserve">commercial radio </w:t>
      </w:r>
      <w:r w:rsidRPr="00DB5FB0">
        <w:rPr>
          <w:rFonts w:cs="Arial"/>
        </w:rPr>
        <w:t>codes</w:t>
      </w:r>
      <w:r w:rsidR="000654B2" w:rsidRPr="00DB5FB0">
        <w:rPr>
          <w:rFonts w:cs="Arial"/>
        </w:rPr>
        <w:t xml:space="preserve"> of practice</w:t>
      </w:r>
      <w:r w:rsidRPr="00DB5FB0">
        <w:rPr>
          <w:rFonts w:cs="Arial"/>
        </w:rPr>
        <w:t xml:space="preserve">. </w:t>
      </w:r>
    </w:p>
    <w:p w:rsidR="00BC5D6F" w:rsidRPr="00DB5FB0" w:rsidRDefault="00BC5D6F" w:rsidP="000654B2">
      <w:pPr>
        <w:spacing w:before="120" w:after="120" w:line="240" w:lineRule="atLeast"/>
        <w:jc w:val="both"/>
        <w:rPr>
          <w:rFonts w:cs="Arial"/>
        </w:rPr>
      </w:pPr>
      <w:r w:rsidRPr="00DB5FB0">
        <w:rPr>
          <w:rFonts w:cs="Arial"/>
        </w:rPr>
        <w:t xml:space="preserve">In 2008, the ACMA announced a review of the commercial radio standards to consider </w:t>
      </w:r>
      <w:r w:rsidR="000654B2" w:rsidRPr="00DB5FB0">
        <w:rPr>
          <w:rFonts w:cs="Arial"/>
        </w:rPr>
        <w:t>the effectiveness, efficiency and appropriateness of the regulatory arrangements under the three standards.</w:t>
      </w:r>
      <w:r w:rsidR="000654B2" w:rsidRPr="00DB5FB0" w:rsidDel="002B1B84">
        <w:rPr>
          <w:rFonts w:cs="Arial"/>
        </w:rPr>
        <w:t xml:space="preserve"> </w:t>
      </w:r>
      <w:r w:rsidRPr="00DB5FB0">
        <w:rPr>
          <w:rFonts w:cs="Arial"/>
        </w:rPr>
        <w:t xml:space="preserve">Research and industry submissions provided as part of the review </w:t>
      </w:r>
      <w:r w:rsidR="000654B2" w:rsidRPr="00DB5FB0">
        <w:rPr>
          <w:rFonts w:cs="Arial"/>
        </w:rPr>
        <w:t xml:space="preserve">indicated a high degree of awareness by </w:t>
      </w:r>
      <w:r w:rsidRPr="00DB5FB0">
        <w:rPr>
          <w:rFonts w:cs="Arial"/>
        </w:rPr>
        <w:t xml:space="preserve">licensees </w:t>
      </w:r>
      <w:r w:rsidR="000654B2" w:rsidRPr="00DB5FB0">
        <w:rPr>
          <w:rFonts w:cs="Arial"/>
        </w:rPr>
        <w:t>of</w:t>
      </w:r>
      <w:r w:rsidRPr="00DB5FB0">
        <w:rPr>
          <w:rFonts w:cs="Arial"/>
        </w:rPr>
        <w:t xml:space="preserve"> their regulatory obligations</w:t>
      </w:r>
      <w:r w:rsidR="00FA07C8" w:rsidRPr="00DB5FB0">
        <w:rPr>
          <w:rFonts w:cs="Arial"/>
        </w:rPr>
        <w:t xml:space="preserve">. </w:t>
      </w:r>
      <w:r w:rsidRPr="00DB5FB0">
        <w:rPr>
          <w:rFonts w:cs="Arial"/>
          <w:bCs/>
        </w:rPr>
        <w:t>The review also</w:t>
      </w:r>
      <w:r w:rsidRPr="00DB5FB0">
        <w:rPr>
          <w:rFonts w:cs="Arial"/>
        </w:rPr>
        <w:t xml:space="preserve"> indicated that the vast majority of</w:t>
      </w:r>
      <w:r w:rsidR="00FA07C8" w:rsidRPr="00DB5FB0">
        <w:rPr>
          <w:rFonts w:cs="Arial"/>
        </w:rPr>
        <w:t xml:space="preserve"> commercial radio</w:t>
      </w:r>
      <w:r w:rsidR="003F0A24">
        <w:rPr>
          <w:rFonts w:cs="Arial"/>
        </w:rPr>
        <w:t xml:space="preserve"> licensees surveyed by the ACMA has in place a culture that encourages compliance, and that licensees are likely to maintain compliance mechanisms independent of the requirements of the 2000 </w:t>
      </w:r>
      <w:r w:rsidR="003F0A24">
        <w:rPr>
          <w:rFonts w:cs="Arial"/>
          <w:bCs/>
        </w:rPr>
        <w:t>Compliance Program Standard</w:t>
      </w:r>
      <w:r w:rsidR="00A47B3C">
        <w:rPr>
          <w:rFonts w:cs="Arial"/>
        </w:rPr>
        <w:t xml:space="preserve">. </w:t>
      </w:r>
      <w:r w:rsidR="003F0A24">
        <w:rPr>
          <w:rFonts w:cs="Arial"/>
        </w:rPr>
        <w:t>Accordingly, the ACMA decided it was appropriate to revoke the 2000 Compliance Standard.</w:t>
      </w:r>
    </w:p>
    <w:p w:rsidR="000654B2" w:rsidRPr="00DB5FB0" w:rsidRDefault="003F0A24" w:rsidP="000654B2">
      <w:pPr>
        <w:spacing w:before="120" w:after="120" w:line="240" w:lineRule="atLeast"/>
        <w:jc w:val="both"/>
        <w:rPr>
          <w:rFonts w:cs="Arial"/>
          <w:b/>
        </w:rPr>
      </w:pPr>
      <w:r>
        <w:rPr>
          <w:rFonts w:cs="Arial"/>
          <w:b/>
        </w:rPr>
        <w:t>Intended impact and effect of the Revocation Instrument</w:t>
      </w:r>
    </w:p>
    <w:p w:rsidR="00BC5D6F" w:rsidRPr="00DB5FB0" w:rsidRDefault="003F0A24" w:rsidP="008011AB">
      <w:pPr>
        <w:spacing w:before="120" w:after="120" w:line="240" w:lineRule="atLeast"/>
        <w:jc w:val="both"/>
        <w:rPr>
          <w:rFonts w:cs="Arial"/>
        </w:rPr>
      </w:pPr>
      <w:r w:rsidRPr="003F0A24">
        <w:rPr>
          <w:rFonts w:cs="Arial"/>
        </w:rPr>
        <w:t>The Revocation</w:t>
      </w:r>
      <w:r>
        <w:rPr>
          <w:rFonts w:cs="Arial"/>
          <w:bCs/>
        </w:rPr>
        <w:t xml:space="preserve"> Instrument</w:t>
      </w:r>
      <w:r w:rsidRPr="003F0A24">
        <w:rPr>
          <w:rFonts w:cs="Arial"/>
        </w:rPr>
        <w:t xml:space="preserve"> revokes the 2000 Compliance Program Standard. </w:t>
      </w:r>
    </w:p>
    <w:p w:rsidR="00BC5D6F" w:rsidRPr="00DB5FB0" w:rsidRDefault="003F0A24" w:rsidP="008011AB">
      <w:pPr>
        <w:spacing w:before="120" w:after="120" w:line="240" w:lineRule="atLeast"/>
        <w:jc w:val="both"/>
        <w:rPr>
          <w:rFonts w:cs="Arial"/>
        </w:rPr>
      </w:pPr>
      <w:r w:rsidRPr="003F0A24">
        <w:rPr>
          <w:rFonts w:cs="Arial"/>
        </w:rPr>
        <w:t xml:space="preserve">The revocation of the 2000 </w:t>
      </w:r>
      <w:r>
        <w:rPr>
          <w:rFonts w:cs="Arial"/>
          <w:bCs/>
        </w:rPr>
        <w:t>Compliance Program Standard</w:t>
      </w:r>
      <w:r w:rsidRPr="003F0A24">
        <w:rPr>
          <w:rFonts w:cs="Arial"/>
        </w:rPr>
        <w:t xml:space="preserve"> means that commercial radio </w:t>
      </w:r>
      <w:proofErr w:type="spellStart"/>
      <w:r w:rsidRPr="003F0A24">
        <w:rPr>
          <w:rFonts w:cs="Arial"/>
        </w:rPr>
        <w:t>licensees</w:t>
      </w:r>
      <w:proofErr w:type="spellEnd"/>
      <w:r w:rsidRPr="003F0A24">
        <w:rPr>
          <w:rFonts w:cs="Arial"/>
        </w:rPr>
        <w:t xml:space="preserve"> will no longer be required to </w:t>
      </w:r>
      <w:r>
        <w:rPr>
          <w:rFonts w:cs="Arial"/>
        </w:rPr>
        <w:t xml:space="preserve">formulate, implement and maintain a compliance program to ensure their compliance with the requirements of the BSA, commercial radio standards and commercial radio codes of practice. </w:t>
      </w:r>
    </w:p>
    <w:p w:rsidR="00BC5D6F" w:rsidRPr="00DB5FB0" w:rsidRDefault="003F0A24" w:rsidP="008011AB">
      <w:pPr>
        <w:autoSpaceDE w:val="0"/>
        <w:autoSpaceDN w:val="0"/>
        <w:adjustRightInd w:val="0"/>
        <w:spacing w:before="120" w:after="120" w:line="240" w:lineRule="atLeast"/>
        <w:rPr>
          <w:rFonts w:cs="Arial"/>
          <w:b/>
        </w:rPr>
      </w:pPr>
      <w:bookmarkStart w:id="0" w:name="OLE_LINK23"/>
      <w:r>
        <w:rPr>
          <w:rFonts w:cs="Arial"/>
          <w:b/>
        </w:rPr>
        <w:t>Consultation</w:t>
      </w:r>
    </w:p>
    <w:p w:rsidR="00BC5D6F" w:rsidRPr="00DB5FB0" w:rsidRDefault="003F0A24" w:rsidP="008011AB">
      <w:pPr>
        <w:spacing w:before="120" w:after="120" w:line="240" w:lineRule="atLeast"/>
        <w:jc w:val="both"/>
        <w:rPr>
          <w:rFonts w:cs="Arial"/>
        </w:rPr>
      </w:pPr>
      <w:r>
        <w:rPr>
          <w:rFonts w:cs="Arial"/>
        </w:rPr>
        <w:t xml:space="preserve">On 25 November 2011, the ACMA released a draft of the Revocation Instrument, </w:t>
      </w:r>
      <w:bookmarkStart w:id="1" w:name="OLE_LINK34"/>
      <w:r>
        <w:rPr>
          <w:rFonts w:cs="Arial"/>
        </w:rPr>
        <w:t>seeking stakeholder and public comment on the proposed changes to regulation</w:t>
      </w:r>
      <w:r w:rsidR="00A47B3C">
        <w:rPr>
          <w:rFonts w:cs="Arial"/>
        </w:rPr>
        <w:t xml:space="preserve">. </w:t>
      </w:r>
      <w:r>
        <w:rPr>
          <w:rFonts w:cs="Arial"/>
        </w:rPr>
        <w:t>Consultation on the draft closed on 16 December 2011 (with the ACMA granting extensions to industry submitters).</w:t>
      </w:r>
    </w:p>
    <w:p w:rsidR="00BC5D6F" w:rsidRPr="00DB5FB0" w:rsidRDefault="003F0A24" w:rsidP="008011AB">
      <w:pPr>
        <w:spacing w:before="120" w:after="120" w:line="240" w:lineRule="atLeast"/>
        <w:jc w:val="both"/>
        <w:rPr>
          <w:rFonts w:cs="Arial"/>
        </w:rPr>
      </w:pPr>
      <w:r>
        <w:rPr>
          <w:rFonts w:cs="Arial"/>
        </w:rPr>
        <w:lastRenderedPageBreak/>
        <w:t xml:space="preserve">The ACMA is satisfied that this consultation and notification meets the requirements of section 126 of the BSA and the requirements of section 17 of the </w:t>
      </w:r>
      <w:r>
        <w:rPr>
          <w:rFonts w:cs="Arial"/>
          <w:i/>
        </w:rPr>
        <w:t>Legislative Instruments Act 2003</w:t>
      </w:r>
      <w:r>
        <w:rPr>
          <w:rFonts w:cs="Arial"/>
        </w:rPr>
        <w:t>.</w:t>
      </w:r>
    </w:p>
    <w:p w:rsidR="00BC5D6F" w:rsidRPr="00DB5FB0" w:rsidRDefault="003F0A24" w:rsidP="008011AB">
      <w:pPr>
        <w:spacing w:before="120" w:after="120" w:line="240" w:lineRule="atLeast"/>
        <w:jc w:val="both"/>
        <w:rPr>
          <w:rFonts w:cs="Arial"/>
          <w:b/>
        </w:rPr>
      </w:pPr>
      <w:r>
        <w:rPr>
          <w:rFonts w:cs="Arial"/>
          <w:b/>
        </w:rPr>
        <w:t>Regulatory Impact</w:t>
      </w:r>
    </w:p>
    <w:bookmarkEnd w:id="0"/>
    <w:bookmarkEnd w:id="1"/>
    <w:p w:rsidR="00BC5D6F" w:rsidRPr="00DB5FB0" w:rsidRDefault="003F0A24" w:rsidP="008011AB">
      <w:pPr>
        <w:autoSpaceDE w:val="0"/>
        <w:autoSpaceDN w:val="0"/>
        <w:adjustRightInd w:val="0"/>
        <w:spacing w:before="120" w:after="120" w:line="240" w:lineRule="atLeast"/>
        <w:jc w:val="both"/>
        <w:rPr>
          <w:rFonts w:cs="Arial"/>
        </w:rPr>
      </w:pPr>
      <w:r>
        <w:rPr>
          <w:rFonts w:cs="Arial"/>
        </w:rPr>
        <w:t xml:space="preserve">A regulation impact statement (RIS) titled </w:t>
      </w:r>
      <w:r>
        <w:rPr>
          <w:rFonts w:cs="Arial"/>
          <w:i/>
        </w:rPr>
        <w:t>Regulation Impact Statement – Review of the Commercial Radio Standards</w:t>
      </w:r>
      <w:r>
        <w:rPr>
          <w:rFonts w:cs="Arial"/>
        </w:rPr>
        <w:t xml:space="preserve"> was prepared by the ACMA for the review of the commercial radio standa</w:t>
      </w:r>
      <w:r w:rsidR="00A47B3C">
        <w:rPr>
          <w:rFonts w:cs="Arial"/>
        </w:rPr>
        <w:t xml:space="preserve">rds and the associated reforms. </w:t>
      </w:r>
      <w:r>
        <w:rPr>
          <w:rFonts w:cs="Arial"/>
        </w:rPr>
        <w:t xml:space="preserve">The Office of Best Practice Regulation (the OBPR) reviewed the RIS and assessed it as adequate under the Australian Government best practice regulation requirements – OBPR reference number 12308. </w:t>
      </w:r>
    </w:p>
    <w:p w:rsidR="0066763C" w:rsidRPr="00DB5FB0" w:rsidRDefault="003F0A24" w:rsidP="0066763C">
      <w:pPr>
        <w:autoSpaceDE w:val="0"/>
        <w:autoSpaceDN w:val="0"/>
        <w:adjustRightInd w:val="0"/>
        <w:spacing w:before="120" w:after="120" w:line="240" w:lineRule="atLeast"/>
        <w:jc w:val="both"/>
        <w:rPr>
          <w:rFonts w:cs="Arial"/>
        </w:rPr>
      </w:pPr>
      <w:r>
        <w:rPr>
          <w:rFonts w:cs="Arial"/>
        </w:rPr>
        <w:t xml:space="preserve">As required under the </w:t>
      </w:r>
      <w:r>
        <w:rPr>
          <w:rFonts w:cs="Arial"/>
          <w:i/>
        </w:rPr>
        <w:t>Human Rights (Parliamentary Scrutiny) Act 2011,</w:t>
      </w:r>
      <w:r>
        <w:rPr>
          <w:rFonts w:cs="Arial"/>
        </w:rPr>
        <w:t xml:space="preserve"> a human rights compatibility statement has been prepared and is attached. </w:t>
      </w:r>
    </w:p>
    <w:p w:rsidR="00BC5D6F" w:rsidRPr="00DB5FB0" w:rsidRDefault="003F0A24" w:rsidP="008011AB">
      <w:pPr>
        <w:autoSpaceDE w:val="0"/>
        <w:autoSpaceDN w:val="0"/>
        <w:adjustRightInd w:val="0"/>
        <w:spacing w:before="120" w:after="120" w:line="240" w:lineRule="atLeast"/>
        <w:jc w:val="both"/>
        <w:rPr>
          <w:rFonts w:cs="Arial"/>
          <w:b/>
        </w:rPr>
      </w:pPr>
      <w:r>
        <w:rPr>
          <w:rFonts w:cs="Arial"/>
          <w:b/>
        </w:rPr>
        <w:t>NOTES ON INSTRUMENT</w:t>
      </w:r>
    </w:p>
    <w:p w:rsidR="00BC5D6F" w:rsidRPr="00DB5FB0" w:rsidRDefault="003F0A24" w:rsidP="008011AB">
      <w:pPr>
        <w:autoSpaceDE w:val="0"/>
        <w:autoSpaceDN w:val="0"/>
        <w:adjustRightInd w:val="0"/>
        <w:spacing w:before="120" w:after="120" w:line="240" w:lineRule="atLeast"/>
        <w:jc w:val="both"/>
        <w:rPr>
          <w:rFonts w:cs="Arial"/>
          <w:b/>
          <w:bCs/>
        </w:rPr>
      </w:pPr>
      <w:bookmarkStart w:id="2" w:name="OLE_LINK1"/>
      <w:bookmarkStart w:id="3" w:name="OLE_LINK2"/>
      <w:r>
        <w:rPr>
          <w:rFonts w:cs="Arial"/>
          <w:b/>
          <w:bCs/>
        </w:rPr>
        <w:t>Section 1 – Name of instrument</w:t>
      </w:r>
    </w:p>
    <w:p w:rsidR="00BC5D6F" w:rsidRPr="00DB5FB0" w:rsidRDefault="003F0A24" w:rsidP="008011AB">
      <w:pPr>
        <w:spacing w:before="120" w:after="120" w:line="240" w:lineRule="atLeast"/>
        <w:jc w:val="both"/>
        <w:rPr>
          <w:rFonts w:cs="Arial"/>
          <w:bCs/>
        </w:rPr>
      </w:pPr>
      <w:r>
        <w:rPr>
          <w:rFonts w:cs="Arial"/>
        </w:rPr>
        <w:t xml:space="preserve">Section 1 provides that the name of the Revocation Instrument is the </w:t>
      </w:r>
      <w:r>
        <w:rPr>
          <w:rFonts w:cs="Arial"/>
          <w:i/>
        </w:rPr>
        <w:t>Broadcasting Services (Commercial Radio Compliance Program) Standard Revocation 2012</w:t>
      </w:r>
      <w:r>
        <w:rPr>
          <w:rFonts w:cs="Arial"/>
        </w:rPr>
        <w:t>.</w:t>
      </w:r>
    </w:p>
    <w:p w:rsidR="00BC5D6F" w:rsidRPr="00DB5FB0" w:rsidRDefault="003F0A24" w:rsidP="008011AB">
      <w:pPr>
        <w:spacing w:before="120" w:after="120" w:line="240" w:lineRule="atLeast"/>
        <w:jc w:val="both"/>
        <w:rPr>
          <w:rFonts w:cs="Arial"/>
          <w:b/>
          <w:bCs/>
        </w:rPr>
      </w:pPr>
      <w:r>
        <w:rPr>
          <w:rFonts w:cs="Arial"/>
          <w:b/>
          <w:bCs/>
        </w:rPr>
        <w:t>Section 2 – Commencement</w:t>
      </w:r>
    </w:p>
    <w:p w:rsidR="00BC5D6F" w:rsidRPr="00DB5FB0" w:rsidRDefault="003F0A24" w:rsidP="008011AB">
      <w:pPr>
        <w:spacing w:before="120" w:after="120" w:line="240" w:lineRule="atLeast"/>
        <w:jc w:val="both"/>
        <w:rPr>
          <w:rFonts w:cs="Arial"/>
        </w:rPr>
      </w:pPr>
      <w:r>
        <w:rPr>
          <w:rFonts w:cs="Arial"/>
        </w:rPr>
        <w:t>This section states that the Revocation Instrument</w:t>
      </w:r>
      <w:r>
        <w:rPr>
          <w:rFonts w:cs="Arial"/>
          <w:bCs/>
        </w:rPr>
        <w:t xml:space="preserve"> commences on 1 May 2012</w:t>
      </w:r>
      <w:r>
        <w:rPr>
          <w:rFonts w:cs="Arial"/>
        </w:rPr>
        <w:t>.</w:t>
      </w:r>
    </w:p>
    <w:p w:rsidR="00BC5D6F" w:rsidRPr="00DB5FB0" w:rsidRDefault="003F0A24" w:rsidP="008011AB">
      <w:pPr>
        <w:autoSpaceDE w:val="0"/>
        <w:autoSpaceDN w:val="0"/>
        <w:adjustRightInd w:val="0"/>
        <w:spacing w:before="120" w:after="120" w:line="240" w:lineRule="atLeast"/>
        <w:jc w:val="both"/>
        <w:rPr>
          <w:rFonts w:cs="Arial"/>
          <w:b/>
        </w:rPr>
      </w:pPr>
      <w:r>
        <w:rPr>
          <w:rFonts w:cs="Arial"/>
          <w:b/>
          <w:bCs/>
        </w:rPr>
        <w:t xml:space="preserve">Section 3 – Revocation of the </w:t>
      </w:r>
      <w:r w:rsidRPr="003F0A24">
        <w:rPr>
          <w:rFonts w:cs="Arial"/>
          <w:b/>
          <w:i/>
        </w:rPr>
        <w:t>Broadcasting Services (Commercial Radio Compliance Program) Standard 2000</w:t>
      </w:r>
    </w:p>
    <w:p w:rsidR="00DB5FB0" w:rsidRPr="00DB5FB0" w:rsidRDefault="003F0A24" w:rsidP="008011AB">
      <w:pPr>
        <w:spacing w:before="120" w:after="120" w:line="240" w:lineRule="atLeast"/>
        <w:jc w:val="both"/>
        <w:rPr>
          <w:rFonts w:cs="Arial"/>
        </w:rPr>
      </w:pPr>
      <w:r>
        <w:rPr>
          <w:rFonts w:cs="Arial"/>
        </w:rPr>
        <w:t xml:space="preserve">This section states that the </w:t>
      </w:r>
      <w:r w:rsidRPr="003F0A24">
        <w:rPr>
          <w:rFonts w:cs="Arial"/>
          <w:i/>
        </w:rPr>
        <w:t xml:space="preserve">Broadcasting Services (Commercial Radio Compliance Program) Standard 2000 </w:t>
      </w:r>
      <w:r w:rsidRPr="003F0A24">
        <w:rPr>
          <w:rFonts w:cs="Arial"/>
        </w:rPr>
        <w:t>is revoked.</w:t>
      </w:r>
    </w:p>
    <w:p w:rsidR="00DB5FB0" w:rsidRPr="00DB5FB0" w:rsidRDefault="003F0A24">
      <w:pPr>
        <w:spacing w:after="200" w:line="276" w:lineRule="auto"/>
        <w:rPr>
          <w:rFonts w:cs="Arial"/>
        </w:rPr>
      </w:pPr>
      <w:r w:rsidRPr="003F0A24">
        <w:rPr>
          <w:rFonts w:cs="Arial"/>
        </w:rPr>
        <w:br w:type="page"/>
      </w:r>
    </w:p>
    <w:p w:rsidR="00DB5FB0" w:rsidRPr="00DB5FB0" w:rsidRDefault="00DB5FB0" w:rsidP="00DB5FB0">
      <w:pPr>
        <w:pStyle w:val="Default"/>
        <w:rPr>
          <w:sz w:val="20"/>
          <w:szCs w:val="20"/>
        </w:rPr>
      </w:pPr>
      <w:bookmarkStart w:id="4" w:name="_Toc290210739"/>
    </w:p>
    <w:p w:rsidR="00DB5FB0" w:rsidRPr="00DB5FB0" w:rsidRDefault="00DB5FB0" w:rsidP="00DB5FB0">
      <w:pPr>
        <w:pStyle w:val="Default"/>
        <w:spacing w:after="120"/>
        <w:jc w:val="center"/>
        <w:rPr>
          <w:sz w:val="20"/>
          <w:szCs w:val="20"/>
        </w:rPr>
      </w:pPr>
      <w:r w:rsidRPr="00DB5FB0">
        <w:rPr>
          <w:b/>
          <w:bCs/>
          <w:sz w:val="20"/>
          <w:szCs w:val="20"/>
        </w:rPr>
        <w:t>Statement of Compatibility with Human Rights</w:t>
      </w:r>
    </w:p>
    <w:p w:rsidR="00DB5FB0" w:rsidRPr="00DB5FB0" w:rsidRDefault="00DB5FB0" w:rsidP="00DB5FB0">
      <w:pPr>
        <w:pStyle w:val="Default"/>
        <w:jc w:val="center"/>
        <w:rPr>
          <w:sz w:val="20"/>
          <w:szCs w:val="20"/>
        </w:rPr>
      </w:pPr>
      <w:r w:rsidRPr="00DB5FB0">
        <w:rPr>
          <w:i/>
          <w:iCs/>
          <w:sz w:val="20"/>
          <w:szCs w:val="20"/>
        </w:rPr>
        <w:t>Prepared in accordance with Part 3 of the Human Rights (Parliamentary Scrutiny) Act 2011</w:t>
      </w:r>
    </w:p>
    <w:p w:rsidR="00DB5FB0" w:rsidRPr="00DB5FB0" w:rsidRDefault="00DB5FB0" w:rsidP="00DB5FB0">
      <w:pPr>
        <w:pStyle w:val="Default"/>
        <w:rPr>
          <w:b/>
          <w:bCs/>
          <w:sz w:val="20"/>
          <w:szCs w:val="20"/>
        </w:rPr>
      </w:pPr>
    </w:p>
    <w:p w:rsidR="00DB5FB0" w:rsidRPr="00DB5FB0" w:rsidRDefault="00DB5FB0" w:rsidP="00DB5FB0">
      <w:pPr>
        <w:pStyle w:val="Default"/>
        <w:jc w:val="center"/>
        <w:rPr>
          <w:b/>
          <w:bCs/>
          <w:i/>
          <w:sz w:val="20"/>
          <w:szCs w:val="20"/>
        </w:rPr>
      </w:pPr>
      <w:r w:rsidRPr="00DB5FB0">
        <w:rPr>
          <w:b/>
          <w:bCs/>
          <w:i/>
          <w:sz w:val="20"/>
          <w:szCs w:val="20"/>
        </w:rPr>
        <w:t>Broadcasting Services (Commercial Radio Compliance Program) Standard Revocation 2012</w:t>
      </w:r>
    </w:p>
    <w:p w:rsidR="00DB5FB0" w:rsidRPr="00DB5FB0" w:rsidRDefault="00DB5FB0" w:rsidP="00DB5FB0">
      <w:pPr>
        <w:pStyle w:val="Default"/>
        <w:rPr>
          <w:b/>
          <w:bCs/>
          <w:sz w:val="20"/>
          <w:szCs w:val="20"/>
        </w:rPr>
      </w:pPr>
    </w:p>
    <w:p w:rsidR="00DB5FB0" w:rsidRPr="00DB5FB0" w:rsidRDefault="00DB5FB0" w:rsidP="00DB5FB0">
      <w:pPr>
        <w:pStyle w:val="Default"/>
        <w:rPr>
          <w:sz w:val="20"/>
          <w:szCs w:val="20"/>
        </w:rPr>
      </w:pPr>
      <w:r w:rsidRPr="00DB5FB0">
        <w:rPr>
          <w:sz w:val="20"/>
          <w:szCs w:val="20"/>
        </w:rPr>
        <w:t xml:space="preserve">This Legislative Instrument is compatible with the human rights and freedoms recognised or declared in the international instruments listed in section 3 of the </w:t>
      </w:r>
      <w:r w:rsidRPr="00DB5FB0">
        <w:rPr>
          <w:i/>
          <w:iCs/>
          <w:sz w:val="20"/>
          <w:szCs w:val="20"/>
        </w:rPr>
        <w:t>Human Rights (Parliamentary Scrutiny) Act 2011</w:t>
      </w:r>
      <w:r w:rsidRPr="00DB5FB0">
        <w:rPr>
          <w:sz w:val="20"/>
          <w:szCs w:val="20"/>
        </w:rPr>
        <w:t xml:space="preserve">. </w:t>
      </w:r>
    </w:p>
    <w:p w:rsidR="00DB5FB0" w:rsidRPr="00DB5FB0" w:rsidRDefault="00DB5FB0" w:rsidP="00DB5FB0">
      <w:pPr>
        <w:pStyle w:val="Default"/>
        <w:rPr>
          <w:b/>
          <w:bCs/>
          <w:sz w:val="20"/>
          <w:szCs w:val="20"/>
        </w:rPr>
      </w:pPr>
    </w:p>
    <w:p w:rsidR="00DB5FB0" w:rsidRPr="00DB5FB0" w:rsidRDefault="00DB5FB0" w:rsidP="00DB5FB0">
      <w:pPr>
        <w:pStyle w:val="Default"/>
        <w:spacing w:before="120" w:after="120"/>
        <w:rPr>
          <w:sz w:val="20"/>
          <w:szCs w:val="20"/>
        </w:rPr>
      </w:pPr>
      <w:r w:rsidRPr="00DB5FB0">
        <w:rPr>
          <w:b/>
          <w:bCs/>
          <w:sz w:val="20"/>
          <w:szCs w:val="20"/>
        </w:rPr>
        <w:t xml:space="preserve">Overview of the Legislative Instrument </w:t>
      </w:r>
    </w:p>
    <w:p w:rsidR="00DB5FB0" w:rsidRPr="00DB5FB0" w:rsidRDefault="00DB5FB0" w:rsidP="00DB5FB0">
      <w:pPr>
        <w:pStyle w:val="Default"/>
        <w:rPr>
          <w:sz w:val="20"/>
          <w:szCs w:val="20"/>
        </w:rPr>
      </w:pPr>
      <w:r w:rsidRPr="00DB5FB0">
        <w:rPr>
          <w:sz w:val="20"/>
          <w:szCs w:val="20"/>
        </w:rPr>
        <w:t xml:space="preserve">The </w:t>
      </w:r>
      <w:r w:rsidRPr="00DB5FB0">
        <w:rPr>
          <w:bCs/>
          <w:i/>
          <w:sz w:val="20"/>
          <w:szCs w:val="20"/>
        </w:rPr>
        <w:t xml:space="preserve">Broadcasting Services (Commercial Radio Compliance Program) Standard Revocation 2012 </w:t>
      </w:r>
      <w:r w:rsidRPr="00DB5FB0">
        <w:rPr>
          <w:sz w:val="20"/>
          <w:szCs w:val="20"/>
        </w:rPr>
        <w:t xml:space="preserve">(the </w:t>
      </w:r>
      <w:r w:rsidRPr="00DB5FB0">
        <w:rPr>
          <w:b/>
          <w:sz w:val="20"/>
          <w:szCs w:val="20"/>
        </w:rPr>
        <w:t>Instrument</w:t>
      </w:r>
      <w:r w:rsidRPr="00DB5FB0">
        <w:rPr>
          <w:sz w:val="20"/>
          <w:szCs w:val="20"/>
        </w:rPr>
        <w:t xml:space="preserve">) revokes the </w:t>
      </w:r>
      <w:r w:rsidRPr="00DB5FB0">
        <w:rPr>
          <w:i/>
          <w:sz w:val="20"/>
          <w:szCs w:val="20"/>
        </w:rPr>
        <w:t>Broadcasting Services (Commercial Radio Compliance Program) Standard 2000</w:t>
      </w:r>
      <w:r w:rsidRPr="00DB5FB0">
        <w:rPr>
          <w:sz w:val="20"/>
          <w:szCs w:val="20"/>
        </w:rPr>
        <w:t xml:space="preserve">. </w:t>
      </w:r>
    </w:p>
    <w:p w:rsidR="00DB5FB0" w:rsidRPr="00DB5FB0" w:rsidRDefault="00DB5FB0" w:rsidP="00DB5FB0">
      <w:pPr>
        <w:pStyle w:val="Default"/>
        <w:rPr>
          <w:sz w:val="20"/>
          <w:szCs w:val="20"/>
        </w:rPr>
      </w:pPr>
    </w:p>
    <w:p w:rsidR="00DB5FB0" w:rsidRPr="00DB5FB0" w:rsidRDefault="00DB5FB0" w:rsidP="00DB5FB0">
      <w:pPr>
        <w:pStyle w:val="Default"/>
        <w:rPr>
          <w:sz w:val="20"/>
          <w:szCs w:val="20"/>
        </w:rPr>
      </w:pPr>
      <w:r w:rsidRPr="00DB5FB0">
        <w:rPr>
          <w:sz w:val="20"/>
          <w:szCs w:val="20"/>
        </w:rPr>
        <w:t xml:space="preserve">The revocation of the </w:t>
      </w:r>
      <w:r w:rsidRPr="00DB5FB0">
        <w:rPr>
          <w:i/>
          <w:sz w:val="20"/>
          <w:szCs w:val="20"/>
        </w:rPr>
        <w:t>Broadcasting Services (Commercial Radio Compliance Program) Standard 2000</w:t>
      </w:r>
      <w:r w:rsidRPr="00DB5FB0">
        <w:rPr>
          <w:sz w:val="20"/>
          <w:szCs w:val="20"/>
        </w:rPr>
        <w:t xml:space="preserve"> means that commercial radio licensees will no longer be required to formulate, implement and maintain a compliance program to ensure the licensee’s compliance with the requirements of the </w:t>
      </w:r>
      <w:r w:rsidRPr="00DB5FB0">
        <w:rPr>
          <w:i/>
          <w:sz w:val="20"/>
          <w:szCs w:val="20"/>
        </w:rPr>
        <w:t>Broadcasting Services Act 1992</w:t>
      </w:r>
      <w:r w:rsidRPr="00DB5FB0">
        <w:rPr>
          <w:sz w:val="20"/>
          <w:szCs w:val="20"/>
        </w:rPr>
        <w:t xml:space="preserve"> (the</w:t>
      </w:r>
      <w:r w:rsidRPr="00DB5FB0">
        <w:rPr>
          <w:b/>
          <w:sz w:val="20"/>
          <w:szCs w:val="20"/>
        </w:rPr>
        <w:t xml:space="preserve"> Act</w:t>
      </w:r>
      <w:r w:rsidRPr="00DB5FB0">
        <w:rPr>
          <w:sz w:val="20"/>
          <w:szCs w:val="20"/>
        </w:rPr>
        <w:t>), relevant program standards determined under Part 9 of the Act and registered industry codes of practice</w:t>
      </w:r>
      <w:r w:rsidR="00A47B3C">
        <w:rPr>
          <w:sz w:val="20"/>
          <w:szCs w:val="20"/>
        </w:rPr>
        <w:t xml:space="preserve">. </w:t>
      </w:r>
      <w:r w:rsidRPr="00DB5FB0">
        <w:rPr>
          <w:sz w:val="20"/>
          <w:szCs w:val="20"/>
        </w:rPr>
        <w:t>The Instrument</w:t>
      </w:r>
      <w:r w:rsidRPr="00DB5FB0">
        <w:rPr>
          <w:i/>
          <w:sz w:val="20"/>
          <w:szCs w:val="20"/>
        </w:rPr>
        <w:t xml:space="preserve"> </w:t>
      </w:r>
      <w:r w:rsidRPr="00DB5FB0">
        <w:rPr>
          <w:sz w:val="20"/>
          <w:szCs w:val="20"/>
        </w:rPr>
        <w:t>commences on1 May 2012</w:t>
      </w:r>
      <w:r w:rsidR="00A47B3C">
        <w:rPr>
          <w:sz w:val="20"/>
          <w:szCs w:val="20"/>
        </w:rPr>
        <w:t xml:space="preserve">. </w:t>
      </w:r>
    </w:p>
    <w:p w:rsidR="00DB5FB0" w:rsidRPr="00DB5FB0" w:rsidRDefault="00DB5FB0" w:rsidP="00DB5FB0">
      <w:pPr>
        <w:pStyle w:val="Default"/>
        <w:rPr>
          <w:b/>
          <w:bCs/>
          <w:sz w:val="20"/>
          <w:szCs w:val="20"/>
        </w:rPr>
      </w:pPr>
    </w:p>
    <w:p w:rsidR="00DB5FB0" w:rsidRPr="00DB5FB0" w:rsidRDefault="00DB5FB0" w:rsidP="00DB5FB0">
      <w:pPr>
        <w:pStyle w:val="Default"/>
        <w:spacing w:before="120" w:after="120"/>
        <w:rPr>
          <w:b/>
          <w:bCs/>
          <w:sz w:val="20"/>
          <w:szCs w:val="20"/>
        </w:rPr>
      </w:pPr>
      <w:r w:rsidRPr="00DB5FB0">
        <w:rPr>
          <w:b/>
          <w:bCs/>
          <w:sz w:val="20"/>
          <w:szCs w:val="20"/>
        </w:rPr>
        <w:t xml:space="preserve">Human Rights Implications </w:t>
      </w:r>
    </w:p>
    <w:p w:rsidR="00DB5FB0" w:rsidRPr="00DB5FB0" w:rsidRDefault="00DB5FB0" w:rsidP="00DB5FB0">
      <w:pPr>
        <w:pStyle w:val="Default"/>
        <w:rPr>
          <w:i/>
          <w:iCs/>
          <w:sz w:val="20"/>
          <w:szCs w:val="20"/>
        </w:rPr>
      </w:pPr>
      <w:r w:rsidRPr="00DB5FB0">
        <w:rPr>
          <w:sz w:val="20"/>
          <w:szCs w:val="20"/>
        </w:rPr>
        <w:t xml:space="preserve">The ACMA has considered whether this Instrument engages any applicable human rights or freedoms and has formed the view that it does not. </w:t>
      </w:r>
    </w:p>
    <w:p w:rsidR="00DB5FB0" w:rsidRPr="00DB5FB0" w:rsidRDefault="00DB5FB0" w:rsidP="00DB5FB0">
      <w:pPr>
        <w:pStyle w:val="Default"/>
        <w:rPr>
          <w:i/>
          <w:iCs/>
          <w:sz w:val="20"/>
          <w:szCs w:val="20"/>
        </w:rPr>
      </w:pPr>
    </w:p>
    <w:p w:rsidR="00DB5FB0" w:rsidRPr="00DB5FB0" w:rsidRDefault="00DB5FB0" w:rsidP="00DB5FB0">
      <w:pPr>
        <w:pStyle w:val="Default"/>
        <w:spacing w:before="120" w:after="120"/>
        <w:rPr>
          <w:b/>
          <w:bCs/>
          <w:sz w:val="20"/>
          <w:szCs w:val="20"/>
        </w:rPr>
      </w:pPr>
      <w:r w:rsidRPr="00DB5FB0">
        <w:rPr>
          <w:b/>
          <w:bCs/>
          <w:sz w:val="20"/>
          <w:szCs w:val="20"/>
        </w:rPr>
        <w:t xml:space="preserve">Conclusion </w:t>
      </w:r>
    </w:p>
    <w:p w:rsidR="00DB5FB0" w:rsidRPr="00DB5FB0" w:rsidRDefault="00DB5FB0" w:rsidP="00DB5FB0">
      <w:pPr>
        <w:rPr>
          <w:rFonts w:cs="Arial"/>
        </w:rPr>
      </w:pPr>
      <w:r w:rsidRPr="00DB5FB0">
        <w:rPr>
          <w:rFonts w:cs="Arial"/>
          <w:color w:val="000000"/>
          <w:lang w:eastAsia="en-AU"/>
        </w:rPr>
        <w:t>This Legislative Instrument is compatible with human rights as it does not raise any human rights issues.</w:t>
      </w:r>
    </w:p>
    <w:p w:rsidR="00DB5FB0" w:rsidRPr="00DB5FB0" w:rsidRDefault="00DB5FB0" w:rsidP="00DB5FB0">
      <w:pPr>
        <w:ind w:left="720" w:hanging="720"/>
        <w:rPr>
          <w:rFonts w:cs="Arial"/>
        </w:rPr>
      </w:pPr>
    </w:p>
    <w:p w:rsidR="00DB5FB0" w:rsidRPr="00DB5FB0" w:rsidRDefault="00DB5FB0" w:rsidP="00DB5FB0">
      <w:pPr>
        <w:ind w:left="720" w:hanging="720"/>
        <w:rPr>
          <w:rFonts w:cs="Arial"/>
        </w:rPr>
      </w:pPr>
    </w:p>
    <w:p w:rsidR="00DB5FB0" w:rsidRPr="00DB5FB0" w:rsidRDefault="00DB5FB0" w:rsidP="00DB5FB0">
      <w:pPr>
        <w:ind w:left="720" w:hanging="720"/>
        <w:rPr>
          <w:rFonts w:cs="Arial"/>
        </w:rPr>
      </w:pPr>
    </w:p>
    <w:p w:rsidR="00DB5FB0" w:rsidRPr="00DB5FB0" w:rsidRDefault="00DB5FB0" w:rsidP="00DB5FB0">
      <w:pPr>
        <w:ind w:left="720" w:hanging="720"/>
        <w:rPr>
          <w:rFonts w:cs="Arial"/>
        </w:rPr>
      </w:pPr>
    </w:p>
    <w:p w:rsidR="00DB5FB0" w:rsidRPr="00DB5FB0" w:rsidRDefault="00DB5FB0" w:rsidP="00DB5FB0">
      <w:pPr>
        <w:ind w:left="720" w:hanging="720"/>
        <w:rPr>
          <w:rFonts w:cs="Arial"/>
        </w:rPr>
      </w:pPr>
    </w:p>
    <w:p w:rsidR="00DB5FB0" w:rsidRPr="00DB5FB0" w:rsidRDefault="00DB5FB0" w:rsidP="00DB5FB0">
      <w:pPr>
        <w:ind w:left="720" w:hanging="720"/>
        <w:rPr>
          <w:rFonts w:cs="Arial"/>
        </w:rPr>
      </w:pPr>
    </w:p>
    <w:p w:rsidR="00DB5FB0" w:rsidRPr="00DB5FB0" w:rsidRDefault="00DB5FB0" w:rsidP="00DB5FB0">
      <w:pPr>
        <w:ind w:left="720" w:hanging="720"/>
        <w:rPr>
          <w:rFonts w:cs="Arial"/>
        </w:rPr>
      </w:pPr>
    </w:p>
    <w:p w:rsidR="00DB5FB0" w:rsidRPr="00DB5FB0" w:rsidRDefault="00DB5FB0" w:rsidP="00DB5FB0">
      <w:pPr>
        <w:ind w:left="720" w:hanging="720"/>
        <w:rPr>
          <w:rFonts w:cs="Arial"/>
        </w:rPr>
      </w:pPr>
    </w:p>
    <w:p w:rsidR="00DB5FB0" w:rsidRPr="00DB5FB0" w:rsidRDefault="00DB5FB0" w:rsidP="00DB5FB0">
      <w:pPr>
        <w:ind w:left="720" w:hanging="720"/>
        <w:rPr>
          <w:rFonts w:cs="Arial"/>
        </w:rPr>
      </w:pPr>
    </w:p>
    <w:bookmarkEnd w:id="4"/>
    <w:p w:rsidR="00DB5FB0" w:rsidRPr="00DB5FB0" w:rsidRDefault="00DB5FB0" w:rsidP="00DB5FB0">
      <w:pPr>
        <w:ind w:left="720" w:hanging="720"/>
        <w:rPr>
          <w:rFonts w:cs="Arial"/>
        </w:rPr>
      </w:pPr>
    </w:p>
    <w:p w:rsidR="00BC5D6F" w:rsidRPr="00DB5FB0" w:rsidRDefault="00BC5D6F" w:rsidP="008011AB">
      <w:pPr>
        <w:spacing w:before="120" w:after="120" w:line="240" w:lineRule="atLeast"/>
        <w:jc w:val="both"/>
        <w:rPr>
          <w:rFonts w:cs="Arial"/>
        </w:rPr>
      </w:pPr>
    </w:p>
    <w:bookmarkEnd w:id="2"/>
    <w:bookmarkEnd w:id="3"/>
    <w:p w:rsidR="00BC5D6F" w:rsidRPr="00DB5FB0" w:rsidRDefault="00BC5D6F" w:rsidP="008011AB">
      <w:pPr>
        <w:spacing w:before="120" w:after="120" w:line="240" w:lineRule="atLeast"/>
        <w:jc w:val="both"/>
        <w:rPr>
          <w:rFonts w:cs="Arial"/>
        </w:rPr>
      </w:pPr>
    </w:p>
    <w:p w:rsidR="00BC5D6F" w:rsidRPr="00DB5FB0" w:rsidRDefault="00BC5D6F" w:rsidP="008011AB">
      <w:pPr>
        <w:spacing w:before="120" w:after="120" w:line="240" w:lineRule="atLeast"/>
        <w:jc w:val="both"/>
        <w:rPr>
          <w:rFonts w:cs="Arial"/>
        </w:rPr>
      </w:pPr>
    </w:p>
    <w:p w:rsidR="009238CA" w:rsidRPr="00DB5FB0" w:rsidRDefault="009238CA" w:rsidP="008011AB">
      <w:pPr>
        <w:spacing w:before="120" w:after="120"/>
        <w:rPr>
          <w:rFonts w:cs="Arial"/>
        </w:rPr>
      </w:pPr>
    </w:p>
    <w:sectPr w:rsidR="009238CA" w:rsidRPr="00DB5FB0" w:rsidSect="00D50CF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4B2" w:rsidRDefault="000654B2" w:rsidP="009238CA">
      <w:r>
        <w:separator/>
      </w:r>
    </w:p>
  </w:endnote>
  <w:endnote w:type="continuationSeparator" w:id="0">
    <w:p w:rsidR="000654B2" w:rsidRDefault="000654B2" w:rsidP="00923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4B2" w:rsidRDefault="000654B2" w:rsidP="009238CA">
      <w:r>
        <w:separator/>
      </w:r>
    </w:p>
  </w:footnote>
  <w:footnote w:type="continuationSeparator" w:id="0">
    <w:p w:rsidR="000654B2" w:rsidRDefault="000654B2" w:rsidP="00923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06AB"/>
    <w:multiLevelType w:val="hybridMultilevel"/>
    <w:tmpl w:val="F092CDA0"/>
    <w:lvl w:ilvl="0" w:tplc="62B67F5C">
      <w:start w:val="1"/>
      <w:numFmt w:val="lowerLetter"/>
      <w:lvlText w:val="(%1)"/>
      <w:lvlJc w:val="left"/>
      <w:pPr>
        <w:ind w:left="720" w:hanging="360"/>
      </w:pPr>
      <w:rPr>
        <w:rFonts w:hint="default"/>
      </w:rPr>
    </w:lvl>
    <w:lvl w:ilvl="1" w:tplc="948E8DD4" w:tentative="1">
      <w:start w:val="1"/>
      <w:numFmt w:val="bullet"/>
      <w:lvlText w:val="o"/>
      <w:lvlJc w:val="left"/>
      <w:pPr>
        <w:ind w:left="1440" w:hanging="360"/>
      </w:pPr>
      <w:rPr>
        <w:rFonts w:ascii="Courier New" w:hAnsi="Courier New" w:cs="Courier New" w:hint="default"/>
      </w:rPr>
    </w:lvl>
    <w:lvl w:ilvl="2" w:tplc="9A2CF14E" w:tentative="1">
      <w:start w:val="1"/>
      <w:numFmt w:val="bullet"/>
      <w:lvlText w:val=""/>
      <w:lvlJc w:val="left"/>
      <w:pPr>
        <w:ind w:left="2160" w:hanging="360"/>
      </w:pPr>
      <w:rPr>
        <w:rFonts w:ascii="Wingdings" w:hAnsi="Wingdings" w:hint="default"/>
      </w:rPr>
    </w:lvl>
    <w:lvl w:ilvl="3" w:tplc="FFBA1D48" w:tentative="1">
      <w:start w:val="1"/>
      <w:numFmt w:val="bullet"/>
      <w:lvlText w:val=""/>
      <w:lvlJc w:val="left"/>
      <w:pPr>
        <w:ind w:left="2880" w:hanging="360"/>
      </w:pPr>
      <w:rPr>
        <w:rFonts w:ascii="Symbol" w:hAnsi="Symbol" w:hint="default"/>
      </w:rPr>
    </w:lvl>
    <w:lvl w:ilvl="4" w:tplc="A8181454" w:tentative="1">
      <w:start w:val="1"/>
      <w:numFmt w:val="bullet"/>
      <w:lvlText w:val="o"/>
      <w:lvlJc w:val="left"/>
      <w:pPr>
        <w:ind w:left="3600" w:hanging="360"/>
      </w:pPr>
      <w:rPr>
        <w:rFonts w:ascii="Courier New" w:hAnsi="Courier New" w:cs="Courier New" w:hint="default"/>
      </w:rPr>
    </w:lvl>
    <w:lvl w:ilvl="5" w:tplc="351CC866" w:tentative="1">
      <w:start w:val="1"/>
      <w:numFmt w:val="bullet"/>
      <w:lvlText w:val=""/>
      <w:lvlJc w:val="left"/>
      <w:pPr>
        <w:ind w:left="4320" w:hanging="360"/>
      </w:pPr>
      <w:rPr>
        <w:rFonts w:ascii="Wingdings" w:hAnsi="Wingdings" w:hint="default"/>
      </w:rPr>
    </w:lvl>
    <w:lvl w:ilvl="6" w:tplc="8A00B03C" w:tentative="1">
      <w:start w:val="1"/>
      <w:numFmt w:val="bullet"/>
      <w:lvlText w:val=""/>
      <w:lvlJc w:val="left"/>
      <w:pPr>
        <w:ind w:left="5040" w:hanging="360"/>
      </w:pPr>
      <w:rPr>
        <w:rFonts w:ascii="Symbol" w:hAnsi="Symbol" w:hint="default"/>
      </w:rPr>
    </w:lvl>
    <w:lvl w:ilvl="7" w:tplc="9DAE8F4E" w:tentative="1">
      <w:start w:val="1"/>
      <w:numFmt w:val="bullet"/>
      <w:lvlText w:val="o"/>
      <w:lvlJc w:val="left"/>
      <w:pPr>
        <w:ind w:left="5760" w:hanging="360"/>
      </w:pPr>
      <w:rPr>
        <w:rFonts w:ascii="Courier New" w:hAnsi="Courier New" w:cs="Courier New" w:hint="default"/>
      </w:rPr>
    </w:lvl>
    <w:lvl w:ilvl="8" w:tplc="46D01728" w:tentative="1">
      <w:start w:val="1"/>
      <w:numFmt w:val="bullet"/>
      <w:lvlText w:val=""/>
      <w:lvlJc w:val="left"/>
      <w:pPr>
        <w:ind w:left="6480" w:hanging="360"/>
      </w:pPr>
      <w:rPr>
        <w:rFonts w:ascii="Wingdings" w:hAnsi="Wingdings" w:hint="default"/>
      </w:rPr>
    </w:lvl>
  </w:abstractNum>
  <w:abstractNum w:abstractNumId="1">
    <w:nsid w:val="76590F38"/>
    <w:multiLevelType w:val="hybridMultilevel"/>
    <w:tmpl w:val="9B0CB798"/>
    <w:lvl w:ilvl="0" w:tplc="1C5C52DE">
      <w:start w:val="1"/>
      <w:numFmt w:val="bullet"/>
      <w:lvlText w:val=""/>
      <w:lvlJc w:val="left"/>
      <w:pPr>
        <w:ind w:left="720" w:hanging="360"/>
      </w:pPr>
      <w:rPr>
        <w:rFonts w:ascii="Symbol" w:hAnsi="Symbol" w:hint="default"/>
      </w:rPr>
    </w:lvl>
    <w:lvl w:ilvl="1" w:tplc="948E8DD4" w:tentative="1">
      <w:start w:val="1"/>
      <w:numFmt w:val="bullet"/>
      <w:lvlText w:val="o"/>
      <w:lvlJc w:val="left"/>
      <w:pPr>
        <w:ind w:left="1440" w:hanging="360"/>
      </w:pPr>
      <w:rPr>
        <w:rFonts w:ascii="Courier New" w:hAnsi="Courier New" w:cs="Courier New" w:hint="default"/>
      </w:rPr>
    </w:lvl>
    <w:lvl w:ilvl="2" w:tplc="9A2CF14E" w:tentative="1">
      <w:start w:val="1"/>
      <w:numFmt w:val="bullet"/>
      <w:lvlText w:val=""/>
      <w:lvlJc w:val="left"/>
      <w:pPr>
        <w:ind w:left="2160" w:hanging="360"/>
      </w:pPr>
      <w:rPr>
        <w:rFonts w:ascii="Wingdings" w:hAnsi="Wingdings" w:hint="default"/>
      </w:rPr>
    </w:lvl>
    <w:lvl w:ilvl="3" w:tplc="FFBA1D48" w:tentative="1">
      <w:start w:val="1"/>
      <w:numFmt w:val="bullet"/>
      <w:lvlText w:val=""/>
      <w:lvlJc w:val="left"/>
      <w:pPr>
        <w:ind w:left="2880" w:hanging="360"/>
      </w:pPr>
      <w:rPr>
        <w:rFonts w:ascii="Symbol" w:hAnsi="Symbol" w:hint="default"/>
      </w:rPr>
    </w:lvl>
    <w:lvl w:ilvl="4" w:tplc="A8181454" w:tentative="1">
      <w:start w:val="1"/>
      <w:numFmt w:val="bullet"/>
      <w:lvlText w:val="o"/>
      <w:lvlJc w:val="left"/>
      <w:pPr>
        <w:ind w:left="3600" w:hanging="360"/>
      </w:pPr>
      <w:rPr>
        <w:rFonts w:ascii="Courier New" w:hAnsi="Courier New" w:cs="Courier New" w:hint="default"/>
      </w:rPr>
    </w:lvl>
    <w:lvl w:ilvl="5" w:tplc="351CC866" w:tentative="1">
      <w:start w:val="1"/>
      <w:numFmt w:val="bullet"/>
      <w:lvlText w:val=""/>
      <w:lvlJc w:val="left"/>
      <w:pPr>
        <w:ind w:left="4320" w:hanging="360"/>
      </w:pPr>
      <w:rPr>
        <w:rFonts w:ascii="Wingdings" w:hAnsi="Wingdings" w:hint="default"/>
      </w:rPr>
    </w:lvl>
    <w:lvl w:ilvl="6" w:tplc="8A00B03C" w:tentative="1">
      <w:start w:val="1"/>
      <w:numFmt w:val="bullet"/>
      <w:lvlText w:val=""/>
      <w:lvlJc w:val="left"/>
      <w:pPr>
        <w:ind w:left="5040" w:hanging="360"/>
      </w:pPr>
      <w:rPr>
        <w:rFonts w:ascii="Symbol" w:hAnsi="Symbol" w:hint="default"/>
      </w:rPr>
    </w:lvl>
    <w:lvl w:ilvl="7" w:tplc="9DAE8F4E" w:tentative="1">
      <w:start w:val="1"/>
      <w:numFmt w:val="bullet"/>
      <w:lvlText w:val="o"/>
      <w:lvlJc w:val="left"/>
      <w:pPr>
        <w:ind w:left="5760" w:hanging="360"/>
      </w:pPr>
      <w:rPr>
        <w:rFonts w:ascii="Courier New" w:hAnsi="Courier New" w:cs="Courier New" w:hint="default"/>
      </w:rPr>
    </w:lvl>
    <w:lvl w:ilvl="8" w:tplc="46D0172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238CA"/>
    <w:rsid w:val="00040D3A"/>
    <w:rsid w:val="00056C56"/>
    <w:rsid w:val="000654B2"/>
    <w:rsid w:val="00070014"/>
    <w:rsid w:val="0009426B"/>
    <w:rsid w:val="000F3828"/>
    <w:rsid w:val="000F51F6"/>
    <w:rsid w:val="00102100"/>
    <w:rsid w:val="00124A96"/>
    <w:rsid w:val="00130FB0"/>
    <w:rsid w:val="00142579"/>
    <w:rsid w:val="00143288"/>
    <w:rsid w:val="001634FB"/>
    <w:rsid w:val="0017709F"/>
    <w:rsid w:val="00177EC8"/>
    <w:rsid w:val="00190BD2"/>
    <w:rsid w:val="001D54B7"/>
    <w:rsid w:val="00206B53"/>
    <w:rsid w:val="00207E3E"/>
    <w:rsid w:val="002179D8"/>
    <w:rsid w:val="00227803"/>
    <w:rsid w:val="00231590"/>
    <w:rsid w:val="002319CF"/>
    <w:rsid w:val="00232F15"/>
    <w:rsid w:val="00233086"/>
    <w:rsid w:val="0023700A"/>
    <w:rsid w:val="00254720"/>
    <w:rsid w:val="00267718"/>
    <w:rsid w:val="00275907"/>
    <w:rsid w:val="002A0CCA"/>
    <w:rsid w:val="002A7C4E"/>
    <w:rsid w:val="002B298B"/>
    <w:rsid w:val="002D5CD2"/>
    <w:rsid w:val="002F689D"/>
    <w:rsid w:val="00304287"/>
    <w:rsid w:val="0031028A"/>
    <w:rsid w:val="00324C63"/>
    <w:rsid w:val="003254D9"/>
    <w:rsid w:val="003277FA"/>
    <w:rsid w:val="00346432"/>
    <w:rsid w:val="00353A5E"/>
    <w:rsid w:val="00381E7A"/>
    <w:rsid w:val="00382EE0"/>
    <w:rsid w:val="003C2CBB"/>
    <w:rsid w:val="003E1DB4"/>
    <w:rsid w:val="003F0A24"/>
    <w:rsid w:val="003F4A44"/>
    <w:rsid w:val="003F6AEC"/>
    <w:rsid w:val="00402347"/>
    <w:rsid w:val="00412A07"/>
    <w:rsid w:val="00412B4B"/>
    <w:rsid w:val="004314FB"/>
    <w:rsid w:val="004F039A"/>
    <w:rsid w:val="0052182D"/>
    <w:rsid w:val="00524ADD"/>
    <w:rsid w:val="0052525C"/>
    <w:rsid w:val="00530569"/>
    <w:rsid w:val="00534396"/>
    <w:rsid w:val="005409BA"/>
    <w:rsid w:val="00542B56"/>
    <w:rsid w:val="00574102"/>
    <w:rsid w:val="00582483"/>
    <w:rsid w:val="005846B2"/>
    <w:rsid w:val="00590EB9"/>
    <w:rsid w:val="005B4726"/>
    <w:rsid w:val="005D5214"/>
    <w:rsid w:val="005F16AC"/>
    <w:rsid w:val="00600715"/>
    <w:rsid w:val="006030E2"/>
    <w:rsid w:val="0060433E"/>
    <w:rsid w:val="00606260"/>
    <w:rsid w:val="00626F70"/>
    <w:rsid w:val="00643A70"/>
    <w:rsid w:val="0065754F"/>
    <w:rsid w:val="0066763C"/>
    <w:rsid w:val="00667CCF"/>
    <w:rsid w:val="00676449"/>
    <w:rsid w:val="0067663A"/>
    <w:rsid w:val="00677A7E"/>
    <w:rsid w:val="00683893"/>
    <w:rsid w:val="006963CF"/>
    <w:rsid w:val="006B6FB5"/>
    <w:rsid w:val="006D361B"/>
    <w:rsid w:val="006F19D0"/>
    <w:rsid w:val="00701CA4"/>
    <w:rsid w:val="00714E05"/>
    <w:rsid w:val="00722170"/>
    <w:rsid w:val="00731872"/>
    <w:rsid w:val="00736F76"/>
    <w:rsid w:val="007403C3"/>
    <w:rsid w:val="007609A0"/>
    <w:rsid w:val="00780018"/>
    <w:rsid w:val="007B4FA9"/>
    <w:rsid w:val="007D740E"/>
    <w:rsid w:val="007E3862"/>
    <w:rsid w:val="008011AB"/>
    <w:rsid w:val="00817020"/>
    <w:rsid w:val="008205F6"/>
    <w:rsid w:val="00843395"/>
    <w:rsid w:val="00854A4F"/>
    <w:rsid w:val="00885084"/>
    <w:rsid w:val="008C1C7B"/>
    <w:rsid w:val="00917EEC"/>
    <w:rsid w:val="009238CA"/>
    <w:rsid w:val="00936C38"/>
    <w:rsid w:val="00937AC7"/>
    <w:rsid w:val="009401B3"/>
    <w:rsid w:val="00945404"/>
    <w:rsid w:val="009473A6"/>
    <w:rsid w:val="00980528"/>
    <w:rsid w:val="009A5F9F"/>
    <w:rsid w:val="009B789B"/>
    <w:rsid w:val="00A140ED"/>
    <w:rsid w:val="00A245DC"/>
    <w:rsid w:val="00A30EBD"/>
    <w:rsid w:val="00A41C08"/>
    <w:rsid w:val="00A476AD"/>
    <w:rsid w:val="00A47B3C"/>
    <w:rsid w:val="00A84070"/>
    <w:rsid w:val="00AC09DB"/>
    <w:rsid w:val="00AE5800"/>
    <w:rsid w:val="00AF21C1"/>
    <w:rsid w:val="00AF5C1A"/>
    <w:rsid w:val="00AF62B2"/>
    <w:rsid w:val="00B35A23"/>
    <w:rsid w:val="00B61072"/>
    <w:rsid w:val="00B71FF2"/>
    <w:rsid w:val="00BB2C81"/>
    <w:rsid w:val="00BB6FB5"/>
    <w:rsid w:val="00BC5D6F"/>
    <w:rsid w:val="00BD1332"/>
    <w:rsid w:val="00BD4C80"/>
    <w:rsid w:val="00BE5AE3"/>
    <w:rsid w:val="00BF1509"/>
    <w:rsid w:val="00C26F6B"/>
    <w:rsid w:val="00C34E4E"/>
    <w:rsid w:val="00C41E2F"/>
    <w:rsid w:val="00C643F5"/>
    <w:rsid w:val="00C65A4B"/>
    <w:rsid w:val="00C851DB"/>
    <w:rsid w:val="00CC1E6D"/>
    <w:rsid w:val="00CC2EF2"/>
    <w:rsid w:val="00CC4416"/>
    <w:rsid w:val="00D13140"/>
    <w:rsid w:val="00D1524A"/>
    <w:rsid w:val="00D2714C"/>
    <w:rsid w:val="00D31517"/>
    <w:rsid w:val="00D341CE"/>
    <w:rsid w:val="00D50CF4"/>
    <w:rsid w:val="00D534A1"/>
    <w:rsid w:val="00D54DDC"/>
    <w:rsid w:val="00D60DBB"/>
    <w:rsid w:val="00D61826"/>
    <w:rsid w:val="00D85B6B"/>
    <w:rsid w:val="00DB3EE0"/>
    <w:rsid w:val="00DB5FB0"/>
    <w:rsid w:val="00DC4549"/>
    <w:rsid w:val="00DD4782"/>
    <w:rsid w:val="00DF65F4"/>
    <w:rsid w:val="00E33F9E"/>
    <w:rsid w:val="00E45F8D"/>
    <w:rsid w:val="00E60DD7"/>
    <w:rsid w:val="00E75378"/>
    <w:rsid w:val="00EA5C98"/>
    <w:rsid w:val="00EA7CFC"/>
    <w:rsid w:val="00EC065B"/>
    <w:rsid w:val="00F22C3D"/>
    <w:rsid w:val="00F23CA2"/>
    <w:rsid w:val="00F74683"/>
    <w:rsid w:val="00FA07C8"/>
    <w:rsid w:val="00FA1731"/>
    <w:rsid w:val="00FA6FE4"/>
    <w:rsid w:val="00FD4671"/>
    <w:rsid w:val="00FF238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CA"/>
    <w:pPr>
      <w:spacing w:after="0" w:line="240" w:lineRule="auto"/>
    </w:pPr>
    <w:rPr>
      <w:rFonts w:ascii="Arial" w:eastAsia="Times New Roman" w:hAnsi="Arial" w:cs="Times New Roman"/>
      <w:sz w:val="20"/>
      <w:szCs w:val="20"/>
      <w:lang w:bidi="he-IL"/>
    </w:rPr>
  </w:style>
  <w:style w:type="paragraph" w:styleId="Heading1">
    <w:name w:val="heading 1"/>
    <w:basedOn w:val="Normal"/>
    <w:next w:val="Normal"/>
    <w:link w:val="Heading1Char"/>
    <w:qFormat/>
    <w:rsid w:val="009238CA"/>
    <w:pPr>
      <w:keepNext/>
      <w:suppressAutoHyphens/>
      <w:spacing w:before="320"/>
      <w:outlineLvl w:val="0"/>
    </w:pPr>
    <w:rPr>
      <w:rFonts w:cs="Arial"/>
      <w:b/>
      <w:bCs/>
      <w:sz w:val="32"/>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38CA"/>
    <w:rPr>
      <w:rFonts w:ascii="Arial" w:eastAsia="Times New Roman" w:hAnsi="Arial" w:cs="Arial"/>
      <w:b/>
      <w:bCs/>
      <w:sz w:val="32"/>
      <w:szCs w:val="32"/>
      <w:lang w:val="en-US"/>
    </w:rPr>
  </w:style>
  <w:style w:type="character" w:styleId="FootnoteReference">
    <w:name w:val="footnote reference"/>
    <w:aliases w:val="(NECG) Footnote Reference,(NECG) Footnote Reference1,(NECG) Footnote Reference2,o"/>
    <w:basedOn w:val="DefaultParagraphFont"/>
    <w:rsid w:val="009238CA"/>
    <w:rPr>
      <w:rFonts w:ascii="Arial" w:hAnsi="Arial"/>
      <w:vertAlign w:val="superscript"/>
    </w:rPr>
  </w:style>
  <w:style w:type="paragraph" w:styleId="FootnoteText">
    <w:name w:val="footnote text"/>
    <w:aliases w:val="ACMA Footnote Text,ABA Footnote Text,ALTS FOOTNOTE,(NECG) Footnote Text,Footnote text,AR Footnote Text,AR Footnote Text Char Char Char Char Char,Footnote Text Char1 Char Char,Footnote Text Char Char Char Char Char Char,footnote text"/>
    <w:basedOn w:val="Normal"/>
    <w:link w:val="FootnoteTextChar"/>
    <w:rsid w:val="009238CA"/>
    <w:pPr>
      <w:spacing w:line="240" w:lineRule="atLeast"/>
    </w:pPr>
    <w:rPr>
      <w:rFonts w:ascii="HelveticaNeueLT Std Lt" w:hAnsi="HelveticaNeueLT Std Lt"/>
      <w:sz w:val="16"/>
      <w:szCs w:val="16"/>
      <w:lang w:eastAsia="en-AU" w:bidi="ar-SA"/>
    </w:rPr>
  </w:style>
  <w:style w:type="character" w:customStyle="1" w:styleId="FootnoteTextChar">
    <w:name w:val="Footnote Text Char"/>
    <w:aliases w:val="ACMA Footnote Text Char,ABA Footnote Text Char,ALTS FOOTNOTE Char,(NECG) Footnote Text Char,Footnote text Char,AR Footnote Text Char,AR Footnote Text Char Char Char Char Char Char,Footnote Text Char1 Char Char Char,footnote text Char"/>
    <w:basedOn w:val="DefaultParagraphFont"/>
    <w:link w:val="FootnoteText"/>
    <w:rsid w:val="009238CA"/>
    <w:rPr>
      <w:rFonts w:ascii="HelveticaNeueLT Std Lt" w:eastAsia="Times New Roman" w:hAnsi="HelveticaNeueLT Std Lt" w:cs="Times New Roman"/>
      <w:sz w:val="16"/>
      <w:szCs w:val="16"/>
      <w:lang w:eastAsia="en-AU"/>
    </w:rPr>
  </w:style>
  <w:style w:type="paragraph" w:styleId="BalloonText">
    <w:name w:val="Balloon Text"/>
    <w:basedOn w:val="Normal"/>
    <w:link w:val="BalloonTextChar"/>
    <w:uiPriority w:val="99"/>
    <w:semiHidden/>
    <w:unhideWhenUsed/>
    <w:rsid w:val="00EA7CFC"/>
    <w:rPr>
      <w:rFonts w:ascii="Tahoma" w:hAnsi="Tahoma" w:cs="Tahoma"/>
      <w:sz w:val="16"/>
      <w:szCs w:val="16"/>
    </w:rPr>
  </w:style>
  <w:style w:type="character" w:customStyle="1" w:styleId="BalloonTextChar">
    <w:name w:val="Balloon Text Char"/>
    <w:basedOn w:val="DefaultParagraphFont"/>
    <w:link w:val="BalloonText"/>
    <w:uiPriority w:val="99"/>
    <w:semiHidden/>
    <w:rsid w:val="00EA7CFC"/>
    <w:rPr>
      <w:rFonts w:ascii="Tahoma" w:eastAsia="Times New Roman" w:hAnsi="Tahoma" w:cs="Tahoma"/>
      <w:sz w:val="16"/>
      <w:szCs w:val="16"/>
      <w:lang w:bidi="he-IL"/>
    </w:rPr>
  </w:style>
  <w:style w:type="character" w:styleId="Hyperlink">
    <w:name w:val="Hyperlink"/>
    <w:basedOn w:val="DefaultParagraphFont"/>
    <w:uiPriority w:val="99"/>
    <w:unhideWhenUsed/>
    <w:rsid w:val="0065754F"/>
    <w:rPr>
      <w:color w:val="0000FF" w:themeColor="hyperlink"/>
      <w:u w:val="single"/>
    </w:rPr>
  </w:style>
  <w:style w:type="character" w:styleId="CommentReference">
    <w:name w:val="annotation reference"/>
    <w:basedOn w:val="DefaultParagraphFont"/>
    <w:uiPriority w:val="99"/>
    <w:semiHidden/>
    <w:unhideWhenUsed/>
    <w:rsid w:val="0065754F"/>
    <w:rPr>
      <w:sz w:val="16"/>
      <w:szCs w:val="16"/>
    </w:rPr>
  </w:style>
  <w:style w:type="paragraph" w:styleId="CommentText">
    <w:name w:val="annotation text"/>
    <w:basedOn w:val="Normal"/>
    <w:link w:val="CommentTextChar"/>
    <w:uiPriority w:val="99"/>
    <w:semiHidden/>
    <w:unhideWhenUsed/>
    <w:rsid w:val="0065754F"/>
  </w:style>
  <w:style w:type="character" w:customStyle="1" w:styleId="CommentTextChar">
    <w:name w:val="Comment Text Char"/>
    <w:basedOn w:val="DefaultParagraphFont"/>
    <w:link w:val="CommentText"/>
    <w:uiPriority w:val="99"/>
    <w:semiHidden/>
    <w:rsid w:val="0065754F"/>
    <w:rPr>
      <w:rFonts w:ascii="Arial" w:eastAsia="Times New Roman" w:hAnsi="Arial"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65754F"/>
    <w:rPr>
      <w:b/>
      <w:bCs/>
    </w:rPr>
  </w:style>
  <w:style w:type="character" w:customStyle="1" w:styleId="CommentSubjectChar">
    <w:name w:val="Comment Subject Char"/>
    <w:basedOn w:val="CommentTextChar"/>
    <w:link w:val="CommentSubject"/>
    <w:uiPriority w:val="99"/>
    <w:semiHidden/>
    <w:rsid w:val="0065754F"/>
    <w:rPr>
      <w:b/>
      <w:bCs/>
    </w:rPr>
  </w:style>
  <w:style w:type="paragraph" w:customStyle="1" w:styleId="Default">
    <w:name w:val="Default"/>
    <w:rsid w:val="00DB5FB0"/>
    <w:pPr>
      <w:autoSpaceDE w:val="0"/>
      <w:autoSpaceDN w:val="0"/>
      <w:adjustRightInd w:val="0"/>
      <w:spacing w:after="0" w:line="240" w:lineRule="auto"/>
    </w:pPr>
    <w:rPr>
      <w:rFonts w:ascii="Arial" w:eastAsia="Calibri" w:hAnsi="Arial" w:cs="Arial"/>
      <w:color w:val="000000"/>
      <w:sz w:val="24"/>
      <w:szCs w:val="24"/>
      <w:lang w:eastAsia="en-AU"/>
    </w:rPr>
  </w:style>
</w:styles>
</file>

<file path=word/webSettings.xml><?xml version="1.0" encoding="utf-8"?>
<w:webSettings xmlns:r="http://schemas.openxmlformats.org/officeDocument/2006/relationships" xmlns:w="http://schemas.openxmlformats.org/wordprocessingml/2006/main">
  <w:divs>
    <w:div w:id="353843262">
      <w:bodyDiv w:val="1"/>
      <w:marLeft w:val="0"/>
      <w:marRight w:val="0"/>
      <w:marTop w:val="0"/>
      <w:marBottom w:val="0"/>
      <w:divBdr>
        <w:top w:val="none" w:sz="0" w:space="0" w:color="auto"/>
        <w:left w:val="none" w:sz="0" w:space="0" w:color="auto"/>
        <w:bottom w:val="none" w:sz="0" w:space="0" w:color="auto"/>
        <w:right w:val="none" w:sz="0" w:space="0" w:color="auto"/>
      </w:divBdr>
      <w:divsChild>
        <w:div w:id="873545606">
          <w:marLeft w:val="0"/>
          <w:marRight w:val="0"/>
          <w:marTop w:val="0"/>
          <w:marBottom w:val="0"/>
          <w:divBdr>
            <w:top w:val="none" w:sz="0" w:space="0" w:color="auto"/>
            <w:left w:val="none" w:sz="0" w:space="0" w:color="auto"/>
            <w:bottom w:val="none" w:sz="0" w:space="0" w:color="auto"/>
            <w:right w:val="none" w:sz="0" w:space="0" w:color="auto"/>
          </w:divBdr>
          <w:divsChild>
            <w:div w:id="1262296267">
              <w:marLeft w:val="0"/>
              <w:marRight w:val="0"/>
              <w:marTop w:val="0"/>
              <w:marBottom w:val="0"/>
              <w:divBdr>
                <w:top w:val="none" w:sz="0" w:space="0" w:color="auto"/>
                <w:left w:val="none" w:sz="0" w:space="0" w:color="auto"/>
                <w:bottom w:val="none" w:sz="0" w:space="0" w:color="auto"/>
                <w:right w:val="none" w:sz="0" w:space="0" w:color="auto"/>
              </w:divBdr>
              <w:divsChild>
                <w:div w:id="1296571102">
                  <w:marLeft w:val="0"/>
                  <w:marRight w:val="0"/>
                  <w:marTop w:val="0"/>
                  <w:marBottom w:val="0"/>
                  <w:divBdr>
                    <w:top w:val="none" w:sz="0" w:space="0" w:color="auto"/>
                    <w:left w:val="none" w:sz="0" w:space="0" w:color="auto"/>
                    <w:bottom w:val="none" w:sz="0" w:space="0" w:color="auto"/>
                    <w:right w:val="none" w:sz="0" w:space="0" w:color="auto"/>
                  </w:divBdr>
                  <w:divsChild>
                    <w:div w:id="2083870374">
                      <w:marLeft w:val="0"/>
                      <w:marRight w:val="0"/>
                      <w:marTop w:val="0"/>
                      <w:marBottom w:val="0"/>
                      <w:divBdr>
                        <w:top w:val="none" w:sz="0" w:space="0" w:color="auto"/>
                        <w:left w:val="none" w:sz="0" w:space="0" w:color="auto"/>
                        <w:bottom w:val="none" w:sz="0" w:space="0" w:color="auto"/>
                        <w:right w:val="none" w:sz="0" w:space="0" w:color="auto"/>
                      </w:divBdr>
                      <w:divsChild>
                        <w:div w:id="376662270">
                          <w:marLeft w:val="0"/>
                          <w:marRight w:val="0"/>
                          <w:marTop w:val="0"/>
                          <w:marBottom w:val="0"/>
                          <w:divBdr>
                            <w:top w:val="single" w:sz="6" w:space="0" w:color="828282"/>
                            <w:left w:val="single" w:sz="6" w:space="0" w:color="828282"/>
                            <w:bottom w:val="single" w:sz="6" w:space="0" w:color="828282"/>
                            <w:right w:val="single" w:sz="6" w:space="0" w:color="828282"/>
                          </w:divBdr>
                          <w:divsChild>
                            <w:div w:id="725492475">
                              <w:marLeft w:val="0"/>
                              <w:marRight w:val="0"/>
                              <w:marTop w:val="0"/>
                              <w:marBottom w:val="0"/>
                              <w:divBdr>
                                <w:top w:val="none" w:sz="0" w:space="0" w:color="auto"/>
                                <w:left w:val="none" w:sz="0" w:space="0" w:color="auto"/>
                                <w:bottom w:val="none" w:sz="0" w:space="0" w:color="auto"/>
                                <w:right w:val="none" w:sz="0" w:space="0" w:color="auto"/>
                              </w:divBdr>
                              <w:divsChild>
                                <w:div w:id="988633082">
                                  <w:marLeft w:val="0"/>
                                  <w:marRight w:val="0"/>
                                  <w:marTop w:val="0"/>
                                  <w:marBottom w:val="0"/>
                                  <w:divBdr>
                                    <w:top w:val="none" w:sz="0" w:space="0" w:color="auto"/>
                                    <w:left w:val="none" w:sz="0" w:space="0" w:color="auto"/>
                                    <w:bottom w:val="none" w:sz="0" w:space="0" w:color="auto"/>
                                    <w:right w:val="none" w:sz="0" w:space="0" w:color="auto"/>
                                  </w:divBdr>
                                  <w:divsChild>
                                    <w:div w:id="1583837273">
                                      <w:marLeft w:val="0"/>
                                      <w:marRight w:val="0"/>
                                      <w:marTop w:val="0"/>
                                      <w:marBottom w:val="0"/>
                                      <w:divBdr>
                                        <w:top w:val="none" w:sz="0" w:space="0" w:color="auto"/>
                                        <w:left w:val="none" w:sz="0" w:space="0" w:color="auto"/>
                                        <w:bottom w:val="none" w:sz="0" w:space="0" w:color="auto"/>
                                        <w:right w:val="none" w:sz="0" w:space="0" w:color="auto"/>
                                      </w:divBdr>
                                      <w:divsChild>
                                        <w:div w:id="1164055739">
                                          <w:marLeft w:val="0"/>
                                          <w:marRight w:val="0"/>
                                          <w:marTop w:val="0"/>
                                          <w:marBottom w:val="0"/>
                                          <w:divBdr>
                                            <w:top w:val="none" w:sz="0" w:space="0" w:color="auto"/>
                                            <w:left w:val="none" w:sz="0" w:space="0" w:color="auto"/>
                                            <w:bottom w:val="none" w:sz="0" w:space="0" w:color="auto"/>
                                            <w:right w:val="none" w:sz="0" w:space="0" w:color="auto"/>
                                          </w:divBdr>
                                          <w:divsChild>
                                            <w:div w:id="1179275668">
                                              <w:marLeft w:val="0"/>
                                              <w:marRight w:val="0"/>
                                              <w:marTop w:val="0"/>
                                              <w:marBottom w:val="0"/>
                                              <w:divBdr>
                                                <w:top w:val="none" w:sz="0" w:space="0" w:color="auto"/>
                                                <w:left w:val="none" w:sz="0" w:space="0" w:color="auto"/>
                                                <w:bottom w:val="none" w:sz="0" w:space="0" w:color="auto"/>
                                                <w:right w:val="none" w:sz="0" w:space="0" w:color="auto"/>
                                              </w:divBdr>
                                              <w:divsChild>
                                                <w:div w:id="3415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891</Words>
  <Characters>5083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kanstee</dc:creator>
  <cp:lastModifiedBy>Katherine Anstee</cp:lastModifiedBy>
  <cp:revision>2</cp:revision>
  <dcterms:created xsi:type="dcterms:W3CDTF">2012-03-26T01:35:00Z</dcterms:created>
  <dcterms:modified xsi:type="dcterms:W3CDTF">2012-03-26T01:35:00Z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2113411108</vt:i4>
  </property>
  <property fmtid="{D5CDD505-2E9C-101B-9397-08002B2CF9AE}" pid="5" name="_EmailSubject">
    <vt:lpwstr>FRLI lodgment R20120321L015 replacement ES</vt:lpwstr>
  </property>
  <property fmtid="{D5CDD505-2E9C-101B-9397-08002B2CF9AE}" pid="6" name="_AuthorEmail">
    <vt:lpwstr>Helen.Turnbull@acma.gov.au</vt:lpwstr>
  </property>
  <property fmtid="{D5CDD505-2E9C-101B-9397-08002B2CF9AE}" pid="7" name="_AuthorEmailDisplayName">
    <vt:lpwstr>Helen Turnbull</vt:lpwstr>
  </property>
</Properties>
</file>