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070724" w:rsidRDefault="00D03A1F" w:rsidP="00FA25AC">
      <w:pPr>
        <w:spacing w:before="240"/>
        <w:rPr>
          <w:b/>
          <w:sz w:val="40"/>
          <w:szCs w:val="40"/>
        </w:rPr>
      </w:pPr>
      <w:r>
        <w:rPr>
          <w:b/>
          <w:sz w:val="40"/>
          <w:szCs w:val="40"/>
        </w:rPr>
        <w:t>Statement of Principle</w:t>
      </w:r>
      <w:r w:rsidRPr="00070724">
        <w:rPr>
          <w:b/>
          <w:sz w:val="40"/>
          <w:szCs w:val="40"/>
        </w:rPr>
        <w:t xml:space="preserve">s concerning </w:t>
      </w:r>
      <w:r w:rsidR="007E3890" w:rsidRPr="00070724">
        <w:rPr>
          <w:b/>
          <w:sz w:val="40"/>
          <w:szCs w:val="40"/>
        </w:rPr>
        <w:t>angle-closure glaucoma</w:t>
      </w:r>
      <w:r w:rsidRPr="00070724">
        <w:rPr>
          <w:b/>
          <w:sz w:val="40"/>
          <w:szCs w:val="40"/>
        </w:rPr>
        <w:t xml:space="preserve"> No. </w:t>
      </w:r>
      <w:r w:rsidR="007E3890" w:rsidRPr="00070724">
        <w:rPr>
          <w:b/>
          <w:sz w:val="40"/>
          <w:szCs w:val="40"/>
        </w:rPr>
        <w:t>25</w:t>
      </w:r>
      <w:r w:rsidRPr="00070724">
        <w:rPr>
          <w:b/>
          <w:sz w:val="40"/>
          <w:szCs w:val="40"/>
        </w:rPr>
        <w:t xml:space="preserve"> of </w:t>
      </w:r>
      <w:r w:rsidR="007E3890" w:rsidRPr="00070724">
        <w:rPr>
          <w:b/>
          <w:sz w:val="40"/>
          <w:szCs w:val="40"/>
        </w:rPr>
        <w:t>2012</w:t>
      </w:r>
    </w:p>
    <w:p w:rsidR="00307068" w:rsidRPr="00070724" w:rsidRDefault="00307068" w:rsidP="00307068">
      <w:pPr>
        <w:pStyle w:val="MadeunderText"/>
      </w:pPr>
      <w:r w:rsidRPr="00070724">
        <w:t xml:space="preserve">made under </w:t>
      </w:r>
      <w:r w:rsidR="00D03A1F" w:rsidRPr="00070724">
        <w:t>subsection 196B(2)</w:t>
      </w:r>
      <w:r w:rsidRPr="00070724">
        <w:t xml:space="preserve"> of the</w:t>
      </w:r>
    </w:p>
    <w:p w:rsidR="00D03A1F" w:rsidRPr="00070724" w:rsidRDefault="00D03A1F" w:rsidP="00D03A1F">
      <w:pPr>
        <w:pStyle w:val="CompiledMadeUnder"/>
        <w:spacing w:before="240"/>
      </w:pPr>
      <w:r w:rsidRPr="00070724">
        <w:t>Veterans' Entitlements Act 1986</w:t>
      </w:r>
    </w:p>
    <w:p w:rsidR="00D03A1F" w:rsidRPr="00070724" w:rsidRDefault="00D03A1F" w:rsidP="00D03A1F">
      <w:pPr>
        <w:spacing w:before="1000"/>
        <w:rPr>
          <w:rFonts w:cs="Arial"/>
          <w:sz w:val="24"/>
          <w:szCs w:val="24"/>
        </w:rPr>
      </w:pPr>
      <w:r w:rsidRPr="00070724">
        <w:rPr>
          <w:rFonts w:cs="Arial"/>
          <w:b/>
          <w:sz w:val="32"/>
          <w:szCs w:val="32"/>
        </w:rPr>
        <w:t xml:space="preserve">Compilation No. </w:t>
      </w:r>
      <w:r w:rsidR="007E3890" w:rsidRPr="00070724">
        <w:rPr>
          <w:rFonts w:cs="Arial"/>
          <w:b/>
          <w:sz w:val="32"/>
          <w:szCs w:val="32"/>
        </w:rPr>
        <w:t>1</w:t>
      </w:r>
      <w:r w:rsidRPr="00070724">
        <w:rPr>
          <w:rFonts w:cs="Arial"/>
          <w:b/>
          <w:sz w:val="32"/>
          <w:szCs w:val="32"/>
        </w:rPr>
        <w:tab/>
      </w:r>
      <w:r w:rsidRPr="00070724">
        <w:rPr>
          <w:rFonts w:cs="Arial"/>
          <w:b/>
          <w:sz w:val="32"/>
          <w:szCs w:val="32"/>
        </w:rPr>
        <w:tab/>
      </w:r>
    </w:p>
    <w:p w:rsidR="00D03A1F" w:rsidRPr="00070724" w:rsidRDefault="00D03A1F" w:rsidP="00D03A1F">
      <w:pPr>
        <w:spacing w:before="480"/>
        <w:rPr>
          <w:rFonts w:cs="Arial"/>
          <w:sz w:val="24"/>
        </w:rPr>
      </w:pPr>
      <w:r w:rsidRPr="00070724">
        <w:rPr>
          <w:rFonts w:cs="Arial"/>
          <w:b/>
          <w:sz w:val="24"/>
        </w:rPr>
        <w:t>Compilation date:</w:t>
      </w:r>
      <w:r w:rsidRPr="00070724">
        <w:rPr>
          <w:rFonts w:cs="Arial"/>
          <w:b/>
          <w:sz w:val="24"/>
        </w:rPr>
        <w:tab/>
      </w:r>
      <w:r w:rsidRPr="00070724">
        <w:rPr>
          <w:rFonts w:cs="Arial"/>
          <w:b/>
          <w:sz w:val="24"/>
        </w:rPr>
        <w:tab/>
      </w:r>
      <w:r w:rsidRPr="00070724">
        <w:rPr>
          <w:rFonts w:cs="Arial"/>
          <w:b/>
          <w:sz w:val="24"/>
        </w:rPr>
        <w:tab/>
      </w:r>
      <w:r w:rsidR="00070724" w:rsidRPr="00070724">
        <w:rPr>
          <w:rFonts w:cs="Arial"/>
          <w:sz w:val="24"/>
        </w:rPr>
        <w:t>18 September 2017</w:t>
      </w:r>
    </w:p>
    <w:p w:rsidR="00D03A1F" w:rsidRPr="002E317F" w:rsidRDefault="00D03A1F" w:rsidP="00D03A1F">
      <w:pPr>
        <w:spacing w:before="240"/>
        <w:ind w:left="3544" w:hanging="3544"/>
        <w:rPr>
          <w:rFonts w:cs="Arial"/>
          <w:sz w:val="24"/>
        </w:rPr>
      </w:pPr>
      <w:r w:rsidRPr="00642BE4">
        <w:rPr>
          <w:rFonts w:cs="Arial"/>
          <w:b/>
          <w:sz w:val="24"/>
        </w:rPr>
        <w:t>Includes amendments up to:</w:t>
      </w:r>
      <w:r w:rsidRPr="00642BE4">
        <w:rPr>
          <w:rFonts w:cs="Arial"/>
          <w:b/>
          <w:sz w:val="24"/>
        </w:rPr>
        <w:tab/>
      </w:r>
      <w:r w:rsidR="00070724" w:rsidRPr="00B3445E">
        <w:rPr>
          <w:sz w:val="24"/>
          <w:szCs w:val="24"/>
        </w:rPr>
        <w:t>Veterans' Entitlements (Statements of Principles—Cumulative Equivalent Dose) Amendment Determination 2017 (No. 58 of 2017) (</w:t>
      </w:r>
      <w:r w:rsidR="00B3445E" w:rsidRPr="00B3445E">
        <w:rPr>
          <w:sz w:val="24"/>
          <w:szCs w:val="24"/>
        </w:rPr>
        <w:t>F2017L01067)</w:t>
      </w:r>
    </w:p>
    <w:p w:rsidR="00EB5A64" w:rsidRPr="00AC0597" w:rsidRDefault="00EB5A64" w:rsidP="00EB5A64">
      <w:pPr>
        <w:spacing w:before="240"/>
        <w:rPr>
          <w:rFonts w:cs="Arial"/>
          <w:sz w:val="24"/>
        </w:rPr>
      </w:pPr>
      <w:r w:rsidRPr="00CB3022">
        <w:rPr>
          <w:rFonts w:cs="Times New Roman"/>
          <w:sz w:val="24"/>
        </w:rPr>
        <w:t>The day of commencement of this Amendment Determination is 18 September 2017</w:t>
      </w:r>
      <w:r w:rsidRPr="00AC0597">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 xml:space="preserve">This is a compilation </w:t>
      </w:r>
      <w:r w:rsidRPr="00070724">
        <w:rPr>
          <w:rFonts w:cs="Arial"/>
          <w:szCs w:val="22"/>
        </w:rPr>
        <w:t xml:space="preserve">of the </w:t>
      </w:r>
      <w:r w:rsidR="00872162" w:rsidRPr="00070724">
        <w:rPr>
          <w:rFonts w:cs="Arial"/>
          <w:i/>
          <w:szCs w:val="22"/>
        </w:rPr>
        <w:t>Stat</w:t>
      </w:r>
      <w:r w:rsidR="007E3890" w:rsidRPr="00070724">
        <w:rPr>
          <w:rFonts w:cs="Arial"/>
          <w:i/>
          <w:szCs w:val="22"/>
        </w:rPr>
        <w:t>ement of Principles concerning angle-closure glaucoma</w:t>
      </w:r>
      <w:r w:rsidR="00872162" w:rsidRPr="00070724">
        <w:rPr>
          <w:rFonts w:cs="Arial"/>
          <w:i/>
          <w:szCs w:val="22"/>
        </w:rPr>
        <w:t xml:space="preserve"> No. </w:t>
      </w:r>
      <w:r w:rsidR="007E3890" w:rsidRPr="00070724">
        <w:rPr>
          <w:rFonts w:cs="Arial"/>
          <w:i/>
          <w:szCs w:val="22"/>
        </w:rPr>
        <w:t>25</w:t>
      </w:r>
      <w:r w:rsidR="00872162" w:rsidRPr="00070724">
        <w:rPr>
          <w:rFonts w:cs="Arial"/>
          <w:i/>
          <w:szCs w:val="22"/>
        </w:rPr>
        <w:t xml:space="preserve"> of </w:t>
      </w:r>
      <w:r w:rsidR="007E3890" w:rsidRPr="00070724">
        <w:rPr>
          <w:rFonts w:cs="Arial"/>
          <w:i/>
          <w:szCs w:val="22"/>
        </w:rPr>
        <w:t>2012</w:t>
      </w:r>
      <w:r w:rsidRPr="00070724">
        <w:rPr>
          <w:rFonts w:cs="Arial"/>
          <w:szCs w:val="22"/>
        </w:rPr>
        <w:t xml:space="preserve"> that shows the text </w:t>
      </w:r>
      <w:r w:rsidRPr="00042EA7">
        <w:rPr>
          <w:rFonts w:cs="Arial"/>
          <w:szCs w:val="22"/>
        </w:rPr>
        <w:t xml:space="preserve">of the law as amended and in force on </w:t>
      </w:r>
      <w:r w:rsidR="00070724">
        <w:rPr>
          <w:rFonts w:cs="Arial"/>
          <w:szCs w:val="22"/>
        </w:rPr>
        <w:t>18 September 2017.</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BF401E" w:rsidRPr="00BF401E" w:rsidRDefault="00BF401E" w:rsidP="00BF401E">
      <w:pPr>
        <w:spacing w:line="240" w:lineRule="atLeast"/>
        <w:jc w:val="center"/>
        <w:rPr>
          <w:rFonts w:ascii="Arial" w:eastAsia="Times New Roman" w:hAnsi="Arial" w:cs="Times New Roman"/>
          <w:sz w:val="36"/>
          <w:lang w:val="en-GB"/>
        </w:rPr>
      </w:pPr>
      <w:r w:rsidRPr="00BF401E">
        <w:rPr>
          <w:rFonts w:eastAsia="Times New Roman" w:cs="Times New Roman"/>
          <w:noProof/>
          <w:sz w:val="36"/>
          <w:lang w:eastAsia="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F401E" w:rsidRPr="00BF401E" w:rsidRDefault="00BF401E" w:rsidP="00BF401E">
      <w:pPr>
        <w:spacing w:before="240" w:after="240" w:line="240" w:lineRule="atLeast"/>
        <w:jc w:val="center"/>
        <w:rPr>
          <w:rFonts w:ascii="Arial" w:eastAsia="Times New Roman" w:hAnsi="Arial" w:cs="Times New Roman"/>
          <w:sz w:val="36"/>
          <w:lang w:val="en-GB"/>
        </w:rPr>
      </w:pPr>
    </w:p>
    <w:p w:rsidR="00BF401E" w:rsidRPr="00BF401E" w:rsidRDefault="00BF401E" w:rsidP="00BF401E">
      <w:pPr>
        <w:spacing w:line="240" w:lineRule="atLeast"/>
        <w:jc w:val="center"/>
        <w:outlineLvl w:val="0"/>
        <w:rPr>
          <w:rFonts w:ascii="Arial" w:eastAsia="Times New Roman" w:hAnsi="Arial" w:cs="Times New Roman"/>
          <w:sz w:val="40"/>
          <w:lang w:val="en-GB"/>
        </w:rPr>
      </w:pPr>
      <w:r w:rsidRPr="00BF401E">
        <w:rPr>
          <w:rFonts w:ascii="Arial" w:eastAsia="Times New Roman" w:hAnsi="Arial" w:cs="Times New Roman"/>
          <w:sz w:val="40"/>
          <w:lang w:val="en-GB"/>
        </w:rPr>
        <w:t>Statement of Principles</w:t>
      </w:r>
    </w:p>
    <w:p w:rsidR="00BF401E" w:rsidRPr="00BF401E" w:rsidRDefault="00BF401E" w:rsidP="00BF401E">
      <w:pPr>
        <w:spacing w:line="240" w:lineRule="atLeast"/>
        <w:jc w:val="center"/>
        <w:outlineLvl w:val="0"/>
        <w:rPr>
          <w:rFonts w:ascii="Arial" w:eastAsia="Times New Roman" w:hAnsi="Arial" w:cs="Times New Roman"/>
          <w:sz w:val="28"/>
          <w:lang w:val="en-GB"/>
        </w:rPr>
      </w:pPr>
      <w:r w:rsidRPr="00BF401E">
        <w:rPr>
          <w:rFonts w:ascii="Arial" w:eastAsia="Times New Roman" w:hAnsi="Arial" w:cs="Times New Roman"/>
          <w:sz w:val="28"/>
          <w:lang w:val="en-GB"/>
        </w:rPr>
        <w:t>concerning</w:t>
      </w:r>
    </w:p>
    <w:p w:rsidR="00BF401E" w:rsidRPr="00BF401E" w:rsidRDefault="00BF401E" w:rsidP="00BF401E">
      <w:pPr>
        <w:spacing w:line="240" w:lineRule="atLeast"/>
        <w:jc w:val="center"/>
        <w:rPr>
          <w:rFonts w:ascii="Arial" w:eastAsia="Times New Roman" w:hAnsi="Arial" w:cs="Times New Roman"/>
          <w:sz w:val="28"/>
          <w:lang w:val="en-GB"/>
        </w:rPr>
      </w:pPr>
    </w:p>
    <w:p w:rsidR="00BF401E" w:rsidRPr="00BF401E" w:rsidRDefault="00BF401E" w:rsidP="00BF401E">
      <w:pPr>
        <w:spacing w:line="240" w:lineRule="atLeast"/>
        <w:jc w:val="center"/>
        <w:outlineLvl w:val="0"/>
        <w:rPr>
          <w:rFonts w:ascii="Arial" w:eastAsia="Times New Roman" w:hAnsi="Arial" w:cs="Times New Roman"/>
          <w:b/>
          <w:sz w:val="40"/>
          <w:lang w:val="en-GB"/>
        </w:rPr>
      </w:pPr>
      <w:r w:rsidRPr="00BF401E">
        <w:rPr>
          <w:rFonts w:ascii="Arial" w:eastAsia="Times New Roman" w:hAnsi="Arial" w:cs="Times New Roman"/>
          <w:b/>
          <w:sz w:val="40"/>
          <w:lang w:val="en-GB"/>
        </w:rPr>
        <w:t>ANGLE-CLOSURE GLAUCOMA</w:t>
      </w:r>
    </w:p>
    <w:p w:rsidR="00BF401E" w:rsidRPr="00BF401E" w:rsidRDefault="00BF401E" w:rsidP="00BF401E">
      <w:pPr>
        <w:spacing w:before="240" w:line="240" w:lineRule="atLeast"/>
        <w:jc w:val="center"/>
        <w:outlineLvl w:val="0"/>
        <w:rPr>
          <w:rFonts w:ascii="Arial" w:eastAsia="Times New Roman" w:hAnsi="Arial" w:cs="Times New Roman"/>
          <w:b/>
          <w:sz w:val="40"/>
          <w:lang w:val="en-GB"/>
        </w:rPr>
      </w:pPr>
      <w:r w:rsidRPr="00BF401E">
        <w:rPr>
          <w:rFonts w:ascii="Arial" w:eastAsia="Times New Roman" w:hAnsi="Arial" w:cs="Times New Roman"/>
          <w:b/>
          <w:sz w:val="40"/>
          <w:lang w:val="en-GB"/>
        </w:rPr>
        <w:t>No. 25 of 2012</w:t>
      </w:r>
    </w:p>
    <w:p w:rsidR="00BF401E" w:rsidRPr="00BF401E" w:rsidRDefault="00BF401E" w:rsidP="00BF401E">
      <w:pPr>
        <w:spacing w:line="240" w:lineRule="atLeast"/>
        <w:jc w:val="center"/>
        <w:rPr>
          <w:rFonts w:ascii="Arial" w:eastAsia="Times New Roman" w:hAnsi="Arial" w:cs="Times New Roman"/>
          <w:b/>
          <w:sz w:val="24"/>
          <w:lang w:val="en-GB"/>
        </w:rPr>
      </w:pPr>
    </w:p>
    <w:p w:rsidR="00BF401E" w:rsidRPr="00BF401E" w:rsidRDefault="00BF401E" w:rsidP="00BF401E">
      <w:pPr>
        <w:spacing w:line="240" w:lineRule="atLeast"/>
        <w:jc w:val="center"/>
        <w:rPr>
          <w:rFonts w:ascii="Arial" w:eastAsia="Times New Roman" w:hAnsi="Arial" w:cs="Times New Roman"/>
          <w:sz w:val="28"/>
          <w:lang w:val="en-GB"/>
        </w:rPr>
      </w:pPr>
      <w:r w:rsidRPr="00BF401E">
        <w:rPr>
          <w:rFonts w:ascii="Arial" w:eastAsia="Times New Roman" w:hAnsi="Arial" w:cs="Times New Roman"/>
          <w:sz w:val="28"/>
          <w:lang w:val="en-GB"/>
        </w:rPr>
        <w:t>for the purposes of the</w:t>
      </w:r>
    </w:p>
    <w:p w:rsidR="00BF401E" w:rsidRPr="00BF401E" w:rsidRDefault="00BF401E" w:rsidP="00BF401E">
      <w:pPr>
        <w:spacing w:line="240" w:lineRule="atLeast"/>
        <w:jc w:val="center"/>
        <w:rPr>
          <w:rFonts w:ascii="Arial" w:eastAsia="Times New Roman" w:hAnsi="Arial" w:cs="Times New Roman"/>
          <w:b/>
          <w:sz w:val="24"/>
          <w:lang w:val="en-GB"/>
        </w:rPr>
      </w:pPr>
    </w:p>
    <w:p w:rsidR="00BF401E" w:rsidRPr="00BF401E" w:rsidRDefault="00BF401E" w:rsidP="00BF401E">
      <w:pPr>
        <w:spacing w:line="240" w:lineRule="atLeast"/>
        <w:jc w:val="center"/>
        <w:outlineLvl w:val="0"/>
        <w:rPr>
          <w:rFonts w:ascii="Arial" w:eastAsia="Times New Roman" w:hAnsi="Arial" w:cs="Times New Roman"/>
          <w:i/>
          <w:sz w:val="32"/>
          <w:lang w:val="en-GB"/>
        </w:rPr>
      </w:pPr>
      <w:r w:rsidRPr="00BF401E">
        <w:rPr>
          <w:rFonts w:ascii="Arial" w:eastAsia="Times New Roman" w:hAnsi="Arial" w:cs="Times New Roman"/>
          <w:i/>
          <w:sz w:val="32"/>
          <w:lang w:val="en-GB"/>
        </w:rPr>
        <w:t>Veterans’ Entitlements Act 1986</w:t>
      </w:r>
    </w:p>
    <w:p w:rsidR="00BF401E" w:rsidRPr="00BF401E" w:rsidRDefault="00BF401E" w:rsidP="00BF401E">
      <w:pPr>
        <w:spacing w:line="240" w:lineRule="atLeast"/>
        <w:jc w:val="center"/>
        <w:rPr>
          <w:rFonts w:ascii="Arial" w:eastAsia="Times New Roman" w:hAnsi="Arial" w:cs="Times New Roman"/>
          <w:sz w:val="28"/>
          <w:lang w:val="en-GB"/>
        </w:rPr>
      </w:pPr>
      <w:r w:rsidRPr="00BF401E">
        <w:rPr>
          <w:rFonts w:ascii="Arial" w:eastAsia="Times New Roman" w:hAnsi="Arial" w:cs="Times New Roman"/>
          <w:sz w:val="28"/>
          <w:lang w:val="en-GB"/>
        </w:rPr>
        <w:t>and</w:t>
      </w:r>
    </w:p>
    <w:p w:rsidR="00BF401E" w:rsidRPr="00BF401E" w:rsidRDefault="00BF401E" w:rsidP="00BF401E">
      <w:pPr>
        <w:spacing w:line="240" w:lineRule="atLeast"/>
        <w:jc w:val="center"/>
        <w:rPr>
          <w:rFonts w:ascii="Arial" w:eastAsia="Times New Roman" w:hAnsi="Arial" w:cs="Times New Roman"/>
          <w:sz w:val="32"/>
          <w:lang w:val="en-GB"/>
        </w:rPr>
      </w:pPr>
      <w:r w:rsidRPr="00BF401E">
        <w:rPr>
          <w:rFonts w:ascii="Arial" w:eastAsia="Times New Roman" w:hAnsi="Arial" w:cs="Times New Roman"/>
          <w:i/>
          <w:sz w:val="32"/>
          <w:lang w:val="en-GB"/>
        </w:rPr>
        <w:t>Military Rehabilitation and Compensation Act 2004</w:t>
      </w:r>
    </w:p>
    <w:p w:rsidR="00BF401E" w:rsidRPr="00BF401E" w:rsidRDefault="00BF401E" w:rsidP="00BF401E">
      <w:pPr>
        <w:spacing w:line="240" w:lineRule="atLeast"/>
        <w:jc w:val="both"/>
        <w:rPr>
          <w:rFonts w:eastAsia="Times New Roman" w:cs="Times New Roman"/>
          <w:sz w:val="24"/>
          <w:szCs w:val="24"/>
          <w:lang w:val="en-GB"/>
        </w:rPr>
      </w:pP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Title</w:t>
      </w:r>
    </w:p>
    <w:p w:rsidR="00BF401E" w:rsidRPr="00BF401E" w:rsidRDefault="00BF401E" w:rsidP="00BF401E">
      <w:pPr>
        <w:spacing w:after="120" w:line="240" w:lineRule="atLeast"/>
        <w:ind w:left="720" w:hanging="720"/>
        <w:jc w:val="both"/>
        <w:rPr>
          <w:rFonts w:eastAsia="Times New Roman" w:cs="Times New Roman"/>
          <w:sz w:val="24"/>
          <w:szCs w:val="24"/>
          <w:lang w:val="en-GB"/>
        </w:rPr>
      </w:pPr>
      <w:r w:rsidRPr="00BF401E">
        <w:rPr>
          <w:rFonts w:eastAsia="Times New Roman" w:cs="Times New Roman"/>
          <w:b/>
          <w:sz w:val="24"/>
          <w:szCs w:val="24"/>
          <w:lang w:val="en-GB"/>
        </w:rPr>
        <w:t>1.</w:t>
      </w:r>
      <w:r w:rsidRPr="00BF401E">
        <w:rPr>
          <w:rFonts w:eastAsia="Times New Roman" w:cs="Times New Roman"/>
          <w:sz w:val="24"/>
          <w:szCs w:val="24"/>
          <w:lang w:val="en-GB"/>
        </w:rPr>
        <w:tab/>
        <w:t>This Instrument may be cited as Statement of Principles concerning angle-closure glaucoma No. 25 of 2012.</w:t>
      </w: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Determination</w:t>
      </w:r>
    </w:p>
    <w:p w:rsidR="00BF401E" w:rsidRPr="00BF401E" w:rsidRDefault="00BF401E" w:rsidP="00BF401E">
      <w:pPr>
        <w:spacing w:line="240" w:lineRule="atLeast"/>
        <w:ind w:left="720" w:hanging="720"/>
        <w:jc w:val="both"/>
        <w:rPr>
          <w:rFonts w:eastAsia="Times New Roman" w:cs="Times New Roman"/>
          <w:sz w:val="24"/>
          <w:szCs w:val="24"/>
          <w:lang w:val="en-GB"/>
        </w:rPr>
      </w:pPr>
      <w:r w:rsidRPr="00BF401E">
        <w:rPr>
          <w:rFonts w:eastAsia="Times New Roman" w:cs="Times New Roman"/>
          <w:b/>
          <w:sz w:val="24"/>
          <w:szCs w:val="24"/>
          <w:lang w:val="en-GB"/>
        </w:rPr>
        <w:t>2.</w:t>
      </w:r>
      <w:r w:rsidRPr="00BF401E">
        <w:rPr>
          <w:rFonts w:eastAsia="Times New Roman" w:cs="Times New Roman"/>
          <w:sz w:val="24"/>
          <w:szCs w:val="24"/>
          <w:lang w:val="en-GB"/>
        </w:rPr>
        <w:tab/>
        <w:t xml:space="preserve">The Repatriation Medical Authority under subsection </w:t>
      </w:r>
      <w:r w:rsidRPr="00BF401E">
        <w:rPr>
          <w:rFonts w:eastAsia="Times New Roman" w:cs="Times New Roman"/>
          <w:b/>
          <w:sz w:val="24"/>
          <w:szCs w:val="24"/>
          <w:lang w:val="en-GB"/>
        </w:rPr>
        <w:t>196B(2)</w:t>
      </w:r>
      <w:r w:rsidRPr="00BF401E">
        <w:rPr>
          <w:rFonts w:eastAsia="Times New Roman" w:cs="Times New Roman"/>
          <w:sz w:val="24"/>
          <w:szCs w:val="24"/>
          <w:lang w:val="en-GB"/>
        </w:rPr>
        <w:t xml:space="preserve"> and </w:t>
      </w:r>
      <w:r w:rsidRPr="00BF401E">
        <w:rPr>
          <w:rFonts w:eastAsia="Times New Roman" w:cs="Times New Roman"/>
          <w:b/>
          <w:sz w:val="24"/>
          <w:szCs w:val="24"/>
          <w:lang w:val="en-GB"/>
        </w:rPr>
        <w:t xml:space="preserve">(8) </w:t>
      </w:r>
      <w:r w:rsidRPr="00BF401E">
        <w:rPr>
          <w:rFonts w:eastAsia="Times New Roman" w:cs="Times New Roman"/>
          <w:sz w:val="24"/>
          <w:szCs w:val="24"/>
          <w:lang w:val="en-GB"/>
        </w:rPr>
        <w:t xml:space="preserve">of the </w:t>
      </w:r>
      <w:r w:rsidRPr="00BF401E">
        <w:rPr>
          <w:rFonts w:eastAsia="Times New Roman" w:cs="Times New Roman"/>
          <w:i/>
          <w:sz w:val="24"/>
          <w:szCs w:val="24"/>
          <w:lang w:val="en-GB"/>
        </w:rPr>
        <w:t>Veterans’ Entitlements Act 1986</w:t>
      </w:r>
      <w:r w:rsidRPr="00BF401E">
        <w:rPr>
          <w:rFonts w:eastAsia="Times New Roman" w:cs="Times New Roman"/>
          <w:sz w:val="24"/>
          <w:szCs w:val="24"/>
          <w:lang w:val="en-GB"/>
        </w:rPr>
        <w:t xml:space="preserve"> (the VEA):</w:t>
      </w:r>
    </w:p>
    <w:p w:rsidR="00BF401E" w:rsidRPr="00BF401E" w:rsidRDefault="00BF401E" w:rsidP="00BF401E">
      <w:pPr>
        <w:spacing w:before="120" w:line="240" w:lineRule="atLeast"/>
        <w:ind w:left="1440" w:hanging="720"/>
        <w:jc w:val="both"/>
        <w:rPr>
          <w:rFonts w:eastAsia="Times New Roman" w:cs="Times New Roman"/>
          <w:sz w:val="24"/>
          <w:szCs w:val="24"/>
          <w:lang w:val="en-GB"/>
        </w:rPr>
      </w:pPr>
      <w:r w:rsidRPr="00BF401E">
        <w:rPr>
          <w:rFonts w:eastAsia="Times New Roman" w:cs="Times New Roman"/>
          <w:sz w:val="24"/>
          <w:szCs w:val="24"/>
          <w:lang w:val="en-GB"/>
        </w:rPr>
        <w:t>(a)</w:t>
      </w:r>
      <w:r w:rsidRPr="00BF401E">
        <w:rPr>
          <w:rFonts w:eastAsia="Times New Roman" w:cs="Times New Roman"/>
          <w:sz w:val="24"/>
          <w:szCs w:val="24"/>
          <w:lang w:val="en-GB"/>
        </w:rPr>
        <w:tab/>
        <w:t>revokes Instrument No. 15 of 1999, as amended by Instrument No. 25 of 2006, concerning angle-closure glaucoma; and</w:t>
      </w:r>
    </w:p>
    <w:p w:rsidR="00BF401E" w:rsidRPr="00BF401E" w:rsidRDefault="00BF401E" w:rsidP="00BF401E">
      <w:pPr>
        <w:spacing w:before="120" w:after="120" w:line="240" w:lineRule="atLeast"/>
        <w:ind w:left="1440" w:hanging="720"/>
        <w:jc w:val="both"/>
        <w:rPr>
          <w:rFonts w:eastAsia="Times New Roman" w:cs="Times New Roman"/>
          <w:sz w:val="24"/>
          <w:szCs w:val="24"/>
          <w:lang w:val="en-GB"/>
        </w:rPr>
      </w:pPr>
      <w:r w:rsidRPr="00BF401E">
        <w:rPr>
          <w:rFonts w:eastAsia="Times New Roman" w:cs="Times New Roman"/>
          <w:sz w:val="24"/>
          <w:szCs w:val="24"/>
          <w:lang w:val="en-GB"/>
        </w:rPr>
        <w:t>(b)</w:t>
      </w:r>
      <w:r w:rsidRPr="00BF401E">
        <w:rPr>
          <w:rFonts w:eastAsia="Times New Roman" w:cs="Times New Roman"/>
          <w:sz w:val="24"/>
          <w:szCs w:val="24"/>
          <w:lang w:val="en-GB"/>
        </w:rPr>
        <w:tab/>
        <w:t>determines in their place this Statement of Principles.</w:t>
      </w: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Kind of injury, disease or death</w:t>
      </w:r>
    </w:p>
    <w:p w:rsidR="00BF401E" w:rsidRPr="00BF401E" w:rsidRDefault="00BF401E" w:rsidP="00BF401E">
      <w:pPr>
        <w:tabs>
          <w:tab w:val="left" w:pos="709"/>
        </w:tabs>
        <w:spacing w:after="120" w:line="240" w:lineRule="auto"/>
        <w:ind w:left="1440" w:hanging="1440"/>
        <w:jc w:val="both"/>
        <w:rPr>
          <w:rFonts w:eastAsia="Times New Roman" w:cs="Times New Roman"/>
          <w:sz w:val="24"/>
          <w:szCs w:val="24"/>
          <w:lang w:val="en-GB"/>
        </w:rPr>
      </w:pPr>
      <w:r w:rsidRPr="00BF401E">
        <w:rPr>
          <w:rFonts w:eastAsia="Times New Roman" w:cs="Times New Roman"/>
          <w:b/>
          <w:sz w:val="24"/>
          <w:szCs w:val="24"/>
          <w:lang w:val="en-GB"/>
        </w:rPr>
        <w:t>3.</w:t>
      </w:r>
      <w:r w:rsidRPr="00BF401E">
        <w:rPr>
          <w:rFonts w:eastAsia="Times New Roman" w:cs="Times New Roman"/>
          <w:sz w:val="24"/>
          <w:szCs w:val="24"/>
          <w:lang w:val="en-GB"/>
        </w:rPr>
        <w:tab/>
        <w:t>(a)</w:t>
      </w:r>
      <w:r w:rsidRPr="00BF401E">
        <w:rPr>
          <w:rFonts w:eastAsia="Times New Roman" w:cs="Times New Roman"/>
          <w:sz w:val="24"/>
          <w:szCs w:val="24"/>
          <w:lang w:val="en-GB"/>
        </w:rPr>
        <w:tab/>
        <w:t xml:space="preserve">This Statement of Principles is about </w:t>
      </w:r>
      <w:r w:rsidRPr="00BF401E">
        <w:rPr>
          <w:rFonts w:eastAsia="Times New Roman" w:cs="Times New Roman"/>
          <w:b/>
          <w:sz w:val="24"/>
          <w:szCs w:val="24"/>
          <w:lang w:val="en-GB"/>
        </w:rPr>
        <w:t xml:space="preserve">angle-closure glaucoma </w:t>
      </w:r>
      <w:r w:rsidRPr="00BF401E">
        <w:rPr>
          <w:rFonts w:eastAsia="Times New Roman" w:cs="Times New Roman"/>
          <w:sz w:val="24"/>
          <w:szCs w:val="24"/>
          <w:lang w:val="en-GB"/>
        </w:rPr>
        <w:t xml:space="preserve">and </w:t>
      </w:r>
      <w:r w:rsidRPr="00BF401E">
        <w:rPr>
          <w:rFonts w:eastAsia="Times New Roman" w:cs="Times New Roman"/>
          <w:b/>
          <w:sz w:val="24"/>
          <w:szCs w:val="24"/>
          <w:lang w:val="en-GB"/>
        </w:rPr>
        <w:t>death from angle-closure glaucoma</w:t>
      </w:r>
      <w:r w:rsidRPr="00BF401E">
        <w:rPr>
          <w:rFonts w:eastAsia="Times New Roman" w:cs="Times New Roman"/>
          <w:sz w:val="24"/>
          <w:szCs w:val="24"/>
          <w:lang w:val="en-GB"/>
        </w:rPr>
        <w:t>.</w:t>
      </w:r>
    </w:p>
    <w:p w:rsidR="00BF401E" w:rsidRPr="00BF401E" w:rsidRDefault="00BF401E" w:rsidP="00BF401E">
      <w:pPr>
        <w:numPr>
          <w:ilvl w:val="0"/>
          <w:numId w:val="14"/>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 xml:space="preserve">For the purposes of this Statement of Principles, </w:t>
      </w:r>
      <w:r w:rsidRPr="00BF401E">
        <w:rPr>
          <w:rFonts w:eastAsia="Times New Roman" w:cs="Times New Roman"/>
          <w:b/>
          <w:sz w:val="24"/>
          <w:szCs w:val="24"/>
          <w:lang w:val="en-GB"/>
        </w:rPr>
        <w:t>"angle-closure glaucoma"</w:t>
      </w:r>
      <w:r w:rsidRPr="00BF401E">
        <w:rPr>
          <w:rFonts w:eastAsia="Times New Roman" w:cs="Times New Roman"/>
          <w:sz w:val="24"/>
          <w:szCs w:val="24"/>
          <w:lang w:val="en-GB"/>
        </w:rPr>
        <w:t xml:space="preserve"> means a progressive neuropathy involving characteristic optic disc abnormalities and visual field defects, associated with closure </w:t>
      </w:r>
      <w:r w:rsidRPr="00BF401E">
        <w:rPr>
          <w:rFonts w:eastAsia="Times New Roman" w:cs="Times New Roman"/>
          <w:sz w:val="24"/>
          <w:szCs w:val="24"/>
          <w:lang w:val="en-GB"/>
        </w:rPr>
        <w:lastRenderedPageBreak/>
        <w:t xml:space="preserve">of the </w:t>
      </w:r>
      <w:proofErr w:type="spellStart"/>
      <w:r w:rsidRPr="00BF401E">
        <w:rPr>
          <w:rFonts w:eastAsia="Times New Roman" w:cs="Times New Roman"/>
          <w:sz w:val="24"/>
          <w:szCs w:val="24"/>
          <w:lang w:val="en-GB"/>
        </w:rPr>
        <w:t>iridocorneal</w:t>
      </w:r>
      <w:proofErr w:type="spellEnd"/>
      <w:r w:rsidRPr="00BF401E">
        <w:rPr>
          <w:rFonts w:eastAsia="Times New Roman" w:cs="Times New Roman"/>
          <w:sz w:val="24"/>
          <w:szCs w:val="24"/>
          <w:lang w:val="en-GB"/>
        </w:rPr>
        <w:t xml:space="preserve"> angle and usually associated with raised intraocular pressure.</w:t>
      </w: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Basis for determining the factors</w:t>
      </w:r>
    </w:p>
    <w:p w:rsidR="00BF401E" w:rsidRPr="00BF401E" w:rsidRDefault="00BF401E" w:rsidP="00BF401E">
      <w:pPr>
        <w:spacing w:after="120" w:line="240" w:lineRule="atLeast"/>
        <w:ind w:left="720" w:hanging="720"/>
        <w:jc w:val="both"/>
        <w:rPr>
          <w:rFonts w:eastAsia="Times New Roman" w:cs="Times New Roman"/>
          <w:sz w:val="24"/>
          <w:szCs w:val="24"/>
          <w:lang w:val="en-GB"/>
        </w:rPr>
      </w:pPr>
      <w:r w:rsidRPr="00BF401E">
        <w:rPr>
          <w:rFonts w:eastAsia="Times New Roman" w:cs="Times New Roman"/>
          <w:b/>
          <w:sz w:val="24"/>
          <w:szCs w:val="24"/>
          <w:lang w:val="en-GB"/>
        </w:rPr>
        <w:t>4.</w:t>
      </w:r>
      <w:r w:rsidRPr="00BF401E">
        <w:rPr>
          <w:rFonts w:eastAsia="Times New Roman" w:cs="Times New Roman"/>
          <w:sz w:val="24"/>
          <w:szCs w:val="24"/>
          <w:lang w:val="en-GB"/>
        </w:rPr>
        <w:tab/>
        <w:t xml:space="preserve">The Repatriation Medical Authority is of the view that there is sound medical-scientific evidence that indicates that </w:t>
      </w:r>
      <w:r w:rsidRPr="00BF401E">
        <w:rPr>
          <w:rFonts w:eastAsia="Times New Roman" w:cs="Times New Roman"/>
          <w:b/>
          <w:sz w:val="24"/>
          <w:szCs w:val="24"/>
          <w:lang w:val="en-GB"/>
        </w:rPr>
        <w:t xml:space="preserve">angle-closure glaucoma </w:t>
      </w:r>
      <w:r w:rsidRPr="00BF401E">
        <w:rPr>
          <w:rFonts w:eastAsia="Times New Roman" w:cs="Times New Roman"/>
          <w:sz w:val="24"/>
          <w:szCs w:val="24"/>
          <w:lang w:val="en-GB"/>
        </w:rPr>
        <w:t>and</w:t>
      </w:r>
      <w:r w:rsidRPr="00BF401E">
        <w:rPr>
          <w:rFonts w:eastAsia="Times New Roman" w:cs="Times New Roman"/>
          <w:b/>
          <w:sz w:val="24"/>
          <w:szCs w:val="24"/>
          <w:lang w:val="en-GB"/>
        </w:rPr>
        <w:t xml:space="preserve"> death from angle-closure glaucoma </w:t>
      </w:r>
      <w:r w:rsidRPr="00BF401E">
        <w:rPr>
          <w:rFonts w:eastAsia="Times New Roman" w:cs="Times New Roman"/>
          <w:sz w:val="24"/>
          <w:szCs w:val="24"/>
          <w:lang w:val="en-GB"/>
        </w:rPr>
        <w:t xml:space="preserve">can be related to relevant service rendered by veterans, members of Peacekeeping Forces, or members of the Forces under the VEA, or members under the </w:t>
      </w:r>
      <w:r w:rsidRPr="00BF401E">
        <w:rPr>
          <w:rFonts w:eastAsia="Times New Roman" w:cs="Times New Roman"/>
          <w:i/>
          <w:sz w:val="24"/>
          <w:szCs w:val="24"/>
          <w:lang w:val="en-GB"/>
        </w:rPr>
        <w:t>Military Rehabilitation and Compensation Act 2004</w:t>
      </w:r>
      <w:r w:rsidRPr="00BF401E">
        <w:rPr>
          <w:rFonts w:eastAsia="Times New Roman" w:cs="Times New Roman"/>
          <w:sz w:val="24"/>
          <w:szCs w:val="24"/>
          <w:lang w:val="en-GB"/>
        </w:rPr>
        <w:t xml:space="preserve"> (the MRCA).</w:t>
      </w: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Factors that must be related to service</w:t>
      </w:r>
    </w:p>
    <w:p w:rsidR="00BF401E" w:rsidRPr="00BF401E" w:rsidRDefault="00BF401E" w:rsidP="00BF401E">
      <w:pPr>
        <w:spacing w:after="120" w:line="240" w:lineRule="atLeast"/>
        <w:ind w:left="720" w:hanging="720"/>
        <w:jc w:val="both"/>
        <w:rPr>
          <w:rFonts w:eastAsia="Times New Roman" w:cs="Times New Roman"/>
          <w:sz w:val="24"/>
          <w:szCs w:val="24"/>
          <w:lang w:val="en-GB"/>
        </w:rPr>
      </w:pPr>
      <w:r w:rsidRPr="00BF401E">
        <w:rPr>
          <w:rFonts w:eastAsia="Times New Roman" w:cs="Times New Roman"/>
          <w:b/>
          <w:sz w:val="24"/>
          <w:szCs w:val="24"/>
          <w:lang w:val="en-GB"/>
        </w:rPr>
        <w:t>5.</w:t>
      </w:r>
      <w:r w:rsidRPr="00BF401E">
        <w:rPr>
          <w:rFonts w:eastAsia="Times New Roman" w:cs="Times New Roman"/>
          <w:sz w:val="24"/>
          <w:szCs w:val="24"/>
          <w:lang w:val="en-GB"/>
        </w:rPr>
        <w:tab/>
        <w:t>Subject to clause 7, at least one of the factors set out in clause 6 must be related to the relevant service rendered by the person.</w:t>
      </w: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Factors</w:t>
      </w:r>
    </w:p>
    <w:p w:rsidR="00BF401E" w:rsidRPr="00BF401E" w:rsidRDefault="00BF401E" w:rsidP="00BF401E">
      <w:pPr>
        <w:spacing w:after="120" w:line="240" w:lineRule="auto"/>
        <w:ind w:left="720" w:hanging="720"/>
        <w:jc w:val="both"/>
        <w:rPr>
          <w:rFonts w:eastAsia="Times New Roman" w:cs="Times New Roman"/>
          <w:sz w:val="24"/>
          <w:szCs w:val="24"/>
          <w:lang w:val="en-GB"/>
        </w:rPr>
      </w:pPr>
      <w:r w:rsidRPr="00BF401E">
        <w:rPr>
          <w:rFonts w:eastAsia="Times New Roman" w:cs="Times New Roman"/>
          <w:b/>
          <w:sz w:val="24"/>
          <w:szCs w:val="24"/>
          <w:lang w:val="en-GB"/>
        </w:rPr>
        <w:t>6.</w:t>
      </w:r>
      <w:r w:rsidRPr="00BF401E">
        <w:rPr>
          <w:rFonts w:eastAsia="Times New Roman" w:cs="Times New Roman"/>
          <w:sz w:val="24"/>
          <w:szCs w:val="24"/>
          <w:lang w:val="en-GB"/>
        </w:rPr>
        <w:tab/>
        <w:t xml:space="preserve">The factor that must as a minimum exist before it can be said that a reasonable hypothesis has been raised connecting </w:t>
      </w:r>
      <w:r w:rsidRPr="00BF401E">
        <w:rPr>
          <w:rFonts w:eastAsia="Times New Roman" w:cs="Times New Roman"/>
          <w:b/>
          <w:sz w:val="24"/>
          <w:szCs w:val="24"/>
          <w:lang w:val="en-GB"/>
        </w:rPr>
        <w:t xml:space="preserve">angle-closure glaucoma </w:t>
      </w:r>
      <w:r w:rsidRPr="00BF401E">
        <w:rPr>
          <w:rFonts w:eastAsia="Times New Roman" w:cs="Times New Roman"/>
          <w:sz w:val="24"/>
          <w:szCs w:val="24"/>
          <w:lang w:val="en-GB"/>
        </w:rPr>
        <w:t>or</w:t>
      </w:r>
      <w:r w:rsidRPr="00BF401E">
        <w:rPr>
          <w:rFonts w:eastAsia="Times New Roman" w:cs="Times New Roman"/>
          <w:b/>
          <w:sz w:val="24"/>
          <w:szCs w:val="24"/>
          <w:lang w:val="en-GB"/>
        </w:rPr>
        <w:t xml:space="preserve"> death from angle-closure glaucoma </w:t>
      </w:r>
      <w:r w:rsidRPr="00BF401E">
        <w:rPr>
          <w:rFonts w:eastAsia="Times New Roman" w:cs="Times New Roman"/>
          <w:sz w:val="24"/>
          <w:szCs w:val="24"/>
          <w:lang w:val="en-GB"/>
        </w:rPr>
        <w:t>with the circumstances of a person’s relevant service is:</w:t>
      </w:r>
    </w:p>
    <w:p w:rsidR="00BF401E" w:rsidRPr="00BF401E" w:rsidRDefault="00BF401E" w:rsidP="00BF401E">
      <w:pPr>
        <w:numPr>
          <w:ilvl w:val="0"/>
          <w:numId w:val="16"/>
        </w:numPr>
        <w:spacing w:after="120" w:line="240" w:lineRule="auto"/>
        <w:jc w:val="both"/>
        <w:rPr>
          <w:rFonts w:eastAsia="Times New Roman" w:cs="Times New Roman"/>
          <w:sz w:val="24"/>
          <w:szCs w:val="24"/>
          <w:lang w:val="en-US"/>
        </w:rPr>
      </w:pPr>
      <w:r w:rsidRPr="00BF401E">
        <w:rPr>
          <w:rFonts w:eastAsia="Times New Roman" w:cs="Times New Roman"/>
          <w:sz w:val="24"/>
          <w:szCs w:val="24"/>
          <w:lang w:val="en-US"/>
        </w:rPr>
        <w:t>for acute angle-closure glaucoma only, taking or using a drug or a drug from a class of drugs in the specified list, within the two weeks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 xml:space="preserve">having occlusion of the </w:t>
      </w:r>
      <w:proofErr w:type="spellStart"/>
      <w:r w:rsidRPr="00BF401E">
        <w:rPr>
          <w:rFonts w:eastAsia="Times New Roman" w:cs="Times New Roman"/>
          <w:sz w:val="24"/>
          <w:szCs w:val="24"/>
          <w:lang w:val="en-GB"/>
        </w:rPr>
        <w:t>iridocorneal</w:t>
      </w:r>
      <w:proofErr w:type="spellEnd"/>
      <w:r w:rsidRPr="00BF401E">
        <w:rPr>
          <w:rFonts w:eastAsia="Times New Roman" w:cs="Times New Roman"/>
          <w:sz w:val="24"/>
          <w:szCs w:val="24"/>
          <w:lang w:val="en-GB"/>
        </w:rPr>
        <w:t xml:space="preserve"> angle due to a specified disorder of the affected eye or orbit at the time of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US"/>
        </w:rPr>
      </w:pPr>
      <w:r w:rsidRPr="00BF401E">
        <w:rPr>
          <w:rFonts w:eastAsia="Times New Roman" w:cs="Times New Roman"/>
          <w:sz w:val="24"/>
          <w:szCs w:val="24"/>
          <w:lang w:val="en-GB"/>
        </w:rPr>
        <w:t xml:space="preserve">having neovascularisation of the </w:t>
      </w:r>
      <w:proofErr w:type="spellStart"/>
      <w:r w:rsidRPr="00BF401E">
        <w:rPr>
          <w:rFonts w:eastAsia="Times New Roman" w:cs="Times New Roman"/>
          <w:sz w:val="24"/>
          <w:szCs w:val="24"/>
          <w:lang w:val="en-GB"/>
        </w:rPr>
        <w:t>iridocorneal</w:t>
      </w:r>
      <w:proofErr w:type="spellEnd"/>
      <w:r w:rsidRPr="00BF401E">
        <w:rPr>
          <w:rFonts w:eastAsia="Times New Roman" w:cs="Times New Roman"/>
          <w:sz w:val="24"/>
          <w:szCs w:val="24"/>
          <w:lang w:val="en-GB"/>
        </w:rPr>
        <w:t xml:space="preserve"> angle of the affected eye due to a specified condition or procedure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napToGrid w:val="0"/>
          <w:sz w:val="24"/>
          <w:szCs w:val="24"/>
          <w:lang w:val="en-GB"/>
        </w:rPr>
      </w:pPr>
      <w:r w:rsidRPr="00BF401E">
        <w:rPr>
          <w:rFonts w:eastAsia="Times New Roman" w:cs="Times New Roman"/>
          <w:sz w:val="24"/>
          <w:szCs w:val="24"/>
          <w:lang w:val="en-GB"/>
        </w:rPr>
        <w:t>having trauma as specified to the affected eye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napToGrid w:val="0"/>
          <w:sz w:val="24"/>
          <w:szCs w:val="24"/>
          <w:lang w:val="en-GB"/>
        </w:rPr>
      </w:pPr>
      <w:r w:rsidRPr="00BF401E">
        <w:rPr>
          <w:rFonts w:eastAsia="Times New Roman" w:cs="Times New Roman"/>
          <w:sz w:val="24"/>
          <w:szCs w:val="24"/>
          <w:lang w:val="en-US"/>
        </w:rPr>
        <w:t xml:space="preserve">having sympathetic </w:t>
      </w:r>
      <w:proofErr w:type="spellStart"/>
      <w:r w:rsidRPr="00BF401E">
        <w:rPr>
          <w:rFonts w:eastAsia="Times New Roman" w:cs="Times New Roman"/>
          <w:sz w:val="24"/>
          <w:szCs w:val="24"/>
          <w:lang w:val="en-US"/>
        </w:rPr>
        <w:t>ophthalmia</w:t>
      </w:r>
      <w:proofErr w:type="spellEnd"/>
      <w:r w:rsidRPr="00BF401E">
        <w:rPr>
          <w:rFonts w:eastAsia="Times New Roman" w:cs="Times New Roman"/>
          <w:sz w:val="24"/>
          <w:szCs w:val="24"/>
          <w:lang w:val="en-US"/>
        </w:rPr>
        <w:t xml:space="preserve"> at the time of the clinical onset</w:t>
      </w:r>
      <w:r w:rsidRPr="00BF401E">
        <w:rPr>
          <w:rFonts w:eastAsia="Times New Roman" w:cs="Times New Roman"/>
          <w:sz w:val="24"/>
          <w:szCs w:val="24"/>
          <w:lang w:val="en-GB"/>
        </w:rPr>
        <w:t xml:space="preserve">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having intraocular surgery to the affected eye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having non-intraocular surgery to the affected eye or surgery to an eyelid of the affected eye in the one month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lastRenderedPageBreak/>
        <w:t xml:space="preserve">having received a cumulative equivalent dose of at least 10 </w:t>
      </w:r>
      <w:proofErr w:type="spellStart"/>
      <w:r w:rsidRPr="00BF401E">
        <w:rPr>
          <w:rFonts w:eastAsia="Times New Roman" w:cs="Times New Roman"/>
          <w:sz w:val="24"/>
          <w:szCs w:val="24"/>
          <w:lang w:val="en-GB"/>
        </w:rPr>
        <w:t>sieverts</w:t>
      </w:r>
      <w:proofErr w:type="spellEnd"/>
      <w:r w:rsidRPr="00BF401E">
        <w:rPr>
          <w:rFonts w:eastAsia="Times New Roman" w:cs="Times New Roman"/>
          <w:sz w:val="24"/>
          <w:szCs w:val="24"/>
          <w:lang w:val="en-GB"/>
        </w:rPr>
        <w:t xml:space="preserve"> of ionising radiation to the affected eye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undergoing a course of therapeutic radiation for cancer, where the affected eye was in the field of radiation, before the clinical onset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 xml:space="preserve">having occlusion of the </w:t>
      </w:r>
      <w:proofErr w:type="spellStart"/>
      <w:r w:rsidRPr="00BF401E">
        <w:rPr>
          <w:rFonts w:eastAsia="Times New Roman" w:cs="Times New Roman"/>
          <w:sz w:val="24"/>
          <w:szCs w:val="24"/>
          <w:lang w:val="en-GB"/>
        </w:rPr>
        <w:t>iridocorneal</w:t>
      </w:r>
      <w:proofErr w:type="spellEnd"/>
      <w:r w:rsidRPr="00BF401E">
        <w:rPr>
          <w:rFonts w:eastAsia="Times New Roman" w:cs="Times New Roman"/>
          <w:sz w:val="24"/>
          <w:szCs w:val="24"/>
          <w:lang w:val="en-GB"/>
        </w:rPr>
        <w:t xml:space="preserve"> angle due to a specified disorder of the affected eye or orbit at the time of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US"/>
        </w:rPr>
      </w:pPr>
      <w:r w:rsidRPr="00BF401E">
        <w:rPr>
          <w:rFonts w:eastAsia="Times New Roman" w:cs="Times New Roman"/>
          <w:sz w:val="24"/>
          <w:szCs w:val="24"/>
          <w:lang w:val="en-GB"/>
        </w:rPr>
        <w:t xml:space="preserve">having neovascularisation of the </w:t>
      </w:r>
      <w:proofErr w:type="spellStart"/>
      <w:r w:rsidRPr="00BF401E">
        <w:rPr>
          <w:rFonts w:eastAsia="Times New Roman" w:cs="Times New Roman"/>
          <w:sz w:val="24"/>
          <w:szCs w:val="24"/>
          <w:lang w:val="en-GB"/>
        </w:rPr>
        <w:t>iridocorneal</w:t>
      </w:r>
      <w:proofErr w:type="spellEnd"/>
      <w:r w:rsidRPr="00BF401E">
        <w:rPr>
          <w:rFonts w:eastAsia="Times New Roman" w:cs="Times New Roman"/>
          <w:sz w:val="24"/>
          <w:szCs w:val="24"/>
          <w:lang w:val="en-GB"/>
        </w:rPr>
        <w:t xml:space="preserve"> angle of the affected eye due to a specified condition or procedure before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napToGrid w:val="0"/>
          <w:sz w:val="24"/>
          <w:szCs w:val="24"/>
          <w:lang w:val="en-GB"/>
        </w:rPr>
      </w:pPr>
      <w:r w:rsidRPr="00BF401E">
        <w:rPr>
          <w:rFonts w:eastAsia="Times New Roman" w:cs="Times New Roman"/>
          <w:sz w:val="24"/>
          <w:szCs w:val="24"/>
          <w:lang w:val="en-GB"/>
        </w:rPr>
        <w:t>having trauma as specified to the affected eye before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napToGrid w:val="0"/>
          <w:sz w:val="24"/>
          <w:szCs w:val="24"/>
          <w:lang w:val="en-GB"/>
        </w:rPr>
      </w:pPr>
      <w:r w:rsidRPr="00BF401E">
        <w:rPr>
          <w:rFonts w:eastAsia="Times New Roman" w:cs="Times New Roman"/>
          <w:sz w:val="24"/>
          <w:szCs w:val="24"/>
          <w:lang w:val="en-US"/>
        </w:rPr>
        <w:t xml:space="preserve">having sympathetic </w:t>
      </w:r>
      <w:proofErr w:type="spellStart"/>
      <w:r w:rsidRPr="00BF401E">
        <w:rPr>
          <w:rFonts w:eastAsia="Times New Roman" w:cs="Times New Roman"/>
          <w:sz w:val="24"/>
          <w:szCs w:val="24"/>
          <w:lang w:val="en-US"/>
        </w:rPr>
        <w:t>ophthalmia</w:t>
      </w:r>
      <w:proofErr w:type="spellEnd"/>
      <w:r w:rsidRPr="00BF401E">
        <w:rPr>
          <w:rFonts w:eastAsia="Times New Roman" w:cs="Times New Roman"/>
          <w:sz w:val="24"/>
          <w:szCs w:val="24"/>
          <w:lang w:val="en-US"/>
        </w:rPr>
        <w:t xml:space="preserve"> at the time of the clinical worsening</w:t>
      </w:r>
      <w:r w:rsidRPr="00BF401E">
        <w:rPr>
          <w:rFonts w:eastAsia="Times New Roman" w:cs="Times New Roman"/>
          <w:sz w:val="24"/>
          <w:szCs w:val="24"/>
          <w:lang w:val="en-GB"/>
        </w:rPr>
        <w:t xml:space="preserve">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having intraocular surgery to the affected eye before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having non-intraocular surgery to the affected eye or surgery to an eyelid of the affected eye in the one month before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 xml:space="preserve">having received a cumulative equivalent dose of at least 10 </w:t>
      </w:r>
      <w:proofErr w:type="spellStart"/>
      <w:r w:rsidRPr="00BF401E">
        <w:rPr>
          <w:rFonts w:eastAsia="Times New Roman" w:cs="Times New Roman"/>
          <w:sz w:val="24"/>
          <w:szCs w:val="24"/>
          <w:lang w:val="en-GB"/>
        </w:rPr>
        <w:t>sieverts</w:t>
      </w:r>
      <w:proofErr w:type="spellEnd"/>
      <w:r w:rsidRPr="00BF401E">
        <w:rPr>
          <w:rFonts w:eastAsia="Times New Roman" w:cs="Times New Roman"/>
          <w:sz w:val="24"/>
          <w:szCs w:val="24"/>
          <w:lang w:val="en-GB"/>
        </w:rPr>
        <w:t xml:space="preserve"> of ionising radiation to the affected eye before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undergoing a course of therapeutic radiation for cancer, where the affected eye was in the field of radiation, before the clinical worsening of angle-closure glaucoma; or</w:t>
      </w:r>
    </w:p>
    <w:p w:rsidR="00BF401E" w:rsidRPr="00BF401E" w:rsidRDefault="00BF401E" w:rsidP="00BF401E">
      <w:pPr>
        <w:numPr>
          <w:ilvl w:val="0"/>
          <w:numId w:val="16"/>
        </w:numPr>
        <w:spacing w:after="120" w:line="240" w:lineRule="auto"/>
        <w:jc w:val="both"/>
        <w:rPr>
          <w:rFonts w:eastAsia="Times New Roman" w:cs="Times New Roman"/>
          <w:sz w:val="24"/>
          <w:szCs w:val="24"/>
          <w:lang w:val="en-GB"/>
        </w:rPr>
      </w:pPr>
      <w:r w:rsidRPr="00BF401E">
        <w:rPr>
          <w:rFonts w:eastAsia="Times New Roman" w:cs="Times New Roman"/>
          <w:sz w:val="24"/>
          <w:szCs w:val="24"/>
          <w:lang w:val="en-GB"/>
        </w:rPr>
        <w:t>inability to obtain appropriate clinical management for angle-closure glaucoma.</w:t>
      </w:r>
    </w:p>
    <w:p w:rsidR="00BF401E" w:rsidRPr="00BF401E" w:rsidRDefault="00BF401E" w:rsidP="00BF401E">
      <w:pPr>
        <w:keepNext/>
        <w:spacing w:after="120" w:line="240" w:lineRule="auto"/>
        <w:jc w:val="both"/>
        <w:outlineLvl w:val="0"/>
        <w:rPr>
          <w:rFonts w:eastAsia="Times New Roman" w:cs="Times New Roman"/>
          <w:b/>
          <w:sz w:val="24"/>
          <w:szCs w:val="24"/>
        </w:rPr>
      </w:pPr>
      <w:r w:rsidRPr="00BF401E">
        <w:rPr>
          <w:rFonts w:eastAsia="Times New Roman" w:cs="Times New Roman"/>
          <w:b/>
          <w:sz w:val="24"/>
          <w:szCs w:val="24"/>
        </w:rPr>
        <w:t>Factors that apply only to material contribution or aggravation</w:t>
      </w:r>
    </w:p>
    <w:p w:rsidR="00BF401E" w:rsidRPr="00BF401E" w:rsidRDefault="00BF401E" w:rsidP="00BF401E">
      <w:pPr>
        <w:spacing w:after="120" w:line="240" w:lineRule="atLeast"/>
        <w:ind w:left="720" w:hanging="720"/>
        <w:jc w:val="both"/>
        <w:rPr>
          <w:rFonts w:eastAsia="Times New Roman" w:cs="Times New Roman"/>
          <w:sz w:val="24"/>
          <w:szCs w:val="24"/>
          <w:lang w:val="en-GB"/>
        </w:rPr>
      </w:pPr>
      <w:r w:rsidRPr="00BF401E">
        <w:rPr>
          <w:rFonts w:eastAsia="Times New Roman" w:cs="Times New Roman"/>
          <w:b/>
          <w:sz w:val="24"/>
          <w:szCs w:val="24"/>
          <w:lang w:val="en-GB"/>
        </w:rPr>
        <w:t>7.</w:t>
      </w:r>
      <w:r w:rsidRPr="00BF401E">
        <w:rPr>
          <w:rFonts w:eastAsia="Times New Roman" w:cs="Times New Roman"/>
          <w:sz w:val="24"/>
          <w:szCs w:val="24"/>
          <w:lang w:val="en-GB"/>
        </w:rPr>
        <w:tab/>
        <w:t xml:space="preserve">Paragraphs </w:t>
      </w:r>
      <w:r w:rsidRPr="00BF401E">
        <w:rPr>
          <w:rFonts w:eastAsia="Times New Roman" w:cs="Times New Roman"/>
          <w:b/>
          <w:sz w:val="24"/>
          <w:szCs w:val="24"/>
          <w:lang w:val="en-GB"/>
        </w:rPr>
        <w:t xml:space="preserve">6(j) to 6(r) </w:t>
      </w:r>
      <w:r w:rsidRPr="00BF401E">
        <w:rPr>
          <w:rFonts w:eastAsia="Times New Roman" w:cs="Times New Roman"/>
          <w:sz w:val="24"/>
          <w:szCs w:val="24"/>
          <w:lang w:val="en-GB"/>
        </w:rPr>
        <w:t>apply only to material contribution to, or aggravation of, angle-closure glaucoma where the person’s angle-closure glaucoma was suffered or contracted before or during (but not arising out of) the person’s relevant service.</w:t>
      </w:r>
    </w:p>
    <w:p w:rsidR="00BF401E" w:rsidRPr="00BF401E" w:rsidRDefault="00BF401E" w:rsidP="00BF401E">
      <w:pPr>
        <w:spacing w:after="120" w:line="240" w:lineRule="atLeast"/>
        <w:jc w:val="both"/>
        <w:outlineLvl w:val="0"/>
        <w:rPr>
          <w:rFonts w:eastAsia="Times New Roman" w:cs="Times New Roman"/>
          <w:b/>
          <w:sz w:val="24"/>
          <w:szCs w:val="24"/>
          <w:lang w:val="en-GB"/>
        </w:rPr>
      </w:pPr>
      <w:r w:rsidRPr="00BF401E">
        <w:rPr>
          <w:rFonts w:eastAsia="Times New Roman" w:cs="Times New Roman"/>
          <w:b/>
          <w:sz w:val="24"/>
          <w:szCs w:val="24"/>
          <w:lang w:val="en-GB"/>
        </w:rPr>
        <w:t>Inclusion of Statements of Principles</w:t>
      </w:r>
    </w:p>
    <w:p w:rsidR="00BF401E" w:rsidRPr="00BF401E" w:rsidRDefault="00BF401E" w:rsidP="00BF401E">
      <w:pPr>
        <w:spacing w:after="120" w:line="240" w:lineRule="atLeast"/>
        <w:ind w:left="720" w:hanging="720"/>
        <w:jc w:val="both"/>
        <w:rPr>
          <w:rFonts w:eastAsia="Times New Roman" w:cs="Times New Roman"/>
          <w:sz w:val="24"/>
          <w:szCs w:val="24"/>
          <w:lang w:val="en-GB"/>
        </w:rPr>
      </w:pPr>
      <w:r w:rsidRPr="00BF401E">
        <w:rPr>
          <w:rFonts w:eastAsia="Times New Roman" w:cs="Times New Roman"/>
          <w:b/>
          <w:sz w:val="24"/>
          <w:szCs w:val="24"/>
          <w:lang w:val="en-GB"/>
        </w:rPr>
        <w:t>8.</w:t>
      </w:r>
      <w:r w:rsidRPr="00BF401E">
        <w:rPr>
          <w:rFonts w:eastAsia="Times New Roman" w:cs="Times New Roman"/>
          <w:sz w:val="24"/>
          <w:szCs w:val="24"/>
          <w:lang w:val="en-GB"/>
        </w:rPr>
        <w:tab/>
        <w:t xml:space="preserve">In this Statement of Principles if a relevant factor applies and that factor includes an injury or disease in respect of which there is a Statement of Principles then </w:t>
      </w:r>
      <w:r w:rsidRPr="00BF401E">
        <w:rPr>
          <w:rFonts w:eastAsia="Times New Roman" w:cs="Times New Roman"/>
          <w:sz w:val="24"/>
          <w:szCs w:val="24"/>
          <w:lang w:val="en-GB"/>
        </w:rPr>
        <w:lastRenderedPageBreak/>
        <w:t>the factors in that last mentioned Statement of Principles apply in accordance with the terms of that Statement of Principles as in force from time to time.</w:t>
      </w:r>
    </w:p>
    <w:p w:rsidR="00BF401E" w:rsidRPr="00BF401E" w:rsidRDefault="00BF401E" w:rsidP="00BF401E">
      <w:pPr>
        <w:keepNext/>
        <w:spacing w:after="120" w:line="240" w:lineRule="auto"/>
        <w:jc w:val="both"/>
        <w:outlineLvl w:val="0"/>
        <w:rPr>
          <w:rFonts w:eastAsia="Times New Roman" w:cs="Times New Roman"/>
          <w:b/>
          <w:sz w:val="24"/>
          <w:szCs w:val="24"/>
        </w:rPr>
      </w:pPr>
      <w:r w:rsidRPr="00BF401E">
        <w:rPr>
          <w:rFonts w:eastAsia="Times New Roman" w:cs="Times New Roman"/>
          <w:b/>
          <w:sz w:val="24"/>
          <w:szCs w:val="24"/>
        </w:rPr>
        <w:t>Other definitions</w:t>
      </w:r>
    </w:p>
    <w:p w:rsidR="00BF401E" w:rsidRPr="00BF401E" w:rsidRDefault="00BF401E" w:rsidP="00BF401E">
      <w:pPr>
        <w:spacing w:after="120" w:line="240" w:lineRule="auto"/>
        <w:jc w:val="both"/>
        <w:rPr>
          <w:rFonts w:eastAsia="Times New Roman" w:cs="Times New Roman"/>
          <w:sz w:val="24"/>
          <w:szCs w:val="24"/>
          <w:lang w:val="en-GB"/>
        </w:rPr>
      </w:pPr>
      <w:r w:rsidRPr="00BF401E">
        <w:rPr>
          <w:rFonts w:eastAsia="Times New Roman" w:cs="Times New Roman"/>
          <w:b/>
          <w:sz w:val="24"/>
          <w:szCs w:val="24"/>
          <w:lang w:val="en-GB"/>
        </w:rPr>
        <w:t>9.</w:t>
      </w:r>
      <w:r w:rsidRPr="00BF401E">
        <w:rPr>
          <w:rFonts w:eastAsia="Times New Roman" w:cs="Times New Roman"/>
          <w:sz w:val="24"/>
          <w:szCs w:val="24"/>
          <w:lang w:val="en-GB"/>
        </w:rPr>
        <w:tab/>
        <w:t>For the purposes of this Statement of Principles:</w:t>
      </w:r>
    </w:p>
    <w:p w:rsidR="00BF401E" w:rsidRPr="00BF401E" w:rsidRDefault="00BF401E" w:rsidP="00BF401E">
      <w:pPr>
        <w:spacing w:after="120" w:line="240" w:lineRule="atLeast"/>
        <w:ind w:left="720"/>
        <w:jc w:val="both"/>
        <w:rPr>
          <w:rFonts w:eastAsia="Times New Roman" w:cs="Times New Roman"/>
          <w:sz w:val="24"/>
          <w:szCs w:val="24"/>
          <w:lang w:val="en-US"/>
        </w:rPr>
      </w:pPr>
      <w:r w:rsidRPr="00BF401E">
        <w:rPr>
          <w:rFonts w:eastAsia="Times New Roman" w:cs="Times New Roman"/>
          <w:b/>
          <w:sz w:val="24"/>
          <w:szCs w:val="24"/>
          <w:lang w:val="en-US"/>
        </w:rPr>
        <w:t>"a drug or a drug from a class of drugs in the specified list"</w:t>
      </w:r>
      <w:r w:rsidRPr="00BF401E">
        <w:rPr>
          <w:rFonts w:eastAsia="Times New Roman" w:cs="Times New Roman"/>
          <w:sz w:val="24"/>
          <w:szCs w:val="24"/>
          <w:lang w:val="en-US"/>
        </w:rPr>
        <w:t xml:space="preserve"> means one of the following:</w:t>
      </w:r>
    </w:p>
    <w:p w:rsidR="00BF401E" w:rsidRPr="00BF401E" w:rsidRDefault="00BF401E" w:rsidP="00BF401E">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adrenergic agents, including beta-2 adrenergic agents;</w:t>
      </w:r>
    </w:p>
    <w:p w:rsidR="00BF401E" w:rsidRPr="00BF401E" w:rsidRDefault="00BF401E" w:rsidP="00BF401E">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amphetamines, including </w:t>
      </w:r>
      <w:r w:rsidRPr="00BF401E">
        <w:rPr>
          <w:rFonts w:eastAsia="Times New Roman" w:cs="Times New Roman"/>
          <w:sz w:val="24"/>
          <w:szCs w:val="24"/>
          <w:lang w:val="en-GB"/>
        </w:rPr>
        <w:t xml:space="preserve">amphetamine, </w:t>
      </w:r>
      <w:proofErr w:type="spellStart"/>
      <w:r w:rsidRPr="00BF401E">
        <w:rPr>
          <w:rFonts w:eastAsia="Times New Roman" w:cs="Times New Roman"/>
          <w:sz w:val="24"/>
          <w:szCs w:val="24"/>
          <w:lang w:val="en-GB"/>
        </w:rPr>
        <w:t>dextroamphetamine</w:t>
      </w:r>
      <w:proofErr w:type="spellEnd"/>
      <w:r w:rsidRPr="00BF401E">
        <w:rPr>
          <w:rFonts w:eastAsia="Times New Roman" w:cs="Times New Roman"/>
          <w:sz w:val="24"/>
          <w:szCs w:val="24"/>
          <w:lang w:val="en-GB"/>
        </w:rPr>
        <w:t xml:space="preserve">, methamphetamine and </w:t>
      </w:r>
      <w:proofErr w:type="spellStart"/>
      <w:r w:rsidRPr="00BF401E">
        <w:rPr>
          <w:rFonts w:eastAsia="Times New Roman" w:cs="Times New Roman"/>
          <w:sz w:val="24"/>
          <w:szCs w:val="24"/>
          <w:lang w:val="en-GB"/>
        </w:rPr>
        <w:t>methylenedioxymethamphetamine</w:t>
      </w:r>
      <w:proofErr w:type="spellEnd"/>
      <w:r w:rsidRPr="00BF401E">
        <w:rPr>
          <w:rFonts w:eastAsia="Times New Roman" w:cs="Times New Roman"/>
          <w:sz w:val="24"/>
          <w:szCs w:val="24"/>
          <w:lang w:val="en-GB"/>
        </w:rPr>
        <w:t xml:space="preserve"> (ecstasy);</w:t>
      </w:r>
    </w:p>
    <w:p w:rsidR="00BF401E" w:rsidRPr="00BF401E" w:rsidRDefault="00BF401E" w:rsidP="00BF401E">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anticholinergic agents, including </w:t>
      </w:r>
      <w:proofErr w:type="spellStart"/>
      <w:r w:rsidRPr="00BF401E">
        <w:rPr>
          <w:rFonts w:eastAsia="Times New Roman" w:cs="Times New Roman"/>
          <w:sz w:val="24"/>
          <w:szCs w:val="24"/>
          <w:lang w:val="en-GB"/>
        </w:rPr>
        <w:t>tropicamide</w:t>
      </w:r>
      <w:proofErr w:type="spellEnd"/>
      <w:r w:rsidRPr="00BF401E">
        <w:rPr>
          <w:rFonts w:eastAsia="Times New Roman" w:cs="Times New Roman"/>
          <w:sz w:val="24"/>
          <w:szCs w:val="24"/>
          <w:lang w:val="en-GB"/>
        </w:rPr>
        <w:t xml:space="preserve">, atropine, </w:t>
      </w:r>
      <w:proofErr w:type="spellStart"/>
      <w:r w:rsidRPr="00BF401E">
        <w:rPr>
          <w:rFonts w:eastAsia="Times New Roman" w:cs="Times New Roman"/>
          <w:sz w:val="24"/>
          <w:szCs w:val="24"/>
          <w:lang w:val="en-GB"/>
        </w:rPr>
        <w:t>homatropine</w:t>
      </w:r>
      <w:proofErr w:type="spellEnd"/>
      <w:r w:rsidRPr="00BF401E">
        <w:rPr>
          <w:rFonts w:eastAsia="Times New Roman" w:cs="Times New Roman"/>
          <w:sz w:val="24"/>
          <w:szCs w:val="24"/>
          <w:lang w:val="en-GB"/>
        </w:rPr>
        <w:t xml:space="preserve">, </w:t>
      </w:r>
      <w:proofErr w:type="spellStart"/>
      <w:r w:rsidRPr="00BF401E">
        <w:rPr>
          <w:rFonts w:eastAsia="Times New Roman" w:cs="Times New Roman"/>
          <w:sz w:val="24"/>
          <w:szCs w:val="24"/>
          <w:lang w:val="en-GB"/>
        </w:rPr>
        <w:t>cyclopentolate</w:t>
      </w:r>
      <w:proofErr w:type="spellEnd"/>
      <w:r w:rsidRPr="00BF401E">
        <w:rPr>
          <w:rFonts w:eastAsia="Times New Roman" w:cs="Times New Roman"/>
          <w:sz w:val="24"/>
          <w:szCs w:val="24"/>
          <w:lang w:val="en-GB"/>
        </w:rPr>
        <w:t xml:space="preserve">, </w:t>
      </w:r>
      <w:proofErr w:type="spellStart"/>
      <w:r w:rsidRPr="00BF401E">
        <w:rPr>
          <w:rFonts w:eastAsia="Times New Roman" w:cs="Times New Roman"/>
          <w:sz w:val="24"/>
          <w:szCs w:val="24"/>
          <w:lang w:val="en-GB"/>
        </w:rPr>
        <w:t>disopyramide</w:t>
      </w:r>
      <w:proofErr w:type="spellEnd"/>
      <w:r w:rsidRPr="00BF401E">
        <w:rPr>
          <w:rFonts w:eastAsia="Times New Roman" w:cs="Times New Roman"/>
          <w:sz w:val="24"/>
          <w:szCs w:val="24"/>
          <w:lang w:val="en-GB"/>
        </w:rPr>
        <w:t>,</w:t>
      </w:r>
      <w:r w:rsidRPr="00BF401E">
        <w:rPr>
          <w:rFonts w:eastAsia="Times New Roman" w:cs="Times New Roman"/>
          <w:sz w:val="24"/>
          <w:szCs w:val="24"/>
          <w:lang w:val="en-US"/>
        </w:rPr>
        <w:t xml:space="preserve"> </w:t>
      </w:r>
      <w:proofErr w:type="spellStart"/>
      <w:r w:rsidRPr="00BF401E">
        <w:rPr>
          <w:rFonts w:eastAsia="Times New Roman" w:cs="Times New Roman"/>
          <w:sz w:val="24"/>
          <w:szCs w:val="24"/>
          <w:lang w:val="en-US"/>
        </w:rPr>
        <w:t>orphenadrine</w:t>
      </w:r>
      <w:proofErr w:type="spellEnd"/>
      <w:r w:rsidRPr="00BF401E">
        <w:rPr>
          <w:rFonts w:eastAsia="Times New Roman" w:cs="Times New Roman"/>
          <w:sz w:val="24"/>
          <w:szCs w:val="24"/>
          <w:lang w:val="en-US"/>
        </w:rPr>
        <w:t xml:space="preserve">, </w:t>
      </w:r>
      <w:proofErr w:type="spellStart"/>
      <w:r w:rsidRPr="00BF401E">
        <w:rPr>
          <w:rFonts w:eastAsia="Times New Roman" w:cs="Times New Roman"/>
          <w:sz w:val="24"/>
          <w:szCs w:val="24"/>
          <w:lang w:val="en-US"/>
        </w:rPr>
        <w:t>trihexyphenidyl</w:t>
      </w:r>
      <w:proofErr w:type="spellEnd"/>
      <w:r w:rsidRPr="00BF401E">
        <w:rPr>
          <w:rFonts w:eastAsia="Times New Roman" w:cs="Times New Roman"/>
          <w:sz w:val="24"/>
          <w:szCs w:val="24"/>
          <w:lang w:val="en-US"/>
        </w:rPr>
        <w:t xml:space="preserve">, </w:t>
      </w:r>
      <w:proofErr w:type="spellStart"/>
      <w:r w:rsidRPr="00BF401E">
        <w:rPr>
          <w:rFonts w:eastAsia="Times New Roman" w:cs="Times New Roman"/>
          <w:sz w:val="24"/>
          <w:szCs w:val="24"/>
          <w:lang w:val="en-US"/>
        </w:rPr>
        <w:t>ipratroprium</w:t>
      </w:r>
      <w:proofErr w:type="spellEnd"/>
      <w:r w:rsidRPr="00BF401E">
        <w:rPr>
          <w:rFonts w:eastAsia="Times New Roman" w:cs="Times New Roman"/>
          <w:sz w:val="24"/>
          <w:szCs w:val="24"/>
          <w:lang w:val="en-US"/>
        </w:rPr>
        <w:t xml:space="preserve"> bromide and scopolamine;</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antihistamines, including H</w:t>
      </w:r>
      <w:r w:rsidRPr="00BF401E">
        <w:rPr>
          <w:rFonts w:eastAsia="Times New Roman" w:cs="Times New Roman"/>
          <w:sz w:val="24"/>
          <w:szCs w:val="24"/>
          <w:vertAlign w:val="subscript"/>
          <w:lang w:val="en-US"/>
        </w:rPr>
        <w:t>1</w:t>
      </w:r>
      <w:r w:rsidRPr="00BF401E">
        <w:rPr>
          <w:rFonts w:eastAsia="Times New Roman" w:cs="Times New Roman"/>
          <w:sz w:val="24"/>
          <w:szCs w:val="24"/>
          <w:lang w:val="en-US"/>
        </w:rPr>
        <w:t xml:space="preserve"> and H</w:t>
      </w:r>
      <w:r w:rsidRPr="00BF401E">
        <w:rPr>
          <w:rFonts w:eastAsia="Times New Roman" w:cs="Times New Roman"/>
          <w:sz w:val="24"/>
          <w:szCs w:val="24"/>
          <w:vertAlign w:val="subscript"/>
          <w:lang w:val="en-US"/>
        </w:rPr>
        <w:t>2</w:t>
      </w:r>
      <w:r w:rsidRPr="00BF401E">
        <w:rPr>
          <w:rFonts w:eastAsia="Times New Roman" w:cs="Times New Roman"/>
          <w:sz w:val="24"/>
          <w:szCs w:val="24"/>
          <w:lang w:val="en-US"/>
        </w:rPr>
        <w:t xml:space="preserve"> receptor blockers;</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botulinum toxin for </w:t>
      </w:r>
      <w:proofErr w:type="spellStart"/>
      <w:r w:rsidRPr="00BF401E">
        <w:rPr>
          <w:rFonts w:eastAsia="Times New Roman" w:cs="Times New Roman"/>
          <w:sz w:val="24"/>
          <w:szCs w:val="24"/>
          <w:lang w:val="en-US"/>
        </w:rPr>
        <w:t>blepharospasm</w:t>
      </w:r>
      <w:proofErr w:type="spellEnd"/>
      <w:r w:rsidRPr="00BF401E">
        <w:rPr>
          <w:rFonts w:eastAsia="Times New Roman" w:cs="Times New Roman"/>
          <w:sz w:val="24"/>
          <w:szCs w:val="24"/>
          <w:lang w:val="en-US"/>
        </w:rPr>
        <w:t>;</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candesartan;</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cholinergic agents, including pilocarpine, acetylcholine and </w:t>
      </w:r>
      <w:proofErr w:type="spellStart"/>
      <w:r w:rsidRPr="00BF401E">
        <w:rPr>
          <w:rFonts w:eastAsia="Times New Roman" w:cs="Times New Roman"/>
          <w:sz w:val="24"/>
          <w:szCs w:val="24"/>
          <w:lang w:val="en-US"/>
        </w:rPr>
        <w:t>carbachol</w:t>
      </w:r>
      <w:proofErr w:type="spellEnd"/>
      <w:r w:rsidRPr="00BF401E">
        <w:rPr>
          <w:rFonts w:eastAsia="Times New Roman" w:cs="Times New Roman"/>
          <w:sz w:val="24"/>
          <w:szCs w:val="24"/>
          <w:lang w:val="en-US"/>
        </w:rPr>
        <w:t>;</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ipsilateral intranasal or intraocular cocaine;</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proofErr w:type="spellStart"/>
      <w:r w:rsidRPr="00BF401E">
        <w:rPr>
          <w:rFonts w:eastAsia="Times New Roman" w:cs="Times New Roman"/>
          <w:sz w:val="24"/>
          <w:szCs w:val="24"/>
          <w:lang w:val="en-US"/>
        </w:rPr>
        <w:t>monamine</w:t>
      </w:r>
      <w:proofErr w:type="spellEnd"/>
      <w:r w:rsidRPr="00BF401E">
        <w:rPr>
          <w:rFonts w:eastAsia="Times New Roman" w:cs="Times New Roman"/>
          <w:sz w:val="24"/>
          <w:szCs w:val="24"/>
          <w:lang w:val="en-US"/>
        </w:rPr>
        <w:t xml:space="preserve"> oxidase inhibitors;</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phenothiazine antipsychotics;</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selective serotonin reuptake inhibitors;</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serotonin noradrenaline reuptake inhibitors;</w:t>
      </w:r>
    </w:p>
    <w:p w:rsidR="00BF401E" w:rsidRPr="00BF401E" w:rsidRDefault="00BF401E" w:rsidP="00BF401E">
      <w:pPr>
        <w:numPr>
          <w:ilvl w:val="0"/>
          <w:numId w:val="17"/>
        </w:numPr>
        <w:tabs>
          <w:tab w:val="num" w:pos="1418"/>
        </w:tabs>
        <w:spacing w:line="240" w:lineRule="auto"/>
        <w:ind w:left="1418" w:hanging="698"/>
        <w:jc w:val="both"/>
        <w:rPr>
          <w:rFonts w:eastAsia="Times New Roman" w:cs="Times New Roman"/>
          <w:sz w:val="24"/>
          <w:szCs w:val="24"/>
          <w:lang w:val="en-US"/>
        </w:rPr>
      </w:pPr>
      <w:proofErr w:type="spellStart"/>
      <w:r w:rsidRPr="00BF401E">
        <w:rPr>
          <w:rFonts w:eastAsia="Times New Roman" w:cs="Times New Roman"/>
          <w:sz w:val="24"/>
          <w:szCs w:val="24"/>
          <w:lang w:val="en-US"/>
        </w:rPr>
        <w:t>sulpha</w:t>
      </w:r>
      <w:proofErr w:type="spellEnd"/>
      <w:r w:rsidRPr="00BF401E">
        <w:rPr>
          <w:rFonts w:eastAsia="Times New Roman" w:cs="Times New Roman"/>
          <w:sz w:val="24"/>
          <w:szCs w:val="24"/>
          <w:lang w:val="en-US"/>
        </w:rPr>
        <w:t xml:space="preserve"> containing drugs, including </w:t>
      </w:r>
      <w:proofErr w:type="spellStart"/>
      <w:r w:rsidRPr="00BF401E">
        <w:rPr>
          <w:rFonts w:eastAsia="Times New Roman" w:cs="Times New Roman"/>
          <w:sz w:val="24"/>
          <w:szCs w:val="24"/>
          <w:lang w:val="en-US"/>
        </w:rPr>
        <w:t>topiramate</w:t>
      </w:r>
      <w:proofErr w:type="spellEnd"/>
      <w:r w:rsidRPr="00BF401E">
        <w:rPr>
          <w:rFonts w:eastAsia="Times New Roman" w:cs="Times New Roman"/>
          <w:sz w:val="24"/>
          <w:szCs w:val="24"/>
          <w:lang w:val="en-US"/>
        </w:rPr>
        <w:t>, hydrochlorothiazide, acetazolamide and trimethoprim-</w:t>
      </w:r>
      <w:proofErr w:type="spellStart"/>
      <w:r w:rsidRPr="00BF401E">
        <w:rPr>
          <w:rFonts w:eastAsia="Times New Roman" w:cs="Times New Roman"/>
          <w:sz w:val="24"/>
          <w:szCs w:val="24"/>
          <w:lang w:val="en-US"/>
        </w:rPr>
        <w:t>sulphamethoxazole</w:t>
      </w:r>
      <w:proofErr w:type="spellEnd"/>
      <w:r w:rsidRPr="00BF401E">
        <w:rPr>
          <w:rFonts w:eastAsia="Times New Roman" w:cs="Times New Roman"/>
          <w:sz w:val="24"/>
          <w:szCs w:val="24"/>
          <w:lang w:val="en-US"/>
        </w:rPr>
        <w:t>;</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tetracyclic antidepressants;</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tetracycline;</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tricyclic antidepressants;</w:t>
      </w:r>
    </w:p>
    <w:p w:rsidR="00BF401E" w:rsidRPr="00BF401E" w:rsidRDefault="00BF401E" w:rsidP="00216ABF">
      <w:pPr>
        <w:numPr>
          <w:ilvl w:val="0"/>
          <w:numId w:val="17"/>
        </w:numPr>
        <w:tabs>
          <w:tab w:val="num" w:pos="1418"/>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other drugs which cause mydriasis or </w:t>
      </w:r>
      <w:proofErr w:type="spellStart"/>
      <w:r w:rsidRPr="00BF401E">
        <w:rPr>
          <w:rFonts w:eastAsia="Times New Roman" w:cs="Times New Roman"/>
          <w:sz w:val="24"/>
          <w:szCs w:val="24"/>
          <w:lang w:val="en-US"/>
        </w:rPr>
        <w:t>miosis</w:t>
      </w:r>
      <w:proofErr w:type="spellEnd"/>
      <w:r w:rsidRPr="00BF401E">
        <w:rPr>
          <w:rFonts w:eastAsia="Times New Roman" w:cs="Times New Roman"/>
          <w:sz w:val="24"/>
          <w:szCs w:val="24"/>
          <w:lang w:val="en-US"/>
        </w:rPr>
        <w:t>; or</w:t>
      </w:r>
    </w:p>
    <w:p w:rsidR="00BF401E" w:rsidRPr="00BF401E" w:rsidRDefault="00BF401E" w:rsidP="00BF401E">
      <w:pPr>
        <w:numPr>
          <w:ilvl w:val="0"/>
          <w:numId w:val="17"/>
        </w:numPr>
        <w:tabs>
          <w:tab w:val="num" w:pos="1418"/>
        </w:tabs>
        <w:spacing w:after="120" w:line="240" w:lineRule="auto"/>
        <w:ind w:left="1417" w:hanging="697"/>
        <w:jc w:val="both"/>
        <w:rPr>
          <w:rFonts w:eastAsia="Times New Roman" w:cs="Times New Roman"/>
          <w:sz w:val="24"/>
          <w:szCs w:val="24"/>
          <w:lang w:val="en-US"/>
        </w:rPr>
      </w:pPr>
      <w:r w:rsidRPr="00BF401E">
        <w:rPr>
          <w:rFonts w:eastAsia="Times New Roman" w:cs="Times New Roman"/>
          <w:sz w:val="24"/>
          <w:szCs w:val="24"/>
          <w:lang w:val="en-US"/>
        </w:rPr>
        <w:t>other drugs which cause an allergic or inflammatory reaction involving structures of the anterior segment of the eye;</w:t>
      </w:r>
    </w:p>
    <w:p w:rsidR="00BF401E" w:rsidRPr="00BF401E" w:rsidRDefault="00BF401E" w:rsidP="00BF401E">
      <w:pPr>
        <w:spacing w:after="120" w:line="240" w:lineRule="atLeast"/>
        <w:ind w:left="720"/>
        <w:jc w:val="both"/>
        <w:rPr>
          <w:rFonts w:eastAsia="Times New Roman" w:cs="Times New Roman"/>
          <w:sz w:val="24"/>
          <w:szCs w:val="24"/>
          <w:lang w:val="en-GB"/>
        </w:rPr>
      </w:pPr>
      <w:r w:rsidRPr="00BF401E">
        <w:rPr>
          <w:rFonts w:eastAsia="Times New Roman" w:cs="Times New Roman"/>
          <w:b/>
          <w:sz w:val="24"/>
          <w:szCs w:val="24"/>
          <w:lang w:val="en-GB"/>
        </w:rPr>
        <w:t xml:space="preserve">"a specified condition or procedure" </w:t>
      </w:r>
      <w:r w:rsidRPr="00BF401E">
        <w:rPr>
          <w:rFonts w:eastAsia="Times New Roman" w:cs="Times New Roman"/>
          <w:sz w:val="24"/>
          <w:szCs w:val="24"/>
          <w:lang w:val="en-GB"/>
        </w:rPr>
        <w:t>means one of the following:</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carotid endarterectomy on the affected side;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diabetic retinopathy of the affected eye;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intraocular surgery to the affected eye;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intraocular tumour involving the affected eye;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ipsilateral carotid artery occlusive disease;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radiotherapy involving the affected eye;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retinal detachment in the affected eye;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retinal vascular occlusive disease of the affected eye;</w:t>
      </w:r>
    </w:p>
    <w:p w:rsidR="00BF401E" w:rsidRPr="00BF401E" w:rsidRDefault="00BF401E" w:rsidP="00216ABF">
      <w:pPr>
        <w:numPr>
          <w:ilvl w:val="0"/>
          <w:numId w:val="19"/>
        </w:numPr>
        <w:tabs>
          <w:tab w:val="num" w:pos="1418"/>
        </w:tabs>
        <w:spacing w:line="240" w:lineRule="auto"/>
        <w:ind w:left="1418" w:hanging="698"/>
        <w:jc w:val="both"/>
        <w:rPr>
          <w:rFonts w:eastAsia="Times New Roman" w:cs="Times New Roman"/>
          <w:sz w:val="24"/>
          <w:szCs w:val="24"/>
          <w:lang w:val="en-GB"/>
        </w:rPr>
      </w:pPr>
      <w:r w:rsidRPr="00BF401E">
        <w:rPr>
          <w:rFonts w:eastAsia="Times New Roman" w:cs="Times New Roman"/>
          <w:sz w:val="24"/>
          <w:szCs w:val="24"/>
          <w:lang w:val="en-GB"/>
        </w:rPr>
        <w:t>retinal vasculitis of the affected eye; or</w:t>
      </w:r>
    </w:p>
    <w:p w:rsidR="00BF401E" w:rsidRPr="00BF401E" w:rsidRDefault="00BF401E" w:rsidP="00BF401E">
      <w:pPr>
        <w:numPr>
          <w:ilvl w:val="0"/>
          <w:numId w:val="19"/>
        </w:numPr>
        <w:tabs>
          <w:tab w:val="num" w:pos="1418"/>
        </w:tabs>
        <w:spacing w:after="120" w:line="240" w:lineRule="auto"/>
        <w:ind w:left="1417" w:hanging="697"/>
        <w:jc w:val="both"/>
        <w:rPr>
          <w:rFonts w:eastAsia="Times New Roman" w:cs="Times New Roman"/>
          <w:sz w:val="24"/>
          <w:szCs w:val="24"/>
          <w:lang w:val="en-US"/>
        </w:rPr>
      </w:pPr>
      <w:r w:rsidRPr="00BF401E">
        <w:rPr>
          <w:rFonts w:eastAsia="Times New Roman" w:cs="Times New Roman"/>
          <w:sz w:val="24"/>
          <w:szCs w:val="24"/>
          <w:lang w:val="en-GB"/>
        </w:rPr>
        <w:t>any acquired condition causing posterior segment ischaemia of the affected eye;</w:t>
      </w:r>
    </w:p>
    <w:p w:rsidR="00BF401E" w:rsidRPr="00BF401E" w:rsidRDefault="00BF401E" w:rsidP="00BF401E">
      <w:pPr>
        <w:spacing w:after="120" w:line="240" w:lineRule="atLeast"/>
        <w:ind w:left="720"/>
        <w:jc w:val="both"/>
        <w:rPr>
          <w:rFonts w:eastAsia="Times New Roman" w:cs="Times New Roman"/>
          <w:sz w:val="24"/>
          <w:szCs w:val="24"/>
          <w:lang w:val="en-GB"/>
        </w:rPr>
      </w:pPr>
      <w:r w:rsidRPr="00BF401E">
        <w:rPr>
          <w:rFonts w:eastAsia="Times New Roman" w:cs="Times New Roman"/>
          <w:b/>
          <w:sz w:val="24"/>
          <w:szCs w:val="24"/>
          <w:lang w:val="en-GB"/>
        </w:rPr>
        <w:lastRenderedPageBreak/>
        <w:t>"a specified disorder"</w:t>
      </w:r>
      <w:r w:rsidRPr="00BF401E">
        <w:rPr>
          <w:rFonts w:eastAsia="Times New Roman" w:cs="Times New Roman"/>
          <w:sz w:val="24"/>
          <w:szCs w:val="24"/>
          <w:lang w:val="en-GB"/>
        </w:rPr>
        <w:t xml:space="preserve"> means one of the following:</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a benign or malignant </w:t>
      </w:r>
      <w:proofErr w:type="spellStart"/>
      <w:r w:rsidRPr="00BF401E">
        <w:rPr>
          <w:rFonts w:eastAsia="Times New Roman" w:cs="Times New Roman"/>
          <w:sz w:val="24"/>
          <w:szCs w:val="24"/>
          <w:lang w:val="en-US"/>
        </w:rPr>
        <w:t>tumour</w:t>
      </w:r>
      <w:proofErr w:type="spellEnd"/>
      <w:r w:rsidRPr="00BF401E">
        <w:rPr>
          <w:rFonts w:eastAsia="Times New Roman" w:cs="Times New Roman"/>
          <w:sz w:val="24"/>
          <w:szCs w:val="24"/>
          <w:lang w:val="en-US"/>
        </w:rPr>
        <w:t>;</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 cataract;</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 cyst;</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 vascular malformation or vascular thrombosis;</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amyloidosis;</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anterior lens displacement, subluxation or dislocation;</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choroidal effusion;</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elevated ipsilateral </w:t>
      </w:r>
      <w:proofErr w:type="spellStart"/>
      <w:r w:rsidRPr="00BF401E">
        <w:rPr>
          <w:rFonts w:eastAsia="Times New Roman" w:cs="Times New Roman"/>
          <w:sz w:val="24"/>
          <w:szCs w:val="24"/>
          <w:lang w:val="en-US"/>
        </w:rPr>
        <w:t>episcleral</w:t>
      </w:r>
      <w:proofErr w:type="spellEnd"/>
      <w:r w:rsidRPr="00BF401E">
        <w:rPr>
          <w:rFonts w:eastAsia="Times New Roman" w:cs="Times New Roman"/>
          <w:sz w:val="24"/>
          <w:szCs w:val="24"/>
          <w:lang w:val="en-US"/>
        </w:rPr>
        <w:t xml:space="preserve"> venous pressure;</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 xml:space="preserve">intraocular </w:t>
      </w:r>
      <w:proofErr w:type="spellStart"/>
      <w:r w:rsidRPr="00BF401E">
        <w:rPr>
          <w:rFonts w:eastAsia="Times New Roman" w:cs="Times New Roman"/>
          <w:sz w:val="24"/>
          <w:szCs w:val="24"/>
          <w:lang w:val="en-US"/>
        </w:rPr>
        <w:t>haemorrhage</w:t>
      </w:r>
      <w:proofErr w:type="spellEnd"/>
      <w:r w:rsidRPr="00BF401E">
        <w:rPr>
          <w:rFonts w:eastAsia="Times New Roman" w:cs="Times New Roman"/>
          <w:sz w:val="24"/>
          <w:szCs w:val="24"/>
          <w:lang w:val="en-US"/>
        </w:rPr>
        <w:t>;</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r w:rsidRPr="00BF401E">
        <w:rPr>
          <w:rFonts w:eastAsia="Times New Roman" w:cs="Times New Roman"/>
          <w:sz w:val="24"/>
          <w:szCs w:val="24"/>
          <w:lang w:val="en-US"/>
        </w:rPr>
        <w:t>retinal detachment;</w:t>
      </w:r>
    </w:p>
    <w:p w:rsidR="00BF401E" w:rsidRPr="00BF401E" w:rsidRDefault="00BF401E" w:rsidP="00AB4B9B">
      <w:pPr>
        <w:numPr>
          <w:ilvl w:val="0"/>
          <w:numId w:val="18"/>
        </w:numPr>
        <w:tabs>
          <w:tab w:val="clear" w:pos="1080"/>
        </w:tabs>
        <w:spacing w:line="240" w:lineRule="auto"/>
        <w:ind w:left="1418" w:hanging="698"/>
        <w:jc w:val="both"/>
        <w:rPr>
          <w:rFonts w:eastAsia="Times New Roman" w:cs="Times New Roman"/>
          <w:sz w:val="24"/>
          <w:szCs w:val="24"/>
          <w:lang w:val="en-US"/>
        </w:rPr>
      </w:pPr>
      <w:proofErr w:type="spellStart"/>
      <w:r w:rsidRPr="00BF401E">
        <w:rPr>
          <w:rFonts w:eastAsia="Times New Roman" w:cs="Times New Roman"/>
          <w:sz w:val="24"/>
          <w:szCs w:val="24"/>
          <w:lang w:val="en-US"/>
        </w:rPr>
        <w:t>scleritis</w:t>
      </w:r>
      <w:proofErr w:type="spellEnd"/>
      <w:r w:rsidRPr="00BF401E">
        <w:rPr>
          <w:rFonts w:eastAsia="Times New Roman" w:cs="Times New Roman"/>
          <w:sz w:val="24"/>
          <w:szCs w:val="24"/>
          <w:lang w:val="en-US"/>
        </w:rPr>
        <w:t xml:space="preserve"> or </w:t>
      </w:r>
      <w:proofErr w:type="spellStart"/>
      <w:r w:rsidRPr="00BF401E">
        <w:rPr>
          <w:rFonts w:eastAsia="Times New Roman" w:cs="Times New Roman"/>
          <w:sz w:val="24"/>
          <w:szCs w:val="24"/>
          <w:lang w:val="en-US"/>
        </w:rPr>
        <w:t>episcleritis</w:t>
      </w:r>
      <w:proofErr w:type="spellEnd"/>
      <w:r w:rsidRPr="00BF401E">
        <w:rPr>
          <w:rFonts w:eastAsia="Times New Roman" w:cs="Times New Roman"/>
          <w:sz w:val="24"/>
          <w:szCs w:val="24"/>
          <w:lang w:val="en-US"/>
        </w:rPr>
        <w:t>; or</w:t>
      </w:r>
    </w:p>
    <w:p w:rsidR="00BF401E" w:rsidRPr="00BF401E" w:rsidRDefault="00BF401E" w:rsidP="00AB4B9B">
      <w:pPr>
        <w:numPr>
          <w:ilvl w:val="0"/>
          <w:numId w:val="18"/>
        </w:numPr>
        <w:tabs>
          <w:tab w:val="clear" w:pos="1080"/>
        </w:tabs>
        <w:spacing w:after="120" w:line="240" w:lineRule="auto"/>
        <w:ind w:left="1417" w:hanging="697"/>
        <w:jc w:val="both"/>
        <w:rPr>
          <w:rFonts w:eastAsia="Times New Roman" w:cs="Times New Roman"/>
          <w:sz w:val="24"/>
          <w:szCs w:val="24"/>
          <w:lang w:val="en-US"/>
        </w:rPr>
      </w:pPr>
      <w:r w:rsidRPr="00BF401E">
        <w:rPr>
          <w:rFonts w:eastAsia="Times New Roman" w:cs="Times New Roman"/>
          <w:sz w:val="24"/>
          <w:szCs w:val="24"/>
          <w:lang w:val="en-US"/>
        </w:rPr>
        <w:t>uveitis;</w:t>
      </w:r>
    </w:p>
    <w:p w:rsidR="00BF401E" w:rsidRPr="00BF401E" w:rsidRDefault="00BF401E" w:rsidP="00BF401E">
      <w:pPr>
        <w:tabs>
          <w:tab w:val="num" w:pos="709"/>
          <w:tab w:val="num" w:pos="1418"/>
        </w:tabs>
        <w:spacing w:after="120" w:line="240" w:lineRule="auto"/>
        <w:ind w:left="720"/>
        <w:jc w:val="both"/>
        <w:rPr>
          <w:rFonts w:eastAsia="Times New Roman" w:cs="Times New Roman"/>
          <w:sz w:val="24"/>
          <w:szCs w:val="24"/>
          <w:lang w:val="en-GB"/>
        </w:rPr>
      </w:pPr>
      <w:r w:rsidRPr="00BF401E">
        <w:rPr>
          <w:rFonts w:eastAsia="Times New Roman" w:cs="Times New Roman"/>
          <w:b/>
          <w:sz w:val="24"/>
          <w:szCs w:val="24"/>
          <w:lang w:val="en-US"/>
        </w:rPr>
        <w:t>"acute angle-closure glaucoma"</w:t>
      </w:r>
      <w:r w:rsidRPr="00BF401E">
        <w:rPr>
          <w:rFonts w:eastAsia="Times New Roman" w:cs="Times New Roman"/>
          <w:sz w:val="24"/>
          <w:szCs w:val="24"/>
          <w:lang w:val="en-US"/>
        </w:rPr>
        <w:t xml:space="preserve"> means angle-closure glaucoma associated with severe eye pain, high intraocular pressure, corneal </w:t>
      </w:r>
      <w:proofErr w:type="spellStart"/>
      <w:r w:rsidRPr="00BF401E">
        <w:rPr>
          <w:rFonts w:eastAsia="Times New Roman" w:cs="Times New Roman"/>
          <w:sz w:val="24"/>
          <w:szCs w:val="24"/>
          <w:lang w:val="en-US"/>
        </w:rPr>
        <w:t>oedema</w:t>
      </w:r>
      <w:proofErr w:type="spellEnd"/>
      <w:r w:rsidRPr="00BF401E">
        <w:rPr>
          <w:rFonts w:eastAsia="Times New Roman" w:cs="Times New Roman"/>
          <w:sz w:val="24"/>
          <w:szCs w:val="24"/>
          <w:lang w:val="en-US"/>
        </w:rPr>
        <w:t xml:space="preserve"> and poor visual acuity;</w:t>
      </w:r>
    </w:p>
    <w:p w:rsidR="00070724" w:rsidRPr="00BD3220" w:rsidRDefault="00070724" w:rsidP="00540CEF">
      <w:pPr>
        <w:pStyle w:val="Definition"/>
        <w:ind w:left="709"/>
        <w:jc w:val="both"/>
        <w:rPr>
          <w:sz w:val="24"/>
          <w:szCs w:val="24"/>
        </w:rPr>
      </w:pPr>
      <w:r w:rsidRPr="00BD3220">
        <w:rPr>
          <w:b/>
          <w:sz w:val="24"/>
          <w:szCs w:val="24"/>
        </w:rPr>
        <w:t>"cumulative equivalent dose"</w:t>
      </w:r>
      <w:r w:rsidRPr="00BD3220">
        <w:rPr>
          <w:sz w:val="24"/>
          <w:szCs w:val="24"/>
        </w:rP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BD3220">
        <w:rPr>
          <w:i/>
          <w:sz w:val="24"/>
          <w:szCs w:val="24"/>
        </w:rPr>
        <w:t>Guide to calculation of 'cumulative equivalent dose' for the purpose of applying ionising radiation factors contained in Statements of Principles determined under Part XIA of the Veterans' Entitlements Act 1986 (</w:t>
      </w:r>
      <w:proofErr w:type="spellStart"/>
      <w:r w:rsidRPr="00BD3220">
        <w:rPr>
          <w:i/>
          <w:sz w:val="24"/>
          <w:szCs w:val="24"/>
        </w:rPr>
        <w:t>Cth</w:t>
      </w:r>
      <w:proofErr w:type="spellEnd"/>
      <w:r w:rsidRPr="00BD3220">
        <w:rPr>
          <w:i/>
          <w:sz w:val="24"/>
          <w:szCs w:val="24"/>
        </w:rPr>
        <w:t>)</w:t>
      </w:r>
      <w:r w:rsidRPr="00BD3220">
        <w:rPr>
          <w:sz w:val="24"/>
          <w:szCs w:val="24"/>
        </w:rPr>
        <w:t>, Australian Radiation Protection and Nuclear Safety Agency</w:t>
      </w:r>
      <w:r w:rsidR="00EB5A64">
        <w:rPr>
          <w:rFonts w:eastAsia="Calibri"/>
          <w:sz w:val="24"/>
          <w:szCs w:val="24"/>
        </w:rPr>
        <w:t>, as in force on 2 August 2017;</w:t>
      </w:r>
    </w:p>
    <w:p w:rsidR="00070724" w:rsidRPr="00BD3220" w:rsidRDefault="00070724" w:rsidP="00540CEF">
      <w:pPr>
        <w:pStyle w:val="notetext"/>
        <w:ind w:left="1418" w:hanging="709"/>
        <w:jc w:val="both"/>
        <w:rPr>
          <w:sz w:val="20"/>
        </w:rPr>
      </w:pPr>
      <w:r w:rsidRPr="00BD3220">
        <w:rPr>
          <w:sz w:val="20"/>
        </w:rPr>
        <w:t>Note 1:</w:t>
      </w:r>
      <w:r w:rsidRPr="00BD3220">
        <w:rPr>
          <w:sz w:val="20"/>
        </w:rP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070724" w:rsidRPr="00070724" w:rsidRDefault="00070724" w:rsidP="00540CEF">
      <w:pPr>
        <w:pStyle w:val="notetext"/>
        <w:spacing w:after="120"/>
        <w:ind w:left="1418" w:hanging="709"/>
        <w:jc w:val="both"/>
        <w:rPr>
          <w:sz w:val="20"/>
        </w:rPr>
      </w:pPr>
      <w:r w:rsidRPr="00BD3220">
        <w:rPr>
          <w:sz w:val="20"/>
        </w:rPr>
        <w:t>Note 2:</w:t>
      </w:r>
      <w:r w:rsidRPr="00BD3220">
        <w:rPr>
          <w:sz w:val="20"/>
        </w:rP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BF401E" w:rsidRPr="00BF401E" w:rsidRDefault="00BF401E" w:rsidP="00BF401E">
      <w:pPr>
        <w:tabs>
          <w:tab w:val="num" w:pos="709"/>
        </w:tabs>
        <w:spacing w:after="120" w:line="240" w:lineRule="auto"/>
        <w:ind w:left="709"/>
        <w:jc w:val="both"/>
        <w:rPr>
          <w:rFonts w:eastAsia="Times New Roman" w:cs="Times New Roman"/>
          <w:sz w:val="24"/>
          <w:szCs w:val="24"/>
          <w:lang w:val="en-GB"/>
        </w:rPr>
      </w:pPr>
      <w:r w:rsidRPr="00BF401E">
        <w:rPr>
          <w:rFonts w:eastAsia="Times New Roman" w:cs="Times New Roman"/>
          <w:b/>
          <w:sz w:val="24"/>
          <w:szCs w:val="24"/>
          <w:lang w:val="en-GB"/>
        </w:rPr>
        <w:t xml:space="preserve">"death from angle-closure glaucoma" </w:t>
      </w:r>
      <w:r w:rsidRPr="00BF401E">
        <w:rPr>
          <w:rFonts w:eastAsia="Times New Roman" w:cs="Times New Roman"/>
          <w:sz w:val="24"/>
          <w:szCs w:val="24"/>
          <w:lang w:val="en-GB"/>
        </w:rPr>
        <w:t xml:space="preserve">in relation to a person includes death </w:t>
      </w:r>
      <w:bookmarkStart w:id="0" w:name="_GoBack"/>
      <w:bookmarkEnd w:id="0"/>
      <w:r w:rsidRPr="00BF401E">
        <w:rPr>
          <w:rFonts w:eastAsia="Times New Roman" w:cs="Times New Roman"/>
          <w:sz w:val="24"/>
          <w:szCs w:val="24"/>
          <w:lang w:val="en-GB"/>
        </w:rPr>
        <w:t>from a terminal event or condition that was contributed to by the person’s angle-closure glaucoma;</w:t>
      </w:r>
    </w:p>
    <w:p w:rsidR="00BF401E" w:rsidRPr="00BF401E" w:rsidRDefault="00BF401E" w:rsidP="00BF401E">
      <w:pPr>
        <w:tabs>
          <w:tab w:val="num" w:pos="709"/>
        </w:tabs>
        <w:spacing w:line="240" w:lineRule="atLeast"/>
        <w:ind w:left="709"/>
        <w:jc w:val="both"/>
        <w:rPr>
          <w:rFonts w:eastAsia="Times New Roman" w:cs="Times New Roman"/>
          <w:sz w:val="24"/>
          <w:szCs w:val="24"/>
          <w:lang w:val="en-GB"/>
        </w:rPr>
      </w:pPr>
      <w:r w:rsidRPr="00BF401E">
        <w:rPr>
          <w:rFonts w:eastAsia="Times New Roman" w:cs="Times New Roman"/>
          <w:b/>
          <w:sz w:val="24"/>
          <w:szCs w:val="24"/>
          <w:lang w:val="en-GB"/>
        </w:rPr>
        <w:t>"relevant service"</w:t>
      </w:r>
      <w:r w:rsidRPr="00BF401E">
        <w:rPr>
          <w:rFonts w:eastAsia="Times New Roman" w:cs="Times New Roman"/>
          <w:sz w:val="24"/>
          <w:szCs w:val="24"/>
          <w:lang w:val="en-GB"/>
        </w:rPr>
        <w:t xml:space="preserve"> means:</w:t>
      </w:r>
    </w:p>
    <w:p w:rsidR="00BF401E" w:rsidRPr="00BF401E" w:rsidRDefault="00BF401E" w:rsidP="00BF401E">
      <w:pPr>
        <w:tabs>
          <w:tab w:val="num" w:pos="709"/>
          <w:tab w:val="left" w:pos="1418"/>
        </w:tabs>
        <w:spacing w:before="120" w:line="240" w:lineRule="atLeast"/>
        <w:ind w:left="709"/>
        <w:jc w:val="both"/>
        <w:rPr>
          <w:rFonts w:eastAsia="Times New Roman" w:cs="Times New Roman"/>
          <w:sz w:val="24"/>
          <w:szCs w:val="24"/>
          <w:lang w:val="en-GB"/>
        </w:rPr>
      </w:pPr>
      <w:r w:rsidRPr="00BF401E">
        <w:rPr>
          <w:rFonts w:eastAsia="Times New Roman" w:cs="Times New Roman"/>
          <w:sz w:val="24"/>
          <w:szCs w:val="24"/>
          <w:lang w:val="en-GB"/>
        </w:rPr>
        <w:t>(a)</w:t>
      </w:r>
      <w:r w:rsidRPr="00BF401E">
        <w:rPr>
          <w:rFonts w:eastAsia="Times New Roman" w:cs="Times New Roman"/>
          <w:sz w:val="24"/>
          <w:szCs w:val="24"/>
          <w:lang w:val="en-GB"/>
        </w:rPr>
        <w:tab/>
        <w:t xml:space="preserve">operational service under the VEA; </w:t>
      </w:r>
    </w:p>
    <w:p w:rsidR="00BF401E" w:rsidRPr="00BF401E" w:rsidRDefault="00BF401E" w:rsidP="00BF401E">
      <w:pPr>
        <w:tabs>
          <w:tab w:val="num" w:pos="709"/>
        </w:tabs>
        <w:spacing w:line="240" w:lineRule="atLeast"/>
        <w:ind w:left="709"/>
        <w:jc w:val="both"/>
        <w:rPr>
          <w:rFonts w:eastAsia="Times New Roman" w:cs="Times New Roman"/>
          <w:sz w:val="24"/>
          <w:szCs w:val="24"/>
          <w:lang w:val="en-GB"/>
        </w:rPr>
      </w:pPr>
      <w:r w:rsidRPr="00BF401E">
        <w:rPr>
          <w:rFonts w:eastAsia="Times New Roman" w:cs="Times New Roman"/>
          <w:sz w:val="24"/>
          <w:szCs w:val="24"/>
          <w:lang w:val="en-GB"/>
        </w:rPr>
        <w:t>(b)</w:t>
      </w:r>
      <w:r w:rsidRPr="00BF401E">
        <w:rPr>
          <w:rFonts w:eastAsia="Times New Roman" w:cs="Times New Roman"/>
          <w:sz w:val="24"/>
          <w:szCs w:val="24"/>
          <w:lang w:val="en-GB"/>
        </w:rPr>
        <w:tab/>
        <w:t xml:space="preserve">peacekeeping service under the VEA; </w:t>
      </w:r>
    </w:p>
    <w:p w:rsidR="00BF401E" w:rsidRPr="00BF401E" w:rsidRDefault="00BF401E" w:rsidP="00BF401E">
      <w:pPr>
        <w:numPr>
          <w:ilvl w:val="0"/>
          <w:numId w:val="15"/>
        </w:numPr>
        <w:tabs>
          <w:tab w:val="num" w:pos="709"/>
        </w:tabs>
        <w:spacing w:line="240" w:lineRule="auto"/>
        <w:ind w:left="709" w:firstLine="0"/>
        <w:jc w:val="both"/>
        <w:rPr>
          <w:rFonts w:eastAsia="Times New Roman" w:cs="Times New Roman"/>
          <w:sz w:val="24"/>
          <w:szCs w:val="24"/>
          <w:lang w:val="en-GB"/>
        </w:rPr>
      </w:pPr>
      <w:r w:rsidRPr="00BF401E">
        <w:rPr>
          <w:rFonts w:eastAsia="Times New Roman" w:cs="Times New Roman"/>
          <w:sz w:val="24"/>
          <w:szCs w:val="24"/>
          <w:lang w:val="en-GB"/>
        </w:rPr>
        <w:t xml:space="preserve">hazardous service under the VEA; </w:t>
      </w:r>
    </w:p>
    <w:p w:rsidR="00BF401E" w:rsidRPr="00BF401E" w:rsidRDefault="00BF401E" w:rsidP="00BF401E">
      <w:pPr>
        <w:numPr>
          <w:ilvl w:val="0"/>
          <w:numId w:val="15"/>
        </w:numPr>
        <w:tabs>
          <w:tab w:val="num" w:pos="709"/>
        </w:tabs>
        <w:spacing w:line="240" w:lineRule="auto"/>
        <w:ind w:left="709" w:firstLine="0"/>
        <w:jc w:val="both"/>
        <w:rPr>
          <w:rFonts w:eastAsia="Times New Roman" w:cs="Times New Roman"/>
          <w:sz w:val="24"/>
          <w:szCs w:val="24"/>
          <w:lang w:val="en-GB"/>
        </w:rPr>
      </w:pPr>
      <w:r w:rsidRPr="00BF401E">
        <w:rPr>
          <w:rFonts w:eastAsia="Times New Roman" w:cs="Times New Roman"/>
          <w:sz w:val="24"/>
          <w:szCs w:val="24"/>
          <w:lang w:val="en-GB"/>
        </w:rPr>
        <w:t>British nuclear test defence service under the VEA;</w:t>
      </w:r>
    </w:p>
    <w:p w:rsidR="00BF401E" w:rsidRPr="00BF401E" w:rsidRDefault="00BF401E" w:rsidP="00BF401E">
      <w:pPr>
        <w:numPr>
          <w:ilvl w:val="0"/>
          <w:numId w:val="15"/>
        </w:numPr>
        <w:tabs>
          <w:tab w:val="num" w:pos="709"/>
        </w:tabs>
        <w:spacing w:line="240" w:lineRule="auto"/>
        <w:ind w:left="709" w:firstLine="0"/>
        <w:jc w:val="both"/>
        <w:rPr>
          <w:rFonts w:eastAsia="Times New Roman" w:cs="Times New Roman"/>
          <w:sz w:val="24"/>
          <w:szCs w:val="24"/>
          <w:lang w:val="en-GB"/>
        </w:rPr>
      </w:pPr>
      <w:r w:rsidRPr="00BF401E">
        <w:rPr>
          <w:rFonts w:eastAsia="Times New Roman" w:cs="Times New Roman"/>
          <w:sz w:val="24"/>
          <w:szCs w:val="24"/>
          <w:lang w:val="en-GB"/>
        </w:rPr>
        <w:t>warlike service under the MRCA; or</w:t>
      </w:r>
    </w:p>
    <w:p w:rsidR="00BF401E" w:rsidRPr="00BF401E" w:rsidRDefault="00BF401E" w:rsidP="00BF401E">
      <w:pPr>
        <w:numPr>
          <w:ilvl w:val="0"/>
          <w:numId w:val="15"/>
        </w:numPr>
        <w:tabs>
          <w:tab w:val="num" w:pos="709"/>
        </w:tabs>
        <w:spacing w:after="120" w:line="240" w:lineRule="auto"/>
        <w:ind w:left="709" w:firstLine="0"/>
        <w:jc w:val="both"/>
        <w:rPr>
          <w:rFonts w:eastAsia="Times New Roman" w:cs="Times New Roman"/>
          <w:sz w:val="24"/>
          <w:szCs w:val="24"/>
          <w:lang w:val="en-GB"/>
        </w:rPr>
      </w:pPr>
      <w:r w:rsidRPr="00BF401E">
        <w:rPr>
          <w:rFonts w:eastAsia="Times New Roman" w:cs="Times New Roman"/>
          <w:sz w:val="24"/>
          <w:szCs w:val="24"/>
          <w:lang w:val="en-GB"/>
        </w:rPr>
        <w:t>non-warlike service under the MRCA;</w:t>
      </w:r>
    </w:p>
    <w:p w:rsidR="00BF401E" w:rsidRPr="00BF401E" w:rsidRDefault="00BF401E" w:rsidP="00BF401E">
      <w:pPr>
        <w:autoSpaceDE w:val="0"/>
        <w:autoSpaceDN w:val="0"/>
        <w:adjustRightInd w:val="0"/>
        <w:spacing w:after="120" w:line="240" w:lineRule="atLeast"/>
        <w:ind w:left="709"/>
        <w:jc w:val="both"/>
        <w:rPr>
          <w:rFonts w:eastAsia="Times New Roman" w:cs="Times New Roman"/>
          <w:sz w:val="24"/>
          <w:szCs w:val="24"/>
          <w:lang w:val="en-US"/>
        </w:rPr>
      </w:pPr>
      <w:r w:rsidRPr="00BF401E">
        <w:rPr>
          <w:rFonts w:eastAsia="Times New Roman" w:cs="Times New Roman"/>
          <w:b/>
          <w:sz w:val="24"/>
          <w:szCs w:val="24"/>
          <w:lang w:val="en-US"/>
        </w:rPr>
        <w:lastRenderedPageBreak/>
        <w:t xml:space="preserve">"sympathetic </w:t>
      </w:r>
      <w:proofErr w:type="spellStart"/>
      <w:r w:rsidRPr="00BF401E">
        <w:rPr>
          <w:rFonts w:eastAsia="Times New Roman" w:cs="Times New Roman"/>
          <w:b/>
          <w:sz w:val="24"/>
          <w:szCs w:val="24"/>
          <w:lang w:val="en-US"/>
        </w:rPr>
        <w:t>ophthalmia</w:t>
      </w:r>
      <w:proofErr w:type="spellEnd"/>
      <w:r w:rsidRPr="00BF401E">
        <w:rPr>
          <w:rFonts w:eastAsia="Times New Roman" w:cs="Times New Roman"/>
          <w:b/>
          <w:sz w:val="24"/>
          <w:szCs w:val="24"/>
          <w:lang w:val="en-US"/>
        </w:rPr>
        <w:t>"</w:t>
      </w:r>
      <w:r w:rsidRPr="00BF401E">
        <w:rPr>
          <w:rFonts w:eastAsia="Times New Roman" w:cs="Times New Roman"/>
          <w:sz w:val="24"/>
          <w:szCs w:val="24"/>
          <w:lang w:val="en-US"/>
        </w:rPr>
        <w:t xml:space="preserve"> means the presence of uveitis in both eyes following: </w:t>
      </w:r>
    </w:p>
    <w:p w:rsidR="00BF401E" w:rsidRPr="00BF401E" w:rsidRDefault="00BF401E" w:rsidP="00BF401E">
      <w:pPr>
        <w:numPr>
          <w:ilvl w:val="0"/>
          <w:numId w:val="20"/>
        </w:numPr>
        <w:tabs>
          <w:tab w:val="num" w:pos="1418"/>
        </w:tabs>
        <w:spacing w:line="240" w:lineRule="atLeast"/>
        <w:ind w:left="1418" w:hanging="709"/>
        <w:jc w:val="both"/>
        <w:rPr>
          <w:rFonts w:eastAsia="Times New Roman" w:cs="Times New Roman"/>
          <w:sz w:val="24"/>
          <w:szCs w:val="24"/>
          <w:lang w:val="en-GB"/>
        </w:rPr>
      </w:pPr>
      <w:r w:rsidRPr="00BF401E">
        <w:rPr>
          <w:rFonts w:eastAsia="Times New Roman" w:cs="Times New Roman"/>
          <w:sz w:val="24"/>
          <w:szCs w:val="24"/>
          <w:lang w:val="en-GB"/>
        </w:rPr>
        <w:t>intraocular surgery to one eye; or</w:t>
      </w:r>
    </w:p>
    <w:p w:rsidR="00BF401E" w:rsidRPr="00BF401E" w:rsidRDefault="00BF401E" w:rsidP="00BF401E">
      <w:pPr>
        <w:numPr>
          <w:ilvl w:val="0"/>
          <w:numId w:val="20"/>
        </w:numPr>
        <w:tabs>
          <w:tab w:val="num" w:pos="1418"/>
        </w:tabs>
        <w:spacing w:line="240" w:lineRule="atLeast"/>
        <w:ind w:left="1418" w:hanging="709"/>
        <w:jc w:val="both"/>
        <w:rPr>
          <w:rFonts w:eastAsia="Times New Roman" w:cs="Times New Roman"/>
          <w:sz w:val="24"/>
          <w:szCs w:val="24"/>
          <w:lang w:val="en-GB"/>
        </w:rPr>
      </w:pPr>
      <w:r w:rsidRPr="00BF401E">
        <w:rPr>
          <w:rFonts w:eastAsia="Times New Roman" w:cs="Times New Roman"/>
          <w:sz w:val="24"/>
          <w:szCs w:val="24"/>
          <w:lang w:val="en-GB"/>
        </w:rPr>
        <w:t>trauma as specified to one eye;</w:t>
      </w:r>
    </w:p>
    <w:p w:rsidR="00BF401E" w:rsidRPr="00BF401E" w:rsidRDefault="00BF401E" w:rsidP="00BF401E">
      <w:pPr>
        <w:tabs>
          <w:tab w:val="num" w:pos="709"/>
        </w:tabs>
        <w:spacing w:before="120" w:line="240" w:lineRule="auto"/>
        <w:ind w:left="709"/>
        <w:jc w:val="both"/>
        <w:rPr>
          <w:rFonts w:eastAsia="Times New Roman" w:cs="Times New Roman"/>
          <w:sz w:val="24"/>
          <w:szCs w:val="24"/>
          <w:lang w:val="en-GB"/>
        </w:rPr>
      </w:pPr>
      <w:r w:rsidRPr="00BF401E">
        <w:rPr>
          <w:rFonts w:eastAsia="Times New Roman" w:cs="Times New Roman"/>
          <w:b/>
          <w:sz w:val="24"/>
          <w:szCs w:val="24"/>
          <w:lang w:val="en-GB"/>
        </w:rPr>
        <w:t xml:space="preserve">"terminal event" </w:t>
      </w:r>
      <w:r w:rsidRPr="00BF401E">
        <w:rPr>
          <w:rFonts w:eastAsia="Times New Roman" w:cs="Times New Roman"/>
          <w:sz w:val="24"/>
          <w:szCs w:val="24"/>
          <w:lang w:val="en-GB"/>
        </w:rPr>
        <w:t>means the proximate or ultimate cause of death and includes:</w:t>
      </w:r>
    </w:p>
    <w:p w:rsidR="00BF401E" w:rsidRPr="00BF401E" w:rsidRDefault="00BF401E" w:rsidP="00BF401E">
      <w:pPr>
        <w:tabs>
          <w:tab w:val="num" w:pos="709"/>
        </w:tabs>
        <w:spacing w:before="120" w:line="240" w:lineRule="auto"/>
        <w:ind w:left="709"/>
        <w:jc w:val="both"/>
        <w:rPr>
          <w:rFonts w:eastAsia="Times New Roman" w:cs="Times New Roman"/>
          <w:sz w:val="24"/>
          <w:szCs w:val="24"/>
          <w:lang w:val="en-GB"/>
        </w:rPr>
      </w:pPr>
      <w:r w:rsidRPr="00BF401E">
        <w:rPr>
          <w:rFonts w:eastAsia="Times New Roman" w:cs="Times New Roman"/>
          <w:sz w:val="24"/>
          <w:szCs w:val="24"/>
          <w:lang w:val="en-GB"/>
        </w:rPr>
        <w:t>(a)</w:t>
      </w:r>
      <w:r w:rsidRPr="00BF401E">
        <w:rPr>
          <w:rFonts w:eastAsia="Times New Roman" w:cs="Times New Roman"/>
          <w:sz w:val="24"/>
          <w:szCs w:val="24"/>
          <w:lang w:val="en-GB"/>
        </w:rPr>
        <w:tab/>
        <w:t>pneumonia;</w:t>
      </w:r>
    </w:p>
    <w:p w:rsidR="00BF401E" w:rsidRPr="00BF401E" w:rsidRDefault="00BF401E" w:rsidP="00BF401E">
      <w:pPr>
        <w:tabs>
          <w:tab w:val="num" w:pos="709"/>
        </w:tabs>
        <w:spacing w:line="240" w:lineRule="auto"/>
        <w:ind w:left="709"/>
        <w:jc w:val="both"/>
        <w:rPr>
          <w:rFonts w:eastAsia="Times New Roman" w:cs="Times New Roman"/>
          <w:sz w:val="24"/>
          <w:szCs w:val="24"/>
          <w:lang w:val="en-GB"/>
        </w:rPr>
      </w:pPr>
      <w:r w:rsidRPr="00BF401E">
        <w:rPr>
          <w:rFonts w:eastAsia="Times New Roman" w:cs="Times New Roman"/>
          <w:sz w:val="24"/>
          <w:szCs w:val="24"/>
          <w:lang w:val="en-GB"/>
        </w:rPr>
        <w:t>(b)</w:t>
      </w:r>
      <w:r w:rsidRPr="00BF401E">
        <w:rPr>
          <w:rFonts w:eastAsia="Times New Roman" w:cs="Times New Roman"/>
          <w:sz w:val="24"/>
          <w:szCs w:val="24"/>
          <w:lang w:val="en-GB"/>
        </w:rPr>
        <w:tab/>
        <w:t>respiratory failure;</w:t>
      </w:r>
    </w:p>
    <w:p w:rsidR="00BF401E" w:rsidRPr="00BF401E" w:rsidRDefault="00BF401E" w:rsidP="00BF401E">
      <w:pPr>
        <w:tabs>
          <w:tab w:val="num" w:pos="709"/>
        </w:tabs>
        <w:spacing w:line="240" w:lineRule="auto"/>
        <w:ind w:left="709"/>
        <w:jc w:val="both"/>
        <w:rPr>
          <w:rFonts w:eastAsia="Times New Roman" w:cs="Times New Roman"/>
          <w:sz w:val="24"/>
          <w:szCs w:val="24"/>
          <w:lang w:val="en-GB"/>
        </w:rPr>
      </w:pPr>
      <w:r w:rsidRPr="00BF401E">
        <w:rPr>
          <w:rFonts w:eastAsia="Times New Roman" w:cs="Times New Roman"/>
          <w:sz w:val="24"/>
          <w:szCs w:val="24"/>
          <w:lang w:val="en-GB"/>
        </w:rPr>
        <w:t>(c)</w:t>
      </w:r>
      <w:r w:rsidRPr="00BF401E">
        <w:rPr>
          <w:rFonts w:eastAsia="Times New Roman" w:cs="Times New Roman"/>
          <w:sz w:val="24"/>
          <w:szCs w:val="24"/>
          <w:lang w:val="en-GB"/>
        </w:rPr>
        <w:tab/>
        <w:t>cardiac arrest;</w:t>
      </w:r>
    </w:p>
    <w:p w:rsidR="00BF401E" w:rsidRPr="00BF401E" w:rsidRDefault="00BF401E" w:rsidP="00BF401E">
      <w:pPr>
        <w:tabs>
          <w:tab w:val="num" w:pos="709"/>
        </w:tabs>
        <w:spacing w:line="240" w:lineRule="auto"/>
        <w:ind w:left="709"/>
        <w:jc w:val="both"/>
        <w:rPr>
          <w:rFonts w:eastAsia="Times New Roman" w:cs="Times New Roman"/>
          <w:sz w:val="24"/>
          <w:szCs w:val="24"/>
          <w:lang w:val="en-GB"/>
        </w:rPr>
      </w:pPr>
      <w:r w:rsidRPr="00BF401E">
        <w:rPr>
          <w:rFonts w:eastAsia="Times New Roman" w:cs="Times New Roman"/>
          <w:sz w:val="24"/>
          <w:szCs w:val="24"/>
          <w:lang w:val="en-GB"/>
        </w:rPr>
        <w:t>(d)</w:t>
      </w:r>
      <w:r w:rsidRPr="00BF401E">
        <w:rPr>
          <w:rFonts w:eastAsia="Times New Roman" w:cs="Times New Roman"/>
          <w:sz w:val="24"/>
          <w:szCs w:val="24"/>
          <w:lang w:val="en-GB"/>
        </w:rPr>
        <w:tab/>
        <w:t>circulatory failure; or</w:t>
      </w:r>
    </w:p>
    <w:p w:rsidR="00BF401E" w:rsidRPr="00BF401E" w:rsidRDefault="00BF401E" w:rsidP="00BF401E">
      <w:pPr>
        <w:spacing w:after="120" w:line="240" w:lineRule="auto"/>
        <w:ind w:left="709"/>
        <w:jc w:val="both"/>
        <w:rPr>
          <w:rFonts w:eastAsia="Times New Roman" w:cs="Times New Roman"/>
          <w:sz w:val="24"/>
          <w:szCs w:val="24"/>
          <w:lang w:val="en-GB"/>
        </w:rPr>
      </w:pPr>
      <w:r w:rsidRPr="00BF401E">
        <w:rPr>
          <w:rFonts w:eastAsia="Times New Roman" w:cs="Times New Roman"/>
          <w:sz w:val="24"/>
          <w:szCs w:val="24"/>
          <w:lang w:val="en-GB"/>
        </w:rPr>
        <w:t>(e)</w:t>
      </w:r>
      <w:r w:rsidRPr="00BF401E">
        <w:rPr>
          <w:rFonts w:eastAsia="Times New Roman" w:cs="Times New Roman"/>
          <w:sz w:val="24"/>
          <w:szCs w:val="24"/>
          <w:lang w:val="en-GB"/>
        </w:rPr>
        <w:tab/>
        <w:t>cessation of brain function;</w:t>
      </w:r>
    </w:p>
    <w:p w:rsidR="00BF401E" w:rsidRPr="00BF401E" w:rsidRDefault="00BF401E" w:rsidP="00BF401E">
      <w:pPr>
        <w:tabs>
          <w:tab w:val="num" w:pos="709"/>
        </w:tabs>
        <w:spacing w:after="120" w:line="240" w:lineRule="auto"/>
        <w:ind w:left="709"/>
        <w:jc w:val="both"/>
        <w:rPr>
          <w:rFonts w:eastAsia="Times New Roman" w:cs="Times New Roman"/>
          <w:sz w:val="24"/>
          <w:szCs w:val="24"/>
          <w:lang w:val="en-GB"/>
        </w:rPr>
      </w:pPr>
      <w:r w:rsidRPr="00BF401E">
        <w:rPr>
          <w:rFonts w:eastAsia="Times New Roman" w:cs="Times New Roman"/>
          <w:b/>
          <w:sz w:val="24"/>
          <w:szCs w:val="24"/>
          <w:lang w:val="en-GB"/>
        </w:rPr>
        <w:t>"trauma as specified"</w:t>
      </w:r>
      <w:r w:rsidRPr="00BF401E">
        <w:rPr>
          <w:rFonts w:eastAsia="Times New Roman" w:cs="Times New Roman"/>
          <w:sz w:val="24"/>
          <w:szCs w:val="24"/>
          <w:lang w:val="en-GB"/>
        </w:rPr>
        <w:t xml:space="preserve"> means penetrating, blunt, chemical, thermal or ionising radiation injury involving the affected eye that results in intraocular inflammation, intraocular bleeding or other intraocular tissue disruption;</w:t>
      </w:r>
    </w:p>
    <w:p w:rsidR="00BF401E" w:rsidRPr="00BF401E" w:rsidRDefault="00BF401E" w:rsidP="00BF401E">
      <w:pPr>
        <w:tabs>
          <w:tab w:val="num" w:pos="709"/>
        </w:tabs>
        <w:spacing w:after="120" w:line="240" w:lineRule="auto"/>
        <w:ind w:left="709"/>
        <w:jc w:val="both"/>
        <w:rPr>
          <w:rFonts w:eastAsia="Times New Roman" w:cs="Times New Roman"/>
          <w:sz w:val="24"/>
          <w:szCs w:val="24"/>
          <w:lang w:val="en-GB"/>
        </w:rPr>
      </w:pPr>
      <w:r w:rsidRPr="00BF401E">
        <w:rPr>
          <w:rFonts w:eastAsia="Times New Roman" w:cs="Times New Roman"/>
          <w:b/>
          <w:sz w:val="24"/>
          <w:szCs w:val="24"/>
          <w:lang w:val="en-GB"/>
        </w:rPr>
        <w:t>"uveitis"</w:t>
      </w:r>
      <w:r w:rsidRPr="00BF401E">
        <w:rPr>
          <w:rFonts w:eastAsia="Times New Roman" w:cs="Times New Roman"/>
          <w:sz w:val="24"/>
          <w:szCs w:val="24"/>
          <w:lang w:val="en-GB"/>
        </w:rPr>
        <w:t xml:space="preserve"> means inflammation of the vascular middle coat of the eye ball, comprising the iris, ciliary body and choroid.</w:t>
      </w:r>
    </w:p>
    <w:p w:rsidR="00BF401E" w:rsidRPr="00BF401E" w:rsidRDefault="00BF401E" w:rsidP="00BF401E">
      <w:pPr>
        <w:keepNext/>
        <w:spacing w:after="120" w:line="240" w:lineRule="auto"/>
        <w:jc w:val="both"/>
        <w:outlineLvl w:val="0"/>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Application</w:t>
      </w:r>
    </w:p>
    <w:p w:rsidR="00BF401E" w:rsidRDefault="00BF401E" w:rsidP="00BF401E">
      <w:pPr>
        <w:spacing w:after="120" w:line="240" w:lineRule="auto"/>
        <w:ind w:left="720" w:hanging="720"/>
        <w:jc w:val="both"/>
        <w:rPr>
          <w:rFonts w:eastAsia="Times New Roman" w:cs="Times New Roman"/>
          <w:sz w:val="24"/>
          <w:szCs w:val="24"/>
          <w:lang w:val="en-GB"/>
        </w:rPr>
      </w:pPr>
      <w:r w:rsidRPr="00BF401E">
        <w:rPr>
          <w:rFonts w:eastAsia="Times New Roman" w:cs="Times New Roman"/>
          <w:b/>
          <w:sz w:val="24"/>
          <w:szCs w:val="24"/>
          <w:lang w:val="en-GB"/>
        </w:rPr>
        <w:t>10.</w:t>
      </w:r>
      <w:r w:rsidRPr="00BF401E">
        <w:rPr>
          <w:rFonts w:eastAsia="Times New Roman" w:cs="Times New Roman"/>
          <w:sz w:val="24"/>
          <w:szCs w:val="24"/>
          <w:lang w:val="en-GB"/>
        </w:rPr>
        <w:tab/>
        <w:t>This Instrument applies to all matters to which section 120A of the VEA or section 338 of the MRCA applies.</w:t>
      </w:r>
    </w:p>
    <w:p w:rsidR="00BF401E" w:rsidRPr="00BF401E" w:rsidRDefault="00BF401E" w:rsidP="00BF401E">
      <w:pPr>
        <w:spacing w:after="120" w:line="240" w:lineRule="auto"/>
        <w:ind w:left="720" w:hanging="720"/>
        <w:jc w:val="both"/>
        <w:rPr>
          <w:rFonts w:ascii="Times New (W1)" w:eastAsia="Times New Roman" w:hAnsi="Times New (W1)" w:cs="Times New Roman"/>
          <w:b/>
          <w:sz w:val="24"/>
          <w:szCs w:val="24"/>
        </w:rPr>
      </w:pPr>
      <w:r w:rsidRPr="00BF401E">
        <w:rPr>
          <w:rFonts w:ascii="Times New (W1)" w:eastAsia="Times New Roman" w:hAnsi="Times New (W1)" w:cs="Times New Roman"/>
          <w:b/>
          <w:sz w:val="24"/>
          <w:szCs w:val="24"/>
        </w:rPr>
        <w:t>Date of effect</w:t>
      </w:r>
    </w:p>
    <w:p w:rsidR="00BF401E" w:rsidRPr="00BF401E" w:rsidRDefault="00BF401E" w:rsidP="00BF401E">
      <w:pPr>
        <w:spacing w:after="120" w:line="240" w:lineRule="auto"/>
        <w:ind w:left="720" w:hanging="720"/>
        <w:jc w:val="both"/>
        <w:rPr>
          <w:rFonts w:eastAsia="Times New Roman" w:cs="Times New Roman"/>
          <w:sz w:val="24"/>
          <w:szCs w:val="24"/>
          <w:lang w:val="en-GB"/>
        </w:rPr>
      </w:pPr>
      <w:r w:rsidRPr="00BF401E">
        <w:rPr>
          <w:rFonts w:eastAsia="Times New Roman" w:cs="Times New Roman"/>
          <w:b/>
          <w:sz w:val="24"/>
          <w:szCs w:val="24"/>
          <w:lang w:val="en-GB"/>
        </w:rPr>
        <w:t>11.</w:t>
      </w:r>
      <w:r w:rsidRPr="00BF401E">
        <w:rPr>
          <w:rFonts w:eastAsia="Times New Roman" w:cs="Times New Roman"/>
          <w:sz w:val="24"/>
          <w:szCs w:val="24"/>
          <w:lang w:val="en-GB"/>
        </w:rPr>
        <w:tab/>
        <w:t>This Instrument takes effect from 7 March 2012.</w:t>
      </w:r>
    </w:p>
    <w:p w:rsidR="00DC7B41" w:rsidRDefault="00DC7B41" w:rsidP="00DC7B41"/>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Dict</w:t>
            </w:r>
            <w:proofErr w:type="spellEnd"/>
            <w:r w:rsidRPr="008E7D28">
              <w:rPr>
                <w:sz w:val="20"/>
              </w:rPr>
              <w:t xml:space="preserve">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302EC" w:rsidRPr="0098546F" w:rsidTr="00DC78AA">
        <w:trPr>
          <w:cantSplit/>
          <w:tblHeader/>
        </w:trPr>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Name</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Registration</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Commencement</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rsidRPr="00E117A3">
              <w:t>Application, saving and transitional provisions</w:t>
            </w:r>
          </w:p>
        </w:tc>
      </w:tr>
      <w:tr w:rsidR="00DC78AA" w:rsidRPr="00E117A3" w:rsidTr="00DC78AA">
        <w:trPr>
          <w:cantSplit/>
        </w:trPr>
        <w:tc>
          <w:tcPr>
            <w:tcW w:w="1806" w:type="dxa"/>
            <w:tcBorders>
              <w:top w:val="single" w:sz="12" w:space="0" w:color="auto"/>
              <w:bottom w:val="single" w:sz="4" w:space="0" w:color="auto"/>
            </w:tcBorders>
            <w:shd w:val="clear" w:color="auto" w:fill="auto"/>
          </w:tcPr>
          <w:p w:rsidR="00DC78AA" w:rsidRPr="00E74A43" w:rsidRDefault="005D6A59" w:rsidP="00021F2F">
            <w:pPr>
              <w:pStyle w:val="ENoteTableText"/>
              <w:rPr>
                <w:rFonts w:ascii="Arial" w:hAnsi="Arial" w:cs="Arial"/>
                <w:sz w:val="18"/>
                <w:szCs w:val="18"/>
              </w:rPr>
            </w:pPr>
            <w:r w:rsidRPr="00E74A43">
              <w:rPr>
                <w:rFonts w:ascii="Arial" w:hAnsi="Arial" w:cs="Arial"/>
                <w:i/>
                <w:sz w:val="18"/>
                <w:szCs w:val="18"/>
              </w:rPr>
              <w:t xml:space="preserve">Statement </w:t>
            </w:r>
            <w:r w:rsidR="007E3890" w:rsidRPr="00E74A43">
              <w:rPr>
                <w:rFonts w:ascii="Arial" w:hAnsi="Arial" w:cs="Arial"/>
                <w:i/>
                <w:sz w:val="18"/>
                <w:szCs w:val="18"/>
              </w:rPr>
              <w:t>of Principles concerning angle-closure glaucoma</w:t>
            </w:r>
            <w:r w:rsidRPr="00E74A43">
              <w:rPr>
                <w:rFonts w:ascii="Arial" w:hAnsi="Arial" w:cs="Arial"/>
                <w:i/>
                <w:sz w:val="18"/>
                <w:szCs w:val="18"/>
              </w:rPr>
              <w:t xml:space="preserve"> No. </w:t>
            </w:r>
            <w:r w:rsidR="007E3890" w:rsidRPr="00E74A43">
              <w:rPr>
                <w:rFonts w:ascii="Arial" w:hAnsi="Arial" w:cs="Arial"/>
                <w:i/>
                <w:sz w:val="18"/>
                <w:szCs w:val="18"/>
              </w:rPr>
              <w:t>25</w:t>
            </w:r>
            <w:r w:rsidRPr="00E74A43">
              <w:rPr>
                <w:rFonts w:ascii="Arial" w:hAnsi="Arial" w:cs="Arial"/>
                <w:i/>
                <w:sz w:val="18"/>
                <w:szCs w:val="18"/>
              </w:rPr>
              <w:t xml:space="preserve"> of </w:t>
            </w:r>
            <w:r w:rsidR="007E3890" w:rsidRPr="00E74A43">
              <w:rPr>
                <w:rFonts w:ascii="Arial" w:hAnsi="Arial" w:cs="Arial"/>
                <w:i/>
                <w:sz w:val="18"/>
                <w:szCs w:val="18"/>
              </w:rPr>
              <w:t>2012</w:t>
            </w:r>
          </w:p>
          <w:p w:rsidR="00DC78AA" w:rsidRPr="00E74A43"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Default="007E3890" w:rsidP="00021F2F">
            <w:pPr>
              <w:pStyle w:val="TableOfStatRules"/>
              <w:rPr>
                <w:rFonts w:cs="Arial"/>
                <w:szCs w:val="18"/>
              </w:rPr>
            </w:pPr>
            <w:r>
              <w:rPr>
                <w:rFonts w:cs="Arial"/>
                <w:szCs w:val="18"/>
              </w:rPr>
              <w:t>5 March 2012</w:t>
            </w:r>
          </w:p>
          <w:p w:rsidR="007E3890" w:rsidRPr="00E85EF4" w:rsidRDefault="007E3890" w:rsidP="00021F2F">
            <w:pPr>
              <w:pStyle w:val="TableOfStatRules"/>
              <w:rPr>
                <w:rFonts w:cs="Arial"/>
                <w:szCs w:val="18"/>
              </w:rPr>
            </w:pPr>
          </w:p>
          <w:p w:rsidR="00DC78AA" w:rsidRPr="00E85EF4" w:rsidRDefault="007E3890" w:rsidP="00021F2F">
            <w:pPr>
              <w:pStyle w:val="ENoteTableText"/>
              <w:rPr>
                <w:rFonts w:ascii="Arial" w:hAnsi="Arial" w:cs="Arial"/>
                <w:sz w:val="18"/>
                <w:szCs w:val="18"/>
              </w:rPr>
            </w:pPr>
            <w:r>
              <w:rPr>
                <w:rFonts w:ascii="Arial" w:hAnsi="Arial" w:cs="Arial"/>
                <w:sz w:val="18"/>
                <w:szCs w:val="18"/>
              </w:rPr>
              <w:t>F2012L00470</w:t>
            </w:r>
          </w:p>
        </w:tc>
        <w:tc>
          <w:tcPr>
            <w:tcW w:w="1806" w:type="dxa"/>
            <w:tcBorders>
              <w:top w:val="single" w:sz="12" w:space="0" w:color="auto"/>
              <w:bottom w:val="single" w:sz="4" w:space="0" w:color="auto"/>
            </w:tcBorders>
            <w:shd w:val="clear" w:color="auto" w:fill="auto"/>
          </w:tcPr>
          <w:p w:rsidR="00DC78AA" w:rsidRPr="00E85EF4" w:rsidRDefault="007E3890" w:rsidP="00021F2F">
            <w:pPr>
              <w:pStyle w:val="TableOfStatRules"/>
              <w:rPr>
                <w:rFonts w:cs="Arial"/>
                <w:szCs w:val="18"/>
              </w:rPr>
            </w:pPr>
            <w:r>
              <w:rPr>
                <w:rFonts w:cs="Arial"/>
                <w:szCs w:val="18"/>
              </w:rPr>
              <w:t>7 March 2012</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Pr="00E85EF4" w:rsidRDefault="00DC78AA" w:rsidP="00021F2F">
            <w:pPr>
              <w:pStyle w:val="ENoteTableText"/>
              <w:rPr>
                <w:rFonts w:ascii="Arial" w:hAnsi="Arial" w:cs="Arial"/>
                <w:sz w:val="18"/>
                <w:szCs w:val="18"/>
              </w:rPr>
            </w:pPr>
          </w:p>
        </w:tc>
      </w:tr>
      <w:tr w:rsidR="00DC78AA" w:rsidTr="00DC78AA">
        <w:trPr>
          <w:cantSplit/>
        </w:trPr>
        <w:tc>
          <w:tcPr>
            <w:tcW w:w="1806" w:type="dxa"/>
            <w:tcBorders>
              <w:bottom w:val="single" w:sz="12" w:space="0" w:color="auto"/>
            </w:tcBorders>
            <w:shd w:val="clear" w:color="auto" w:fill="auto"/>
          </w:tcPr>
          <w:p w:rsidR="00905D41" w:rsidRPr="00E74A43" w:rsidRDefault="00905D41" w:rsidP="00905D41">
            <w:pPr>
              <w:rPr>
                <w:rFonts w:ascii="Arial" w:eastAsia="Times New Roman" w:hAnsi="Arial" w:cs="Arial"/>
                <w:i/>
                <w:sz w:val="18"/>
                <w:szCs w:val="18"/>
                <w:lang w:eastAsia="en-AU"/>
              </w:rPr>
            </w:pPr>
            <w:r w:rsidRPr="00E74A43">
              <w:rPr>
                <w:rFonts w:ascii="Arial" w:eastAsia="Times New Roman" w:hAnsi="Arial" w:cs="Arial"/>
                <w:i/>
                <w:sz w:val="18"/>
                <w:szCs w:val="18"/>
                <w:lang w:eastAsia="en-AU"/>
              </w:rPr>
              <w:t>Veterans' Entitlements (Statements of Principles—Cumulative Equivalent Dose) Amendment Determination 2017 (No. 58 of 2017)</w:t>
            </w:r>
          </w:p>
          <w:p w:rsidR="00DC78AA" w:rsidRPr="00E74A43"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9F5FC6" w:rsidRPr="00E85EF4" w:rsidRDefault="009F5FC6" w:rsidP="009F5FC6">
            <w:pPr>
              <w:pStyle w:val="TableOfStatRules"/>
              <w:rPr>
                <w:rFonts w:cs="Arial"/>
                <w:szCs w:val="18"/>
              </w:rPr>
            </w:pPr>
            <w:r>
              <w:rPr>
                <w:rFonts w:cs="Arial"/>
                <w:szCs w:val="18"/>
              </w:rPr>
              <w:t>22 August 2017</w:t>
            </w:r>
          </w:p>
          <w:p w:rsidR="009F5FC6" w:rsidRPr="00E85EF4" w:rsidRDefault="009F5FC6" w:rsidP="009F5FC6">
            <w:pPr>
              <w:pStyle w:val="TableOfStatRules"/>
              <w:rPr>
                <w:rFonts w:cs="Arial"/>
                <w:szCs w:val="18"/>
              </w:rPr>
            </w:pPr>
          </w:p>
          <w:p w:rsidR="009F5FC6" w:rsidRPr="00E85EF4" w:rsidRDefault="009F5FC6" w:rsidP="009F5FC6">
            <w:pPr>
              <w:pStyle w:val="TableOfStatRules"/>
              <w:rPr>
                <w:rFonts w:cs="Arial"/>
                <w:szCs w:val="18"/>
              </w:rPr>
            </w:pPr>
            <w:r w:rsidRPr="00E85EF4">
              <w:rPr>
                <w:rFonts w:cs="Arial"/>
                <w:szCs w:val="18"/>
              </w:rPr>
              <w:t>F201</w:t>
            </w:r>
            <w:r>
              <w:rPr>
                <w:rFonts w:cs="Arial"/>
                <w:szCs w:val="18"/>
              </w:rPr>
              <w:t>7L01067</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905D41" w:rsidP="00021F2F">
            <w:pPr>
              <w:pStyle w:val="TableOfStatRules"/>
              <w:rPr>
                <w:rFonts w:cs="Arial"/>
                <w:szCs w:val="18"/>
              </w:rPr>
            </w:pPr>
            <w:r>
              <w:rPr>
                <w:rFonts w:cs="Arial"/>
                <w:szCs w:val="18"/>
              </w:rPr>
              <w:t>18 September 2017</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DC78AA"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905D41" w:rsidTr="007C6637">
        <w:trPr>
          <w:cantSplit/>
        </w:trPr>
        <w:tc>
          <w:tcPr>
            <w:tcW w:w="2139" w:type="dxa"/>
            <w:tcBorders>
              <w:bottom w:val="single" w:sz="12" w:space="0" w:color="auto"/>
            </w:tcBorders>
            <w:shd w:val="clear" w:color="auto" w:fill="auto"/>
          </w:tcPr>
          <w:p w:rsidR="00905D41" w:rsidRDefault="00905D41" w:rsidP="00905D41">
            <w:pPr>
              <w:pStyle w:val="TableOfAmend"/>
            </w:pPr>
            <w:r>
              <w:t>Clause 9 – ' "cumulative equivalent dose"……'</w:t>
            </w:r>
          </w:p>
        </w:tc>
        <w:tc>
          <w:tcPr>
            <w:tcW w:w="4943" w:type="dxa"/>
            <w:tcBorders>
              <w:bottom w:val="single" w:sz="12" w:space="0" w:color="auto"/>
            </w:tcBorders>
            <w:shd w:val="clear" w:color="auto" w:fill="auto"/>
          </w:tcPr>
          <w:p w:rsidR="00905D41" w:rsidRDefault="00905D41" w:rsidP="00905D41">
            <w:pPr>
              <w:pStyle w:val="TableOfAmend"/>
            </w:pPr>
            <w:r>
              <w:t>rs. Instrument  No. 58 of 2017</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3334E7">
          <w:pPr>
            <w:spacing w:line="0" w:lineRule="atLeast"/>
            <w:jc w:val="center"/>
            <w:rPr>
              <w:i/>
              <w:sz w:val="18"/>
              <w:szCs w:val="18"/>
            </w:rPr>
          </w:pPr>
          <w:r w:rsidRPr="00AD2D4B">
            <w:rPr>
              <w:i/>
              <w:sz w:val="18"/>
              <w:szCs w:val="18"/>
            </w:rPr>
            <w:t xml:space="preserve">Statement of Principles concerning </w:t>
          </w:r>
          <w:r w:rsidR="003334E7">
            <w:rPr>
              <w:i/>
              <w:sz w:val="18"/>
              <w:szCs w:val="18"/>
            </w:rPr>
            <w:t>Angle-Closure Glaucoma</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0CEF">
            <w:rPr>
              <w:i/>
              <w:noProof/>
              <w:sz w:val="18"/>
            </w:rPr>
            <w:t>6</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No. </w:t>
          </w:r>
          <w:r w:rsidR="003334E7">
            <w:rPr>
              <w:i/>
              <w:sz w:val="18"/>
            </w:rPr>
            <w:t>25</w:t>
          </w:r>
          <w:r w:rsidRPr="007E56FF">
            <w:rPr>
              <w:i/>
              <w:sz w:val="18"/>
            </w:rPr>
            <w:t xml:space="preserve"> of </w:t>
          </w:r>
          <w:r w:rsidR="003334E7">
            <w:rPr>
              <w:i/>
              <w:sz w:val="18"/>
            </w:rPr>
            <w:t>2012</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3334E7">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FE5C0B">
          <w:pPr>
            <w:spacing w:before="120"/>
            <w:jc w:val="right"/>
            <w:rPr>
              <w:sz w:val="16"/>
              <w:szCs w:val="16"/>
            </w:rPr>
          </w:pPr>
          <w:r w:rsidRPr="00130F37">
            <w:rPr>
              <w:sz w:val="16"/>
              <w:szCs w:val="16"/>
            </w:rPr>
            <w:t xml:space="preserve">Compilation date: </w:t>
          </w:r>
          <w:r w:rsidR="00FE5C0B">
            <w:rPr>
              <w:sz w:val="16"/>
              <w:szCs w:val="16"/>
            </w:rPr>
            <w:t>18</w:t>
          </w:r>
          <w:r>
            <w:rPr>
              <w:sz w:val="16"/>
              <w:szCs w:val="16"/>
            </w:rPr>
            <w:t>/</w:t>
          </w:r>
          <w:r w:rsidR="00FE5C0B">
            <w:rPr>
              <w:sz w:val="16"/>
              <w:szCs w:val="16"/>
            </w:rPr>
            <w:t>09</w:t>
          </w:r>
          <w:r>
            <w:rPr>
              <w:sz w:val="16"/>
              <w:szCs w:val="16"/>
            </w:rPr>
            <w:t>/</w:t>
          </w:r>
          <w:r w:rsidR="00FE5C0B">
            <w:rPr>
              <w:sz w:val="16"/>
              <w:szCs w:val="16"/>
            </w:rPr>
            <w:t>2017</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3334E7">
          <w:pPr>
            <w:spacing w:line="0" w:lineRule="atLeast"/>
            <w:jc w:val="center"/>
            <w:rPr>
              <w:i/>
              <w:sz w:val="18"/>
              <w:szCs w:val="18"/>
            </w:rPr>
          </w:pPr>
          <w:r w:rsidRPr="00AD2D4B">
            <w:rPr>
              <w:i/>
              <w:sz w:val="18"/>
              <w:szCs w:val="18"/>
            </w:rPr>
            <w:t xml:space="preserve">Statement of Principles concerning </w:t>
          </w:r>
          <w:r w:rsidR="003334E7">
            <w:rPr>
              <w:i/>
              <w:sz w:val="18"/>
              <w:szCs w:val="18"/>
            </w:rPr>
            <w:t>Angle-Closure Glaucoma</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0CEF">
            <w:rPr>
              <w:i/>
              <w:noProof/>
              <w:sz w:val="18"/>
            </w:rPr>
            <w:t>8</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No. </w:t>
          </w:r>
          <w:r w:rsidR="003334E7">
            <w:rPr>
              <w:i/>
              <w:sz w:val="18"/>
            </w:rPr>
            <w:t>25</w:t>
          </w:r>
          <w:r w:rsidRPr="007E56FF">
            <w:rPr>
              <w:i/>
              <w:sz w:val="18"/>
            </w:rPr>
            <w:t xml:space="preserve"> of </w:t>
          </w:r>
          <w:r w:rsidR="003334E7">
            <w:rPr>
              <w:i/>
              <w:sz w:val="18"/>
            </w:rPr>
            <w:t>2012</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3334E7">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FE5C0B">
          <w:pPr>
            <w:spacing w:before="120"/>
            <w:jc w:val="right"/>
            <w:rPr>
              <w:sz w:val="16"/>
              <w:szCs w:val="16"/>
            </w:rPr>
          </w:pPr>
          <w:r w:rsidRPr="00130F37">
            <w:rPr>
              <w:sz w:val="16"/>
              <w:szCs w:val="16"/>
            </w:rPr>
            <w:t xml:space="preserve">Compilation date: </w:t>
          </w:r>
          <w:r w:rsidR="00FE5C0B">
            <w:rPr>
              <w:sz w:val="16"/>
              <w:szCs w:val="16"/>
            </w:rPr>
            <w:t>18</w:t>
          </w:r>
          <w:r>
            <w:rPr>
              <w:sz w:val="16"/>
              <w:szCs w:val="16"/>
            </w:rPr>
            <w:t>/</w:t>
          </w:r>
          <w:r w:rsidR="00FE5C0B">
            <w:rPr>
              <w:sz w:val="16"/>
              <w:szCs w:val="16"/>
            </w:rPr>
            <w:t>09</w:t>
          </w:r>
          <w:r>
            <w:rPr>
              <w:sz w:val="16"/>
              <w:szCs w:val="16"/>
            </w:rPr>
            <w:t>/</w:t>
          </w:r>
          <w:r w:rsidR="00FE5C0B">
            <w:rPr>
              <w:sz w:val="16"/>
              <w:szCs w:val="16"/>
            </w:rPr>
            <w:t>2017</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40CEF">
      <w:rPr>
        <w:noProof/>
        <w:szCs w:val="22"/>
      </w:rPr>
      <w:t>Endnote 2—Abbreviation key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6615"/>
    <w:multiLevelType w:val="hybridMultilevel"/>
    <w:tmpl w:val="E0CCB162"/>
    <w:lvl w:ilvl="0" w:tplc="C6DC83B0">
      <w:start w:val="1"/>
      <w:numFmt w:val="lowerLetter"/>
      <w:lvlText w:val="(%1)"/>
      <w:lvlJc w:val="left"/>
      <w:pPr>
        <w:tabs>
          <w:tab w:val="num" w:pos="1920"/>
        </w:tabs>
        <w:ind w:left="1920"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DF3567"/>
    <w:multiLevelType w:val="hybridMultilevel"/>
    <w:tmpl w:val="C0586FBE"/>
    <w:lvl w:ilvl="0" w:tplc="E7A8B0D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15:restartNumberingAfterBreak="0">
    <w:nsid w:val="3A173E64"/>
    <w:multiLevelType w:val="hybridMultilevel"/>
    <w:tmpl w:val="642E9BC6"/>
    <w:lvl w:ilvl="0" w:tplc="E7A8B0D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FCB42D8E"/>
    <w:lvl w:ilvl="0">
      <w:start w:val="3"/>
      <w:numFmt w:val="lowerLetter"/>
      <w:lvlText w:val="(%1)"/>
      <w:lvlJc w:val="left"/>
      <w:pPr>
        <w:tabs>
          <w:tab w:val="num" w:pos="1440"/>
        </w:tabs>
        <w:ind w:left="1440" w:hanging="720"/>
      </w:pPr>
      <w:rPr>
        <w:rFonts w:hint="default"/>
      </w:rPr>
    </w:lvl>
  </w:abstractNum>
  <w:abstractNum w:abstractNumId="16"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17" w15:restartNumberingAfterBreak="0">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D834A6"/>
    <w:multiLevelType w:val="hybridMultilevel"/>
    <w:tmpl w:val="00565BAC"/>
    <w:lvl w:ilvl="0" w:tplc="E7A8B0D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1"/>
  </w:num>
  <w:num w:numId="14">
    <w:abstractNumId w:val="16"/>
  </w:num>
  <w:num w:numId="15">
    <w:abstractNumId w:val="15"/>
  </w:num>
  <w:num w:numId="16">
    <w:abstractNumId w:val="17"/>
  </w:num>
  <w:num w:numId="17">
    <w:abstractNumId w:val="13"/>
  </w:num>
  <w:num w:numId="18">
    <w:abstractNumId w:val="1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0724"/>
    <w:rsid w:val="00075C78"/>
    <w:rsid w:val="000C604C"/>
    <w:rsid w:val="000D05EF"/>
    <w:rsid w:val="000E74E1"/>
    <w:rsid w:val="0010745C"/>
    <w:rsid w:val="0012661D"/>
    <w:rsid w:val="00160F9F"/>
    <w:rsid w:val="00166C2F"/>
    <w:rsid w:val="001939E1"/>
    <w:rsid w:val="00195382"/>
    <w:rsid w:val="001C69C4"/>
    <w:rsid w:val="001E3590"/>
    <w:rsid w:val="001E71AC"/>
    <w:rsid w:val="001E7407"/>
    <w:rsid w:val="00216ABF"/>
    <w:rsid w:val="00253D1B"/>
    <w:rsid w:val="00295FBA"/>
    <w:rsid w:val="002970D7"/>
    <w:rsid w:val="00297247"/>
    <w:rsid w:val="00297ECB"/>
    <w:rsid w:val="002B5DAE"/>
    <w:rsid w:val="002C7668"/>
    <w:rsid w:val="002D043A"/>
    <w:rsid w:val="002D6A8E"/>
    <w:rsid w:val="00307068"/>
    <w:rsid w:val="00311448"/>
    <w:rsid w:val="0032286F"/>
    <w:rsid w:val="003334E7"/>
    <w:rsid w:val="00352B0F"/>
    <w:rsid w:val="00360FB0"/>
    <w:rsid w:val="00377A00"/>
    <w:rsid w:val="003B5735"/>
    <w:rsid w:val="003D0BFE"/>
    <w:rsid w:val="003D5700"/>
    <w:rsid w:val="003D6F8A"/>
    <w:rsid w:val="003E4160"/>
    <w:rsid w:val="004116CD"/>
    <w:rsid w:val="00424CA9"/>
    <w:rsid w:val="0044291A"/>
    <w:rsid w:val="004560FB"/>
    <w:rsid w:val="004653F8"/>
    <w:rsid w:val="00496F97"/>
    <w:rsid w:val="00516B8D"/>
    <w:rsid w:val="005327A0"/>
    <w:rsid w:val="00537FBC"/>
    <w:rsid w:val="00540CEF"/>
    <w:rsid w:val="00584811"/>
    <w:rsid w:val="00594161"/>
    <w:rsid w:val="00594749"/>
    <w:rsid w:val="005D6A59"/>
    <w:rsid w:val="00600219"/>
    <w:rsid w:val="00613A55"/>
    <w:rsid w:val="006207A3"/>
    <w:rsid w:val="006279B8"/>
    <w:rsid w:val="00677CC2"/>
    <w:rsid w:val="00680F77"/>
    <w:rsid w:val="0069207B"/>
    <w:rsid w:val="006C7F8C"/>
    <w:rsid w:val="006D77BA"/>
    <w:rsid w:val="006E2E9F"/>
    <w:rsid w:val="00704A73"/>
    <w:rsid w:val="007276BC"/>
    <w:rsid w:val="00731E00"/>
    <w:rsid w:val="00733990"/>
    <w:rsid w:val="00766393"/>
    <w:rsid w:val="007715C9"/>
    <w:rsid w:val="00774EDD"/>
    <w:rsid w:val="00775577"/>
    <w:rsid w:val="007757EC"/>
    <w:rsid w:val="007E3890"/>
    <w:rsid w:val="008006B2"/>
    <w:rsid w:val="00856A31"/>
    <w:rsid w:val="00872162"/>
    <w:rsid w:val="008754D0"/>
    <w:rsid w:val="00893A33"/>
    <w:rsid w:val="008E17F3"/>
    <w:rsid w:val="008E3B8C"/>
    <w:rsid w:val="008E4F16"/>
    <w:rsid w:val="008F0CF0"/>
    <w:rsid w:val="008F20EA"/>
    <w:rsid w:val="00905D41"/>
    <w:rsid w:val="00910C7A"/>
    <w:rsid w:val="009302EC"/>
    <w:rsid w:val="0094622F"/>
    <w:rsid w:val="0098638B"/>
    <w:rsid w:val="009F5FC6"/>
    <w:rsid w:val="00A145FE"/>
    <w:rsid w:val="00A231E2"/>
    <w:rsid w:val="00A64912"/>
    <w:rsid w:val="00A70A74"/>
    <w:rsid w:val="00A91B5C"/>
    <w:rsid w:val="00AB4B9B"/>
    <w:rsid w:val="00AC07B0"/>
    <w:rsid w:val="00AD5641"/>
    <w:rsid w:val="00B33B3C"/>
    <w:rsid w:val="00B3445E"/>
    <w:rsid w:val="00BE719A"/>
    <w:rsid w:val="00BE720A"/>
    <w:rsid w:val="00BF401E"/>
    <w:rsid w:val="00C42BF8"/>
    <w:rsid w:val="00C50043"/>
    <w:rsid w:val="00C544DF"/>
    <w:rsid w:val="00C61CDD"/>
    <w:rsid w:val="00C7573B"/>
    <w:rsid w:val="00C83868"/>
    <w:rsid w:val="00CB3D6B"/>
    <w:rsid w:val="00CB48D8"/>
    <w:rsid w:val="00CC0A9E"/>
    <w:rsid w:val="00CD0200"/>
    <w:rsid w:val="00CF0BB2"/>
    <w:rsid w:val="00D03A1F"/>
    <w:rsid w:val="00D13441"/>
    <w:rsid w:val="00D70DFB"/>
    <w:rsid w:val="00D766DF"/>
    <w:rsid w:val="00DB3CFE"/>
    <w:rsid w:val="00DB6E60"/>
    <w:rsid w:val="00DC78AA"/>
    <w:rsid w:val="00DC7B41"/>
    <w:rsid w:val="00DE7073"/>
    <w:rsid w:val="00DF1CF5"/>
    <w:rsid w:val="00DF6D7F"/>
    <w:rsid w:val="00E74A43"/>
    <w:rsid w:val="00E74DC7"/>
    <w:rsid w:val="00E76A98"/>
    <w:rsid w:val="00E774E7"/>
    <w:rsid w:val="00EB5A64"/>
    <w:rsid w:val="00ED0C49"/>
    <w:rsid w:val="00EE0816"/>
    <w:rsid w:val="00EF2E3A"/>
    <w:rsid w:val="00F04811"/>
    <w:rsid w:val="00F078DC"/>
    <w:rsid w:val="00F23E5F"/>
    <w:rsid w:val="00F51269"/>
    <w:rsid w:val="00F85C9A"/>
    <w:rsid w:val="00FA25AC"/>
    <w:rsid w:val="00FE495E"/>
    <w:rsid w:val="00FE5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9302EC"/>
    <w:pPr>
      <w:spacing w:before="60" w:line="200" w:lineRule="exact"/>
    </w:pPr>
    <w:rPr>
      <w:rFonts w:ascii="Arial" w:eastAsia="Times New Roman" w:hAnsi="Arial" w:cs="Times New Roman"/>
      <w:noProof/>
      <w:sz w:val="18"/>
      <w:szCs w:val="24"/>
      <w:lang w:eastAsia="en-AU"/>
    </w:rPr>
  </w:style>
  <w:style w:type="character" w:customStyle="1" w:styleId="notetextChar">
    <w:name w:val="note(text) Char"/>
    <w:aliases w:val="n Char"/>
    <w:link w:val="notetext"/>
    <w:rsid w:val="00070724"/>
    <w:rPr>
      <w:rFonts w:eastAsia="Times New Roman" w:cs="Times New Roman"/>
      <w:sz w:val="18"/>
      <w:lang w:eastAsia="en-AU"/>
    </w:rPr>
  </w:style>
  <w:style w:type="paragraph" w:customStyle="1" w:styleId="TableOfAmend">
    <w:name w:val="TableOfAmend"/>
    <w:basedOn w:val="Normal"/>
    <w:rsid w:val="00905D41"/>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21</TotalTime>
  <Pages>12</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16</cp:revision>
  <cp:lastPrinted>2016-11-03T03:57:00Z</cp:lastPrinted>
  <dcterms:created xsi:type="dcterms:W3CDTF">2017-04-23T23:03:00Z</dcterms:created>
  <dcterms:modified xsi:type="dcterms:W3CDTF">2017-08-24T05:01:00Z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