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BA530D" w:rsidRDefault="00D03A1F" w:rsidP="00FA25AC">
      <w:pPr>
        <w:spacing w:before="240"/>
        <w:rPr>
          <w:b/>
          <w:sz w:val="40"/>
          <w:szCs w:val="40"/>
        </w:rPr>
      </w:pPr>
      <w:r w:rsidRPr="00BA530D">
        <w:rPr>
          <w:b/>
          <w:sz w:val="40"/>
          <w:szCs w:val="40"/>
        </w:rPr>
        <w:t xml:space="preserve">Statement of Principles concerning </w:t>
      </w:r>
      <w:r w:rsidR="00EA4BA6" w:rsidRPr="00BA530D">
        <w:rPr>
          <w:b/>
          <w:sz w:val="40"/>
          <w:szCs w:val="40"/>
        </w:rPr>
        <w:t>atherosclerotic peripheral vascular disease</w:t>
      </w:r>
      <w:r w:rsidRPr="00BA530D">
        <w:rPr>
          <w:b/>
          <w:sz w:val="40"/>
          <w:szCs w:val="40"/>
        </w:rPr>
        <w:t xml:space="preserve"> No. </w:t>
      </w:r>
      <w:r w:rsidR="00EA4BA6" w:rsidRPr="00BA530D">
        <w:rPr>
          <w:b/>
          <w:sz w:val="40"/>
          <w:szCs w:val="40"/>
        </w:rPr>
        <w:t>24</w:t>
      </w:r>
      <w:r w:rsidRPr="00BA530D">
        <w:rPr>
          <w:b/>
          <w:sz w:val="40"/>
          <w:szCs w:val="40"/>
        </w:rPr>
        <w:t xml:space="preserve"> of </w:t>
      </w:r>
      <w:r w:rsidR="00EA4BA6" w:rsidRPr="00BA530D">
        <w:rPr>
          <w:b/>
          <w:sz w:val="40"/>
          <w:szCs w:val="40"/>
        </w:rPr>
        <w:t>2012</w:t>
      </w:r>
    </w:p>
    <w:p w:rsidR="00307068" w:rsidRPr="00BA530D" w:rsidRDefault="00307068" w:rsidP="00307068">
      <w:pPr>
        <w:pStyle w:val="MadeunderText"/>
      </w:pPr>
      <w:r w:rsidRPr="00BA530D">
        <w:t xml:space="preserve">made under </w:t>
      </w:r>
      <w:r w:rsidR="00D03A1F" w:rsidRPr="00BA530D">
        <w:t>subsection 196B(</w:t>
      </w:r>
      <w:r w:rsidR="00A87E76" w:rsidRPr="00BA530D">
        <w:t>3</w:t>
      </w:r>
      <w:r w:rsidR="00D03A1F" w:rsidRPr="00BA530D">
        <w:t>)</w:t>
      </w:r>
      <w:r w:rsidRPr="00BA530D">
        <w:t xml:space="preserve"> of the</w:t>
      </w:r>
    </w:p>
    <w:p w:rsidR="00D03A1F" w:rsidRPr="00BA530D" w:rsidRDefault="00D03A1F" w:rsidP="00D03A1F">
      <w:pPr>
        <w:pStyle w:val="CompiledMadeUnder"/>
        <w:spacing w:before="240"/>
      </w:pPr>
      <w:r w:rsidRPr="00BA530D">
        <w:t>Veterans' Entitlements Act 1986</w:t>
      </w:r>
    </w:p>
    <w:p w:rsidR="00D03A1F" w:rsidRPr="00BA530D" w:rsidRDefault="00D03A1F" w:rsidP="00D03A1F">
      <w:pPr>
        <w:spacing w:before="1000"/>
        <w:rPr>
          <w:rFonts w:cs="Arial"/>
          <w:sz w:val="24"/>
          <w:szCs w:val="24"/>
        </w:rPr>
      </w:pPr>
      <w:r w:rsidRPr="00BA530D">
        <w:rPr>
          <w:rFonts w:cs="Arial"/>
          <w:b/>
          <w:sz w:val="32"/>
          <w:szCs w:val="32"/>
        </w:rPr>
        <w:t xml:space="preserve">Compilation No. </w:t>
      </w:r>
      <w:r w:rsidR="00EA4BA6" w:rsidRPr="00BA530D">
        <w:rPr>
          <w:rFonts w:cs="Arial"/>
          <w:b/>
          <w:sz w:val="32"/>
          <w:szCs w:val="32"/>
        </w:rPr>
        <w:t>1</w:t>
      </w:r>
      <w:r w:rsidRPr="00BA530D">
        <w:rPr>
          <w:rFonts w:cs="Arial"/>
          <w:b/>
          <w:sz w:val="32"/>
          <w:szCs w:val="32"/>
        </w:rPr>
        <w:tab/>
      </w:r>
      <w:r w:rsidRPr="00BA530D">
        <w:rPr>
          <w:rFonts w:cs="Arial"/>
          <w:b/>
          <w:sz w:val="32"/>
          <w:szCs w:val="32"/>
        </w:rPr>
        <w:tab/>
      </w:r>
    </w:p>
    <w:p w:rsidR="00D03A1F" w:rsidRPr="00BA530D" w:rsidRDefault="00D03A1F" w:rsidP="00D03A1F">
      <w:pPr>
        <w:spacing w:before="480"/>
        <w:rPr>
          <w:rFonts w:cs="Arial"/>
          <w:sz w:val="24"/>
        </w:rPr>
      </w:pPr>
      <w:r w:rsidRPr="00BA530D">
        <w:rPr>
          <w:rFonts w:cs="Arial"/>
          <w:b/>
          <w:sz w:val="24"/>
        </w:rPr>
        <w:t>Compilation date:</w:t>
      </w:r>
      <w:r w:rsidRPr="00BA530D">
        <w:rPr>
          <w:rFonts w:cs="Arial"/>
          <w:b/>
          <w:sz w:val="24"/>
        </w:rPr>
        <w:tab/>
      </w:r>
      <w:r w:rsidRPr="00BA530D">
        <w:rPr>
          <w:rFonts w:cs="Arial"/>
          <w:b/>
          <w:sz w:val="24"/>
        </w:rPr>
        <w:tab/>
      </w:r>
      <w:r w:rsidRPr="00BA530D">
        <w:rPr>
          <w:rFonts w:cs="Arial"/>
          <w:b/>
          <w:sz w:val="24"/>
        </w:rPr>
        <w:tab/>
      </w:r>
      <w:r w:rsidR="00BA530D" w:rsidRPr="00BA530D">
        <w:rPr>
          <w:rFonts w:cs="Arial"/>
          <w:sz w:val="24"/>
        </w:rPr>
        <w:t>18 September 2017</w:t>
      </w:r>
    </w:p>
    <w:p w:rsidR="00BA530D" w:rsidRPr="00330877" w:rsidRDefault="00D03A1F" w:rsidP="00BA530D">
      <w:pPr>
        <w:pStyle w:val="Plainheader"/>
        <w:ind w:left="3600" w:hanging="3600"/>
        <w:rPr>
          <w:rFonts w:eastAsiaTheme="minorHAnsi"/>
          <w:color w:val="auto"/>
        </w:rPr>
      </w:pPr>
      <w:r w:rsidRPr="00642BE4">
        <w:rPr>
          <w:b/>
        </w:rPr>
        <w:t>Includes amendments up to:</w:t>
      </w:r>
      <w:r w:rsidRPr="00642BE4">
        <w:rPr>
          <w:b/>
        </w:rPr>
        <w:tab/>
      </w:r>
      <w:r w:rsidR="00BA530D" w:rsidRPr="00330877">
        <w:t>Veterans</w:t>
      </w:r>
      <w:r w:rsidR="00BA530D" w:rsidRPr="00330877">
        <w:rPr>
          <w:rFonts w:eastAsiaTheme="minorHAnsi"/>
          <w:color w:val="auto"/>
        </w:rPr>
        <w:t>'</w:t>
      </w:r>
      <w:r w:rsidR="00BA530D" w:rsidRPr="00330877">
        <w:t xml:space="preserve"> Entitlements (Statements of Principles</w:t>
      </w:r>
      <w:r w:rsidR="00BA530D" w:rsidRPr="00330877">
        <w:rPr>
          <w:rFonts w:eastAsiaTheme="minorHAnsi"/>
          <w:color w:val="auto"/>
        </w:rPr>
        <w:t>—Cumulative</w:t>
      </w:r>
      <w:r w:rsidR="00BA530D" w:rsidRPr="00330877">
        <w:t xml:space="preserve"> Equivalent Dose) Amendment Determination 2017 (No. 58 of 2017) (</w:t>
      </w:r>
      <w:r w:rsidR="0006351A">
        <w:t>F2017L01067</w:t>
      </w:r>
      <w:r w:rsidR="00BA530D" w:rsidRPr="00330877">
        <w:t>)</w:t>
      </w:r>
    </w:p>
    <w:p w:rsidR="00BA530D" w:rsidRPr="00AC0597" w:rsidRDefault="00BA530D" w:rsidP="00BA530D">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BA530D" w:rsidRDefault="00307068" w:rsidP="00307068">
      <w:pPr>
        <w:spacing w:before="120" w:after="120"/>
        <w:rPr>
          <w:rFonts w:cs="Arial"/>
          <w:szCs w:val="22"/>
        </w:rPr>
      </w:pPr>
      <w:r w:rsidRPr="00BA530D">
        <w:rPr>
          <w:rFonts w:cs="Arial"/>
          <w:szCs w:val="22"/>
        </w:rPr>
        <w:t xml:space="preserve">This is a compilation of the </w:t>
      </w:r>
      <w:r w:rsidR="00872162" w:rsidRPr="00BA530D">
        <w:rPr>
          <w:rFonts w:cs="Arial"/>
          <w:i/>
          <w:szCs w:val="22"/>
        </w:rPr>
        <w:t xml:space="preserve">Statement </w:t>
      </w:r>
      <w:r w:rsidR="00EA4BA6" w:rsidRPr="00BA530D">
        <w:rPr>
          <w:rFonts w:cs="Arial"/>
          <w:i/>
          <w:szCs w:val="22"/>
        </w:rPr>
        <w:t>of Principles concerning atherosclerotic peripheral vascular disease</w:t>
      </w:r>
      <w:r w:rsidR="00872162" w:rsidRPr="00BA530D">
        <w:rPr>
          <w:rFonts w:cs="Arial"/>
          <w:i/>
          <w:szCs w:val="22"/>
        </w:rPr>
        <w:t xml:space="preserve"> No. </w:t>
      </w:r>
      <w:r w:rsidR="00EA4BA6" w:rsidRPr="00BA530D">
        <w:rPr>
          <w:rFonts w:cs="Arial"/>
          <w:i/>
          <w:szCs w:val="22"/>
        </w:rPr>
        <w:t>24</w:t>
      </w:r>
      <w:r w:rsidR="00872162" w:rsidRPr="00BA530D">
        <w:rPr>
          <w:rFonts w:cs="Arial"/>
          <w:i/>
          <w:szCs w:val="22"/>
        </w:rPr>
        <w:t xml:space="preserve"> of </w:t>
      </w:r>
      <w:r w:rsidR="00EA4BA6" w:rsidRPr="00BA530D">
        <w:rPr>
          <w:rFonts w:cs="Arial"/>
          <w:i/>
          <w:szCs w:val="22"/>
        </w:rPr>
        <w:t>2012</w:t>
      </w:r>
      <w:r w:rsidRPr="00BA530D">
        <w:rPr>
          <w:rFonts w:cs="Arial"/>
          <w:szCs w:val="22"/>
        </w:rPr>
        <w:t xml:space="preserve"> that shows the text of the law as amended and in force on </w:t>
      </w:r>
      <w:r w:rsidR="00BA530D" w:rsidRPr="00BA530D">
        <w:rPr>
          <w:rFonts w:cs="Arial"/>
          <w:szCs w:val="22"/>
        </w:rPr>
        <w:t>18</w:t>
      </w:r>
      <w:r w:rsidR="0006351A">
        <w:rPr>
          <w:rFonts w:cs="Arial"/>
          <w:szCs w:val="22"/>
        </w:rPr>
        <w:t> </w:t>
      </w:r>
      <w:r w:rsidR="00BA530D" w:rsidRPr="00BA530D">
        <w:rPr>
          <w:rFonts w:cs="Arial"/>
          <w:szCs w:val="22"/>
        </w:rPr>
        <w:t>September 2017.</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FD7B62" w:rsidRPr="00FD7B62" w:rsidRDefault="00FD7B62" w:rsidP="00FD7B62">
      <w:pPr>
        <w:spacing w:line="240" w:lineRule="atLeast"/>
        <w:jc w:val="center"/>
        <w:rPr>
          <w:rFonts w:ascii="Arial" w:eastAsia="Times New Roman" w:hAnsi="Arial" w:cs="Times New Roman"/>
          <w:sz w:val="36"/>
          <w:lang w:val="en-GB" w:eastAsia="en-AU"/>
        </w:rPr>
      </w:pPr>
      <w:r w:rsidRPr="00FD7B62">
        <w:rPr>
          <w:rFonts w:eastAsia="Times New Roman" w:cs="Times New Roman"/>
          <w:noProof/>
          <w:sz w:val="36"/>
          <w:lang w:eastAsia="en-AU"/>
        </w:rPr>
        <w:lastRenderedPageBreak/>
        <w:drawing>
          <wp:inline distT="0" distB="0" distL="0" distR="0">
            <wp:extent cx="1757680" cy="937895"/>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7680" cy="937895"/>
                    </a:xfrm>
                    <a:prstGeom prst="rect">
                      <a:avLst/>
                    </a:prstGeom>
                    <a:noFill/>
                    <a:ln>
                      <a:noFill/>
                    </a:ln>
                  </pic:spPr>
                </pic:pic>
              </a:graphicData>
            </a:graphic>
          </wp:inline>
        </w:drawing>
      </w:r>
    </w:p>
    <w:p w:rsidR="00FD7B62" w:rsidRPr="00FD7B62" w:rsidRDefault="00FD7B62" w:rsidP="00FD7B62">
      <w:pPr>
        <w:spacing w:before="240" w:after="240" w:line="240" w:lineRule="atLeast"/>
        <w:jc w:val="center"/>
        <w:rPr>
          <w:rFonts w:ascii="Arial" w:eastAsia="Times New Roman" w:hAnsi="Arial" w:cs="Times New Roman"/>
          <w:sz w:val="36"/>
          <w:lang w:val="en-GB" w:eastAsia="en-AU"/>
        </w:rPr>
      </w:pPr>
    </w:p>
    <w:p w:rsidR="00FD7B62" w:rsidRPr="00FD7B62" w:rsidRDefault="00FD7B62" w:rsidP="00FD7B62">
      <w:pPr>
        <w:spacing w:line="240" w:lineRule="atLeast"/>
        <w:jc w:val="center"/>
        <w:outlineLvl w:val="0"/>
        <w:rPr>
          <w:rFonts w:ascii="Arial" w:eastAsia="Times New Roman" w:hAnsi="Arial" w:cs="Times New Roman"/>
          <w:sz w:val="40"/>
          <w:lang w:val="en-GB" w:eastAsia="en-AU"/>
        </w:rPr>
      </w:pPr>
      <w:r w:rsidRPr="00FD7B62">
        <w:rPr>
          <w:rFonts w:ascii="Arial" w:eastAsia="Times New Roman" w:hAnsi="Arial" w:cs="Times New Roman"/>
          <w:sz w:val="40"/>
          <w:lang w:val="en-GB" w:eastAsia="en-AU"/>
        </w:rPr>
        <w:t>Statement of Principles</w:t>
      </w:r>
    </w:p>
    <w:p w:rsidR="00FD7B62" w:rsidRPr="00FD7B62" w:rsidRDefault="00FD7B62" w:rsidP="00FD7B62">
      <w:pPr>
        <w:spacing w:line="240" w:lineRule="atLeast"/>
        <w:jc w:val="center"/>
        <w:outlineLvl w:val="0"/>
        <w:rPr>
          <w:rFonts w:ascii="Arial" w:eastAsia="Times New Roman" w:hAnsi="Arial" w:cs="Times New Roman"/>
          <w:sz w:val="28"/>
          <w:lang w:val="en-GB" w:eastAsia="en-AU"/>
        </w:rPr>
      </w:pPr>
      <w:r w:rsidRPr="00FD7B62">
        <w:rPr>
          <w:rFonts w:ascii="Arial" w:eastAsia="Times New Roman" w:hAnsi="Arial" w:cs="Times New Roman"/>
          <w:sz w:val="28"/>
          <w:lang w:val="en-GB" w:eastAsia="en-AU"/>
        </w:rPr>
        <w:t>concerning</w:t>
      </w:r>
    </w:p>
    <w:p w:rsidR="00FD7B62" w:rsidRPr="00FD7B62" w:rsidRDefault="00FD7B62" w:rsidP="00FD7B62">
      <w:pPr>
        <w:spacing w:line="240" w:lineRule="atLeast"/>
        <w:jc w:val="center"/>
        <w:rPr>
          <w:rFonts w:ascii="Arial" w:eastAsia="Times New Roman" w:hAnsi="Arial" w:cs="Times New Roman"/>
          <w:sz w:val="28"/>
          <w:lang w:val="en-GB" w:eastAsia="en-AU"/>
        </w:rPr>
      </w:pPr>
    </w:p>
    <w:p w:rsidR="00FD7B62" w:rsidRPr="00FD7B62" w:rsidRDefault="00FD7B62" w:rsidP="00FD7B62">
      <w:pPr>
        <w:spacing w:line="240" w:lineRule="atLeast"/>
        <w:jc w:val="center"/>
        <w:outlineLvl w:val="0"/>
        <w:rPr>
          <w:rFonts w:ascii="Arial" w:eastAsia="Times New Roman" w:hAnsi="Arial" w:cs="Times New Roman"/>
          <w:b/>
          <w:sz w:val="40"/>
          <w:lang w:val="en-GB" w:eastAsia="en-AU"/>
        </w:rPr>
      </w:pPr>
      <w:r w:rsidRPr="00FD7B62">
        <w:rPr>
          <w:rFonts w:ascii="Arial" w:eastAsia="Times New Roman" w:hAnsi="Arial" w:cs="Times New Roman"/>
          <w:b/>
          <w:sz w:val="40"/>
          <w:lang w:val="en-GB" w:eastAsia="en-AU"/>
        </w:rPr>
        <w:t>ATHEROSCLEROTIC PERIPHERAL VASCULAR DISEASE</w:t>
      </w:r>
    </w:p>
    <w:p w:rsidR="00FD7B62" w:rsidRPr="00FD7B62" w:rsidRDefault="00FD7B62" w:rsidP="00FD7B62">
      <w:pPr>
        <w:spacing w:before="240" w:line="240" w:lineRule="atLeast"/>
        <w:jc w:val="center"/>
        <w:outlineLvl w:val="0"/>
        <w:rPr>
          <w:rFonts w:ascii="Arial" w:eastAsia="Times New Roman" w:hAnsi="Arial" w:cs="Times New Roman"/>
          <w:b/>
          <w:sz w:val="40"/>
          <w:lang w:val="en-GB" w:eastAsia="en-AU"/>
        </w:rPr>
      </w:pPr>
      <w:r w:rsidRPr="00FD7B62">
        <w:rPr>
          <w:rFonts w:ascii="Arial" w:eastAsia="Times New Roman" w:hAnsi="Arial" w:cs="Times New Roman"/>
          <w:b/>
          <w:sz w:val="40"/>
          <w:lang w:val="en-GB" w:eastAsia="en-AU"/>
        </w:rPr>
        <w:t>No. 24 of 2012</w:t>
      </w:r>
    </w:p>
    <w:p w:rsidR="00FD7B62" w:rsidRPr="00FD7B62" w:rsidRDefault="00FD7B62" w:rsidP="00FD7B62">
      <w:pPr>
        <w:spacing w:line="240" w:lineRule="atLeast"/>
        <w:jc w:val="center"/>
        <w:rPr>
          <w:rFonts w:ascii="Arial" w:eastAsia="Times New Roman" w:hAnsi="Arial" w:cs="Times New Roman"/>
          <w:b/>
          <w:sz w:val="24"/>
          <w:lang w:val="en-GB" w:eastAsia="en-AU"/>
        </w:rPr>
      </w:pPr>
    </w:p>
    <w:p w:rsidR="00FD7B62" w:rsidRPr="00FD7B62" w:rsidRDefault="00FD7B62" w:rsidP="00FD7B62">
      <w:pPr>
        <w:spacing w:line="240" w:lineRule="atLeast"/>
        <w:jc w:val="center"/>
        <w:rPr>
          <w:rFonts w:ascii="Arial" w:eastAsia="Times New Roman" w:hAnsi="Arial" w:cs="Times New Roman"/>
          <w:sz w:val="28"/>
          <w:lang w:val="en-GB" w:eastAsia="en-AU"/>
        </w:rPr>
      </w:pPr>
      <w:r w:rsidRPr="00FD7B62">
        <w:rPr>
          <w:rFonts w:ascii="Arial" w:eastAsia="Times New Roman" w:hAnsi="Arial" w:cs="Times New Roman"/>
          <w:sz w:val="28"/>
          <w:lang w:val="en-GB" w:eastAsia="en-AU"/>
        </w:rPr>
        <w:t>for the purposes of the</w:t>
      </w:r>
    </w:p>
    <w:p w:rsidR="00FD7B62" w:rsidRPr="00FD7B62" w:rsidRDefault="00FD7B62" w:rsidP="00FD7B62">
      <w:pPr>
        <w:spacing w:line="240" w:lineRule="atLeast"/>
        <w:jc w:val="center"/>
        <w:rPr>
          <w:rFonts w:ascii="Arial" w:eastAsia="Times New Roman" w:hAnsi="Arial" w:cs="Times New Roman"/>
          <w:b/>
          <w:sz w:val="24"/>
          <w:lang w:val="en-GB" w:eastAsia="en-AU"/>
        </w:rPr>
      </w:pPr>
    </w:p>
    <w:p w:rsidR="00FD7B62" w:rsidRPr="00FD7B62" w:rsidRDefault="00FD7B62" w:rsidP="00FD7B62">
      <w:pPr>
        <w:spacing w:line="240" w:lineRule="atLeast"/>
        <w:jc w:val="center"/>
        <w:outlineLvl w:val="0"/>
        <w:rPr>
          <w:rFonts w:ascii="Arial" w:eastAsia="Times New Roman" w:hAnsi="Arial" w:cs="Times New Roman"/>
          <w:i/>
          <w:sz w:val="32"/>
          <w:lang w:val="en-GB" w:eastAsia="en-AU"/>
        </w:rPr>
      </w:pPr>
      <w:r w:rsidRPr="00FD7B62">
        <w:rPr>
          <w:rFonts w:ascii="Arial" w:eastAsia="Times New Roman" w:hAnsi="Arial" w:cs="Times New Roman"/>
          <w:i/>
          <w:sz w:val="32"/>
          <w:lang w:val="en-GB" w:eastAsia="en-AU"/>
        </w:rPr>
        <w:t>Veterans’ Entitlements Act 1986</w:t>
      </w:r>
    </w:p>
    <w:p w:rsidR="00FD7B62" w:rsidRPr="00FD7B62" w:rsidRDefault="00FD7B62" w:rsidP="00FD7B62">
      <w:pPr>
        <w:spacing w:line="240" w:lineRule="atLeast"/>
        <w:jc w:val="center"/>
        <w:rPr>
          <w:rFonts w:ascii="Arial" w:eastAsia="Times New Roman" w:hAnsi="Arial" w:cs="Times New Roman"/>
          <w:sz w:val="28"/>
          <w:lang w:val="en-GB" w:eastAsia="en-AU"/>
        </w:rPr>
      </w:pPr>
      <w:r w:rsidRPr="00FD7B62">
        <w:rPr>
          <w:rFonts w:ascii="Arial" w:eastAsia="Times New Roman" w:hAnsi="Arial" w:cs="Times New Roman"/>
          <w:sz w:val="28"/>
          <w:lang w:val="en-GB" w:eastAsia="en-AU"/>
        </w:rPr>
        <w:t>and</w:t>
      </w:r>
    </w:p>
    <w:p w:rsidR="00FD7B62" w:rsidRPr="00FD7B62" w:rsidRDefault="00FD7B62" w:rsidP="00FD7B62">
      <w:pPr>
        <w:spacing w:line="240" w:lineRule="atLeast"/>
        <w:jc w:val="center"/>
        <w:rPr>
          <w:rFonts w:ascii="Arial" w:eastAsia="Times New Roman" w:hAnsi="Arial" w:cs="Times New Roman"/>
          <w:sz w:val="32"/>
          <w:lang w:val="en-GB" w:eastAsia="en-AU"/>
        </w:rPr>
      </w:pPr>
      <w:r w:rsidRPr="00FD7B62">
        <w:rPr>
          <w:rFonts w:ascii="Arial" w:eastAsia="Times New Roman" w:hAnsi="Arial" w:cs="Times New Roman"/>
          <w:i/>
          <w:sz w:val="32"/>
          <w:lang w:val="en-GB" w:eastAsia="en-AU"/>
        </w:rPr>
        <w:t>Military Rehabilitation and Compensation Act 2004</w:t>
      </w:r>
    </w:p>
    <w:p w:rsidR="00FD7B62" w:rsidRPr="00FD7B62" w:rsidRDefault="00FD7B62" w:rsidP="00FD7B62">
      <w:pPr>
        <w:spacing w:line="240" w:lineRule="atLeast"/>
        <w:ind w:left="720" w:hanging="720"/>
        <w:jc w:val="both"/>
        <w:rPr>
          <w:rFonts w:eastAsia="Times New Roman" w:cs="Times New Roman"/>
          <w:sz w:val="24"/>
          <w:szCs w:val="24"/>
          <w:lang w:val="en-GB" w:eastAsia="en-AU"/>
        </w:rPr>
      </w:pP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Title</w:t>
      </w:r>
    </w:p>
    <w:p w:rsidR="00FD7B62" w:rsidRPr="00FD7B62" w:rsidRDefault="00FD7B62" w:rsidP="00FD7B62">
      <w:pPr>
        <w:spacing w:after="120" w:line="240" w:lineRule="atLeast"/>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1.</w:t>
      </w:r>
      <w:r w:rsidRPr="00FD7B62">
        <w:rPr>
          <w:rFonts w:eastAsia="Times New Roman" w:cs="Times New Roman"/>
          <w:sz w:val="24"/>
          <w:szCs w:val="24"/>
          <w:lang w:val="en-GB" w:eastAsia="en-AU"/>
        </w:rPr>
        <w:tab/>
        <w:t>This Instrument may be cited as Statement of Principles concerning atherosclerotic peripheral vascular disease No. 24 of 2012.</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Determination</w:t>
      </w:r>
    </w:p>
    <w:p w:rsidR="00FD7B62" w:rsidRPr="00FD7B62" w:rsidRDefault="00FD7B62" w:rsidP="00FD7B62">
      <w:pPr>
        <w:spacing w:line="240" w:lineRule="atLeast"/>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2.</w:t>
      </w:r>
      <w:r w:rsidRPr="00FD7B62">
        <w:rPr>
          <w:rFonts w:eastAsia="Times New Roman" w:cs="Times New Roman"/>
          <w:sz w:val="24"/>
          <w:szCs w:val="24"/>
          <w:lang w:val="en-GB" w:eastAsia="en-AU"/>
        </w:rPr>
        <w:tab/>
        <w:t xml:space="preserve">The Repatriation Medical Authority under subsection </w:t>
      </w:r>
      <w:r w:rsidRPr="00FD7B62">
        <w:rPr>
          <w:rFonts w:eastAsia="Times New Roman" w:cs="Times New Roman"/>
          <w:b/>
          <w:sz w:val="24"/>
          <w:szCs w:val="24"/>
          <w:lang w:val="en-GB" w:eastAsia="en-AU"/>
        </w:rPr>
        <w:t>196B(3)</w:t>
      </w:r>
      <w:r w:rsidRPr="00FD7B62">
        <w:rPr>
          <w:rFonts w:eastAsia="Times New Roman" w:cs="Times New Roman"/>
          <w:sz w:val="24"/>
          <w:szCs w:val="24"/>
          <w:lang w:val="en-GB" w:eastAsia="en-AU"/>
        </w:rPr>
        <w:t xml:space="preserve"> and </w:t>
      </w:r>
      <w:r w:rsidRPr="00FD7B62">
        <w:rPr>
          <w:rFonts w:eastAsia="Times New Roman" w:cs="Times New Roman"/>
          <w:b/>
          <w:sz w:val="24"/>
          <w:szCs w:val="24"/>
          <w:lang w:val="en-GB" w:eastAsia="en-AU"/>
        </w:rPr>
        <w:t xml:space="preserve">(8) </w:t>
      </w:r>
      <w:r w:rsidRPr="00FD7B62">
        <w:rPr>
          <w:rFonts w:eastAsia="Times New Roman" w:cs="Times New Roman"/>
          <w:sz w:val="24"/>
          <w:szCs w:val="24"/>
          <w:lang w:val="en-GB" w:eastAsia="en-AU"/>
        </w:rPr>
        <w:t xml:space="preserve">of the </w:t>
      </w:r>
      <w:r w:rsidRPr="00FD7B62">
        <w:rPr>
          <w:rFonts w:eastAsia="Times New Roman" w:cs="Times New Roman"/>
          <w:i/>
          <w:sz w:val="24"/>
          <w:szCs w:val="24"/>
          <w:lang w:val="en-GB" w:eastAsia="en-AU"/>
        </w:rPr>
        <w:t>Veterans’ Entitlements Act 1986</w:t>
      </w:r>
      <w:r w:rsidRPr="00FD7B62">
        <w:rPr>
          <w:rFonts w:eastAsia="Times New Roman" w:cs="Times New Roman"/>
          <w:sz w:val="24"/>
          <w:szCs w:val="24"/>
          <w:lang w:val="en-GB" w:eastAsia="en-AU"/>
        </w:rPr>
        <w:t xml:space="preserve"> (the VEA):</w:t>
      </w:r>
    </w:p>
    <w:p w:rsidR="00FD7B62" w:rsidRPr="00FD7B62" w:rsidRDefault="00FD7B62" w:rsidP="00FD7B62">
      <w:pPr>
        <w:spacing w:before="120" w:line="240" w:lineRule="atLeast"/>
        <w:ind w:left="1440" w:hanging="720"/>
        <w:jc w:val="both"/>
        <w:rPr>
          <w:rFonts w:eastAsia="Times New Roman" w:cs="Times New Roman"/>
          <w:sz w:val="24"/>
          <w:szCs w:val="24"/>
          <w:lang w:val="en-GB" w:eastAsia="en-AU"/>
        </w:rPr>
      </w:pPr>
      <w:r w:rsidRPr="00FD7B62">
        <w:rPr>
          <w:rFonts w:eastAsia="Times New Roman" w:cs="Times New Roman"/>
          <w:sz w:val="24"/>
          <w:szCs w:val="24"/>
          <w:lang w:val="en-GB" w:eastAsia="en-AU"/>
        </w:rPr>
        <w:t>(a)</w:t>
      </w:r>
      <w:r w:rsidRPr="00FD7B62">
        <w:rPr>
          <w:rFonts w:eastAsia="Times New Roman" w:cs="Times New Roman"/>
          <w:sz w:val="24"/>
          <w:szCs w:val="24"/>
          <w:lang w:val="en-GB" w:eastAsia="en-AU"/>
        </w:rPr>
        <w:tab/>
        <w:t>revokes Instrument No. 66 of 2002 concerning atherosclerotic peripheral vascular disease; and</w:t>
      </w:r>
    </w:p>
    <w:p w:rsidR="00FD7B62" w:rsidRPr="00FD7B62" w:rsidRDefault="00FD7B62" w:rsidP="00FD7B62">
      <w:pPr>
        <w:spacing w:before="120" w:after="120" w:line="240" w:lineRule="atLeast"/>
        <w:ind w:left="1440" w:hanging="720"/>
        <w:jc w:val="both"/>
        <w:rPr>
          <w:rFonts w:eastAsia="Times New Roman" w:cs="Times New Roman"/>
          <w:sz w:val="24"/>
          <w:szCs w:val="24"/>
          <w:lang w:val="en-GB" w:eastAsia="en-AU"/>
        </w:rPr>
      </w:pPr>
      <w:r w:rsidRPr="00FD7B62">
        <w:rPr>
          <w:rFonts w:eastAsia="Times New Roman" w:cs="Times New Roman"/>
          <w:sz w:val="24"/>
          <w:szCs w:val="24"/>
          <w:lang w:val="en-GB" w:eastAsia="en-AU"/>
        </w:rPr>
        <w:t>(b)</w:t>
      </w:r>
      <w:r w:rsidRPr="00FD7B62">
        <w:rPr>
          <w:rFonts w:eastAsia="Times New Roman" w:cs="Times New Roman"/>
          <w:sz w:val="24"/>
          <w:szCs w:val="24"/>
          <w:lang w:val="en-GB" w:eastAsia="en-AU"/>
        </w:rPr>
        <w:tab/>
        <w:t>determines in its place this Statement of Principles.</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Kind of injury, disease or death</w:t>
      </w:r>
    </w:p>
    <w:p w:rsidR="00FD7B62" w:rsidRPr="00FD7B62" w:rsidRDefault="00FD7B62" w:rsidP="00FD7B62">
      <w:pPr>
        <w:tabs>
          <w:tab w:val="left" w:pos="709"/>
        </w:tabs>
        <w:spacing w:after="120" w:line="240" w:lineRule="auto"/>
        <w:ind w:left="1440" w:hanging="1440"/>
        <w:jc w:val="both"/>
        <w:rPr>
          <w:rFonts w:eastAsia="Times New Roman" w:cs="Times New Roman"/>
          <w:sz w:val="24"/>
          <w:szCs w:val="24"/>
          <w:lang w:val="en-GB" w:eastAsia="en-AU"/>
        </w:rPr>
      </w:pPr>
      <w:r w:rsidRPr="00FD7B62">
        <w:rPr>
          <w:rFonts w:eastAsia="Times New Roman" w:cs="Times New Roman"/>
          <w:b/>
          <w:sz w:val="24"/>
          <w:szCs w:val="24"/>
          <w:lang w:val="en-GB" w:eastAsia="en-AU"/>
        </w:rPr>
        <w:t>3.</w:t>
      </w:r>
      <w:r w:rsidRPr="00FD7B62">
        <w:rPr>
          <w:rFonts w:eastAsia="Times New Roman" w:cs="Times New Roman"/>
          <w:sz w:val="24"/>
          <w:szCs w:val="24"/>
          <w:lang w:val="en-GB" w:eastAsia="en-AU"/>
        </w:rPr>
        <w:tab/>
        <w:t>(a)</w:t>
      </w:r>
      <w:r w:rsidRPr="00FD7B62">
        <w:rPr>
          <w:rFonts w:eastAsia="Times New Roman" w:cs="Times New Roman"/>
          <w:sz w:val="24"/>
          <w:szCs w:val="24"/>
          <w:lang w:val="en-GB" w:eastAsia="en-AU"/>
        </w:rPr>
        <w:tab/>
        <w:t xml:space="preserve">This Statement of Principles is about </w:t>
      </w:r>
      <w:r w:rsidRPr="00FD7B62">
        <w:rPr>
          <w:rFonts w:eastAsia="Times New Roman" w:cs="Times New Roman"/>
          <w:b/>
          <w:sz w:val="24"/>
          <w:szCs w:val="24"/>
          <w:lang w:val="en-GB" w:eastAsia="en-AU"/>
        </w:rPr>
        <w:t xml:space="preserve">atherosclerotic peripheral vascular disease </w:t>
      </w:r>
      <w:r w:rsidRPr="00FD7B62">
        <w:rPr>
          <w:rFonts w:eastAsia="Times New Roman" w:cs="Times New Roman"/>
          <w:sz w:val="24"/>
          <w:szCs w:val="24"/>
          <w:lang w:val="en-GB" w:eastAsia="en-AU"/>
        </w:rPr>
        <w:t xml:space="preserve">and </w:t>
      </w:r>
      <w:r w:rsidRPr="00FD7B62">
        <w:rPr>
          <w:rFonts w:eastAsia="Times New Roman" w:cs="Times New Roman"/>
          <w:b/>
          <w:sz w:val="24"/>
          <w:szCs w:val="24"/>
          <w:lang w:val="en-GB" w:eastAsia="en-AU"/>
        </w:rPr>
        <w:t>death from atherosclerotic peripheral vascular disease</w:t>
      </w:r>
      <w:r w:rsidRPr="00FD7B62">
        <w:rPr>
          <w:rFonts w:eastAsia="Times New Roman" w:cs="Times New Roman"/>
          <w:sz w:val="24"/>
          <w:szCs w:val="24"/>
          <w:lang w:val="en-GB" w:eastAsia="en-AU"/>
        </w:rPr>
        <w:t>.</w:t>
      </w:r>
    </w:p>
    <w:p w:rsidR="00FD7B62" w:rsidRPr="00FD7B62" w:rsidRDefault="00FD7B62" w:rsidP="00FD7B62">
      <w:pPr>
        <w:numPr>
          <w:ilvl w:val="0"/>
          <w:numId w:val="15"/>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lastRenderedPageBreak/>
        <w:t xml:space="preserve">For the purposes of this Statement of Principles, </w:t>
      </w:r>
      <w:r w:rsidRPr="00FD7B62">
        <w:rPr>
          <w:rFonts w:eastAsia="Times New Roman" w:cs="Times New Roman"/>
          <w:b/>
          <w:sz w:val="24"/>
          <w:szCs w:val="24"/>
          <w:lang w:val="en-GB" w:eastAsia="en-AU"/>
        </w:rPr>
        <w:t>"atherosclerotic peripheral vascular disease"</w:t>
      </w:r>
      <w:r w:rsidRPr="00FD7B62">
        <w:rPr>
          <w:rFonts w:eastAsia="Times New Roman" w:cs="Times New Roman"/>
          <w:sz w:val="24"/>
          <w:szCs w:val="24"/>
          <w:lang w:val="en-GB" w:eastAsia="en-AU"/>
        </w:rPr>
        <w:t xml:space="preserve"> means partial or total occlusion of the arterial supply to the extremities caused by atherosclerosis and which results in any of the following clinical manifestations:</w:t>
      </w:r>
    </w:p>
    <w:p w:rsidR="00FD7B62" w:rsidRPr="00FD7B62" w:rsidRDefault="00FD7B62" w:rsidP="00FD7B62">
      <w:pPr>
        <w:numPr>
          <w:ilvl w:val="0"/>
          <w:numId w:val="20"/>
        </w:numPr>
        <w:spacing w:before="120"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intermittent claudication;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rest pain;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reduced arterial pulsation;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bruit over a narrowed artery; </w:t>
      </w:r>
    </w:p>
    <w:p w:rsidR="00FD7B62" w:rsidRPr="00FD7B62" w:rsidRDefault="00FD7B62" w:rsidP="00FD7B62">
      <w:pPr>
        <w:numPr>
          <w:ilvl w:val="0"/>
          <w:numId w:val="20"/>
        </w:numPr>
        <w:spacing w:line="240" w:lineRule="atLeast"/>
        <w:ind w:left="2127" w:hanging="709"/>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signs of chronic limb ischaemia (subcutaneous atrophy, hair loss, thickened nails, smooth and shiny skin, coolness, pallor, cyanosis or dependent </w:t>
      </w:r>
      <w:proofErr w:type="spellStart"/>
      <w:r w:rsidRPr="00FD7B62">
        <w:rPr>
          <w:rFonts w:eastAsia="Times New Roman" w:cs="Times New Roman"/>
          <w:sz w:val="24"/>
          <w:szCs w:val="24"/>
          <w:lang w:val="en-GB" w:eastAsia="en-AU"/>
        </w:rPr>
        <w:t>rubor</w:t>
      </w:r>
      <w:proofErr w:type="spellEnd"/>
      <w:r w:rsidRPr="00FD7B62">
        <w:rPr>
          <w:rFonts w:eastAsia="Times New Roman" w:cs="Times New Roman"/>
          <w:sz w:val="24"/>
          <w:szCs w:val="24"/>
          <w:lang w:val="en-GB" w:eastAsia="en-AU"/>
        </w:rPr>
        <w:t xml:space="preserve">);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ulceration;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necrosis;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gangrene; </w:t>
      </w:r>
    </w:p>
    <w:p w:rsidR="00FD7B62" w:rsidRPr="00FD7B62" w:rsidRDefault="00FD7B62" w:rsidP="00FD7B62">
      <w:pPr>
        <w:numPr>
          <w:ilvl w:val="0"/>
          <w:numId w:val="20"/>
        </w:numPr>
        <w:spacing w:line="240" w:lineRule="atLeast"/>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ischaemic neuritis; or</w:t>
      </w:r>
    </w:p>
    <w:p w:rsidR="00FD7B62" w:rsidRPr="00FD7B62" w:rsidRDefault="00FD7B62" w:rsidP="00FD7B62">
      <w:pPr>
        <w:numPr>
          <w:ilvl w:val="0"/>
          <w:numId w:val="20"/>
        </w:numPr>
        <w:spacing w:after="120" w:line="240" w:lineRule="auto"/>
        <w:ind w:left="1418"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ankle-brachial systolic blood pressure index of 0.9 or less.</w:t>
      </w:r>
    </w:p>
    <w:p w:rsidR="00FD7B62" w:rsidRPr="00FD7B62" w:rsidRDefault="00FD7B62" w:rsidP="00FD7B62">
      <w:pPr>
        <w:numPr>
          <w:ilvl w:val="0"/>
          <w:numId w:val="15"/>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Atherosclerotic peripheral vascular disease attracts ICD-10-AM code I70.2.</w:t>
      </w:r>
    </w:p>
    <w:p w:rsidR="00FD7B62" w:rsidRPr="00FD7B62" w:rsidRDefault="00FD7B62" w:rsidP="00FD7B62">
      <w:pPr>
        <w:numPr>
          <w:ilvl w:val="0"/>
          <w:numId w:val="18"/>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In the application of this Statement of Principles, the definition of </w:t>
      </w:r>
      <w:r w:rsidRPr="00FD7B62">
        <w:rPr>
          <w:rFonts w:eastAsia="Times New Roman" w:cs="Times New Roman"/>
          <w:b/>
          <w:sz w:val="24"/>
          <w:szCs w:val="24"/>
          <w:lang w:val="en-GB" w:eastAsia="en-AU"/>
        </w:rPr>
        <w:t xml:space="preserve">"atherosclerotic peripheral vascular disease" </w:t>
      </w:r>
      <w:r w:rsidRPr="00FD7B62">
        <w:rPr>
          <w:rFonts w:eastAsia="Times New Roman" w:cs="Times New Roman"/>
          <w:sz w:val="24"/>
          <w:szCs w:val="24"/>
          <w:lang w:val="en-GB" w:eastAsia="en-AU"/>
        </w:rPr>
        <w:t>is that given at paragraph 3(b) above.</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Basis for determining the factors</w:t>
      </w:r>
    </w:p>
    <w:p w:rsidR="00FD7B62" w:rsidRPr="00FD7B62" w:rsidRDefault="00FD7B62" w:rsidP="00FD7B62">
      <w:pPr>
        <w:spacing w:after="120" w:line="240" w:lineRule="atLeast"/>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4.</w:t>
      </w:r>
      <w:r w:rsidRPr="00FD7B62">
        <w:rPr>
          <w:rFonts w:eastAsia="Times New Roman" w:cs="Times New Roman"/>
          <w:sz w:val="24"/>
          <w:szCs w:val="24"/>
          <w:lang w:val="en-GB" w:eastAsia="en-AU"/>
        </w:rPr>
        <w:tab/>
        <w:t xml:space="preserve">On the sound medical-scientific evidence available, the Repatriation Medical Authority is of the view that it is more probable than not that </w:t>
      </w:r>
      <w:r w:rsidRPr="00FD7B62">
        <w:rPr>
          <w:rFonts w:eastAsia="Times New Roman" w:cs="Times New Roman"/>
          <w:b/>
          <w:sz w:val="24"/>
          <w:szCs w:val="24"/>
          <w:lang w:val="en-GB" w:eastAsia="en-AU"/>
        </w:rPr>
        <w:t xml:space="preserve">atherosclerotic peripheral vascular disease </w:t>
      </w:r>
      <w:r w:rsidRPr="00FD7B62">
        <w:rPr>
          <w:rFonts w:eastAsia="Times New Roman" w:cs="Times New Roman"/>
          <w:sz w:val="24"/>
          <w:szCs w:val="24"/>
          <w:lang w:val="en-GB" w:eastAsia="en-AU"/>
        </w:rPr>
        <w:t>and</w:t>
      </w:r>
      <w:r w:rsidRPr="00FD7B62">
        <w:rPr>
          <w:rFonts w:eastAsia="Times New Roman" w:cs="Times New Roman"/>
          <w:b/>
          <w:sz w:val="24"/>
          <w:szCs w:val="24"/>
          <w:lang w:val="en-GB" w:eastAsia="en-AU"/>
        </w:rPr>
        <w:t xml:space="preserve"> death from atherosclerotic peripheral vascular disease </w:t>
      </w:r>
      <w:r w:rsidRPr="00FD7B62">
        <w:rPr>
          <w:rFonts w:eastAsia="Times New Roman" w:cs="Times New Roman"/>
          <w:sz w:val="24"/>
          <w:szCs w:val="24"/>
          <w:lang w:val="en-GB" w:eastAsia="en-AU"/>
        </w:rPr>
        <w:t xml:space="preserve">can be related to relevant service rendered by veterans or members of the Forces under the VEA, or members under the </w:t>
      </w:r>
      <w:r w:rsidRPr="00FD7B62">
        <w:rPr>
          <w:rFonts w:eastAsia="Times New Roman" w:cs="Times New Roman"/>
          <w:i/>
          <w:sz w:val="24"/>
          <w:szCs w:val="24"/>
          <w:lang w:val="en-GB" w:eastAsia="en-AU"/>
        </w:rPr>
        <w:t>Military Rehabilitation and Compensation Act 2004</w:t>
      </w:r>
      <w:r w:rsidRPr="00FD7B62">
        <w:rPr>
          <w:rFonts w:eastAsia="Times New Roman" w:cs="Times New Roman"/>
          <w:sz w:val="24"/>
          <w:szCs w:val="24"/>
          <w:lang w:val="en-GB" w:eastAsia="en-AU"/>
        </w:rPr>
        <w:t xml:space="preserve"> (the MRCA).</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Factors that must be related to service</w:t>
      </w:r>
    </w:p>
    <w:p w:rsidR="00FD7B62" w:rsidRPr="00FD7B62" w:rsidRDefault="00FD7B62" w:rsidP="00FD7B62">
      <w:pPr>
        <w:spacing w:after="120" w:line="240" w:lineRule="atLeast"/>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5.</w:t>
      </w:r>
      <w:r w:rsidRPr="00FD7B62">
        <w:rPr>
          <w:rFonts w:eastAsia="Times New Roman" w:cs="Times New Roman"/>
          <w:sz w:val="24"/>
          <w:szCs w:val="24"/>
          <w:lang w:val="en-GB" w:eastAsia="en-AU"/>
        </w:rPr>
        <w:tab/>
        <w:t>Subject to clause 7, at least one of the factors set out in clause 6 must be related to the relevant service rendered by the person.</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Factors</w:t>
      </w:r>
    </w:p>
    <w:p w:rsidR="00FD7B62" w:rsidRPr="00FD7B62" w:rsidRDefault="00FD7B62" w:rsidP="00FD7B62">
      <w:pPr>
        <w:spacing w:after="120" w:line="240" w:lineRule="auto"/>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6.</w:t>
      </w:r>
      <w:r w:rsidRPr="00FD7B62">
        <w:rPr>
          <w:rFonts w:eastAsia="Times New Roman" w:cs="Times New Roman"/>
          <w:sz w:val="24"/>
          <w:szCs w:val="24"/>
          <w:lang w:val="en-GB" w:eastAsia="en-AU"/>
        </w:rPr>
        <w:tab/>
        <w:t xml:space="preserve">The factor that must exist before it can be said that, on the balance of probabilities, </w:t>
      </w:r>
      <w:r w:rsidRPr="00FD7B62">
        <w:rPr>
          <w:rFonts w:eastAsia="Times New Roman" w:cs="Times New Roman"/>
          <w:b/>
          <w:sz w:val="24"/>
          <w:szCs w:val="24"/>
          <w:lang w:val="en-GB" w:eastAsia="en-AU"/>
        </w:rPr>
        <w:t>atherosclerotic peripheral vascular disease</w:t>
      </w:r>
      <w:r w:rsidRPr="00FD7B62">
        <w:rPr>
          <w:rFonts w:eastAsia="Times New Roman" w:cs="Times New Roman"/>
          <w:sz w:val="24"/>
          <w:szCs w:val="24"/>
          <w:lang w:val="en-GB" w:eastAsia="en-AU"/>
        </w:rPr>
        <w:t xml:space="preserve"> or</w:t>
      </w:r>
      <w:r w:rsidRPr="00FD7B62">
        <w:rPr>
          <w:rFonts w:eastAsia="Times New Roman" w:cs="Times New Roman"/>
          <w:b/>
          <w:sz w:val="24"/>
          <w:szCs w:val="24"/>
          <w:lang w:val="en-GB" w:eastAsia="en-AU"/>
        </w:rPr>
        <w:t xml:space="preserve"> death from atherosclerotic peripheral vascular disease </w:t>
      </w:r>
      <w:r w:rsidRPr="00FD7B62">
        <w:rPr>
          <w:rFonts w:eastAsia="Times New Roman" w:cs="Times New Roman"/>
          <w:sz w:val="24"/>
          <w:szCs w:val="24"/>
          <w:lang w:val="en-GB" w:eastAsia="en-AU"/>
        </w:rPr>
        <w:t>is connected with the circumstances of a person’s relevant service is:</w:t>
      </w:r>
    </w:p>
    <w:p w:rsidR="00FD7B62" w:rsidRPr="00FD7B62" w:rsidRDefault="00FD7B62" w:rsidP="00FD7B62">
      <w:pPr>
        <w:numPr>
          <w:ilvl w:val="0"/>
          <w:numId w:val="16"/>
        </w:numPr>
        <w:spacing w:after="120" w:line="240" w:lineRule="auto"/>
        <w:jc w:val="both"/>
        <w:rPr>
          <w:rFonts w:eastAsia="Times New Roman" w:cs="Times New Roman"/>
          <w:sz w:val="24"/>
          <w:szCs w:val="24"/>
          <w:lang w:val="en-US" w:eastAsia="en-AU"/>
        </w:rPr>
      </w:pPr>
      <w:r w:rsidRPr="00FD7B62">
        <w:rPr>
          <w:rFonts w:eastAsia="Times New Roman" w:cs="Times New Roman"/>
          <w:sz w:val="24"/>
          <w:szCs w:val="24"/>
          <w:lang w:val="en-GB" w:eastAsia="en-AU"/>
        </w:rPr>
        <w:t xml:space="preserve">smoking at least ten pack-years, or the equivalent thereof in other tobacco products, before the clinical onset of atherosclerotic peripheral vascular disease, and where smoking has ceased, the clinical onset of </w:t>
      </w:r>
      <w:r w:rsidRPr="00FD7B62">
        <w:rPr>
          <w:rFonts w:eastAsia="Times New Roman" w:cs="Times New Roman"/>
          <w:sz w:val="24"/>
          <w:szCs w:val="24"/>
          <w:lang w:val="en-GB" w:eastAsia="en-AU"/>
        </w:rPr>
        <w:lastRenderedPageBreak/>
        <w:t>atherosclerotic peripheral vascular disease has occurred within ten years of cessation;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diabetes mellitus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hypertension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dyslipidaemia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having </w:t>
      </w:r>
      <w:proofErr w:type="spellStart"/>
      <w:r w:rsidRPr="00FD7B62">
        <w:rPr>
          <w:rFonts w:eastAsia="Times New Roman" w:cs="Times New Roman"/>
          <w:sz w:val="24"/>
          <w:szCs w:val="24"/>
          <w:lang w:val="en-GB" w:eastAsia="en-AU"/>
        </w:rPr>
        <w:t>hyperhomocysteinaemia</w:t>
      </w:r>
      <w:proofErr w:type="spellEnd"/>
      <w:r w:rsidRPr="00FD7B62">
        <w:rPr>
          <w:rFonts w:eastAsia="Times New Roman" w:cs="Times New Roman"/>
          <w:sz w:val="24"/>
          <w:szCs w:val="24"/>
          <w:lang w:val="en-GB" w:eastAsia="en-AU"/>
        </w:rPr>
        <w:t xml:space="preserve">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chronic renal disease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US" w:eastAsia="en-AU"/>
        </w:rPr>
        <w:t xml:space="preserve">having received a cumulative equivalent dose of at least 1.0 </w:t>
      </w:r>
      <w:proofErr w:type="spellStart"/>
      <w:r w:rsidRPr="00FD7B62">
        <w:rPr>
          <w:rFonts w:eastAsia="Times New Roman" w:cs="Times New Roman"/>
          <w:sz w:val="24"/>
          <w:szCs w:val="24"/>
          <w:lang w:val="en-US" w:eastAsia="en-AU"/>
        </w:rPr>
        <w:t>sievert</w:t>
      </w:r>
      <w:proofErr w:type="spellEnd"/>
      <w:r w:rsidRPr="00FD7B62">
        <w:rPr>
          <w:rFonts w:eastAsia="Times New Roman" w:cs="Times New Roman"/>
          <w:sz w:val="24"/>
          <w:szCs w:val="24"/>
          <w:lang w:val="en-US" w:eastAsia="en-AU"/>
        </w:rPr>
        <w:t xml:space="preserve"> of </w:t>
      </w:r>
      <w:proofErr w:type="spellStart"/>
      <w:r w:rsidRPr="00FD7B62">
        <w:rPr>
          <w:rFonts w:eastAsia="Times New Roman" w:cs="Times New Roman"/>
          <w:sz w:val="24"/>
          <w:szCs w:val="24"/>
          <w:lang w:val="en-US" w:eastAsia="en-AU"/>
        </w:rPr>
        <w:t>ionising</w:t>
      </w:r>
      <w:proofErr w:type="spellEnd"/>
      <w:r w:rsidRPr="00FD7B62">
        <w:rPr>
          <w:rFonts w:eastAsia="Times New Roman" w:cs="Times New Roman"/>
          <w:sz w:val="24"/>
          <w:szCs w:val="24"/>
          <w:lang w:val="en-US" w:eastAsia="en-AU"/>
        </w:rPr>
        <w:t xml:space="preserve"> radiation to </w:t>
      </w:r>
      <w:r w:rsidRPr="00FD7B62">
        <w:rPr>
          <w:rFonts w:eastAsia="Times New Roman" w:cs="Times New Roman"/>
          <w:sz w:val="24"/>
          <w:szCs w:val="24"/>
          <w:lang w:val="en-GB" w:eastAsia="en-AU"/>
        </w:rPr>
        <w:t xml:space="preserve">the affected artery </w:t>
      </w:r>
      <w:r w:rsidRPr="00FD7B62">
        <w:rPr>
          <w:rFonts w:eastAsia="Times New Roman" w:cs="Times New Roman"/>
          <w:sz w:val="24"/>
          <w:szCs w:val="24"/>
          <w:lang w:val="en-US" w:eastAsia="en-AU"/>
        </w:rPr>
        <w:t xml:space="preserve">before the clinical onset of </w:t>
      </w:r>
      <w:r w:rsidRPr="00FD7B62">
        <w:rPr>
          <w:rFonts w:eastAsia="Times New Roman" w:cs="Times New Roman"/>
          <w:sz w:val="24"/>
          <w:szCs w:val="24"/>
          <w:lang w:val="en-GB" w:eastAsia="en-AU"/>
        </w:rPr>
        <w:t>atherosclerotic peripheral vascular disease</w:t>
      </w:r>
      <w:r w:rsidRPr="00FD7B62">
        <w:rPr>
          <w:rFonts w:eastAsia="Times New Roman" w:cs="Times New Roman"/>
          <w:sz w:val="24"/>
          <w:szCs w:val="24"/>
          <w:lang w:val="en-US" w:eastAsia="en-AU"/>
        </w:rPr>
        <w:t>;</w:t>
      </w:r>
      <w:r w:rsidRPr="00FD7B62">
        <w:rPr>
          <w:rFonts w:eastAsia="Times New Roman" w:cs="Times New Roman"/>
          <w:sz w:val="24"/>
          <w:szCs w:val="24"/>
          <w:lang w:val="en-GB" w:eastAsia="en-AU"/>
        </w:rPr>
        <w:t xml:space="preserv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undergoing a course of therapeutic radiation for cancer, where the affected artery was in the field of radiation, before the clinical onset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smoking at least ten pack-years, or the equivalent thereof in other tobacco products, before the clinical worsening of atherosclerotic peripheral vascular disease, and where smoking has ceased, the clinical worsening of atherosclerotic peripheral vascular disease has occurred within ten years of cessation;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diabetes mellitus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hypertension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dyslipidaemia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 xml:space="preserve">having </w:t>
      </w:r>
      <w:proofErr w:type="spellStart"/>
      <w:r w:rsidRPr="00FD7B62">
        <w:rPr>
          <w:rFonts w:eastAsia="Times New Roman" w:cs="Times New Roman"/>
          <w:sz w:val="24"/>
          <w:szCs w:val="24"/>
          <w:lang w:val="en-GB" w:eastAsia="en-AU"/>
        </w:rPr>
        <w:t>hyperhomocysteinaemia</w:t>
      </w:r>
      <w:proofErr w:type="spellEnd"/>
      <w:r w:rsidRPr="00FD7B62">
        <w:rPr>
          <w:rFonts w:eastAsia="Times New Roman" w:cs="Times New Roman"/>
          <w:sz w:val="24"/>
          <w:szCs w:val="24"/>
          <w:lang w:val="en-GB" w:eastAsia="en-AU"/>
        </w:rPr>
        <w:t xml:space="preserve">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having chronic renal disease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US" w:eastAsia="en-AU"/>
        </w:rPr>
        <w:t xml:space="preserve">having received a cumulative equivalent dose of at least 1.0 </w:t>
      </w:r>
      <w:proofErr w:type="spellStart"/>
      <w:r w:rsidRPr="00FD7B62">
        <w:rPr>
          <w:rFonts w:eastAsia="Times New Roman" w:cs="Times New Roman"/>
          <w:sz w:val="24"/>
          <w:szCs w:val="24"/>
          <w:lang w:val="en-US" w:eastAsia="en-AU"/>
        </w:rPr>
        <w:t>sievert</w:t>
      </w:r>
      <w:proofErr w:type="spellEnd"/>
      <w:r w:rsidRPr="00FD7B62">
        <w:rPr>
          <w:rFonts w:eastAsia="Times New Roman" w:cs="Times New Roman"/>
          <w:sz w:val="24"/>
          <w:szCs w:val="24"/>
          <w:lang w:val="en-US" w:eastAsia="en-AU"/>
        </w:rPr>
        <w:t xml:space="preserve"> of </w:t>
      </w:r>
      <w:proofErr w:type="spellStart"/>
      <w:r w:rsidRPr="00FD7B62">
        <w:rPr>
          <w:rFonts w:eastAsia="Times New Roman" w:cs="Times New Roman"/>
          <w:sz w:val="24"/>
          <w:szCs w:val="24"/>
          <w:lang w:val="en-US" w:eastAsia="en-AU"/>
        </w:rPr>
        <w:t>ionising</w:t>
      </w:r>
      <w:proofErr w:type="spellEnd"/>
      <w:r w:rsidRPr="00FD7B62">
        <w:rPr>
          <w:rFonts w:eastAsia="Times New Roman" w:cs="Times New Roman"/>
          <w:sz w:val="24"/>
          <w:szCs w:val="24"/>
          <w:lang w:val="en-US" w:eastAsia="en-AU"/>
        </w:rPr>
        <w:t xml:space="preserve"> radiation to </w:t>
      </w:r>
      <w:r w:rsidRPr="00FD7B62">
        <w:rPr>
          <w:rFonts w:eastAsia="Times New Roman" w:cs="Times New Roman"/>
          <w:sz w:val="24"/>
          <w:szCs w:val="24"/>
          <w:lang w:val="en-GB" w:eastAsia="en-AU"/>
        </w:rPr>
        <w:t xml:space="preserve">the affected artery </w:t>
      </w:r>
      <w:r w:rsidRPr="00FD7B62">
        <w:rPr>
          <w:rFonts w:eastAsia="Times New Roman" w:cs="Times New Roman"/>
          <w:sz w:val="24"/>
          <w:szCs w:val="24"/>
          <w:lang w:val="en-US" w:eastAsia="en-AU"/>
        </w:rPr>
        <w:t xml:space="preserve">before the clinical worsening of </w:t>
      </w:r>
      <w:r w:rsidRPr="00FD7B62">
        <w:rPr>
          <w:rFonts w:eastAsia="Times New Roman" w:cs="Times New Roman"/>
          <w:sz w:val="24"/>
          <w:szCs w:val="24"/>
          <w:lang w:val="en-GB" w:eastAsia="en-AU"/>
        </w:rPr>
        <w:t>atherosclerotic peripheral vascular disease</w:t>
      </w:r>
      <w:r w:rsidRPr="00FD7B62">
        <w:rPr>
          <w:rFonts w:eastAsia="Times New Roman" w:cs="Times New Roman"/>
          <w:sz w:val="24"/>
          <w:szCs w:val="24"/>
          <w:lang w:val="en-US" w:eastAsia="en-AU"/>
        </w:rPr>
        <w:t>;</w:t>
      </w:r>
      <w:r w:rsidRPr="00FD7B62">
        <w:rPr>
          <w:rFonts w:eastAsia="Times New Roman" w:cs="Times New Roman"/>
          <w:sz w:val="24"/>
          <w:szCs w:val="24"/>
          <w:lang w:val="en-GB" w:eastAsia="en-AU"/>
        </w:rPr>
        <w:t xml:space="preserv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lastRenderedPageBreak/>
        <w:t>undergoing a course of therapeutic radiation for cancer, where the affected artery was in the field of radiation, before the clinical worsening of atherosclerotic peripheral vascular disease; or</w:t>
      </w:r>
    </w:p>
    <w:p w:rsidR="00FD7B62" w:rsidRPr="00FD7B62" w:rsidRDefault="00FD7B62" w:rsidP="00FD7B62">
      <w:pPr>
        <w:numPr>
          <w:ilvl w:val="0"/>
          <w:numId w:val="16"/>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inability to obtain appropriate clinical management for atherosclerotic peripheral vascular disease.</w:t>
      </w:r>
    </w:p>
    <w:p w:rsidR="00FD7B62" w:rsidRPr="00FD7B62" w:rsidRDefault="00FD7B62" w:rsidP="00FD7B62">
      <w:pPr>
        <w:keepNext/>
        <w:spacing w:after="120" w:line="240" w:lineRule="auto"/>
        <w:jc w:val="both"/>
        <w:outlineLvl w:val="0"/>
        <w:rPr>
          <w:rFonts w:eastAsia="Times New Roman" w:cs="Times New Roman"/>
          <w:b/>
          <w:sz w:val="24"/>
          <w:szCs w:val="24"/>
          <w:lang w:eastAsia="en-AU"/>
        </w:rPr>
      </w:pPr>
      <w:r w:rsidRPr="00FD7B62">
        <w:rPr>
          <w:rFonts w:eastAsia="Times New Roman" w:cs="Times New Roman"/>
          <w:b/>
          <w:sz w:val="24"/>
          <w:szCs w:val="24"/>
          <w:lang w:eastAsia="en-AU"/>
        </w:rPr>
        <w:t>Factors that apply only to material contribution or aggravation</w:t>
      </w:r>
    </w:p>
    <w:p w:rsidR="00FD7B62" w:rsidRPr="00FD7B62" w:rsidRDefault="00FD7B62" w:rsidP="00FD7B62">
      <w:pPr>
        <w:spacing w:after="120" w:line="240" w:lineRule="atLeast"/>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7.</w:t>
      </w:r>
      <w:r w:rsidRPr="00FD7B62">
        <w:rPr>
          <w:rFonts w:eastAsia="Times New Roman" w:cs="Times New Roman"/>
          <w:sz w:val="24"/>
          <w:szCs w:val="24"/>
          <w:lang w:val="en-GB" w:eastAsia="en-AU"/>
        </w:rPr>
        <w:tab/>
        <w:t xml:space="preserve">Paragraphs </w:t>
      </w:r>
      <w:r w:rsidRPr="00FD7B62">
        <w:rPr>
          <w:rFonts w:eastAsia="Times New Roman" w:cs="Times New Roman"/>
          <w:b/>
          <w:sz w:val="24"/>
          <w:szCs w:val="24"/>
          <w:lang w:val="en-GB" w:eastAsia="en-AU"/>
        </w:rPr>
        <w:t>6(</w:t>
      </w:r>
      <w:proofErr w:type="spellStart"/>
      <w:r w:rsidRPr="00FD7B62">
        <w:rPr>
          <w:rFonts w:eastAsia="Times New Roman" w:cs="Times New Roman"/>
          <w:b/>
          <w:sz w:val="24"/>
          <w:szCs w:val="24"/>
          <w:lang w:val="en-GB" w:eastAsia="en-AU"/>
        </w:rPr>
        <w:t>i</w:t>
      </w:r>
      <w:proofErr w:type="spellEnd"/>
      <w:r w:rsidRPr="00FD7B62">
        <w:rPr>
          <w:rFonts w:eastAsia="Times New Roman" w:cs="Times New Roman"/>
          <w:b/>
          <w:sz w:val="24"/>
          <w:szCs w:val="24"/>
          <w:lang w:val="en-GB" w:eastAsia="en-AU"/>
        </w:rPr>
        <w:t xml:space="preserve">) to 6(q) </w:t>
      </w:r>
      <w:r w:rsidRPr="00FD7B62">
        <w:rPr>
          <w:rFonts w:eastAsia="Times New Roman" w:cs="Times New Roman"/>
          <w:sz w:val="24"/>
          <w:szCs w:val="24"/>
          <w:lang w:val="en-GB" w:eastAsia="en-AU"/>
        </w:rPr>
        <w:t>apply only to material contribution to, or aggravation of, atherosclerotic peripheral vascular disease where the person’s atherosclerotic peripheral vascular disease was suffered or contracted before or during (but not arising out of) the person’s relevant service.</w:t>
      </w:r>
    </w:p>
    <w:p w:rsidR="00FD7B62" w:rsidRPr="00FD7B62" w:rsidRDefault="00FD7B62" w:rsidP="00FD7B62">
      <w:pPr>
        <w:spacing w:after="120" w:line="240" w:lineRule="atLeast"/>
        <w:jc w:val="both"/>
        <w:outlineLvl w:val="0"/>
        <w:rPr>
          <w:rFonts w:eastAsia="Times New Roman" w:cs="Times New Roman"/>
          <w:b/>
          <w:sz w:val="24"/>
          <w:szCs w:val="24"/>
          <w:lang w:val="en-GB" w:eastAsia="en-AU"/>
        </w:rPr>
      </w:pPr>
      <w:r w:rsidRPr="00FD7B62">
        <w:rPr>
          <w:rFonts w:eastAsia="Times New Roman" w:cs="Times New Roman"/>
          <w:b/>
          <w:sz w:val="24"/>
          <w:szCs w:val="24"/>
          <w:lang w:val="en-GB" w:eastAsia="en-AU"/>
        </w:rPr>
        <w:t>Inclusion of Statements of Principles</w:t>
      </w:r>
    </w:p>
    <w:p w:rsidR="00FD7B62" w:rsidRPr="00FD7B62" w:rsidRDefault="00FD7B62" w:rsidP="00FD7B62">
      <w:pPr>
        <w:numPr>
          <w:ilvl w:val="0"/>
          <w:numId w:val="17"/>
        </w:numPr>
        <w:spacing w:after="120" w:line="240" w:lineRule="atLeast"/>
        <w:jc w:val="both"/>
        <w:rPr>
          <w:rFonts w:eastAsia="Times New Roman" w:cs="Times New Roman"/>
          <w:sz w:val="24"/>
          <w:szCs w:val="24"/>
          <w:lang w:val="en-GB" w:eastAsia="en-AU"/>
        </w:rPr>
      </w:pPr>
      <w:r w:rsidRPr="00FD7B62">
        <w:rPr>
          <w:rFonts w:eastAsia="Times New Roman" w:cs="Times New Roman"/>
          <w:sz w:val="24"/>
          <w:szCs w:val="24"/>
          <w:lang w:val="en-GB" w:eastAsia="en-AU"/>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FD7B62" w:rsidRPr="00FD7B62" w:rsidRDefault="00FD7B62" w:rsidP="00FD7B62">
      <w:pPr>
        <w:keepNext/>
        <w:spacing w:after="120" w:line="240" w:lineRule="auto"/>
        <w:jc w:val="both"/>
        <w:outlineLvl w:val="0"/>
        <w:rPr>
          <w:rFonts w:eastAsia="Times New Roman" w:cs="Times New Roman"/>
          <w:b/>
          <w:sz w:val="24"/>
          <w:szCs w:val="24"/>
          <w:lang w:eastAsia="en-AU"/>
        </w:rPr>
      </w:pPr>
      <w:r w:rsidRPr="00FD7B62">
        <w:rPr>
          <w:rFonts w:eastAsia="Times New Roman" w:cs="Times New Roman"/>
          <w:b/>
          <w:sz w:val="24"/>
          <w:szCs w:val="24"/>
          <w:lang w:eastAsia="en-AU"/>
        </w:rPr>
        <w:t>Other definitions</w:t>
      </w:r>
    </w:p>
    <w:p w:rsidR="00FD7B62" w:rsidRPr="00FD7B62" w:rsidRDefault="00FD7B62" w:rsidP="00FD7B62">
      <w:pPr>
        <w:numPr>
          <w:ilvl w:val="0"/>
          <w:numId w:val="14"/>
        </w:numPr>
        <w:spacing w:after="120" w:line="240" w:lineRule="auto"/>
        <w:jc w:val="both"/>
        <w:rPr>
          <w:rFonts w:eastAsia="Times New Roman" w:cs="Times New Roman"/>
          <w:sz w:val="24"/>
          <w:szCs w:val="24"/>
          <w:lang w:val="en-GB" w:eastAsia="en-AU"/>
        </w:rPr>
      </w:pPr>
      <w:r w:rsidRPr="00FD7B62">
        <w:rPr>
          <w:rFonts w:eastAsia="Times New Roman" w:cs="Times New Roman"/>
          <w:sz w:val="24"/>
          <w:szCs w:val="24"/>
          <w:lang w:val="en-GB" w:eastAsia="en-AU"/>
        </w:rPr>
        <w:t>For the purposes of this Statement of Principles:</w:t>
      </w:r>
    </w:p>
    <w:p w:rsidR="00FD7B62" w:rsidRPr="00FD7B62" w:rsidRDefault="00FD7B62" w:rsidP="00FD7B62">
      <w:pPr>
        <w:tabs>
          <w:tab w:val="num" w:pos="709"/>
        </w:tabs>
        <w:spacing w:after="120" w:line="240" w:lineRule="auto"/>
        <w:ind w:left="709"/>
        <w:jc w:val="both"/>
        <w:rPr>
          <w:rFonts w:eastAsia="Times New Roman" w:cs="Times New Roman"/>
          <w:sz w:val="24"/>
          <w:szCs w:val="24"/>
          <w:lang w:val="en-GB" w:eastAsia="en-AU"/>
        </w:rPr>
      </w:pPr>
      <w:r w:rsidRPr="00FD7B62">
        <w:rPr>
          <w:rFonts w:eastAsia="Times New Roman" w:cs="Times New Roman"/>
          <w:b/>
          <w:sz w:val="24"/>
          <w:szCs w:val="24"/>
          <w:lang w:val="en-GB" w:eastAsia="en-AU"/>
        </w:rPr>
        <w:t xml:space="preserve">"chronic renal disease" </w:t>
      </w:r>
      <w:r w:rsidRPr="00FD7B62">
        <w:rPr>
          <w:rFonts w:eastAsia="Times New Roman" w:cs="Times New Roman"/>
          <w:sz w:val="24"/>
          <w:szCs w:val="24"/>
          <w:lang w:val="en-GB" w:eastAsia="en-AU"/>
        </w:rPr>
        <w:t xml:space="preserve">means </w:t>
      </w:r>
      <w:r w:rsidRPr="00FD7B62">
        <w:rPr>
          <w:rFonts w:eastAsia="Times New Roman" w:cs="Times New Roman"/>
          <w:snapToGrid w:val="0"/>
          <w:sz w:val="24"/>
          <w:szCs w:val="24"/>
          <w:lang w:val="en-GB" w:eastAsia="en-AU"/>
        </w:rPr>
        <w:t>irreversible kidney damage which leads to impaired renal function</w:t>
      </w:r>
      <w:r w:rsidRPr="00FD7B62">
        <w:rPr>
          <w:rFonts w:eastAsia="Times New Roman" w:cs="Times New Roman"/>
          <w:sz w:val="24"/>
          <w:szCs w:val="24"/>
          <w:lang w:val="en-GB" w:eastAsia="en-AU"/>
        </w:rPr>
        <w:t>;</w:t>
      </w:r>
    </w:p>
    <w:p w:rsidR="00D076A9" w:rsidRPr="00BD3220" w:rsidRDefault="00D076A9" w:rsidP="00746DB1">
      <w:pPr>
        <w:pStyle w:val="Definition"/>
        <w:ind w:left="709"/>
        <w:jc w:val="both"/>
        <w:rPr>
          <w:sz w:val="24"/>
          <w:szCs w:val="24"/>
        </w:rPr>
      </w:pPr>
      <w:r w:rsidRPr="00BD3220">
        <w:rPr>
          <w:b/>
          <w:sz w:val="24"/>
          <w:szCs w:val="24"/>
        </w:rPr>
        <w:t>"cumulative equivalent dose"</w:t>
      </w:r>
      <w:r w:rsidRPr="00BD3220">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BD3220">
        <w:rPr>
          <w:i/>
          <w:sz w:val="24"/>
          <w:szCs w:val="24"/>
        </w:rPr>
        <w:t>Guide to calculation of 'cumulative equivalent dose' for the purpose of applying ionising radiation factors contained in Statements of Principles determined under Part XIA of the Veterans' Entitlements Act 1986 (</w:t>
      </w:r>
      <w:proofErr w:type="spellStart"/>
      <w:r w:rsidRPr="00BD3220">
        <w:rPr>
          <w:i/>
          <w:sz w:val="24"/>
          <w:szCs w:val="24"/>
        </w:rPr>
        <w:t>Cth</w:t>
      </w:r>
      <w:proofErr w:type="spellEnd"/>
      <w:r w:rsidRPr="00BD3220">
        <w:rPr>
          <w:i/>
          <w:sz w:val="24"/>
          <w:szCs w:val="24"/>
        </w:rPr>
        <w:t>)</w:t>
      </w:r>
      <w:r w:rsidRPr="00BD3220">
        <w:rPr>
          <w:sz w:val="24"/>
          <w:szCs w:val="24"/>
        </w:rPr>
        <w:t>, Australian Radiation Protection and Nuclear Safety Agency</w:t>
      </w:r>
      <w:r w:rsidRPr="00BD3220">
        <w:rPr>
          <w:rFonts w:eastAsia="Calibri"/>
          <w:sz w:val="24"/>
          <w:szCs w:val="24"/>
        </w:rPr>
        <w:t>, as in force on 2 August 2017</w:t>
      </w:r>
      <w:r>
        <w:rPr>
          <w:rFonts w:eastAsia="Calibri"/>
          <w:sz w:val="24"/>
          <w:szCs w:val="24"/>
        </w:rPr>
        <w:t>;</w:t>
      </w:r>
    </w:p>
    <w:p w:rsidR="00D076A9" w:rsidRPr="00BD3220" w:rsidRDefault="00D076A9" w:rsidP="00746DB1">
      <w:pPr>
        <w:pStyle w:val="notetext"/>
        <w:ind w:left="1418" w:hanging="709"/>
        <w:jc w:val="both"/>
        <w:rPr>
          <w:sz w:val="20"/>
        </w:rPr>
      </w:pPr>
      <w:r w:rsidRPr="00BD3220">
        <w:rPr>
          <w:sz w:val="20"/>
        </w:rPr>
        <w:t>Note 1:</w:t>
      </w:r>
      <w:r w:rsidRPr="00BD3220">
        <w:rPr>
          <w:sz w:val="20"/>
        </w:rPr>
        <w:tab/>
        <w:t xml:space="preserve">Examples of circumstances that might lead to exposure to ionising radiation include </w:t>
      </w:r>
      <w:bookmarkStart w:id="0" w:name="_GoBack"/>
      <w:bookmarkEnd w:id="0"/>
      <w:r w:rsidRPr="00BD3220">
        <w:rPr>
          <w:sz w:val="20"/>
        </w:rPr>
        <w:t>being present during or subsequent to the testing or use of nuclear weapons, undergoing diagnostic or therapeutic medical procedures involving ionising radiation, and being a member of an aircrew, leading to increased levels of exposure to cosmic radiation.</w:t>
      </w:r>
    </w:p>
    <w:p w:rsidR="00D076A9" w:rsidRPr="00BD3220" w:rsidRDefault="00D076A9" w:rsidP="00746DB1">
      <w:pPr>
        <w:pStyle w:val="notetext"/>
        <w:spacing w:after="120"/>
        <w:ind w:left="1418" w:hanging="709"/>
        <w:jc w:val="both"/>
        <w:rPr>
          <w:sz w:val="20"/>
        </w:rPr>
      </w:pPr>
      <w:r w:rsidRPr="00BD3220">
        <w:rPr>
          <w:sz w:val="20"/>
        </w:rPr>
        <w:t>Note 2:</w:t>
      </w:r>
      <w:r w:rsidRPr="00BD3220">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FD7B62" w:rsidRPr="00FD7B62" w:rsidRDefault="00FD7B62" w:rsidP="00FD7B62">
      <w:pPr>
        <w:tabs>
          <w:tab w:val="num" w:pos="709"/>
        </w:tabs>
        <w:spacing w:after="120" w:line="240" w:lineRule="auto"/>
        <w:ind w:left="709"/>
        <w:jc w:val="both"/>
        <w:rPr>
          <w:rFonts w:eastAsia="Times New Roman" w:cs="Times New Roman"/>
          <w:sz w:val="24"/>
          <w:szCs w:val="24"/>
          <w:lang w:val="en-GB" w:eastAsia="en-AU"/>
        </w:rPr>
      </w:pPr>
      <w:r w:rsidRPr="00FD7B62">
        <w:rPr>
          <w:rFonts w:eastAsia="Times New Roman" w:cs="Times New Roman"/>
          <w:b/>
          <w:sz w:val="24"/>
          <w:szCs w:val="24"/>
          <w:lang w:val="en-GB" w:eastAsia="en-AU"/>
        </w:rPr>
        <w:t xml:space="preserve">"death from atherosclerotic peripheral vascular disease" </w:t>
      </w:r>
      <w:r w:rsidRPr="00FD7B62">
        <w:rPr>
          <w:rFonts w:eastAsia="Times New Roman" w:cs="Times New Roman"/>
          <w:sz w:val="24"/>
          <w:szCs w:val="24"/>
          <w:lang w:val="en-GB" w:eastAsia="en-AU"/>
        </w:rPr>
        <w:t>in relation to a person includes death from a terminal event or condition that was contributed to by the person’s atherosclerotic peripheral vascular disease;</w:t>
      </w:r>
    </w:p>
    <w:p w:rsidR="00FD7B62" w:rsidRPr="00FD7B62" w:rsidRDefault="00FD7B62" w:rsidP="00FD7B62">
      <w:pPr>
        <w:tabs>
          <w:tab w:val="num" w:pos="709"/>
        </w:tabs>
        <w:spacing w:after="120" w:line="240" w:lineRule="atLeast"/>
        <w:ind w:left="720"/>
        <w:jc w:val="both"/>
        <w:rPr>
          <w:rFonts w:eastAsia="Times New Roman" w:cs="Times New Roman"/>
          <w:sz w:val="24"/>
          <w:szCs w:val="24"/>
          <w:lang w:val="en-US" w:eastAsia="en-AU"/>
        </w:rPr>
      </w:pPr>
      <w:r w:rsidRPr="00FD7B62">
        <w:rPr>
          <w:rFonts w:eastAsia="Times New Roman" w:cs="Times New Roman"/>
          <w:b/>
          <w:sz w:val="24"/>
          <w:szCs w:val="24"/>
          <w:lang w:val="en-US" w:eastAsia="en-AU"/>
        </w:rPr>
        <w:lastRenderedPageBreak/>
        <w:t>"</w:t>
      </w:r>
      <w:proofErr w:type="spellStart"/>
      <w:r w:rsidRPr="00FD7B62">
        <w:rPr>
          <w:rFonts w:eastAsia="Times New Roman" w:cs="Times New Roman"/>
          <w:b/>
          <w:sz w:val="24"/>
          <w:szCs w:val="24"/>
          <w:lang w:val="en-US" w:eastAsia="en-AU"/>
        </w:rPr>
        <w:t>dyslipidaemia</w:t>
      </w:r>
      <w:proofErr w:type="spellEnd"/>
      <w:r w:rsidRPr="00FD7B62">
        <w:rPr>
          <w:rFonts w:eastAsia="Times New Roman" w:cs="Times New Roman"/>
          <w:b/>
          <w:sz w:val="24"/>
          <w:szCs w:val="24"/>
          <w:lang w:val="en-US" w:eastAsia="en-AU"/>
        </w:rPr>
        <w:t>"</w:t>
      </w:r>
      <w:r w:rsidRPr="00FD7B62">
        <w:rPr>
          <w:rFonts w:eastAsia="Times New Roman" w:cs="Times New Roman"/>
          <w:sz w:val="24"/>
          <w:szCs w:val="24"/>
          <w:lang w:val="en-US" w:eastAsia="en-AU"/>
        </w:rPr>
        <w:t xml:space="preserve"> generally means evidence of a persistently abnormal lipid profile after the accurate evaluation of serum lipids following a 12 hour overnight fast, and estimated on a minimum of two occasions as:</w:t>
      </w:r>
    </w:p>
    <w:p w:rsidR="00FD7B62" w:rsidRPr="00FD7B62" w:rsidRDefault="00FD7B62" w:rsidP="00E31A36">
      <w:pPr>
        <w:numPr>
          <w:ilvl w:val="0"/>
          <w:numId w:val="21"/>
        </w:numPr>
        <w:tabs>
          <w:tab w:val="clear" w:pos="1211"/>
        </w:tabs>
        <w:spacing w:line="240" w:lineRule="atLeast"/>
        <w:ind w:left="1418" w:hanging="709"/>
        <w:jc w:val="both"/>
        <w:rPr>
          <w:rFonts w:eastAsia="Times New Roman" w:cs="Times New Roman"/>
          <w:sz w:val="24"/>
          <w:szCs w:val="24"/>
          <w:lang w:val="en-US" w:eastAsia="en-AU"/>
        </w:rPr>
      </w:pPr>
      <w:r w:rsidRPr="00FD7B62">
        <w:rPr>
          <w:rFonts w:eastAsia="Times New Roman" w:cs="Times New Roman"/>
          <w:sz w:val="24"/>
          <w:szCs w:val="24"/>
          <w:lang w:val="en-US" w:eastAsia="en-AU"/>
        </w:rPr>
        <w:t>a total cholesterol level greater than or equal to 5.5 </w:t>
      </w:r>
      <w:proofErr w:type="spellStart"/>
      <w:r w:rsidRPr="00FD7B62">
        <w:rPr>
          <w:rFonts w:eastAsia="Times New Roman" w:cs="Times New Roman"/>
          <w:sz w:val="24"/>
          <w:szCs w:val="24"/>
          <w:lang w:val="en-US" w:eastAsia="en-AU"/>
        </w:rPr>
        <w:t>millimoles</w:t>
      </w:r>
      <w:proofErr w:type="spellEnd"/>
      <w:r w:rsidRPr="00FD7B62">
        <w:rPr>
          <w:rFonts w:eastAsia="Times New Roman" w:cs="Times New Roman"/>
          <w:sz w:val="24"/>
          <w:szCs w:val="24"/>
          <w:lang w:val="en-US" w:eastAsia="en-AU"/>
        </w:rPr>
        <w:t xml:space="preserve"> per </w:t>
      </w:r>
      <w:proofErr w:type="spellStart"/>
      <w:r w:rsidRPr="00FD7B62">
        <w:rPr>
          <w:rFonts w:eastAsia="Times New Roman" w:cs="Times New Roman"/>
          <w:sz w:val="24"/>
          <w:szCs w:val="24"/>
          <w:lang w:val="en-US" w:eastAsia="en-AU"/>
        </w:rPr>
        <w:t>litre</w:t>
      </w:r>
      <w:proofErr w:type="spellEnd"/>
      <w:r w:rsidRPr="00FD7B62">
        <w:rPr>
          <w:rFonts w:eastAsia="Times New Roman" w:cs="Times New Roman"/>
          <w:sz w:val="24"/>
          <w:szCs w:val="24"/>
          <w:lang w:val="en-US" w:eastAsia="en-AU"/>
        </w:rPr>
        <w:t xml:space="preserve"> (</w:t>
      </w:r>
      <w:proofErr w:type="spellStart"/>
      <w:r w:rsidRPr="00FD7B62">
        <w:rPr>
          <w:rFonts w:eastAsia="Times New Roman" w:cs="Times New Roman"/>
          <w:sz w:val="24"/>
          <w:szCs w:val="24"/>
          <w:lang w:val="en-US" w:eastAsia="en-AU"/>
        </w:rPr>
        <w:t>mmol</w:t>
      </w:r>
      <w:proofErr w:type="spellEnd"/>
      <w:r w:rsidRPr="00FD7B62">
        <w:rPr>
          <w:rFonts w:eastAsia="Times New Roman" w:cs="Times New Roman"/>
          <w:sz w:val="24"/>
          <w:szCs w:val="24"/>
          <w:lang w:val="en-US" w:eastAsia="en-AU"/>
        </w:rPr>
        <w:t>/L);</w:t>
      </w:r>
    </w:p>
    <w:p w:rsidR="00FD7B62" w:rsidRPr="00FD7B62" w:rsidRDefault="00FD7B62" w:rsidP="00E31A36">
      <w:pPr>
        <w:numPr>
          <w:ilvl w:val="0"/>
          <w:numId w:val="21"/>
        </w:numPr>
        <w:tabs>
          <w:tab w:val="clear" w:pos="1211"/>
        </w:tabs>
        <w:spacing w:line="240" w:lineRule="atLeast"/>
        <w:ind w:left="1418" w:hanging="709"/>
        <w:jc w:val="both"/>
        <w:rPr>
          <w:rFonts w:eastAsia="Times New Roman" w:cs="Times New Roman"/>
          <w:sz w:val="24"/>
          <w:szCs w:val="24"/>
          <w:lang w:val="en-GB" w:eastAsia="en-AU"/>
        </w:rPr>
      </w:pPr>
      <w:r w:rsidRPr="00FD7B62">
        <w:rPr>
          <w:rFonts w:eastAsia="Times New Roman" w:cs="Times New Roman"/>
          <w:sz w:val="24"/>
          <w:szCs w:val="24"/>
          <w:lang w:val="en-US" w:eastAsia="en-AU"/>
        </w:rPr>
        <w:t xml:space="preserve">a triglyceride level greater than or equal to 2.0 </w:t>
      </w:r>
      <w:proofErr w:type="spellStart"/>
      <w:r w:rsidRPr="00FD7B62">
        <w:rPr>
          <w:rFonts w:eastAsia="Times New Roman" w:cs="Times New Roman"/>
          <w:sz w:val="24"/>
          <w:szCs w:val="24"/>
          <w:lang w:val="en-US" w:eastAsia="en-AU"/>
        </w:rPr>
        <w:t>mmol</w:t>
      </w:r>
      <w:proofErr w:type="spellEnd"/>
      <w:r w:rsidRPr="00FD7B62">
        <w:rPr>
          <w:rFonts w:eastAsia="Times New Roman" w:cs="Times New Roman"/>
          <w:sz w:val="24"/>
          <w:szCs w:val="24"/>
          <w:lang w:val="en-US" w:eastAsia="en-AU"/>
        </w:rPr>
        <w:t>/L; or</w:t>
      </w:r>
    </w:p>
    <w:p w:rsidR="00FD7B62" w:rsidRPr="00FD7B62" w:rsidRDefault="00FD7B62" w:rsidP="00E31A36">
      <w:pPr>
        <w:numPr>
          <w:ilvl w:val="0"/>
          <w:numId w:val="21"/>
        </w:numPr>
        <w:tabs>
          <w:tab w:val="clear" w:pos="1211"/>
        </w:tabs>
        <w:spacing w:after="120" w:line="240" w:lineRule="atLeast"/>
        <w:ind w:left="1418" w:hanging="709"/>
        <w:jc w:val="both"/>
        <w:rPr>
          <w:rFonts w:eastAsia="Times New Roman" w:cs="Times New Roman"/>
          <w:sz w:val="24"/>
          <w:szCs w:val="24"/>
          <w:lang w:val="en-GB" w:eastAsia="en-AU"/>
        </w:rPr>
      </w:pPr>
      <w:r w:rsidRPr="00FD7B62">
        <w:rPr>
          <w:rFonts w:eastAsia="Times New Roman" w:cs="Times New Roman"/>
          <w:sz w:val="24"/>
          <w:szCs w:val="24"/>
          <w:lang w:val="en-US" w:eastAsia="en-AU"/>
        </w:rPr>
        <w:t xml:space="preserve">a high density lipoprotein cholesterol level less than 1.0 </w:t>
      </w:r>
      <w:proofErr w:type="spellStart"/>
      <w:r w:rsidRPr="00FD7B62">
        <w:rPr>
          <w:rFonts w:eastAsia="Times New Roman" w:cs="Times New Roman"/>
          <w:sz w:val="24"/>
          <w:szCs w:val="24"/>
          <w:lang w:val="en-US" w:eastAsia="en-AU"/>
        </w:rPr>
        <w:t>mmol</w:t>
      </w:r>
      <w:proofErr w:type="spellEnd"/>
      <w:r w:rsidRPr="00FD7B62">
        <w:rPr>
          <w:rFonts w:eastAsia="Times New Roman" w:cs="Times New Roman"/>
          <w:sz w:val="24"/>
          <w:szCs w:val="24"/>
          <w:lang w:val="en-US" w:eastAsia="en-AU"/>
        </w:rPr>
        <w:t>/L;</w:t>
      </w:r>
    </w:p>
    <w:p w:rsidR="00FD7B62" w:rsidRPr="00FD7B62" w:rsidRDefault="00FD7B62" w:rsidP="00FD7B62">
      <w:pPr>
        <w:tabs>
          <w:tab w:val="num" w:pos="709"/>
        </w:tabs>
        <w:spacing w:after="120" w:line="240" w:lineRule="auto"/>
        <w:ind w:left="709"/>
        <w:jc w:val="both"/>
        <w:rPr>
          <w:rFonts w:eastAsia="Times New Roman" w:cs="Times New Roman"/>
          <w:sz w:val="24"/>
          <w:szCs w:val="24"/>
          <w:lang w:val="en-US" w:eastAsia="en-AU"/>
        </w:rPr>
      </w:pPr>
      <w:r w:rsidRPr="00FD7B62">
        <w:rPr>
          <w:rFonts w:eastAsia="Times New Roman" w:cs="Times New Roman"/>
          <w:b/>
          <w:sz w:val="24"/>
          <w:szCs w:val="24"/>
          <w:lang w:val="en-GB" w:eastAsia="en-AU"/>
        </w:rPr>
        <w:t>"</w:t>
      </w:r>
      <w:proofErr w:type="spellStart"/>
      <w:r w:rsidRPr="00FD7B62">
        <w:rPr>
          <w:rFonts w:eastAsia="Times New Roman" w:cs="Times New Roman"/>
          <w:b/>
          <w:sz w:val="24"/>
          <w:szCs w:val="24"/>
          <w:lang w:val="en-GB" w:eastAsia="en-AU"/>
        </w:rPr>
        <w:t>hyperhomocysteinaemia</w:t>
      </w:r>
      <w:proofErr w:type="spellEnd"/>
      <w:r w:rsidRPr="00FD7B62">
        <w:rPr>
          <w:rFonts w:eastAsia="Times New Roman" w:cs="Times New Roman"/>
          <w:b/>
          <w:sz w:val="24"/>
          <w:szCs w:val="24"/>
          <w:lang w:val="en-GB" w:eastAsia="en-AU"/>
        </w:rPr>
        <w:t>"</w:t>
      </w:r>
      <w:r w:rsidRPr="00FD7B62">
        <w:rPr>
          <w:rFonts w:eastAsia="Times New Roman" w:cs="Times New Roman"/>
          <w:sz w:val="24"/>
          <w:szCs w:val="24"/>
          <w:lang w:val="en-GB" w:eastAsia="en-AU"/>
        </w:rPr>
        <w:t xml:space="preserve"> means a condition characterised by an excess of homocysteine in the blood;</w:t>
      </w:r>
    </w:p>
    <w:p w:rsidR="00FD7B62" w:rsidRPr="00FD7B62" w:rsidRDefault="00FD7B62" w:rsidP="00FD7B62">
      <w:pPr>
        <w:tabs>
          <w:tab w:val="num" w:pos="709"/>
        </w:tabs>
        <w:spacing w:after="120" w:line="240" w:lineRule="auto"/>
        <w:ind w:left="709"/>
        <w:jc w:val="both"/>
        <w:rPr>
          <w:rFonts w:eastAsia="Times New Roman" w:cs="Times New Roman"/>
          <w:sz w:val="24"/>
          <w:szCs w:val="24"/>
          <w:lang w:val="en-GB" w:eastAsia="en-AU"/>
        </w:rPr>
      </w:pPr>
      <w:r w:rsidRPr="00FD7B62">
        <w:rPr>
          <w:rFonts w:eastAsia="Times New Roman" w:cs="Times New Roman"/>
          <w:b/>
          <w:sz w:val="24"/>
          <w:szCs w:val="24"/>
          <w:lang w:val="en-GB" w:eastAsia="en-AU"/>
        </w:rPr>
        <w:t>"ICD-10-AM code"</w:t>
      </w:r>
      <w:r w:rsidRPr="00FD7B62">
        <w:rPr>
          <w:rFonts w:eastAsia="Times New Roman" w:cs="Times New Roman"/>
          <w:sz w:val="24"/>
          <w:szCs w:val="24"/>
          <w:lang w:val="en-GB" w:eastAsia="en-AU"/>
        </w:rPr>
        <w:t xml:space="preserve"> means a number assigned to a particular kind of injury or disease in The International Statistical Classification of Diseases and Related Health Problems, 10th Revision, Australian Modification (ICD-10-AM), Seventh Edition, effective date of 1 July 2010, copyrighted by the National Centre for Classification in Health, Sydney, NSW, and having ISBN 978 1 74210 154 5;</w:t>
      </w:r>
    </w:p>
    <w:p w:rsidR="00FD7B62" w:rsidRDefault="00FD7B62" w:rsidP="00FD7B62">
      <w:pPr>
        <w:tabs>
          <w:tab w:val="num" w:pos="851"/>
        </w:tabs>
        <w:spacing w:after="120" w:line="240" w:lineRule="atLeast"/>
        <w:ind w:left="720"/>
        <w:jc w:val="both"/>
        <w:rPr>
          <w:rFonts w:eastAsia="Times New Roman" w:cs="Times New Roman"/>
          <w:sz w:val="24"/>
          <w:szCs w:val="24"/>
          <w:lang w:val="en-GB" w:eastAsia="en-AU"/>
        </w:rPr>
      </w:pPr>
      <w:r w:rsidRPr="00FD7B62">
        <w:rPr>
          <w:rFonts w:eastAsia="Times New Roman" w:cs="Times New Roman"/>
          <w:b/>
          <w:sz w:val="24"/>
          <w:szCs w:val="24"/>
          <w:lang w:val="en-GB" w:eastAsia="en-AU"/>
        </w:rPr>
        <w:t>"pack-years of cigarettes, or the equivalent thereof in other tobacco products"</w:t>
      </w:r>
      <w:r w:rsidRPr="00FD7B62">
        <w:rPr>
          <w:rFonts w:eastAsia="Times New Roman" w:cs="Times New Roman"/>
          <w:sz w:val="24"/>
          <w:szCs w:val="24"/>
          <w:lang w:val="en-GB" w:eastAsia="en-AU"/>
        </w:rPr>
        <w:t xml:space="preserve"> means a calculation of consumption where one pack-year of cigarettes equals 20 tailor-made cigarettes per day for a period of one calendar year, or 7300 cigarettes.  One tailor-made cigarette approximates one gram of tobacco or one gram of cigar or pipe tobacco by weight.  One pack-year of tailor-made cigarettes equates to 7.3 kilograms of smoking tobacco by weight.  Tobacco products means either cigarettes, pipe tobacco or cigars smoked, alone or in any combination;</w:t>
      </w:r>
    </w:p>
    <w:p w:rsidR="00FD7B62" w:rsidRPr="00FD7B62" w:rsidRDefault="00FD7B62" w:rsidP="00FD7B62">
      <w:pPr>
        <w:tabs>
          <w:tab w:val="num" w:pos="851"/>
        </w:tabs>
        <w:spacing w:after="120" w:line="240" w:lineRule="atLeast"/>
        <w:ind w:left="720"/>
        <w:jc w:val="both"/>
        <w:rPr>
          <w:rFonts w:eastAsia="Times New Roman" w:cs="Times New Roman"/>
          <w:sz w:val="24"/>
          <w:szCs w:val="24"/>
          <w:lang w:val="en-GB" w:eastAsia="en-AU"/>
        </w:rPr>
      </w:pPr>
      <w:r w:rsidRPr="00FD7B62">
        <w:rPr>
          <w:rFonts w:eastAsia="Times New Roman" w:cs="Times New Roman"/>
          <w:b/>
          <w:sz w:val="24"/>
          <w:szCs w:val="24"/>
          <w:lang w:val="en-GB" w:eastAsia="en-AU"/>
        </w:rPr>
        <w:t>"relevant service"</w:t>
      </w:r>
      <w:r w:rsidRPr="00FD7B62">
        <w:rPr>
          <w:rFonts w:eastAsia="Times New Roman" w:cs="Times New Roman"/>
          <w:sz w:val="24"/>
          <w:szCs w:val="24"/>
          <w:lang w:val="en-GB" w:eastAsia="en-AU"/>
        </w:rPr>
        <w:t xml:space="preserve"> means:</w:t>
      </w:r>
    </w:p>
    <w:p w:rsidR="00FD7B62" w:rsidRPr="00FD7B62" w:rsidRDefault="00FD7B62" w:rsidP="00FD7B62">
      <w:pPr>
        <w:tabs>
          <w:tab w:val="num" w:pos="1418"/>
        </w:tabs>
        <w:spacing w:line="240" w:lineRule="atLeast"/>
        <w:ind w:left="1429" w:hanging="709"/>
        <w:jc w:val="both"/>
        <w:rPr>
          <w:rFonts w:eastAsia="Times New Roman" w:cs="Times New Roman"/>
          <w:sz w:val="24"/>
          <w:szCs w:val="24"/>
          <w:lang w:val="en-GB" w:eastAsia="en-AU"/>
        </w:rPr>
      </w:pPr>
      <w:r w:rsidRPr="00FD7B62">
        <w:rPr>
          <w:rFonts w:eastAsia="Times New Roman" w:cs="Times New Roman"/>
          <w:sz w:val="24"/>
          <w:szCs w:val="24"/>
          <w:lang w:val="en-GB" w:eastAsia="en-AU"/>
        </w:rPr>
        <w:t>(a)</w:t>
      </w:r>
      <w:r w:rsidRPr="00FD7B62">
        <w:rPr>
          <w:rFonts w:eastAsia="Times New Roman" w:cs="Times New Roman"/>
          <w:sz w:val="24"/>
          <w:szCs w:val="24"/>
          <w:lang w:val="en-GB" w:eastAsia="en-AU"/>
        </w:rPr>
        <w:tab/>
        <w:t>eligible war service (other than operational service) under the VEA;</w:t>
      </w:r>
    </w:p>
    <w:p w:rsidR="00FD7B62" w:rsidRPr="00FD7B62" w:rsidRDefault="00FD7B62" w:rsidP="00FD7B62">
      <w:pPr>
        <w:tabs>
          <w:tab w:val="num" w:pos="1418"/>
        </w:tabs>
        <w:spacing w:line="240" w:lineRule="atLeast"/>
        <w:ind w:left="1418" w:hanging="709"/>
        <w:jc w:val="both"/>
        <w:rPr>
          <w:rFonts w:eastAsia="Times New Roman" w:cs="Times New Roman"/>
          <w:sz w:val="24"/>
          <w:szCs w:val="24"/>
          <w:lang w:val="en-GB" w:eastAsia="en-AU"/>
        </w:rPr>
      </w:pPr>
      <w:r w:rsidRPr="00FD7B62">
        <w:rPr>
          <w:rFonts w:eastAsia="Times New Roman" w:cs="Times New Roman"/>
          <w:sz w:val="24"/>
          <w:szCs w:val="24"/>
          <w:lang w:val="en-GB" w:eastAsia="en-AU"/>
        </w:rPr>
        <w:t>(b)</w:t>
      </w:r>
      <w:r w:rsidRPr="00FD7B62">
        <w:rPr>
          <w:rFonts w:eastAsia="Times New Roman" w:cs="Times New Roman"/>
          <w:sz w:val="24"/>
          <w:szCs w:val="24"/>
          <w:lang w:val="en-GB" w:eastAsia="en-AU"/>
        </w:rPr>
        <w:tab/>
        <w:t>defence service (other than hazardous service and British nuclear test defence service) under the VEA; or</w:t>
      </w:r>
    </w:p>
    <w:p w:rsidR="00FD7B62" w:rsidRPr="00FD7B62" w:rsidRDefault="00FD7B62" w:rsidP="00FD7B62">
      <w:pPr>
        <w:tabs>
          <w:tab w:val="num" w:pos="1418"/>
        </w:tabs>
        <w:spacing w:after="120" w:line="240" w:lineRule="auto"/>
        <w:ind w:left="720"/>
        <w:jc w:val="both"/>
        <w:rPr>
          <w:rFonts w:eastAsia="Times New Roman" w:cs="Times New Roman"/>
          <w:sz w:val="24"/>
          <w:szCs w:val="24"/>
          <w:lang w:val="en-GB" w:eastAsia="en-AU"/>
        </w:rPr>
      </w:pPr>
      <w:r w:rsidRPr="00FD7B62">
        <w:rPr>
          <w:rFonts w:eastAsia="Times New Roman" w:cs="Times New Roman"/>
          <w:sz w:val="24"/>
          <w:szCs w:val="24"/>
          <w:lang w:val="en-GB" w:eastAsia="en-AU"/>
        </w:rPr>
        <w:t>(c)</w:t>
      </w:r>
      <w:r w:rsidRPr="00FD7B62">
        <w:rPr>
          <w:rFonts w:eastAsia="Times New Roman" w:cs="Times New Roman"/>
          <w:sz w:val="24"/>
          <w:szCs w:val="24"/>
          <w:lang w:val="en-GB" w:eastAsia="en-AU"/>
        </w:rPr>
        <w:tab/>
        <w:t>peacetime service under the MRCA;</w:t>
      </w:r>
    </w:p>
    <w:p w:rsidR="00FD7B62" w:rsidRPr="00FD7B62" w:rsidRDefault="00FD7B62" w:rsidP="00FD7B62">
      <w:pPr>
        <w:tabs>
          <w:tab w:val="num" w:pos="709"/>
        </w:tabs>
        <w:spacing w:line="240" w:lineRule="auto"/>
        <w:ind w:left="720"/>
        <w:jc w:val="both"/>
        <w:rPr>
          <w:rFonts w:eastAsia="Times New Roman" w:cs="Times New Roman"/>
          <w:sz w:val="24"/>
          <w:szCs w:val="24"/>
          <w:lang w:val="en-GB" w:eastAsia="en-AU"/>
        </w:rPr>
      </w:pPr>
      <w:r w:rsidRPr="00FD7B62">
        <w:rPr>
          <w:rFonts w:eastAsia="Times New Roman" w:cs="Times New Roman"/>
          <w:b/>
          <w:sz w:val="24"/>
          <w:szCs w:val="24"/>
          <w:lang w:val="en-GB" w:eastAsia="en-AU"/>
        </w:rPr>
        <w:t xml:space="preserve">"terminal event" </w:t>
      </w:r>
      <w:r w:rsidRPr="00FD7B62">
        <w:rPr>
          <w:rFonts w:eastAsia="Times New Roman" w:cs="Times New Roman"/>
          <w:sz w:val="24"/>
          <w:szCs w:val="24"/>
          <w:lang w:val="en-GB" w:eastAsia="en-AU"/>
        </w:rPr>
        <w:t>means the proximate or ultimate cause of death and includes:</w:t>
      </w:r>
    </w:p>
    <w:p w:rsidR="00FD7B62" w:rsidRPr="00FD7B62" w:rsidRDefault="00FD7B62" w:rsidP="00FD7B62">
      <w:pPr>
        <w:tabs>
          <w:tab w:val="num" w:pos="709"/>
        </w:tabs>
        <w:spacing w:before="120" w:line="240" w:lineRule="auto"/>
        <w:ind w:left="720"/>
        <w:jc w:val="both"/>
        <w:rPr>
          <w:rFonts w:eastAsia="Times New Roman" w:cs="Times New Roman"/>
          <w:sz w:val="24"/>
          <w:szCs w:val="24"/>
          <w:lang w:val="en-GB" w:eastAsia="en-AU"/>
        </w:rPr>
      </w:pPr>
      <w:r w:rsidRPr="00FD7B62">
        <w:rPr>
          <w:rFonts w:eastAsia="Times New Roman" w:cs="Times New Roman"/>
          <w:sz w:val="24"/>
          <w:szCs w:val="24"/>
          <w:lang w:val="en-GB" w:eastAsia="en-AU"/>
        </w:rPr>
        <w:t>(a)</w:t>
      </w:r>
      <w:r w:rsidRPr="00FD7B62">
        <w:rPr>
          <w:rFonts w:eastAsia="Times New Roman" w:cs="Times New Roman"/>
          <w:sz w:val="24"/>
          <w:szCs w:val="24"/>
          <w:lang w:val="en-GB" w:eastAsia="en-AU"/>
        </w:rPr>
        <w:tab/>
        <w:t>pneumonia;</w:t>
      </w:r>
    </w:p>
    <w:p w:rsidR="00FD7B62" w:rsidRPr="00FD7B62" w:rsidRDefault="00FD7B62" w:rsidP="00FD7B62">
      <w:pPr>
        <w:tabs>
          <w:tab w:val="num" w:pos="709"/>
        </w:tabs>
        <w:spacing w:line="240" w:lineRule="auto"/>
        <w:ind w:left="720"/>
        <w:jc w:val="both"/>
        <w:rPr>
          <w:rFonts w:eastAsia="Times New Roman" w:cs="Times New Roman"/>
          <w:sz w:val="24"/>
          <w:szCs w:val="24"/>
          <w:lang w:val="en-GB" w:eastAsia="en-AU"/>
        </w:rPr>
      </w:pPr>
      <w:r w:rsidRPr="00FD7B62">
        <w:rPr>
          <w:rFonts w:eastAsia="Times New Roman" w:cs="Times New Roman"/>
          <w:sz w:val="24"/>
          <w:szCs w:val="24"/>
          <w:lang w:val="en-GB" w:eastAsia="en-AU"/>
        </w:rPr>
        <w:t>(b)</w:t>
      </w:r>
      <w:r w:rsidRPr="00FD7B62">
        <w:rPr>
          <w:rFonts w:eastAsia="Times New Roman" w:cs="Times New Roman"/>
          <w:sz w:val="24"/>
          <w:szCs w:val="24"/>
          <w:lang w:val="en-GB" w:eastAsia="en-AU"/>
        </w:rPr>
        <w:tab/>
        <w:t>respiratory failure;</w:t>
      </w:r>
    </w:p>
    <w:p w:rsidR="00FD7B62" w:rsidRPr="00FD7B62" w:rsidRDefault="00FD7B62" w:rsidP="00FD7B62">
      <w:pPr>
        <w:tabs>
          <w:tab w:val="num" w:pos="709"/>
        </w:tabs>
        <w:spacing w:line="240" w:lineRule="auto"/>
        <w:ind w:left="720"/>
        <w:jc w:val="both"/>
        <w:rPr>
          <w:rFonts w:eastAsia="Times New Roman" w:cs="Times New Roman"/>
          <w:sz w:val="24"/>
          <w:szCs w:val="24"/>
          <w:lang w:val="en-GB" w:eastAsia="en-AU"/>
        </w:rPr>
      </w:pPr>
      <w:r w:rsidRPr="00FD7B62">
        <w:rPr>
          <w:rFonts w:eastAsia="Times New Roman" w:cs="Times New Roman"/>
          <w:sz w:val="24"/>
          <w:szCs w:val="24"/>
          <w:lang w:val="en-GB" w:eastAsia="en-AU"/>
        </w:rPr>
        <w:t>(c)</w:t>
      </w:r>
      <w:r w:rsidRPr="00FD7B62">
        <w:rPr>
          <w:rFonts w:eastAsia="Times New Roman" w:cs="Times New Roman"/>
          <w:sz w:val="24"/>
          <w:szCs w:val="24"/>
          <w:lang w:val="en-GB" w:eastAsia="en-AU"/>
        </w:rPr>
        <w:tab/>
        <w:t>cardiac arrest;</w:t>
      </w:r>
    </w:p>
    <w:p w:rsidR="00FD7B62" w:rsidRPr="00FD7B62" w:rsidRDefault="00FD7B62" w:rsidP="00FD7B62">
      <w:pPr>
        <w:tabs>
          <w:tab w:val="num" w:pos="709"/>
        </w:tabs>
        <w:spacing w:line="240" w:lineRule="auto"/>
        <w:ind w:left="720"/>
        <w:jc w:val="both"/>
        <w:rPr>
          <w:rFonts w:eastAsia="Times New Roman" w:cs="Times New Roman"/>
          <w:sz w:val="24"/>
          <w:szCs w:val="24"/>
          <w:lang w:val="en-GB" w:eastAsia="en-AU"/>
        </w:rPr>
      </w:pPr>
      <w:r w:rsidRPr="00FD7B62">
        <w:rPr>
          <w:rFonts w:eastAsia="Times New Roman" w:cs="Times New Roman"/>
          <w:sz w:val="24"/>
          <w:szCs w:val="24"/>
          <w:lang w:val="en-GB" w:eastAsia="en-AU"/>
        </w:rPr>
        <w:t>(d)</w:t>
      </w:r>
      <w:r w:rsidRPr="00FD7B62">
        <w:rPr>
          <w:rFonts w:eastAsia="Times New Roman" w:cs="Times New Roman"/>
          <w:sz w:val="24"/>
          <w:szCs w:val="24"/>
          <w:lang w:val="en-GB" w:eastAsia="en-AU"/>
        </w:rPr>
        <w:tab/>
        <w:t>circulatory failure; or</w:t>
      </w:r>
    </w:p>
    <w:p w:rsidR="00FD7B62" w:rsidRPr="00FD7B62" w:rsidRDefault="00FD7B62" w:rsidP="00FD7B62">
      <w:pPr>
        <w:numPr>
          <w:ilvl w:val="0"/>
          <w:numId w:val="19"/>
        </w:numPr>
        <w:tabs>
          <w:tab w:val="num" w:pos="720"/>
        </w:tabs>
        <w:spacing w:after="120" w:line="240" w:lineRule="auto"/>
        <w:ind w:left="720" w:firstLine="0"/>
        <w:jc w:val="both"/>
        <w:rPr>
          <w:rFonts w:eastAsia="Times New Roman" w:cs="Times New Roman"/>
          <w:sz w:val="24"/>
          <w:szCs w:val="24"/>
          <w:lang w:val="en-GB" w:eastAsia="en-AU"/>
        </w:rPr>
      </w:pPr>
      <w:r w:rsidRPr="00FD7B62">
        <w:rPr>
          <w:rFonts w:eastAsia="Times New Roman" w:cs="Times New Roman"/>
          <w:sz w:val="24"/>
          <w:szCs w:val="24"/>
          <w:lang w:val="en-GB" w:eastAsia="en-AU"/>
        </w:rPr>
        <w:t>cessation of brain function.</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t>Application</w:t>
      </w:r>
    </w:p>
    <w:p w:rsidR="00FD7B62" w:rsidRPr="00FD7B62" w:rsidRDefault="00FD7B62" w:rsidP="00FD7B62">
      <w:pPr>
        <w:spacing w:after="120" w:line="240" w:lineRule="auto"/>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10.</w:t>
      </w:r>
      <w:r w:rsidRPr="00FD7B62">
        <w:rPr>
          <w:rFonts w:eastAsia="Times New Roman" w:cs="Times New Roman"/>
          <w:sz w:val="24"/>
          <w:szCs w:val="24"/>
          <w:lang w:val="en-GB" w:eastAsia="en-AU"/>
        </w:rPr>
        <w:tab/>
        <w:t>This Instrument applies to all matters to which section 120B of the VEA or section 339 of the MRCA applies.</w:t>
      </w:r>
    </w:p>
    <w:p w:rsidR="00FD7B62" w:rsidRPr="00FD7B62" w:rsidRDefault="00FD7B62" w:rsidP="00FD7B62">
      <w:pPr>
        <w:keepNext/>
        <w:spacing w:after="120" w:line="240" w:lineRule="auto"/>
        <w:jc w:val="both"/>
        <w:outlineLvl w:val="0"/>
        <w:rPr>
          <w:rFonts w:ascii="Times New (W1)" w:eastAsia="Times New Roman" w:hAnsi="Times New (W1)" w:cs="Times New Roman"/>
          <w:b/>
          <w:sz w:val="24"/>
          <w:szCs w:val="24"/>
          <w:lang w:eastAsia="en-AU"/>
        </w:rPr>
      </w:pPr>
      <w:r w:rsidRPr="00FD7B62">
        <w:rPr>
          <w:rFonts w:ascii="Times New (W1)" w:eastAsia="Times New Roman" w:hAnsi="Times New (W1)" w:cs="Times New Roman"/>
          <w:b/>
          <w:sz w:val="24"/>
          <w:szCs w:val="24"/>
          <w:lang w:eastAsia="en-AU"/>
        </w:rPr>
        <w:lastRenderedPageBreak/>
        <w:t>Date of effect</w:t>
      </w:r>
    </w:p>
    <w:p w:rsidR="00FD7B62" w:rsidRPr="00FD7B62" w:rsidRDefault="00FD7B62" w:rsidP="00FD7B62">
      <w:pPr>
        <w:spacing w:after="120" w:line="240" w:lineRule="auto"/>
        <w:ind w:left="720" w:hanging="720"/>
        <w:jc w:val="both"/>
        <w:rPr>
          <w:rFonts w:eastAsia="Times New Roman" w:cs="Times New Roman"/>
          <w:sz w:val="24"/>
          <w:szCs w:val="24"/>
          <w:lang w:val="en-GB" w:eastAsia="en-AU"/>
        </w:rPr>
      </w:pPr>
      <w:r w:rsidRPr="00FD7B62">
        <w:rPr>
          <w:rFonts w:eastAsia="Times New Roman" w:cs="Times New Roman"/>
          <w:b/>
          <w:sz w:val="24"/>
          <w:szCs w:val="24"/>
          <w:lang w:val="en-GB" w:eastAsia="en-AU"/>
        </w:rPr>
        <w:t>11.</w:t>
      </w:r>
      <w:r w:rsidRPr="00FD7B62">
        <w:rPr>
          <w:rFonts w:eastAsia="Times New Roman" w:cs="Times New Roman"/>
          <w:sz w:val="24"/>
          <w:szCs w:val="24"/>
          <w:lang w:val="en-GB" w:eastAsia="en-AU"/>
        </w:rPr>
        <w:tab/>
        <w:t>This Instrument takes effect from 7 March 2012.</w:t>
      </w:r>
    </w:p>
    <w:p w:rsidR="00FD7B62" w:rsidRPr="00FD7B62" w:rsidRDefault="00FD7B62" w:rsidP="00FD7B62">
      <w:pPr>
        <w:spacing w:line="240" w:lineRule="atLeast"/>
        <w:ind w:left="1440"/>
        <w:jc w:val="center"/>
        <w:rPr>
          <w:rFonts w:eastAsia="Times New Roman" w:cs="Times New Roman"/>
          <w:sz w:val="24"/>
          <w:szCs w:val="24"/>
          <w:lang w:val="en-GB" w:eastAsia="en-AU"/>
        </w:rPr>
      </w:pPr>
    </w:p>
    <w:p w:rsidR="00DC7B41" w:rsidRDefault="00DC7B41" w:rsidP="00DC7B41"/>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Dict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7C6773">
        <w:trPr>
          <w:cantSplit/>
          <w:tblHeader/>
        </w:trPr>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Name</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Registration</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t>Commencement</w:t>
            </w:r>
          </w:p>
        </w:tc>
        <w:tc>
          <w:tcPr>
            <w:tcW w:w="1806" w:type="dxa"/>
            <w:tcBorders>
              <w:top w:val="single" w:sz="12" w:space="0" w:color="auto"/>
              <w:bottom w:val="single" w:sz="12" w:space="0" w:color="auto"/>
            </w:tcBorders>
            <w:shd w:val="clear" w:color="auto" w:fill="auto"/>
          </w:tcPr>
          <w:p w:rsidR="00A01F76" w:rsidRPr="00E117A3" w:rsidRDefault="00A01F76" w:rsidP="00F46525">
            <w:pPr>
              <w:pStyle w:val="ENoteTableHeading"/>
            </w:pPr>
            <w:r w:rsidRPr="00E117A3">
              <w:t>Application, saving and transitional provisions</w:t>
            </w:r>
          </w:p>
        </w:tc>
      </w:tr>
      <w:tr w:rsidR="007C6773" w:rsidRPr="00E117A3" w:rsidTr="007C6773">
        <w:trPr>
          <w:cantSplit/>
        </w:trPr>
        <w:tc>
          <w:tcPr>
            <w:tcW w:w="1806" w:type="dxa"/>
            <w:tcBorders>
              <w:top w:val="single" w:sz="12" w:space="0" w:color="auto"/>
              <w:bottom w:val="single" w:sz="4" w:space="0" w:color="auto"/>
            </w:tcBorders>
            <w:shd w:val="clear" w:color="auto" w:fill="auto"/>
          </w:tcPr>
          <w:p w:rsidR="00A133FB" w:rsidRPr="00D076A9" w:rsidRDefault="00A133FB" w:rsidP="00A133FB">
            <w:pPr>
              <w:pStyle w:val="ENoteTableText"/>
              <w:rPr>
                <w:rFonts w:ascii="Arial" w:hAnsi="Arial" w:cs="Arial"/>
                <w:sz w:val="18"/>
                <w:szCs w:val="18"/>
              </w:rPr>
            </w:pPr>
            <w:r w:rsidRPr="00D076A9">
              <w:rPr>
                <w:rFonts w:ascii="Arial" w:hAnsi="Arial" w:cs="Arial"/>
                <w:i/>
                <w:sz w:val="18"/>
                <w:szCs w:val="18"/>
              </w:rPr>
              <w:t xml:space="preserve">Statement </w:t>
            </w:r>
            <w:r w:rsidR="003425FD" w:rsidRPr="00D076A9">
              <w:rPr>
                <w:rFonts w:ascii="Arial" w:hAnsi="Arial" w:cs="Arial"/>
                <w:i/>
                <w:sz w:val="18"/>
                <w:szCs w:val="18"/>
              </w:rPr>
              <w:t>of Principles concerning atherosclerotic peripheral vascular disease</w:t>
            </w:r>
            <w:r w:rsidRPr="00D076A9">
              <w:rPr>
                <w:rFonts w:ascii="Arial" w:hAnsi="Arial" w:cs="Arial"/>
                <w:i/>
                <w:sz w:val="18"/>
                <w:szCs w:val="18"/>
              </w:rPr>
              <w:t xml:space="preserve"> No. </w:t>
            </w:r>
            <w:r w:rsidR="003425FD" w:rsidRPr="00D076A9">
              <w:rPr>
                <w:rFonts w:ascii="Arial" w:hAnsi="Arial" w:cs="Arial"/>
                <w:i/>
                <w:sz w:val="18"/>
                <w:szCs w:val="18"/>
              </w:rPr>
              <w:t>24</w:t>
            </w:r>
            <w:r w:rsidRPr="00D076A9">
              <w:rPr>
                <w:rFonts w:ascii="Arial" w:hAnsi="Arial" w:cs="Arial"/>
                <w:i/>
                <w:sz w:val="18"/>
                <w:szCs w:val="18"/>
              </w:rPr>
              <w:t xml:space="preserve"> of </w:t>
            </w:r>
            <w:r w:rsidR="003425FD" w:rsidRPr="00D076A9">
              <w:rPr>
                <w:rFonts w:ascii="Arial" w:hAnsi="Arial" w:cs="Arial"/>
                <w:i/>
                <w:sz w:val="18"/>
                <w:szCs w:val="18"/>
              </w:rPr>
              <w:t>2012</w:t>
            </w:r>
          </w:p>
          <w:p w:rsidR="007C6773" w:rsidRPr="00D076A9"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Default="003425FD" w:rsidP="00021F2F">
            <w:pPr>
              <w:pStyle w:val="TableOfStatRules"/>
              <w:rPr>
                <w:rFonts w:cs="Arial"/>
                <w:szCs w:val="18"/>
              </w:rPr>
            </w:pPr>
            <w:r>
              <w:rPr>
                <w:rFonts w:cs="Arial"/>
                <w:szCs w:val="18"/>
              </w:rPr>
              <w:t>1 March 2012</w:t>
            </w:r>
          </w:p>
          <w:p w:rsidR="003425FD" w:rsidRPr="00E85EF4" w:rsidRDefault="003425FD" w:rsidP="00021F2F">
            <w:pPr>
              <w:pStyle w:val="TableOfStatRules"/>
              <w:rPr>
                <w:rFonts w:cs="Arial"/>
                <w:szCs w:val="18"/>
              </w:rPr>
            </w:pPr>
          </w:p>
          <w:p w:rsidR="007C6773" w:rsidRPr="00E85EF4" w:rsidRDefault="007C6773" w:rsidP="003425FD">
            <w:pPr>
              <w:pStyle w:val="ENoteTableText"/>
              <w:rPr>
                <w:rFonts w:ascii="Arial" w:hAnsi="Arial" w:cs="Arial"/>
                <w:sz w:val="18"/>
                <w:szCs w:val="18"/>
              </w:rPr>
            </w:pPr>
            <w:r w:rsidRPr="00E85EF4">
              <w:rPr>
                <w:rFonts w:ascii="Arial" w:hAnsi="Arial" w:cs="Arial"/>
                <w:sz w:val="18"/>
                <w:szCs w:val="18"/>
              </w:rPr>
              <w:t>F201</w:t>
            </w:r>
            <w:r w:rsidR="003425FD">
              <w:rPr>
                <w:rFonts w:ascii="Arial" w:hAnsi="Arial" w:cs="Arial"/>
                <w:sz w:val="18"/>
                <w:szCs w:val="18"/>
              </w:rPr>
              <w:t>2L00456</w:t>
            </w:r>
          </w:p>
        </w:tc>
        <w:tc>
          <w:tcPr>
            <w:tcW w:w="1806" w:type="dxa"/>
            <w:tcBorders>
              <w:top w:val="single" w:sz="12" w:space="0" w:color="auto"/>
              <w:bottom w:val="single" w:sz="4" w:space="0" w:color="auto"/>
            </w:tcBorders>
            <w:shd w:val="clear" w:color="auto" w:fill="auto"/>
          </w:tcPr>
          <w:p w:rsidR="007C6773" w:rsidRPr="00E85EF4" w:rsidRDefault="003425FD" w:rsidP="00021F2F">
            <w:pPr>
              <w:pStyle w:val="TableOfStatRules"/>
              <w:rPr>
                <w:rFonts w:cs="Arial"/>
                <w:szCs w:val="18"/>
              </w:rPr>
            </w:pPr>
            <w:r>
              <w:rPr>
                <w:rFonts w:cs="Arial"/>
                <w:szCs w:val="18"/>
              </w:rPr>
              <w:t>7 March 2012</w:t>
            </w:r>
          </w:p>
          <w:p w:rsidR="007C6773" w:rsidRPr="00E85EF4" w:rsidRDefault="007C6773"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7C6773" w:rsidRPr="00E85EF4" w:rsidRDefault="007C6773" w:rsidP="00021F2F">
            <w:pPr>
              <w:pStyle w:val="ENoteTableText"/>
              <w:rPr>
                <w:rFonts w:ascii="Arial" w:hAnsi="Arial" w:cs="Arial"/>
                <w:sz w:val="18"/>
                <w:szCs w:val="18"/>
              </w:rPr>
            </w:pPr>
          </w:p>
        </w:tc>
      </w:tr>
      <w:tr w:rsidR="007C6773" w:rsidTr="007C6773">
        <w:trPr>
          <w:cantSplit/>
        </w:trPr>
        <w:tc>
          <w:tcPr>
            <w:tcW w:w="1806" w:type="dxa"/>
            <w:tcBorders>
              <w:bottom w:val="single" w:sz="12" w:space="0" w:color="auto"/>
            </w:tcBorders>
            <w:shd w:val="clear" w:color="auto" w:fill="auto"/>
          </w:tcPr>
          <w:p w:rsidR="00D076A9" w:rsidRPr="00D076A9" w:rsidRDefault="00D076A9" w:rsidP="00D076A9">
            <w:pPr>
              <w:rPr>
                <w:rFonts w:ascii="Arial" w:eastAsia="Times New Roman" w:hAnsi="Arial" w:cs="Arial"/>
                <w:i/>
                <w:sz w:val="18"/>
                <w:szCs w:val="18"/>
                <w:lang w:eastAsia="en-AU"/>
              </w:rPr>
            </w:pPr>
            <w:r w:rsidRPr="00D076A9">
              <w:rPr>
                <w:rFonts w:ascii="Arial" w:eastAsia="Times New Roman" w:hAnsi="Arial" w:cs="Arial"/>
                <w:i/>
                <w:sz w:val="18"/>
                <w:szCs w:val="18"/>
                <w:lang w:eastAsia="en-AU"/>
              </w:rPr>
              <w:t>Veterans' Entitlements (Statements of Principles—Cumulative Equivalent Dose) Amendment Determination 2017 (No. 58 of 2017)</w:t>
            </w:r>
          </w:p>
          <w:p w:rsidR="007C6773" w:rsidRPr="00D076A9"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E31A36" w:rsidRPr="00E85EF4" w:rsidRDefault="00E31A36" w:rsidP="00E31A36">
            <w:pPr>
              <w:pStyle w:val="TableOfStatRules"/>
              <w:rPr>
                <w:rFonts w:cs="Arial"/>
                <w:szCs w:val="18"/>
              </w:rPr>
            </w:pPr>
            <w:r>
              <w:rPr>
                <w:rFonts w:cs="Arial"/>
                <w:szCs w:val="18"/>
              </w:rPr>
              <w:t>22 August 2017</w:t>
            </w:r>
          </w:p>
          <w:p w:rsidR="00E31A36" w:rsidRPr="00E85EF4" w:rsidRDefault="00E31A36" w:rsidP="00E31A36">
            <w:pPr>
              <w:pStyle w:val="TableOfStatRules"/>
              <w:rPr>
                <w:rFonts w:cs="Arial"/>
                <w:szCs w:val="18"/>
              </w:rPr>
            </w:pPr>
          </w:p>
          <w:p w:rsidR="00E31A36" w:rsidRPr="00E85EF4" w:rsidRDefault="00E31A36" w:rsidP="00E31A36">
            <w:pPr>
              <w:pStyle w:val="TableOfStatRules"/>
              <w:rPr>
                <w:rFonts w:cs="Arial"/>
                <w:szCs w:val="18"/>
              </w:rPr>
            </w:pPr>
            <w:r w:rsidRPr="00E85EF4">
              <w:rPr>
                <w:rFonts w:cs="Arial"/>
                <w:szCs w:val="18"/>
              </w:rPr>
              <w:t>F201</w:t>
            </w:r>
            <w:r>
              <w:rPr>
                <w:rFonts w:cs="Arial"/>
                <w:szCs w:val="18"/>
              </w:rPr>
              <w:t>7L01067</w:t>
            </w:r>
          </w:p>
          <w:p w:rsidR="007C6773" w:rsidRPr="00E85EF4"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D076A9" w:rsidP="00021F2F">
            <w:pPr>
              <w:pStyle w:val="TableOfStatRules"/>
              <w:rPr>
                <w:rFonts w:cs="Arial"/>
                <w:szCs w:val="18"/>
              </w:rPr>
            </w:pPr>
            <w:r>
              <w:rPr>
                <w:rFonts w:cs="Arial"/>
                <w:szCs w:val="18"/>
              </w:rPr>
              <w:t>18 September 2017</w:t>
            </w:r>
          </w:p>
          <w:p w:rsidR="007C6773" w:rsidRPr="00E85EF4" w:rsidRDefault="007C6773"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7C6773" w:rsidRPr="00E85EF4" w:rsidRDefault="007C6773"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D076A9" w:rsidTr="007C6637">
        <w:trPr>
          <w:cantSplit/>
        </w:trPr>
        <w:tc>
          <w:tcPr>
            <w:tcW w:w="2139" w:type="dxa"/>
            <w:tcBorders>
              <w:bottom w:val="single" w:sz="12" w:space="0" w:color="auto"/>
            </w:tcBorders>
            <w:shd w:val="clear" w:color="auto" w:fill="auto"/>
          </w:tcPr>
          <w:p w:rsidR="00D076A9" w:rsidRDefault="00D076A9" w:rsidP="00D076A9">
            <w:pPr>
              <w:pStyle w:val="TableOfAmend"/>
            </w:pPr>
            <w:r>
              <w:t>Clause 9 – ' "cumulative equivalent dose"……'</w:t>
            </w:r>
          </w:p>
        </w:tc>
        <w:tc>
          <w:tcPr>
            <w:tcW w:w="4943" w:type="dxa"/>
            <w:tcBorders>
              <w:bottom w:val="single" w:sz="12" w:space="0" w:color="auto"/>
            </w:tcBorders>
            <w:shd w:val="clear" w:color="auto" w:fill="auto"/>
          </w:tcPr>
          <w:p w:rsidR="00D076A9" w:rsidRDefault="00D076A9" w:rsidP="00D076A9">
            <w:pPr>
              <w:pStyle w:val="TableOfAmend"/>
            </w:pPr>
            <w:r>
              <w:t>rs. Instrument  No. 58 of 2017</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9A55F7" w:rsidTr="0034373D">
      <w:tc>
        <w:tcPr>
          <w:tcW w:w="851" w:type="dxa"/>
          <w:tcBorders>
            <w:top w:val="nil"/>
            <w:left w:val="nil"/>
            <w:bottom w:val="nil"/>
            <w:right w:val="nil"/>
          </w:tcBorders>
        </w:tcPr>
        <w:p w:rsidR="009A55F7" w:rsidRDefault="009A55F7" w:rsidP="009A55F7">
          <w:pPr>
            <w:spacing w:line="0" w:lineRule="atLeast"/>
            <w:rPr>
              <w:sz w:val="18"/>
            </w:rPr>
          </w:pPr>
        </w:p>
      </w:tc>
      <w:tc>
        <w:tcPr>
          <w:tcW w:w="6762" w:type="dxa"/>
          <w:gridSpan w:val="3"/>
          <w:tcBorders>
            <w:top w:val="nil"/>
            <w:left w:val="nil"/>
            <w:bottom w:val="nil"/>
            <w:right w:val="nil"/>
          </w:tcBorders>
        </w:tcPr>
        <w:p w:rsidR="009A55F7" w:rsidRPr="00AD2D4B" w:rsidRDefault="009A55F7" w:rsidP="000B0EED">
          <w:pPr>
            <w:spacing w:line="0" w:lineRule="atLeast"/>
            <w:jc w:val="center"/>
            <w:rPr>
              <w:i/>
              <w:sz w:val="18"/>
              <w:szCs w:val="18"/>
            </w:rPr>
          </w:pPr>
          <w:r w:rsidRPr="00AD2D4B">
            <w:rPr>
              <w:i/>
              <w:sz w:val="18"/>
              <w:szCs w:val="18"/>
            </w:rPr>
            <w:t xml:space="preserve">Statement of Principles concerning </w:t>
          </w:r>
          <w:r w:rsidR="000B0EED">
            <w:rPr>
              <w:i/>
              <w:sz w:val="18"/>
              <w:szCs w:val="18"/>
            </w:rPr>
            <w:t>Atherosclerotic Peripheral Vascular Disease</w:t>
          </w:r>
        </w:p>
      </w:tc>
      <w:tc>
        <w:tcPr>
          <w:tcW w:w="700" w:type="dxa"/>
          <w:tcBorders>
            <w:top w:val="nil"/>
            <w:left w:val="nil"/>
            <w:bottom w:val="nil"/>
            <w:right w:val="nil"/>
          </w:tcBorders>
        </w:tcPr>
        <w:p w:rsidR="009A55F7" w:rsidRDefault="009A55F7" w:rsidP="009A55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46DB1">
            <w:rPr>
              <w:i/>
              <w:noProof/>
              <w:sz w:val="18"/>
            </w:rPr>
            <w:t>6</w:t>
          </w:r>
          <w:r w:rsidRPr="00ED79B6">
            <w:rPr>
              <w:i/>
              <w:sz w:val="18"/>
            </w:rPr>
            <w:fldChar w:fldCharType="end"/>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 xml:space="preserve">No. </w:t>
          </w:r>
          <w:r w:rsidR="000B0EED">
            <w:rPr>
              <w:i/>
              <w:sz w:val="18"/>
            </w:rPr>
            <w:t>24</w:t>
          </w:r>
          <w:r w:rsidRPr="007E56FF">
            <w:rPr>
              <w:i/>
              <w:sz w:val="18"/>
            </w:rPr>
            <w:t xml:space="preserve"> of </w:t>
          </w:r>
          <w:r w:rsidR="000B0EED">
            <w:rPr>
              <w:i/>
              <w:sz w:val="18"/>
            </w:rPr>
            <w:t>2012</w:t>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Veterans' Entitlements Act 1986</w:t>
          </w:r>
        </w:p>
      </w:tc>
    </w:tr>
    <w:tr w:rsidR="009A55F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9A55F7" w:rsidRPr="00130F37" w:rsidRDefault="009A55F7" w:rsidP="009A55F7">
          <w:pPr>
            <w:spacing w:before="120"/>
            <w:rPr>
              <w:sz w:val="16"/>
              <w:szCs w:val="16"/>
            </w:rPr>
          </w:pPr>
          <w:r w:rsidRPr="00130F37">
            <w:rPr>
              <w:sz w:val="16"/>
              <w:szCs w:val="16"/>
            </w:rPr>
            <w:t xml:space="preserve">Compilation No. </w:t>
          </w:r>
          <w:r w:rsidR="000B0EED">
            <w:rPr>
              <w:sz w:val="16"/>
              <w:szCs w:val="16"/>
            </w:rPr>
            <w:t>1</w:t>
          </w:r>
        </w:p>
      </w:tc>
      <w:tc>
        <w:tcPr>
          <w:tcW w:w="2859" w:type="dxa"/>
        </w:tcPr>
        <w:p w:rsidR="009A55F7" w:rsidRPr="00130F37" w:rsidRDefault="009A55F7" w:rsidP="009A55F7">
          <w:pPr>
            <w:spacing w:before="120"/>
            <w:jc w:val="center"/>
            <w:rPr>
              <w:sz w:val="16"/>
              <w:szCs w:val="16"/>
            </w:rPr>
          </w:pPr>
        </w:p>
      </w:tc>
      <w:tc>
        <w:tcPr>
          <w:tcW w:w="3297" w:type="dxa"/>
          <w:gridSpan w:val="2"/>
        </w:tcPr>
        <w:p w:rsidR="009A55F7" w:rsidRPr="00130F37" w:rsidRDefault="009A55F7" w:rsidP="00BA530D">
          <w:pPr>
            <w:spacing w:before="120"/>
            <w:jc w:val="right"/>
            <w:rPr>
              <w:sz w:val="16"/>
              <w:szCs w:val="16"/>
            </w:rPr>
          </w:pPr>
          <w:r w:rsidRPr="00130F37">
            <w:rPr>
              <w:sz w:val="16"/>
              <w:szCs w:val="16"/>
            </w:rPr>
            <w:t xml:space="preserve">Compilation date: </w:t>
          </w:r>
          <w:r w:rsidR="00BA530D">
            <w:rPr>
              <w:sz w:val="16"/>
              <w:szCs w:val="16"/>
            </w:rPr>
            <w:t>18</w:t>
          </w:r>
          <w:r>
            <w:rPr>
              <w:sz w:val="16"/>
              <w:szCs w:val="16"/>
            </w:rPr>
            <w:t>/</w:t>
          </w:r>
          <w:r w:rsidR="00BA530D">
            <w:rPr>
              <w:sz w:val="16"/>
              <w:szCs w:val="16"/>
            </w:rPr>
            <w:t>09</w:t>
          </w:r>
          <w:r>
            <w:rPr>
              <w:sz w:val="16"/>
              <w:szCs w:val="16"/>
            </w:rPr>
            <w:t>/</w:t>
          </w:r>
          <w:r w:rsidR="00BA530D">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9A55F7" w:rsidTr="0034373D">
      <w:tc>
        <w:tcPr>
          <w:tcW w:w="851" w:type="dxa"/>
          <w:tcBorders>
            <w:top w:val="nil"/>
            <w:left w:val="nil"/>
            <w:bottom w:val="nil"/>
            <w:right w:val="nil"/>
          </w:tcBorders>
        </w:tcPr>
        <w:p w:rsidR="009A55F7" w:rsidRDefault="009A55F7" w:rsidP="009A55F7">
          <w:pPr>
            <w:spacing w:line="0" w:lineRule="atLeast"/>
            <w:rPr>
              <w:sz w:val="18"/>
            </w:rPr>
          </w:pPr>
        </w:p>
      </w:tc>
      <w:tc>
        <w:tcPr>
          <w:tcW w:w="6762" w:type="dxa"/>
          <w:gridSpan w:val="3"/>
          <w:tcBorders>
            <w:top w:val="nil"/>
            <w:left w:val="nil"/>
            <w:bottom w:val="nil"/>
            <w:right w:val="nil"/>
          </w:tcBorders>
        </w:tcPr>
        <w:p w:rsidR="009A55F7" w:rsidRPr="00AD2D4B" w:rsidRDefault="009A55F7" w:rsidP="009A55F7">
          <w:pPr>
            <w:spacing w:line="0" w:lineRule="atLeast"/>
            <w:jc w:val="center"/>
            <w:rPr>
              <w:i/>
              <w:sz w:val="18"/>
              <w:szCs w:val="18"/>
            </w:rPr>
          </w:pPr>
          <w:r w:rsidRPr="00AD2D4B">
            <w:rPr>
              <w:i/>
              <w:sz w:val="18"/>
              <w:szCs w:val="18"/>
            </w:rPr>
            <w:t xml:space="preserve">Statement of Principles concerning </w:t>
          </w:r>
          <w:r w:rsidR="000B0EED">
            <w:rPr>
              <w:i/>
              <w:sz w:val="18"/>
              <w:szCs w:val="18"/>
            </w:rPr>
            <w:t>Atherosclerotic Peripheral Vascular Disease</w:t>
          </w:r>
        </w:p>
      </w:tc>
      <w:tc>
        <w:tcPr>
          <w:tcW w:w="700" w:type="dxa"/>
          <w:tcBorders>
            <w:top w:val="nil"/>
            <w:left w:val="nil"/>
            <w:bottom w:val="nil"/>
            <w:right w:val="nil"/>
          </w:tcBorders>
        </w:tcPr>
        <w:p w:rsidR="009A55F7" w:rsidRDefault="009A55F7" w:rsidP="009A55F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46DB1">
            <w:rPr>
              <w:i/>
              <w:noProof/>
              <w:sz w:val="18"/>
            </w:rPr>
            <w:t>10</w:t>
          </w:r>
          <w:r w:rsidRPr="00ED79B6">
            <w:rPr>
              <w:i/>
              <w:sz w:val="18"/>
            </w:rPr>
            <w:fldChar w:fldCharType="end"/>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 xml:space="preserve">No. </w:t>
          </w:r>
          <w:r w:rsidR="000B0EED">
            <w:rPr>
              <w:i/>
              <w:sz w:val="18"/>
            </w:rPr>
            <w:t>24</w:t>
          </w:r>
          <w:r w:rsidRPr="007E56FF">
            <w:rPr>
              <w:i/>
              <w:sz w:val="18"/>
            </w:rPr>
            <w:t xml:space="preserve"> of </w:t>
          </w:r>
          <w:r w:rsidR="000B0EED">
            <w:rPr>
              <w:i/>
              <w:sz w:val="18"/>
            </w:rPr>
            <w:t>2012</w:t>
          </w:r>
        </w:p>
      </w:tc>
    </w:tr>
    <w:tr w:rsidR="009A55F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9A55F7" w:rsidRPr="007E56FF" w:rsidRDefault="009A55F7" w:rsidP="009A55F7">
          <w:pPr>
            <w:jc w:val="center"/>
            <w:rPr>
              <w:i/>
              <w:sz w:val="18"/>
            </w:rPr>
          </w:pPr>
          <w:r w:rsidRPr="007E56FF">
            <w:rPr>
              <w:i/>
              <w:sz w:val="18"/>
            </w:rPr>
            <w:t>Veterans' Entitlements Act 1986</w:t>
          </w:r>
        </w:p>
      </w:tc>
    </w:tr>
    <w:tr w:rsidR="009A55F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9A55F7" w:rsidRPr="00130F37" w:rsidRDefault="009A55F7" w:rsidP="009A55F7">
          <w:pPr>
            <w:spacing w:before="120"/>
            <w:rPr>
              <w:sz w:val="16"/>
              <w:szCs w:val="16"/>
            </w:rPr>
          </w:pPr>
          <w:r w:rsidRPr="00130F37">
            <w:rPr>
              <w:sz w:val="16"/>
              <w:szCs w:val="16"/>
            </w:rPr>
            <w:t xml:space="preserve">Compilation No. </w:t>
          </w:r>
          <w:r w:rsidR="000B0EED">
            <w:rPr>
              <w:sz w:val="16"/>
              <w:szCs w:val="16"/>
            </w:rPr>
            <w:t>1</w:t>
          </w:r>
        </w:p>
      </w:tc>
      <w:tc>
        <w:tcPr>
          <w:tcW w:w="2859" w:type="dxa"/>
        </w:tcPr>
        <w:p w:rsidR="009A55F7" w:rsidRPr="00130F37" w:rsidRDefault="009A55F7" w:rsidP="009A55F7">
          <w:pPr>
            <w:spacing w:before="120"/>
            <w:jc w:val="center"/>
            <w:rPr>
              <w:sz w:val="16"/>
              <w:szCs w:val="16"/>
            </w:rPr>
          </w:pPr>
        </w:p>
      </w:tc>
      <w:tc>
        <w:tcPr>
          <w:tcW w:w="3297" w:type="dxa"/>
          <w:gridSpan w:val="2"/>
        </w:tcPr>
        <w:p w:rsidR="009A55F7" w:rsidRPr="00130F37" w:rsidRDefault="009A55F7" w:rsidP="00BA530D">
          <w:pPr>
            <w:spacing w:before="120"/>
            <w:jc w:val="right"/>
            <w:rPr>
              <w:sz w:val="16"/>
              <w:szCs w:val="16"/>
            </w:rPr>
          </w:pPr>
          <w:r w:rsidRPr="00130F37">
            <w:rPr>
              <w:sz w:val="16"/>
              <w:szCs w:val="16"/>
            </w:rPr>
            <w:t xml:space="preserve">Compilation date: </w:t>
          </w:r>
          <w:r w:rsidR="00BA530D">
            <w:rPr>
              <w:sz w:val="16"/>
              <w:szCs w:val="16"/>
            </w:rPr>
            <w:t>18</w:t>
          </w:r>
          <w:r>
            <w:rPr>
              <w:sz w:val="16"/>
              <w:szCs w:val="16"/>
            </w:rPr>
            <w:t>/</w:t>
          </w:r>
          <w:r w:rsidR="00BA530D">
            <w:rPr>
              <w:sz w:val="16"/>
              <w:szCs w:val="16"/>
            </w:rPr>
            <w:t>09</w:t>
          </w:r>
          <w:r>
            <w:rPr>
              <w:sz w:val="16"/>
              <w:szCs w:val="16"/>
            </w:rPr>
            <w:t>/</w:t>
          </w:r>
          <w:r w:rsidR="00BA530D">
            <w:rPr>
              <w:sz w:val="16"/>
              <w:szCs w:val="16"/>
            </w:rPr>
            <w:t>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746DB1">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12" w15:restartNumberingAfterBreak="0">
    <w:nsid w:val="31ED0EC8"/>
    <w:multiLevelType w:val="hybridMultilevel"/>
    <w:tmpl w:val="9EF46570"/>
    <w:lvl w:ilvl="0" w:tplc="B62C3E6A">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E218C8"/>
    <w:multiLevelType w:val="hybridMultilevel"/>
    <w:tmpl w:val="E14A70D8"/>
    <w:lvl w:ilvl="0" w:tplc="C6DC83B0">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C7568DE"/>
    <w:multiLevelType w:val="singleLevel"/>
    <w:tmpl w:val="B7AA958E"/>
    <w:lvl w:ilvl="0">
      <w:start w:val="2"/>
      <w:numFmt w:val="lowerLetter"/>
      <w:lvlText w:val="(%1)"/>
      <w:lvlJc w:val="left"/>
      <w:pPr>
        <w:tabs>
          <w:tab w:val="num" w:pos="1429"/>
        </w:tabs>
        <w:ind w:left="1429" w:hanging="720"/>
      </w:pPr>
      <w:rPr>
        <w:rFonts w:hint="default"/>
        <w:sz w:val="26"/>
      </w:rPr>
    </w:lvl>
  </w:abstractNum>
  <w:abstractNum w:abstractNumId="17" w15:restartNumberingAfterBreak="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20" w15:restartNumberingAfterBreak="0">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0"/>
  </w:num>
  <w:num w:numId="14">
    <w:abstractNumId w:val="13"/>
  </w:num>
  <w:num w:numId="15">
    <w:abstractNumId w:val="16"/>
  </w:num>
  <w:num w:numId="16">
    <w:abstractNumId w:val="17"/>
  </w:num>
  <w:num w:numId="17">
    <w:abstractNumId w:val="19"/>
  </w:num>
  <w:num w:numId="18">
    <w:abstractNumId w:val="20"/>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6351A"/>
    <w:rsid w:val="00075C78"/>
    <w:rsid w:val="000B0EED"/>
    <w:rsid w:val="000C604C"/>
    <w:rsid w:val="000D05EF"/>
    <w:rsid w:val="000D7F8C"/>
    <w:rsid w:val="00101F45"/>
    <w:rsid w:val="0010745C"/>
    <w:rsid w:val="00166C2F"/>
    <w:rsid w:val="001939E1"/>
    <w:rsid w:val="00195382"/>
    <w:rsid w:val="001C69C4"/>
    <w:rsid w:val="001E3590"/>
    <w:rsid w:val="001E7407"/>
    <w:rsid w:val="00253D1B"/>
    <w:rsid w:val="00295FBA"/>
    <w:rsid w:val="002970D7"/>
    <w:rsid w:val="00297ECB"/>
    <w:rsid w:val="002C7668"/>
    <w:rsid w:val="002D043A"/>
    <w:rsid w:val="002D6A8E"/>
    <w:rsid w:val="00307068"/>
    <w:rsid w:val="00311448"/>
    <w:rsid w:val="0032286F"/>
    <w:rsid w:val="003425FD"/>
    <w:rsid w:val="00352B0F"/>
    <w:rsid w:val="00360FB0"/>
    <w:rsid w:val="00377A00"/>
    <w:rsid w:val="003B5735"/>
    <w:rsid w:val="003D0BFE"/>
    <w:rsid w:val="003D5700"/>
    <w:rsid w:val="003D6F8A"/>
    <w:rsid w:val="003E4160"/>
    <w:rsid w:val="004116CD"/>
    <w:rsid w:val="00424CA9"/>
    <w:rsid w:val="0044291A"/>
    <w:rsid w:val="004560FB"/>
    <w:rsid w:val="004653F8"/>
    <w:rsid w:val="00496F97"/>
    <w:rsid w:val="00516B8D"/>
    <w:rsid w:val="005327A0"/>
    <w:rsid w:val="00537FBC"/>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276BC"/>
    <w:rsid w:val="00731E00"/>
    <w:rsid w:val="00733990"/>
    <w:rsid w:val="00746DB1"/>
    <w:rsid w:val="00766393"/>
    <w:rsid w:val="007715C9"/>
    <w:rsid w:val="00774EDD"/>
    <w:rsid w:val="00775577"/>
    <w:rsid w:val="007757EC"/>
    <w:rsid w:val="007C6773"/>
    <w:rsid w:val="008006B2"/>
    <w:rsid w:val="00856A31"/>
    <w:rsid w:val="00872162"/>
    <w:rsid w:val="008754D0"/>
    <w:rsid w:val="00893A33"/>
    <w:rsid w:val="00897007"/>
    <w:rsid w:val="008E17F3"/>
    <w:rsid w:val="008E3B8C"/>
    <w:rsid w:val="008E4F16"/>
    <w:rsid w:val="008F0CF0"/>
    <w:rsid w:val="008F20EA"/>
    <w:rsid w:val="00910C7A"/>
    <w:rsid w:val="00917C66"/>
    <w:rsid w:val="0094622F"/>
    <w:rsid w:val="0098638B"/>
    <w:rsid w:val="009A55F7"/>
    <w:rsid w:val="00A01F76"/>
    <w:rsid w:val="00A133FB"/>
    <w:rsid w:val="00A231E2"/>
    <w:rsid w:val="00A64912"/>
    <w:rsid w:val="00A707C3"/>
    <w:rsid w:val="00A70A74"/>
    <w:rsid w:val="00A87E76"/>
    <w:rsid w:val="00A91B5C"/>
    <w:rsid w:val="00AC07B0"/>
    <w:rsid w:val="00AD5641"/>
    <w:rsid w:val="00B33B3C"/>
    <w:rsid w:val="00BA530D"/>
    <w:rsid w:val="00BE719A"/>
    <w:rsid w:val="00BE720A"/>
    <w:rsid w:val="00C40D70"/>
    <w:rsid w:val="00C42BF8"/>
    <w:rsid w:val="00C50043"/>
    <w:rsid w:val="00C544DF"/>
    <w:rsid w:val="00C61CDD"/>
    <w:rsid w:val="00C7573B"/>
    <w:rsid w:val="00C83868"/>
    <w:rsid w:val="00C9377B"/>
    <w:rsid w:val="00CB3D6B"/>
    <w:rsid w:val="00CB48D8"/>
    <w:rsid w:val="00CC0A9E"/>
    <w:rsid w:val="00CD0200"/>
    <w:rsid w:val="00CF0BB2"/>
    <w:rsid w:val="00D03A1F"/>
    <w:rsid w:val="00D076A9"/>
    <w:rsid w:val="00D108FC"/>
    <w:rsid w:val="00D13441"/>
    <w:rsid w:val="00D70DFB"/>
    <w:rsid w:val="00D766DF"/>
    <w:rsid w:val="00DB3CFE"/>
    <w:rsid w:val="00DB6E60"/>
    <w:rsid w:val="00DC7B41"/>
    <w:rsid w:val="00DE7073"/>
    <w:rsid w:val="00DF1CF5"/>
    <w:rsid w:val="00DF6D7F"/>
    <w:rsid w:val="00E31A36"/>
    <w:rsid w:val="00E74DC7"/>
    <w:rsid w:val="00E76A98"/>
    <w:rsid w:val="00EA4BA6"/>
    <w:rsid w:val="00ED0C49"/>
    <w:rsid w:val="00EE0816"/>
    <w:rsid w:val="00EF2E3A"/>
    <w:rsid w:val="00F04811"/>
    <w:rsid w:val="00F078DC"/>
    <w:rsid w:val="00F23E5F"/>
    <w:rsid w:val="00F51269"/>
    <w:rsid w:val="00F85C9A"/>
    <w:rsid w:val="00FA25AC"/>
    <w:rsid w:val="00FD7B62"/>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customStyle="1" w:styleId="Plainheader">
    <w:name w:val="Plain header"/>
    <w:autoRedefine/>
    <w:uiPriority w:val="2"/>
    <w:qFormat/>
    <w:rsid w:val="00BA530D"/>
    <w:pPr>
      <w:spacing w:before="120" w:after="120" w:line="280" w:lineRule="atLeast"/>
      <w:outlineLvl w:val="0"/>
    </w:pPr>
    <w:rPr>
      <w:rFonts w:eastAsia="Calibri" w:cs="Arial"/>
      <w:color w:val="000000"/>
      <w:sz w:val="24"/>
    </w:rPr>
  </w:style>
  <w:style w:type="character" w:customStyle="1" w:styleId="notetextChar">
    <w:name w:val="note(text) Char"/>
    <w:aliases w:val="n Char"/>
    <w:link w:val="notetext"/>
    <w:rsid w:val="00D076A9"/>
    <w:rPr>
      <w:rFonts w:eastAsia="Times New Roman" w:cs="Times New Roman"/>
      <w:sz w:val="18"/>
      <w:lang w:eastAsia="en-AU"/>
    </w:rPr>
  </w:style>
  <w:style w:type="paragraph" w:customStyle="1" w:styleId="TableOfAmend">
    <w:name w:val="TableOfAmend"/>
    <w:basedOn w:val="Normal"/>
    <w:rsid w:val="00D076A9"/>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14</TotalTime>
  <Pages>12</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12</cp:revision>
  <cp:lastPrinted>2016-11-03T03:57:00Z</cp:lastPrinted>
  <dcterms:created xsi:type="dcterms:W3CDTF">2017-04-24T01:31:00Z</dcterms:created>
  <dcterms:modified xsi:type="dcterms:W3CDTF">2017-08-24T05:04:00Z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