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68" w:rsidRDefault="00307068" w:rsidP="00307068">
      <w:pPr>
        <w:rPr>
          <w:sz w:val="28"/>
        </w:rPr>
      </w:pPr>
      <w:r>
        <w:rPr>
          <w:noProof/>
          <w:lang w:eastAsia="en-AU"/>
        </w:rPr>
        <w:drawing>
          <wp:inline distT="0" distB="0" distL="0" distR="0" wp14:anchorId="78B10D41" wp14:editId="3B5674F1">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07068" w:rsidRPr="000517C9" w:rsidRDefault="00D03A1F" w:rsidP="00FA25AC">
      <w:pPr>
        <w:spacing w:before="240"/>
        <w:rPr>
          <w:b/>
          <w:sz w:val="40"/>
          <w:szCs w:val="40"/>
        </w:rPr>
      </w:pPr>
      <w:r>
        <w:rPr>
          <w:b/>
          <w:sz w:val="40"/>
          <w:szCs w:val="40"/>
        </w:rPr>
        <w:t xml:space="preserve">Statement of </w:t>
      </w:r>
      <w:r w:rsidRPr="000517C9">
        <w:rPr>
          <w:b/>
          <w:sz w:val="40"/>
          <w:szCs w:val="40"/>
        </w:rPr>
        <w:t xml:space="preserve">Principles concerning </w:t>
      </w:r>
      <w:r w:rsidR="000444FE" w:rsidRPr="000517C9">
        <w:rPr>
          <w:b/>
          <w:sz w:val="40"/>
          <w:szCs w:val="40"/>
        </w:rPr>
        <w:t>inflammatory bowel disease</w:t>
      </w:r>
      <w:r w:rsidRPr="000517C9">
        <w:rPr>
          <w:b/>
          <w:sz w:val="40"/>
          <w:szCs w:val="40"/>
        </w:rPr>
        <w:t xml:space="preserve"> No. </w:t>
      </w:r>
      <w:r w:rsidR="000444FE" w:rsidRPr="000517C9">
        <w:rPr>
          <w:b/>
          <w:sz w:val="40"/>
          <w:szCs w:val="40"/>
        </w:rPr>
        <w:t>19</w:t>
      </w:r>
      <w:r w:rsidRPr="000517C9">
        <w:rPr>
          <w:b/>
          <w:sz w:val="40"/>
          <w:szCs w:val="40"/>
        </w:rPr>
        <w:t xml:space="preserve"> of </w:t>
      </w:r>
      <w:r w:rsidR="000444FE" w:rsidRPr="000517C9">
        <w:rPr>
          <w:b/>
          <w:sz w:val="40"/>
          <w:szCs w:val="40"/>
        </w:rPr>
        <w:t>2012</w:t>
      </w:r>
    </w:p>
    <w:p w:rsidR="00307068" w:rsidRPr="000517C9" w:rsidRDefault="00307068" w:rsidP="00307068">
      <w:pPr>
        <w:pStyle w:val="MadeunderText"/>
      </w:pPr>
      <w:r w:rsidRPr="000517C9">
        <w:t xml:space="preserve">made under </w:t>
      </w:r>
      <w:r w:rsidR="00D03A1F" w:rsidRPr="000517C9">
        <w:t>subsection 196B(2)</w:t>
      </w:r>
      <w:r w:rsidRPr="000517C9">
        <w:t xml:space="preserve"> of the</w:t>
      </w:r>
    </w:p>
    <w:p w:rsidR="00D03A1F" w:rsidRPr="000517C9" w:rsidRDefault="00D03A1F" w:rsidP="00D03A1F">
      <w:pPr>
        <w:pStyle w:val="CompiledMadeUnder"/>
        <w:spacing w:before="240"/>
      </w:pPr>
      <w:r w:rsidRPr="000517C9">
        <w:t>Veterans' Entitlements Act 1986</w:t>
      </w:r>
    </w:p>
    <w:p w:rsidR="00D03A1F" w:rsidRPr="000517C9" w:rsidRDefault="00D03A1F" w:rsidP="00D03A1F">
      <w:pPr>
        <w:spacing w:before="1000"/>
        <w:rPr>
          <w:rFonts w:cs="Arial"/>
          <w:sz w:val="24"/>
          <w:szCs w:val="24"/>
        </w:rPr>
      </w:pPr>
      <w:r w:rsidRPr="000517C9">
        <w:rPr>
          <w:rFonts w:cs="Arial"/>
          <w:b/>
          <w:sz w:val="32"/>
          <w:szCs w:val="32"/>
        </w:rPr>
        <w:t xml:space="preserve">Compilation No. </w:t>
      </w:r>
      <w:r w:rsidR="000444FE" w:rsidRPr="000517C9">
        <w:rPr>
          <w:rFonts w:cs="Arial"/>
          <w:b/>
          <w:sz w:val="32"/>
          <w:szCs w:val="32"/>
        </w:rPr>
        <w:t>1</w:t>
      </w:r>
      <w:r w:rsidRPr="000517C9">
        <w:rPr>
          <w:rFonts w:cs="Arial"/>
          <w:b/>
          <w:sz w:val="32"/>
          <w:szCs w:val="32"/>
        </w:rPr>
        <w:tab/>
      </w:r>
      <w:r w:rsidRPr="000517C9">
        <w:rPr>
          <w:rFonts w:cs="Arial"/>
          <w:b/>
          <w:sz w:val="32"/>
          <w:szCs w:val="32"/>
        </w:rPr>
        <w:tab/>
      </w:r>
    </w:p>
    <w:p w:rsidR="00D03A1F" w:rsidRPr="000517C9" w:rsidRDefault="00D03A1F" w:rsidP="000444FE">
      <w:pPr>
        <w:spacing w:before="480" w:after="240"/>
        <w:rPr>
          <w:rFonts w:cs="Arial"/>
          <w:sz w:val="24"/>
        </w:rPr>
      </w:pPr>
      <w:r w:rsidRPr="000517C9">
        <w:rPr>
          <w:rFonts w:cs="Arial"/>
          <w:b/>
          <w:sz w:val="24"/>
        </w:rPr>
        <w:t>Compilation date:</w:t>
      </w:r>
      <w:r w:rsidRPr="000517C9">
        <w:rPr>
          <w:rFonts w:cs="Arial"/>
          <w:b/>
          <w:sz w:val="24"/>
        </w:rPr>
        <w:tab/>
      </w:r>
      <w:r w:rsidRPr="000517C9">
        <w:rPr>
          <w:rFonts w:cs="Arial"/>
          <w:b/>
          <w:sz w:val="24"/>
        </w:rPr>
        <w:tab/>
      </w:r>
      <w:r w:rsidRPr="000517C9">
        <w:rPr>
          <w:rFonts w:cs="Arial"/>
          <w:b/>
          <w:sz w:val="24"/>
        </w:rPr>
        <w:tab/>
      </w:r>
      <w:r w:rsidR="000517C9" w:rsidRPr="000517C9">
        <w:rPr>
          <w:rFonts w:cs="Arial"/>
          <w:sz w:val="24"/>
        </w:rPr>
        <w:t>24 September 2018</w:t>
      </w:r>
    </w:p>
    <w:p w:rsidR="000444FE" w:rsidRDefault="00D03A1F" w:rsidP="000444FE">
      <w:pPr>
        <w:ind w:left="3544" w:hanging="3544"/>
        <w:rPr>
          <w:sz w:val="24"/>
          <w:szCs w:val="24"/>
        </w:rPr>
      </w:pPr>
      <w:r w:rsidRPr="000517C9">
        <w:rPr>
          <w:rFonts w:cs="Arial"/>
          <w:b/>
          <w:sz w:val="24"/>
        </w:rPr>
        <w:t>Includes amendments up to:</w:t>
      </w:r>
      <w:r w:rsidRPr="000517C9">
        <w:rPr>
          <w:rFonts w:cs="Arial"/>
          <w:b/>
          <w:sz w:val="24"/>
        </w:rPr>
        <w:tab/>
      </w:r>
      <w:r w:rsidR="000444FE" w:rsidRPr="000517C9">
        <w:rPr>
          <w:sz w:val="24"/>
          <w:szCs w:val="24"/>
        </w:rPr>
        <w:t xml:space="preserve">Veterans' </w:t>
      </w:r>
      <w:r w:rsidR="000444FE" w:rsidRPr="000444FE">
        <w:rPr>
          <w:sz w:val="24"/>
          <w:szCs w:val="24"/>
        </w:rPr>
        <w:t>Entitlements (Statements of Principles—Category 1B Stressor) Amen</w:t>
      </w:r>
      <w:r w:rsidR="000517C9">
        <w:rPr>
          <w:sz w:val="24"/>
          <w:szCs w:val="24"/>
        </w:rPr>
        <w:t>dment Determination 2018 (No. 87</w:t>
      </w:r>
      <w:r w:rsidR="000444FE" w:rsidRPr="000444FE">
        <w:rPr>
          <w:sz w:val="24"/>
          <w:szCs w:val="24"/>
        </w:rPr>
        <w:t xml:space="preserve"> of 2018) (F2018L</w:t>
      </w:r>
      <w:r w:rsidR="000517C9">
        <w:rPr>
          <w:sz w:val="24"/>
          <w:szCs w:val="24"/>
        </w:rPr>
        <w:t>01188</w:t>
      </w:r>
      <w:r w:rsidR="000444FE" w:rsidRPr="000444FE">
        <w:rPr>
          <w:sz w:val="24"/>
          <w:szCs w:val="24"/>
        </w:rPr>
        <w:t>)</w:t>
      </w:r>
    </w:p>
    <w:p w:rsidR="000444FE" w:rsidRPr="000444FE" w:rsidRDefault="000444FE" w:rsidP="000444FE">
      <w:pPr>
        <w:ind w:left="3544" w:hanging="3544"/>
      </w:pPr>
    </w:p>
    <w:p w:rsidR="000444FE" w:rsidRDefault="000444FE" w:rsidP="000444FE">
      <w:pPr>
        <w:rPr>
          <w:rFonts w:cs="Times New Roman"/>
          <w:sz w:val="24"/>
        </w:rPr>
      </w:pPr>
      <w:r>
        <w:rPr>
          <w:rFonts w:cs="Times New Roman"/>
          <w:sz w:val="24"/>
        </w:rPr>
        <w:t>The day of commencement of this Amendment Determination is</w:t>
      </w:r>
      <w:r w:rsidR="000517C9">
        <w:rPr>
          <w:rFonts w:cs="Times New Roman"/>
          <w:sz w:val="24"/>
        </w:rPr>
        <w:t xml:space="preserve"> 24 September 2018</w:t>
      </w:r>
      <w:r>
        <w:rPr>
          <w:rFonts w:cs="Times New Roman"/>
          <w:sz w:val="24"/>
        </w:rPr>
        <w:t>.</w:t>
      </w:r>
    </w:p>
    <w:p w:rsidR="00307068" w:rsidRDefault="00307068" w:rsidP="00307068">
      <w:pPr>
        <w:spacing w:before="240"/>
        <w:rPr>
          <w:rFonts w:cs="Arial"/>
          <w:sz w:val="24"/>
        </w:rPr>
      </w:pPr>
    </w:p>
    <w:p w:rsidR="00307068" w:rsidRPr="00C27148" w:rsidRDefault="00307068" w:rsidP="00307068">
      <w:pPr>
        <w:pageBreakBefore/>
        <w:rPr>
          <w:rFonts w:cs="Arial"/>
          <w:b/>
          <w:sz w:val="32"/>
          <w:szCs w:val="32"/>
        </w:rPr>
      </w:pPr>
      <w:r w:rsidRPr="00C27148">
        <w:rPr>
          <w:rFonts w:cs="Arial"/>
          <w:b/>
          <w:sz w:val="32"/>
          <w:szCs w:val="32"/>
        </w:rPr>
        <w:lastRenderedPageBreak/>
        <w:t>About this compilation</w:t>
      </w:r>
    </w:p>
    <w:p w:rsidR="00307068" w:rsidRDefault="00307068" w:rsidP="00307068">
      <w:pPr>
        <w:spacing w:after="120"/>
        <w:rPr>
          <w:rFonts w:cs="Arial"/>
          <w:szCs w:val="22"/>
        </w:rPr>
      </w:pPr>
    </w:p>
    <w:p w:rsidR="00307068" w:rsidRPr="00042EA7" w:rsidRDefault="00307068" w:rsidP="00307068">
      <w:pPr>
        <w:spacing w:before="240"/>
        <w:rPr>
          <w:rFonts w:cs="Arial"/>
        </w:rPr>
      </w:pPr>
      <w:r w:rsidRPr="00042EA7">
        <w:rPr>
          <w:rFonts w:cs="Arial"/>
          <w:b/>
          <w:szCs w:val="22"/>
        </w:rPr>
        <w:t>This compilation</w:t>
      </w:r>
    </w:p>
    <w:p w:rsidR="00307068" w:rsidRPr="000517C9" w:rsidRDefault="00307068" w:rsidP="00307068">
      <w:pPr>
        <w:spacing w:before="120" w:after="120"/>
        <w:rPr>
          <w:rFonts w:cs="Arial"/>
          <w:szCs w:val="22"/>
        </w:rPr>
      </w:pPr>
      <w:r w:rsidRPr="00042EA7">
        <w:rPr>
          <w:rFonts w:cs="Arial"/>
          <w:szCs w:val="22"/>
        </w:rPr>
        <w:t xml:space="preserve">This is a compilation of </w:t>
      </w:r>
      <w:r w:rsidRPr="000517C9">
        <w:rPr>
          <w:rFonts w:cs="Arial"/>
          <w:szCs w:val="22"/>
        </w:rPr>
        <w:t xml:space="preserve">the </w:t>
      </w:r>
      <w:r w:rsidR="00872162" w:rsidRPr="000517C9">
        <w:rPr>
          <w:rFonts w:cs="Arial"/>
          <w:i/>
          <w:szCs w:val="22"/>
        </w:rPr>
        <w:t xml:space="preserve">Statement of Principles concerning </w:t>
      </w:r>
      <w:r w:rsidR="00494C78" w:rsidRPr="000517C9">
        <w:rPr>
          <w:rFonts w:cs="Arial"/>
          <w:i/>
          <w:szCs w:val="22"/>
        </w:rPr>
        <w:t>inflammatory bowel disease</w:t>
      </w:r>
      <w:r w:rsidR="00872162" w:rsidRPr="000517C9">
        <w:rPr>
          <w:rFonts w:cs="Arial"/>
          <w:i/>
          <w:szCs w:val="22"/>
        </w:rPr>
        <w:t xml:space="preserve"> No.</w:t>
      </w:r>
      <w:r w:rsidR="00494C78" w:rsidRPr="000517C9">
        <w:rPr>
          <w:rFonts w:cs="Arial"/>
          <w:i/>
          <w:szCs w:val="22"/>
        </w:rPr>
        <w:t xml:space="preserve"> 19</w:t>
      </w:r>
      <w:r w:rsidR="00872162" w:rsidRPr="000517C9">
        <w:rPr>
          <w:rFonts w:cs="Arial"/>
          <w:i/>
          <w:szCs w:val="22"/>
        </w:rPr>
        <w:t xml:space="preserve"> of </w:t>
      </w:r>
      <w:r w:rsidR="00494C78" w:rsidRPr="000517C9">
        <w:rPr>
          <w:rFonts w:cs="Arial"/>
          <w:i/>
          <w:szCs w:val="22"/>
        </w:rPr>
        <w:t>2012</w:t>
      </w:r>
      <w:r w:rsidRPr="000517C9">
        <w:rPr>
          <w:rFonts w:cs="Arial"/>
          <w:szCs w:val="22"/>
        </w:rPr>
        <w:t xml:space="preserve"> that shows the text of the law as amended and in force on </w:t>
      </w:r>
      <w:r w:rsidR="000517C9" w:rsidRPr="000517C9">
        <w:rPr>
          <w:rFonts w:cs="Arial"/>
          <w:szCs w:val="22"/>
        </w:rPr>
        <w:t>24 September 2018</w:t>
      </w:r>
      <w:r w:rsidRPr="000517C9">
        <w:rPr>
          <w:rFonts w:cs="Arial"/>
          <w:szCs w:val="22"/>
        </w:rPr>
        <w:t>.</w:t>
      </w:r>
    </w:p>
    <w:p w:rsidR="00307068" w:rsidRPr="00042EA7" w:rsidRDefault="00307068" w:rsidP="00307068">
      <w:pPr>
        <w:spacing w:after="120"/>
        <w:rPr>
          <w:rFonts w:cs="Arial"/>
          <w:szCs w:val="22"/>
        </w:rPr>
      </w:pPr>
      <w:r w:rsidRPr="000517C9">
        <w:rPr>
          <w:rFonts w:cs="Arial"/>
          <w:szCs w:val="22"/>
        </w:rPr>
        <w:t xml:space="preserve">The notes at the end of this compilation (the </w:t>
      </w:r>
      <w:r w:rsidRPr="000517C9">
        <w:rPr>
          <w:rFonts w:cs="Arial"/>
          <w:b/>
          <w:i/>
          <w:szCs w:val="22"/>
        </w:rPr>
        <w:t>endnotes</w:t>
      </w:r>
      <w:r w:rsidRPr="000517C9">
        <w:rPr>
          <w:rFonts w:cs="Arial"/>
          <w:szCs w:val="22"/>
        </w:rPr>
        <w:t xml:space="preserve">) include information about amending laws and the amendment history </w:t>
      </w:r>
      <w:r w:rsidRPr="00042EA7">
        <w:rPr>
          <w:rFonts w:cs="Arial"/>
          <w:szCs w:val="22"/>
        </w:rPr>
        <w:t>of provisions of the compiled law.</w:t>
      </w:r>
    </w:p>
    <w:p w:rsidR="00307068" w:rsidRPr="00042EA7" w:rsidRDefault="00307068" w:rsidP="00307068">
      <w:pPr>
        <w:tabs>
          <w:tab w:val="left" w:pos="5640"/>
        </w:tabs>
        <w:spacing w:before="120" w:after="120"/>
        <w:rPr>
          <w:rFonts w:cs="Arial"/>
          <w:b/>
          <w:szCs w:val="22"/>
        </w:rPr>
      </w:pPr>
      <w:r w:rsidRPr="00042EA7">
        <w:rPr>
          <w:rFonts w:cs="Arial"/>
          <w:b/>
          <w:szCs w:val="22"/>
        </w:rPr>
        <w:t>Uncommenced amendments</w:t>
      </w:r>
    </w:p>
    <w:p w:rsidR="00307068" w:rsidRPr="00042EA7" w:rsidRDefault="00307068" w:rsidP="00307068">
      <w:pPr>
        <w:spacing w:after="120"/>
        <w:rPr>
          <w:rFonts w:cs="Arial"/>
          <w:szCs w:val="22"/>
        </w:rPr>
      </w:pPr>
      <w:r w:rsidRPr="00042EA7">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042EA7">
        <w:rPr>
          <w:rFonts w:cs="Arial"/>
          <w:szCs w:val="22"/>
        </w:rPr>
        <w:t xml:space="preserve"> (www.</w:t>
      </w:r>
      <w:r>
        <w:rPr>
          <w:rFonts w:cs="Arial"/>
          <w:szCs w:val="22"/>
        </w:rPr>
        <w:t>legislation</w:t>
      </w:r>
      <w:r w:rsidRPr="00042EA7">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120" w:after="120"/>
        <w:rPr>
          <w:rFonts w:cs="Arial"/>
          <w:b/>
          <w:szCs w:val="22"/>
        </w:rPr>
      </w:pPr>
      <w:r w:rsidRPr="00042EA7">
        <w:rPr>
          <w:rFonts w:cs="Arial"/>
          <w:b/>
          <w:szCs w:val="22"/>
        </w:rPr>
        <w:t>Application, saving and transitional provisions for provisions and amendments</w:t>
      </w:r>
    </w:p>
    <w:p w:rsidR="00307068" w:rsidRPr="00042EA7" w:rsidRDefault="00307068" w:rsidP="00307068">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rsidR="00307068" w:rsidRPr="00042EA7" w:rsidRDefault="00307068" w:rsidP="00307068">
      <w:pPr>
        <w:spacing w:before="120" w:after="120"/>
        <w:rPr>
          <w:rFonts w:cs="Arial"/>
          <w:b/>
          <w:szCs w:val="22"/>
        </w:rPr>
      </w:pPr>
      <w:r w:rsidRPr="00042EA7">
        <w:rPr>
          <w:rFonts w:cs="Arial"/>
          <w:b/>
          <w:szCs w:val="22"/>
        </w:rPr>
        <w:t>Modifications</w:t>
      </w:r>
    </w:p>
    <w:p w:rsidR="00307068" w:rsidRPr="00042EA7" w:rsidRDefault="00307068" w:rsidP="00307068">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rsidR="00307068" w:rsidRPr="00BC57F4" w:rsidRDefault="00307068" w:rsidP="00307068">
      <w:pPr>
        <w:spacing w:after="120"/>
        <w:rPr>
          <w:rFonts w:cs="Arial"/>
        </w:rPr>
      </w:pPr>
      <w:r w:rsidRPr="00042EA7">
        <w:rPr>
          <w:rFonts w:cs="Arial"/>
          <w:szCs w:val="22"/>
        </w:rPr>
        <w:t>If a provision of the compiled law has been repealed in accordance with a provision of the law, details are included in the endnotes.</w:t>
      </w:r>
    </w:p>
    <w:p w:rsidR="00307068" w:rsidRDefault="00307068" w:rsidP="00307068"/>
    <w:p w:rsidR="00307068" w:rsidRPr="00ED79B6" w:rsidRDefault="00307068" w:rsidP="00307068"/>
    <w:p w:rsidR="00307068" w:rsidRPr="00ED79B6" w:rsidRDefault="00307068" w:rsidP="00307068">
      <w:pPr>
        <w:pStyle w:val="Header"/>
        <w:tabs>
          <w:tab w:val="clear" w:pos="4150"/>
          <w:tab w:val="clear" w:pos="8307"/>
        </w:tabs>
      </w:pPr>
      <w:r w:rsidRPr="00ED79B6">
        <w:rPr>
          <w:rStyle w:val="CharChapNo"/>
        </w:rPr>
        <w:t xml:space="preserve"> </w:t>
      </w:r>
      <w:r w:rsidRPr="00ED79B6">
        <w:rPr>
          <w:rStyle w:val="CharChapText"/>
        </w:rPr>
        <w:t xml:space="preserve"> </w:t>
      </w:r>
    </w:p>
    <w:p w:rsidR="00307068" w:rsidRPr="00ED79B6" w:rsidRDefault="00307068" w:rsidP="00307068">
      <w:pPr>
        <w:pStyle w:val="Header"/>
        <w:tabs>
          <w:tab w:val="clear" w:pos="4150"/>
          <w:tab w:val="clear" w:pos="8307"/>
        </w:tabs>
      </w:pPr>
      <w:r w:rsidRPr="00ED79B6">
        <w:rPr>
          <w:rStyle w:val="CharPartNo"/>
        </w:rPr>
        <w:t xml:space="preserve"> </w:t>
      </w:r>
      <w:r w:rsidRPr="00ED79B6">
        <w:rPr>
          <w:rStyle w:val="CharPartText"/>
        </w:rPr>
        <w:t xml:space="preserve"> </w:t>
      </w:r>
    </w:p>
    <w:p w:rsidR="00307068" w:rsidRPr="00ED79B6" w:rsidRDefault="00307068" w:rsidP="00307068">
      <w:pPr>
        <w:pStyle w:val="Header"/>
        <w:tabs>
          <w:tab w:val="clear" w:pos="4150"/>
          <w:tab w:val="clear" w:pos="8307"/>
        </w:tabs>
      </w:pPr>
      <w:r w:rsidRPr="00ED79B6">
        <w:rPr>
          <w:rStyle w:val="CharDivNo"/>
        </w:rPr>
        <w:t xml:space="preserve"> </w:t>
      </w:r>
      <w:r w:rsidRPr="00ED79B6">
        <w:rPr>
          <w:rStyle w:val="CharDivText"/>
        </w:rPr>
        <w:t xml:space="preserve"> </w:t>
      </w:r>
    </w:p>
    <w:p w:rsidR="00307068" w:rsidRDefault="00307068" w:rsidP="00307068">
      <w:pPr>
        <w:sectPr w:rsidR="00307068" w:rsidSect="001A4A0C">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3402" w:gutter="0"/>
          <w:cols w:space="708"/>
          <w:titlePg/>
          <w:docGrid w:linePitch="360"/>
        </w:sectPr>
      </w:pPr>
    </w:p>
    <w:p w:rsidR="00494C78" w:rsidRPr="00494C78" w:rsidRDefault="00494C78" w:rsidP="00494C78">
      <w:pPr>
        <w:spacing w:line="240" w:lineRule="atLeast"/>
        <w:jc w:val="center"/>
        <w:rPr>
          <w:rFonts w:ascii="Arial" w:eastAsia="Times New Roman" w:hAnsi="Arial" w:cs="Times New Roman"/>
          <w:sz w:val="36"/>
          <w:lang w:val="en-GB"/>
        </w:rPr>
      </w:pPr>
      <w:r w:rsidRPr="00494C78">
        <w:rPr>
          <w:rFonts w:eastAsia="Times New Roman" w:cs="Times New Roman"/>
          <w:noProof/>
          <w:sz w:val="36"/>
          <w:lang w:eastAsia="en-AU"/>
        </w:rPr>
        <w:lastRenderedPageBreak/>
        <w:drawing>
          <wp:inline distT="0" distB="0" distL="0" distR="0" wp14:anchorId="7FEA6813" wp14:editId="2B14E833">
            <wp:extent cx="1757680" cy="937895"/>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7680" cy="937895"/>
                    </a:xfrm>
                    <a:prstGeom prst="rect">
                      <a:avLst/>
                    </a:prstGeom>
                    <a:noFill/>
                    <a:ln>
                      <a:noFill/>
                    </a:ln>
                  </pic:spPr>
                </pic:pic>
              </a:graphicData>
            </a:graphic>
          </wp:inline>
        </w:drawing>
      </w:r>
    </w:p>
    <w:p w:rsidR="00494C78" w:rsidRPr="00494C78" w:rsidRDefault="00494C78" w:rsidP="00494C78">
      <w:pPr>
        <w:spacing w:before="240" w:after="240" w:line="240" w:lineRule="atLeast"/>
        <w:jc w:val="center"/>
        <w:rPr>
          <w:rFonts w:ascii="Arial" w:eastAsia="Times New Roman" w:hAnsi="Arial" w:cs="Times New Roman"/>
          <w:sz w:val="36"/>
          <w:lang w:val="en-GB"/>
        </w:rPr>
      </w:pPr>
    </w:p>
    <w:p w:rsidR="00494C78" w:rsidRPr="00494C78" w:rsidRDefault="00494C78" w:rsidP="00494C78">
      <w:pPr>
        <w:spacing w:line="240" w:lineRule="atLeast"/>
        <w:jc w:val="center"/>
        <w:outlineLvl w:val="0"/>
        <w:rPr>
          <w:rFonts w:ascii="Arial" w:eastAsia="Times New Roman" w:hAnsi="Arial" w:cs="Times New Roman"/>
          <w:sz w:val="40"/>
          <w:lang w:val="en-GB"/>
        </w:rPr>
      </w:pPr>
      <w:r w:rsidRPr="00494C78">
        <w:rPr>
          <w:rFonts w:ascii="Arial" w:eastAsia="Times New Roman" w:hAnsi="Arial" w:cs="Times New Roman"/>
          <w:sz w:val="40"/>
          <w:lang w:val="en-GB"/>
        </w:rPr>
        <w:t>Statement of Principles</w:t>
      </w:r>
    </w:p>
    <w:p w:rsidR="00494C78" w:rsidRPr="00494C78" w:rsidRDefault="00494C78" w:rsidP="00494C78">
      <w:pPr>
        <w:spacing w:line="240" w:lineRule="atLeast"/>
        <w:jc w:val="center"/>
        <w:outlineLvl w:val="0"/>
        <w:rPr>
          <w:rFonts w:ascii="Arial" w:eastAsia="Times New Roman" w:hAnsi="Arial" w:cs="Times New Roman"/>
          <w:sz w:val="28"/>
          <w:lang w:val="en-GB"/>
        </w:rPr>
      </w:pPr>
      <w:r w:rsidRPr="00494C78">
        <w:rPr>
          <w:rFonts w:ascii="Arial" w:eastAsia="Times New Roman" w:hAnsi="Arial" w:cs="Times New Roman"/>
          <w:sz w:val="28"/>
          <w:lang w:val="en-GB"/>
        </w:rPr>
        <w:t>concerning</w:t>
      </w:r>
    </w:p>
    <w:p w:rsidR="00494C78" w:rsidRPr="00494C78" w:rsidRDefault="00494C78" w:rsidP="00494C78">
      <w:pPr>
        <w:spacing w:line="240" w:lineRule="atLeast"/>
        <w:jc w:val="center"/>
        <w:rPr>
          <w:rFonts w:ascii="Arial" w:eastAsia="Times New Roman" w:hAnsi="Arial" w:cs="Times New Roman"/>
          <w:sz w:val="28"/>
          <w:lang w:val="en-GB"/>
        </w:rPr>
      </w:pPr>
    </w:p>
    <w:p w:rsidR="00494C78" w:rsidRPr="00494C78" w:rsidRDefault="00494C78" w:rsidP="00494C78">
      <w:pPr>
        <w:spacing w:line="240" w:lineRule="atLeast"/>
        <w:jc w:val="center"/>
        <w:outlineLvl w:val="0"/>
        <w:rPr>
          <w:rFonts w:ascii="Arial" w:eastAsia="Times New Roman" w:hAnsi="Arial" w:cs="Times New Roman"/>
          <w:b/>
          <w:sz w:val="40"/>
          <w:lang w:val="en-GB"/>
        </w:rPr>
      </w:pPr>
      <w:r w:rsidRPr="00494C78">
        <w:rPr>
          <w:rFonts w:ascii="Arial" w:eastAsia="Times New Roman" w:hAnsi="Arial" w:cs="Times New Roman"/>
          <w:b/>
          <w:sz w:val="40"/>
          <w:lang w:val="en-GB"/>
        </w:rPr>
        <w:t>INFLAMMATORY BOWEL DISEASE</w:t>
      </w:r>
    </w:p>
    <w:p w:rsidR="00494C78" w:rsidRPr="00494C78" w:rsidRDefault="00494C78" w:rsidP="00494C78">
      <w:pPr>
        <w:spacing w:before="240" w:line="240" w:lineRule="atLeast"/>
        <w:jc w:val="center"/>
        <w:outlineLvl w:val="0"/>
        <w:rPr>
          <w:rFonts w:ascii="Arial" w:eastAsia="Times New Roman" w:hAnsi="Arial" w:cs="Times New Roman"/>
          <w:b/>
          <w:sz w:val="40"/>
          <w:lang w:val="en-GB"/>
        </w:rPr>
      </w:pPr>
      <w:r w:rsidRPr="00494C78">
        <w:rPr>
          <w:rFonts w:ascii="Arial" w:eastAsia="Times New Roman" w:hAnsi="Arial" w:cs="Times New Roman"/>
          <w:b/>
          <w:sz w:val="40"/>
          <w:lang w:val="en-GB"/>
        </w:rPr>
        <w:t>No. 19 of 2012</w:t>
      </w:r>
    </w:p>
    <w:p w:rsidR="00494C78" w:rsidRPr="00494C78" w:rsidRDefault="00494C78" w:rsidP="00494C78">
      <w:pPr>
        <w:spacing w:line="240" w:lineRule="atLeast"/>
        <w:jc w:val="center"/>
        <w:rPr>
          <w:rFonts w:ascii="Arial" w:eastAsia="Times New Roman" w:hAnsi="Arial" w:cs="Times New Roman"/>
          <w:b/>
          <w:sz w:val="24"/>
          <w:lang w:val="en-GB"/>
        </w:rPr>
      </w:pPr>
    </w:p>
    <w:p w:rsidR="00494C78" w:rsidRPr="00494C78" w:rsidRDefault="00494C78" w:rsidP="00494C78">
      <w:pPr>
        <w:spacing w:line="240" w:lineRule="atLeast"/>
        <w:jc w:val="center"/>
        <w:rPr>
          <w:rFonts w:ascii="Arial" w:eastAsia="Times New Roman" w:hAnsi="Arial" w:cs="Times New Roman"/>
          <w:sz w:val="28"/>
          <w:lang w:val="en-GB"/>
        </w:rPr>
      </w:pPr>
      <w:r w:rsidRPr="00494C78">
        <w:rPr>
          <w:rFonts w:ascii="Arial" w:eastAsia="Times New Roman" w:hAnsi="Arial" w:cs="Times New Roman"/>
          <w:sz w:val="28"/>
          <w:lang w:val="en-GB"/>
        </w:rPr>
        <w:t>for the purposes of the</w:t>
      </w:r>
    </w:p>
    <w:p w:rsidR="00494C78" w:rsidRPr="00494C78" w:rsidRDefault="00494C78" w:rsidP="00494C78">
      <w:pPr>
        <w:spacing w:line="240" w:lineRule="atLeast"/>
        <w:jc w:val="center"/>
        <w:rPr>
          <w:rFonts w:ascii="Arial" w:eastAsia="Times New Roman" w:hAnsi="Arial" w:cs="Times New Roman"/>
          <w:b/>
          <w:sz w:val="24"/>
          <w:lang w:val="en-GB"/>
        </w:rPr>
      </w:pPr>
    </w:p>
    <w:p w:rsidR="00494C78" w:rsidRPr="00494C78" w:rsidRDefault="00494C78" w:rsidP="00494C78">
      <w:pPr>
        <w:spacing w:line="240" w:lineRule="atLeast"/>
        <w:jc w:val="center"/>
        <w:outlineLvl w:val="0"/>
        <w:rPr>
          <w:rFonts w:ascii="Arial" w:eastAsia="Times New Roman" w:hAnsi="Arial" w:cs="Times New Roman"/>
          <w:i/>
          <w:sz w:val="32"/>
          <w:lang w:val="en-GB"/>
        </w:rPr>
      </w:pPr>
      <w:r w:rsidRPr="00494C78">
        <w:rPr>
          <w:rFonts w:ascii="Arial" w:eastAsia="Times New Roman" w:hAnsi="Arial" w:cs="Times New Roman"/>
          <w:i/>
          <w:sz w:val="32"/>
          <w:lang w:val="en-GB"/>
        </w:rPr>
        <w:t>Veterans’ Entitlements Act 1986</w:t>
      </w:r>
    </w:p>
    <w:p w:rsidR="00494C78" w:rsidRPr="00494C78" w:rsidRDefault="00494C78" w:rsidP="00494C78">
      <w:pPr>
        <w:spacing w:line="240" w:lineRule="atLeast"/>
        <w:jc w:val="center"/>
        <w:rPr>
          <w:rFonts w:ascii="Arial" w:eastAsia="Times New Roman" w:hAnsi="Arial" w:cs="Times New Roman"/>
          <w:sz w:val="28"/>
          <w:lang w:val="en-GB"/>
        </w:rPr>
      </w:pPr>
      <w:r w:rsidRPr="00494C78">
        <w:rPr>
          <w:rFonts w:ascii="Arial" w:eastAsia="Times New Roman" w:hAnsi="Arial" w:cs="Times New Roman"/>
          <w:sz w:val="28"/>
          <w:lang w:val="en-GB"/>
        </w:rPr>
        <w:t>and</w:t>
      </w:r>
    </w:p>
    <w:p w:rsidR="00494C78" w:rsidRPr="00494C78" w:rsidRDefault="00494C78" w:rsidP="00494C78">
      <w:pPr>
        <w:spacing w:line="240" w:lineRule="atLeast"/>
        <w:jc w:val="center"/>
        <w:rPr>
          <w:rFonts w:ascii="Arial" w:eastAsia="Times New Roman" w:hAnsi="Arial" w:cs="Times New Roman"/>
          <w:sz w:val="32"/>
          <w:lang w:val="en-GB"/>
        </w:rPr>
      </w:pPr>
      <w:r w:rsidRPr="00494C78">
        <w:rPr>
          <w:rFonts w:ascii="Arial" w:eastAsia="Times New Roman" w:hAnsi="Arial" w:cs="Times New Roman"/>
          <w:i/>
          <w:sz w:val="32"/>
          <w:lang w:val="en-GB"/>
        </w:rPr>
        <w:t>Military Rehabilitation and Compensation Act 2004</w:t>
      </w:r>
    </w:p>
    <w:p w:rsidR="00494C78" w:rsidRPr="00494C78" w:rsidRDefault="00494C78" w:rsidP="00494C78">
      <w:pPr>
        <w:keepNext/>
        <w:spacing w:before="240" w:after="120" w:line="240" w:lineRule="auto"/>
        <w:jc w:val="both"/>
        <w:outlineLvl w:val="0"/>
        <w:rPr>
          <w:rFonts w:eastAsia="Times New Roman" w:cs="Times New Roman"/>
          <w:b/>
          <w:bCs/>
          <w:sz w:val="24"/>
          <w:szCs w:val="24"/>
        </w:rPr>
      </w:pPr>
      <w:r w:rsidRPr="00494C78">
        <w:rPr>
          <w:rFonts w:eastAsia="Times New Roman" w:cs="Times New Roman"/>
          <w:b/>
          <w:bCs/>
          <w:sz w:val="24"/>
          <w:szCs w:val="24"/>
        </w:rPr>
        <w:t>Title</w:t>
      </w:r>
    </w:p>
    <w:p w:rsidR="00494C78" w:rsidRPr="00494C78" w:rsidRDefault="00494C78" w:rsidP="00494C78">
      <w:pPr>
        <w:spacing w:line="240" w:lineRule="atLeast"/>
        <w:ind w:left="720" w:hanging="720"/>
        <w:jc w:val="both"/>
        <w:rPr>
          <w:rFonts w:eastAsia="Times New Roman" w:cs="Times New Roman"/>
          <w:sz w:val="24"/>
          <w:szCs w:val="24"/>
          <w:lang w:val="en-GB"/>
        </w:rPr>
      </w:pPr>
      <w:r w:rsidRPr="00494C78">
        <w:rPr>
          <w:rFonts w:eastAsia="Times New Roman" w:cs="Times New Roman"/>
          <w:b/>
          <w:sz w:val="24"/>
          <w:szCs w:val="24"/>
          <w:lang w:val="en-GB"/>
        </w:rPr>
        <w:t>1.</w:t>
      </w:r>
      <w:r w:rsidRPr="00494C78">
        <w:rPr>
          <w:rFonts w:eastAsia="Times New Roman" w:cs="Times New Roman"/>
          <w:sz w:val="24"/>
          <w:szCs w:val="24"/>
          <w:lang w:val="en-GB"/>
        </w:rPr>
        <w:tab/>
        <w:t>This Instrument may be cited as Statement of Principles concerning inflammatory bowel disease No. 19 of 2012.</w:t>
      </w:r>
    </w:p>
    <w:p w:rsidR="00494C78" w:rsidRPr="00494C78" w:rsidRDefault="00494C78" w:rsidP="00494C78">
      <w:pPr>
        <w:keepNext/>
        <w:spacing w:before="240" w:after="120" w:line="240" w:lineRule="auto"/>
        <w:jc w:val="both"/>
        <w:outlineLvl w:val="0"/>
        <w:rPr>
          <w:rFonts w:eastAsia="Times New Roman" w:cs="Times New Roman"/>
          <w:b/>
          <w:bCs/>
          <w:sz w:val="24"/>
          <w:szCs w:val="24"/>
        </w:rPr>
      </w:pPr>
      <w:r w:rsidRPr="00494C78">
        <w:rPr>
          <w:rFonts w:eastAsia="Times New Roman" w:cs="Times New Roman"/>
          <w:b/>
          <w:bCs/>
          <w:sz w:val="24"/>
          <w:szCs w:val="24"/>
        </w:rPr>
        <w:t>Determination</w:t>
      </w:r>
    </w:p>
    <w:p w:rsidR="00494C78" w:rsidRPr="00494C78" w:rsidRDefault="00494C78" w:rsidP="00494C78">
      <w:pPr>
        <w:spacing w:line="240" w:lineRule="atLeast"/>
        <w:ind w:left="720" w:hanging="720"/>
        <w:jc w:val="both"/>
        <w:rPr>
          <w:rFonts w:eastAsia="Times New Roman" w:cs="Times New Roman"/>
          <w:sz w:val="24"/>
          <w:szCs w:val="24"/>
          <w:lang w:val="en-GB"/>
        </w:rPr>
      </w:pPr>
      <w:r w:rsidRPr="00494C78">
        <w:rPr>
          <w:rFonts w:eastAsia="Times New Roman" w:cs="Times New Roman"/>
          <w:b/>
          <w:sz w:val="24"/>
          <w:szCs w:val="24"/>
          <w:lang w:val="en-GB"/>
        </w:rPr>
        <w:t>2.</w:t>
      </w:r>
      <w:r w:rsidRPr="00494C78">
        <w:rPr>
          <w:rFonts w:eastAsia="Times New Roman" w:cs="Times New Roman"/>
          <w:sz w:val="24"/>
          <w:szCs w:val="24"/>
          <w:lang w:val="en-GB"/>
        </w:rPr>
        <w:tab/>
        <w:t xml:space="preserve">The Repatriation Medical Authority under subsection </w:t>
      </w:r>
      <w:r w:rsidRPr="00494C78">
        <w:rPr>
          <w:rFonts w:eastAsia="Times New Roman" w:cs="Times New Roman"/>
          <w:b/>
          <w:sz w:val="24"/>
          <w:szCs w:val="24"/>
          <w:lang w:val="en-GB"/>
        </w:rPr>
        <w:t>196B(2)</w:t>
      </w:r>
      <w:r w:rsidRPr="00494C78">
        <w:rPr>
          <w:rFonts w:eastAsia="Times New Roman" w:cs="Times New Roman"/>
          <w:sz w:val="24"/>
          <w:szCs w:val="24"/>
          <w:lang w:val="en-GB"/>
        </w:rPr>
        <w:t xml:space="preserve"> and </w:t>
      </w:r>
      <w:r w:rsidRPr="00494C78">
        <w:rPr>
          <w:rFonts w:eastAsia="Times New Roman" w:cs="Times New Roman"/>
          <w:b/>
          <w:sz w:val="24"/>
          <w:szCs w:val="24"/>
          <w:lang w:val="en-GB"/>
        </w:rPr>
        <w:t xml:space="preserve">(8) </w:t>
      </w:r>
      <w:r w:rsidRPr="00494C78">
        <w:rPr>
          <w:rFonts w:eastAsia="Times New Roman" w:cs="Times New Roman"/>
          <w:sz w:val="24"/>
          <w:szCs w:val="24"/>
          <w:lang w:val="en-GB"/>
        </w:rPr>
        <w:t xml:space="preserve">of the </w:t>
      </w:r>
      <w:r w:rsidRPr="00494C78">
        <w:rPr>
          <w:rFonts w:eastAsia="Times New Roman" w:cs="Times New Roman"/>
          <w:i/>
          <w:sz w:val="24"/>
          <w:szCs w:val="24"/>
          <w:lang w:val="en-GB"/>
        </w:rPr>
        <w:t>Veterans’ Entitlements Act 1986</w:t>
      </w:r>
      <w:r w:rsidRPr="00494C78">
        <w:rPr>
          <w:rFonts w:eastAsia="Times New Roman" w:cs="Times New Roman"/>
          <w:sz w:val="24"/>
          <w:szCs w:val="24"/>
          <w:lang w:val="en-GB"/>
        </w:rPr>
        <w:t xml:space="preserve"> (the VEA):</w:t>
      </w:r>
    </w:p>
    <w:p w:rsidR="00494C78" w:rsidRPr="00494C78" w:rsidRDefault="00494C78" w:rsidP="00494C78">
      <w:pPr>
        <w:spacing w:before="120" w:line="240" w:lineRule="atLeast"/>
        <w:ind w:left="1440" w:hanging="720"/>
        <w:jc w:val="both"/>
        <w:rPr>
          <w:rFonts w:eastAsia="Times New Roman" w:cs="Times New Roman"/>
          <w:sz w:val="24"/>
          <w:szCs w:val="24"/>
          <w:lang w:val="en-GB"/>
        </w:rPr>
      </w:pPr>
      <w:r w:rsidRPr="00494C78">
        <w:rPr>
          <w:rFonts w:eastAsia="Times New Roman" w:cs="Times New Roman"/>
          <w:sz w:val="24"/>
          <w:szCs w:val="24"/>
          <w:lang w:val="en-GB"/>
        </w:rPr>
        <w:t>(a)</w:t>
      </w:r>
      <w:r w:rsidRPr="00494C78">
        <w:rPr>
          <w:rFonts w:eastAsia="Times New Roman" w:cs="Times New Roman"/>
          <w:sz w:val="24"/>
          <w:szCs w:val="24"/>
          <w:lang w:val="en-GB"/>
        </w:rPr>
        <w:tab/>
        <w:t>revokes Instrument No. 21 of 2001 concerning inflammatory bowel disease; and</w:t>
      </w:r>
    </w:p>
    <w:p w:rsidR="00494C78" w:rsidRPr="00494C78" w:rsidRDefault="00494C78" w:rsidP="00494C78">
      <w:pPr>
        <w:spacing w:before="120" w:line="240" w:lineRule="atLeast"/>
        <w:ind w:left="1440" w:hanging="720"/>
        <w:jc w:val="both"/>
        <w:rPr>
          <w:rFonts w:eastAsia="Times New Roman" w:cs="Times New Roman"/>
          <w:sz w:val="24"/>
          <w:szCs w:val="24"/>
          <w:lang w:val="en-GB"/>
        </w:rPr>
      </w:pPr>
      <w:r w:rsidRPr="00494C78">
        <w:rPr>
          <w:rFonts w:eastAsia="Times New Roman" w:cs="Times New Roman"/>
          <w:sz w:val="24"/>
          <w:szCs w:val="24"/>
          <w:lang w:val="en-GB"/>
        </w:rPr>
        <w:t>(b)</w:t>
      </w:r>
      <w:r w:rsidRPr="00494C78">
        <w:rPr>
          <w:rFonts w:eastAsia="Times New Roman" w:cs="Times New Roman"/>
          <w:sz w:val="24"/>
          <w:szCs w:val="24"/>
          <w:lang w:val="en-GB"/>
        </w:rPr>
        <w:tab/>
        <w:t>determines in its place this Statement of Principles.</w:t>
      </w:r>
    </w:p>
    <w:p w:rsidR="00494C78" w:rsidRPr="00494C78" w:rsidRDefault="00494C78" w:rsidP="00494C78">
      <w:pPr>
        <w:keepNext/>
        <w:spacing w:before="240" w:after="120" w:line="240" w:lineRule="auto"/>
        <w:jc w:val="both"/>
        <w:outlineLvl w:val="0"/>
        <w:rPr>
          <w:rFonts w:eastAsia="Times New Roman" w:cs="Times New Roman"/>
          <w:b/>
          <w:bCs/>
          <w:sz w:val="24"/>
          <w:szCs w:val="24"/>
        </w:rPr>
      </w:pPr>
      <w:r w:rsidRPr="00494C78">
        <w:rPr>
          <w:rFonts w:eastAsia="Times New Roman" w:cs="Times New Roman"/>
          <w:b/>
          <w:bCs/>
          <w:sz w:val="24"/>
          <w:szCs w:val="24"/>
        </w:rPr>
        <w:t>Kind of injury, disease or death</w:t>
      </w:r>
    </w:p>
    <w:p w:rsidR="00494C78" w:rsidRPr="00494C78" w:rsidRDefault="00494C78" w:rsidP="00494C78">
      <w:pPr>
        <w:tabs>
          <w:tab w:val="left" w:pos="709"/>
        </w:tabs>
        <w:spacing w:after="120" w:line="240" w:lineRule="auto"/>
        <w:ind w:left="1440" w:hanging="1440"/>
        <w:jc w:val="both"/>
        <w:rPr>
          <w:rFonts w:eastAsia="Times New Roman" w:cs="Times New Roman"/>
          <w:sz w:val="24"/>
          <w:szCs w:val="24"/>
          <w:lang w:val="en-GB"/>
        </w:rPr>
      </w:pPr>
      <w:r w:rsidRPr="00494C78">
        <w:rPr>
          <w:rFonts w:eastAsia="Times New Roman" w:cs="Times New Roman"/>
          <w:b/>
          <w:sz w:val="24"/>
          <w:szCs w:val="24"/>
          <w:lang w:val="en-GB"/>
        </w:rPr>
        <w:t>3.</w:t>
      </w:r>
      <w:r w:rsidRPr="00494C78">
        <w:rPr>
          <w:rFonts w:eastAsia="Times New Roman" w:cs="Times New Roman"/>
          <w:sz w:val="24"/>
          <w:szCs w:val="24"/>
          <w:lang w:val="en-GB"/>
        </w:rPr>
        <w:tab/>
        <w:t>(a)</w:t>
      </w:r>
      <w:r w:rsidRPr="00494C78">
        <w:rPr>
          <w:rFonts w:eastAsia="Times New Roman" w:cs="Times New Roman"/>
          <w:sz w:val="24"/>
          <w:szCs w:val="24"/>
          <w:lang w:val="en-GB"/>
        </w:rPr>
        <w:tab/>
        <w:t xml:space="preserve">This Statement of Principles is about </w:t>
      </w:r>
      <w:r w:rsidRPr="00494C78">
        <w:rPr>
          <w:rFonts w:eastAsia="Times New Roman" w:cs="Times New Roman"/>
          <w:b/>
          <w:sz w:val="24"/>
          <w:szCs w:val="24"/>
          <w:lang w:val="en-GB"/>
        </w:rPr>
        <w:t xml:space="preserve">inflammatory bowel disease </w:t>
      </w:r>
      <w:r w:rsidRPr="00494C78">
        <w:rPr>
          <w:rFonts w:eastAsia="Times New Roman" w:cs="Times New Roman"/>
          <w:sz w:val="24"/>
          <w:szCs w:val="24"/>
          <w:lang w:val="en-GB"/>
        </w:rPr>
        <w:t xml:space="preserve">and </w:t>
      </w:r>
      <w:r w:rsidRPr="00494C78">
        <w:rPr>
          <w:rFonts w:eastAsia="Times New Roman" w:cs="Times New Roman"/>
          <w:b/>
          <w:sz w:val="24"/>
          <w:szCs w:val="24"/>
          <w:lang w:val="en-GB"/>
        </w:rPr>
        <w:t>death from inflammatory bowel disease</w:t>
      </w:r>
      <w:r w:rsidRPr="00494C78">
        <w:rPr>
          <w:rFonts w:eastAsia="Times New Roman" w:cs="Times New Roman"/>
          <w:sz w:val="24"/>
          <w:szCs w:val="24"/>
          <w:lang w:val="en-GB"/>
        </w:rPr>
        <w:t>.</w:t>
      </w:r>
    </w:p>
    <w:p w:rsidR="00494C78" w:rsidRPr="00494C78" w:rsidRDefault="00494C78" w:rsidP="00494C78">
      <w:pPr>
        <w:numPr>
          <w:ilvl w:val="0"/>
          <w:numId w:val="14"/>
        </w:numPr>
        <w:spacing w:after="120" w:line="240" w:lineRule="auto"/>
        <w:jc w:val="both"/>
        <w:rPr>
          <w:rFonts w:eastAsia="Times New Roman" w:cs="Times New Roman"/>
          <w:sz w:val="24"/>
          <w:szCs w:val="24"/>
          <w:lang w:val="en-GB"/>
        </w:rPr>
      </w:pPr>
      <w:r w:rsidRPr="00494C78">
        <w:rPr>
          <w:rFonts w:eastAsia="Times New Roman" w:cs="Times New Roman"/>
          <w:sz w:val="24"/>
          <w:szCs w:val="24"/>
          <w:lang w:val="en-GB"/>
        </w:rPr>
        <w:t xml:space="preserve">For the purposes of this Statement of Principles, </w:t>
      </w:r>
      <w:r w:rsidRPr="00494C78">
        <w:rPr>
          <w:rFonts w:eastAsia="Times New Roman" w:cs="Times New Roman"/>
          <w:b/>
          <w:sz w:val="24"/>
          <w:szCs w:val="24"/>
          <w:lang w:val="en-GB"/>
        </w:rPr>
        <w:t>"inflammatory bowel disease"</w:t>
      </w:r>
      <w:r w:rsidRPr="00494C78">
        <w:rPr>
          <w:rFonts w:eastAsia="Times New Roman" w:cs="Times New Roman"/>
          <w:sz w:val="24"/>
          <w:szCs w:val="24"/>
          <w:lang w:val="en-GB"/>
        </w:rPr>
        <w:t xml:space="preserve"> means a chronic, autoimmune disorder of the gastrointestinal </w:t>
      </w:r>
      <w:r w:rsidRPr="00494C78">
        <w:rPr>
          <w:rFonts w:eastAsia="Times New Roman" w:cs="Times New Roman"/>
          <w:sz w:val="24"/>
          <w:szCs w:val="24"/>
          <w:lang w:val="en-GB"/>
        </w:rPr>
        <w:lastRenderedPageBreak/>
        <w:t xml:space="preserve">tract, characterised by diarrhoea and abdominal pain and sometimes associated with extra-intestinal manifestations, including peripheral arthritis, </w:t>
      </w:r>
      <w:proofErr w:type="spellStart"/>
      <w:r w:rsidRPr="00494C78">
        <w:rPr>
          <w:rFonts w:eastAsia="Times New Roman" w:cs="Times New Roman"/>
          <w:sz w:val="24"/>
          <w:szCs w:val="24"/>
          <w:lang w:val="en-GB"/>
        </w:rPr>
        <w:t>episcleritis</w:t>
      </w:r>
      <w:proofErr w:type="spellEnd"/>
      <w:r w:rsidRPr="00494C78">
        <w:rPr>
          <w:rFonts w:eastAsia="Times New Roman" w:cs="Times New Roman"/>
          <w:sz w:val="24"/>
          <w:szCs w:val="24"/>
          <w:lang w:val="en-GB"/>
        </w:rPr>
        <w:t xml:space="preserve">, </w:t>
      </w:r>
      <w:proofErr w:type="spellStart"/>
      <w:r w:rsidRPr="00494C78">
        <w:rPr>
          <w:rFonts w:eastAsia="Times New Roman" w:cs="Times New Roman"/>
          <w:sz w:val="24"/>
          <w:szCs w:val="24"/>
          <w:lang w:val="en-GB"/>
        </w:rPr>
        <w:t>aphthous</w:t>
      </w:r>
      <w:proofErr w:type="spellEnd"/>
      <w:r w:rsidRPr="00494C78">
        <w:rPr>
          <w:rFonts w:eastAsia="Times New Roman" w:cs="Times New Roman"/>
          <w:sz w:val="24"/>
          <w:szCs w:val="24"/>
          <w:lang w:val="en-GB"/>
        </w:rPr>
        <w:t xml:space="preserve"> stomatitis, erythema </w:t>
      </w:r>
      <w:proofErr w:type="spellStart"/>
      <w:r w:rsidRPr="00494C78">
        <w:rPr>
          <w:rFonts w:eastAsia="Times New Roman" w:cs="Times New Roman"/>
          <w:sz w:val="24"/>
          <w:szCs w:val="24"/>
          <w:lang w:val="en-GB"/>
        </w:rPr>
        <w:t>nodosum</w:t>
      </w:r>
      <w:proofErr w:type="spellEnd"/>
      <w:r w:rsidRPr="00494C78">
        <w:rPr>
          <w:rFonts w:eastAsia="Times New Roman" w:cs="Times New Roman"/>
          <w:sz w:val="24"/>
          <w:szCs w:val="24"/>
          <w:lang w:val="en-GB"/>
        </w:rPr>
        <w:t xml:space="preserve"> and pyoderma </w:t>
      </w:r>
      <w:proofErr w:type="spellStart"/>
      <w:r w:rsidRPr="00494C78">
        <w:rPr>
          <w:rFonts w:eastAsia="Times New Roman" w:cs="Times New Roman"/>
          <w:sz w:val="24"/>
          <w:szCs w:val="24"/>
          <w:lang w:val="en-GB"/>
        </w:rPr>
        <w:t>gangrenosum</w:t>
      </w:r>
      <w:proofErr w:type="spellEnd"/>
      <w:r w:rsidRPr="00494C78">
        <w:rPr>
          <w:rFonts w:eastAsia="Times New Roman" w:cs="Times New Roman"/>
          <w:sz w:val="24"/>
          <w:szCs w:val="24"/>
          <w:lang w:val="en-GB"/>
        </w:rPr>
        <w:t>. This definition includes ulcerative colitis, Crohn's disease and inflammatory bowel disease of unspecified type, but excludes bowel inflammation secondary to vascular insufficiency, food allergy, radiation, infection or gastrointestinal toxins.</w:t>
      </w:r>
    </w:p>
    <w:p w:rsidR="00494C78" w:rsidRPr="00494C78" w:rsidRDefault="00494C78" w:rsidP="00494C78">
      <w:pPr>
        <w:numPr>
          <w:ilvl w:val="0"/>
          <w:numId w:val="14"/>
        </w:numPr>
        <w:spacing w:after="120" w:line="240" w:lineRule="auto"/>
        <w:jc w:val="both"/>
        <w:rPr>
          <w:rFonts w:eastAsia="Times New Roman" w:cs="Times New Roman"/>
          <w:sz w:val="24"/>
          <w:szCs w:val="24"/>
          <w:lang w:val="en-GB"/>
        </w:rPr>
      </w:pPr>
      <w:r w:rsidRPr="00494C78">
        <w:rPr>
          <w:rFonts w:eastAsia="Times New Roman" w:cs="Times New Roman"/>
          <w:sz w:val="24"/>
          <w:szCs w:val="24"/>
          <w:lang w:val="en-GB"/>
        </w:rPr>
        <w:t>Inflammatory bowel disease attracts ICD-10-AM code K50 or K51.</w:t>
      </w:r>
    </w:p>
    <w:p w:rsidR="00494C78" w:rsidRPr="00494C78" w:rsidRDefault="00494C78" w:rsidP="00494C78">
      <w:pPr>
        <w:numPr>
          <w:ilvl w:val="0"/>
          <w:numId w:val="15"/>
        </w:numPr>
        <w:spacing w:line="240" w:lineRule="auto"/>
        <w:jc w:val="both"/>
        <w:rPr>
          <w:rFonts w:eastAsia="Times New Roman" w:cs="Times New Roman"/>
          <w:sz w:val="24"/>
          <w:szCs w:val="24"/>
          <w:lang w:val="en-GB"/>
        </w:rPr>
      </w:pPr>
      <w:r w:rsidRPr="00494C78">
        <w:rPr>
          <w:rFonts w:eastAsia="Times New Roman" w:cs="Times New Roman"/>
          <w:sz w:val="24"/>
          <w:szCs w:val="24"/>
          <w:lang w:val="en-GB"/>
        </w:rPr>
        <w:t xml:space="preserve">In the application of this Statement of Principles, the definition of </w:t>
      </w:r>
      <w:r w:rsidRPr="00494C78">
        <w:rPr>
          <w:rFonts w:eastAsia="Times New Roman" w:cs="Times New Roman"/>
          <w:b/>
          <w:sz w:val="24"/>
          <w:szCs w:val="24"/>
          <w:lang w:val="en-GB"/>
        </w:rPr>
        <w:t xml:space="preserve">"inflammatory bowel disease" </w:t>
      </w:r>
      <w:r w:rsidRPr="00494C78">
        <w:rPr>
          <w:rFonts w:eastAsia="Times New Roman" w:cs="Times New Roman"/>
          <w:sz w:val="24"/>
          <w:szCs w:val="24"/>
          <w:lang w:val="en-GB"/>
        </w:rPr>
        <w:t>is that given at paragraph 3(b) above.</w:t>
      </w:r>
    </w:p>
    <w:p w:rsidR="00494C78" w:rsidRPr="00494C78" w:rsidRDefault="00494C78" w:rsidP="00494C78">
      <w:pPr>
        <w:keepNext/>
        <w:spacing w:before="240" w:after="120" w:line="240" w:lineRule="auto"/>
        <w:jc w:val="both"/>
        <w:outlineLvl w:val="0"/>
        <w:rPr>
          <w:rFonts w:eastAsia="Times New Roman" w:cs="Times New Roman"/>
          <w:b/>
          <w:bCs/>
          <w:sz w:val="24"/>
          <w:szCs w:val="24"/>
        </w:rPr>
      </w:pPr>
      <w:r w:rsidRPr="00494C78">
        <w:rPr>
          <w:rFonts w:eastAsia="Times New Roman" w:cs="Times New Roman"/>
          <w:b/>
          <w:bCs/>
          <w:sz w:val="24"/>
          <w:szCs w:val="24"/>
        </w:rPr>
        <w:t>Basis for determining the factors</w:t>
      </w:r>
    </w:p>
    <w:p w:rsidR="00494C78" w:rsidRPr="00494C78" w:rsidRDefault="00494C78" w:rsidP="00494C78">
      <w:pPr>
        <w:spacing w:line="240" w:lineRule="atLeast"/>
        <w:ind w:left="720" w:hanging="720"/>
        <w:jc w:val="both"/>
        <w:rPr>
          <w:rFonts w:eastAsia="Times New Roman" w:cs="Times New Roman"/>
          <w:sz w:val="24"/>
          <w:szCs w:val="24"/>
          <w:lang w:val="en-GB"/>
        </w:rPr>
      </w:pPr>
      <w:r w:rsidRPr="00494C78">
        <w:rPr>
          <w:rFonts w:eastAsia="Times New Roman" w:cs="Times New Roman"/>
          <w:b/>
          <w:sz w:val="24"/>
          <w:szCs w:val="24"/>
          <w:lang w:val="en-GB"/>
        </w:rPr>
        <w:t>4.</w:t>
      </w:r>
      <w:r w:rsidRPr="00494C78">
        <w:rPr>
          <w:rFonts w:eastAsia="Times New Roman" w:cs="Times New Roman"/>
          <w:sz w:val="24"/>
          <w:szCs w:val="24"/>
          <w:lang w:val="en-GB"/>
        </w:rPr>
        <w:tab/>
        <w:t xml:space="preserve">The Repatriation Medical Authority is of the view that there is sound medical-scientific evidence that indicates that </w:t>
      </w:r>
      <w:r w:rsidRPr="00494C78">
        <w:rPr>
          <w:rFonts w:eastAsia="Times New Roman" w:cs="Times New Roman"/>
          <w:b/>
          <w:sz w:val="24"/>
          <w:szCs w:val="24"/>
          <w:lang w:val="en-GB"/>
        </w:rPr>
        <w:t xml:space="preserve">inflammatory bowel disease </w:t>
      </w:r>
      <w:r w:rsidRPr="00494C78">
        <w:rPr>
          <w:rFonts w:eastAsia="Times New Roman" w:cs="Times New Roman"/>
          <w:sz w:val="24"/>
          <w:szCs w:val="24"/>
          <w:lang w:val="en-GB"/>
        </w:rPr>
        <w:t>and</w:t>
      </w:r>
      <w:r w:rsidRPr="00494C78">
        <w:rPr>
          <w:rFonts w:eastAsia="Times New Roman" w:cs="Times New Roman"/>
          <w:b/>
          <w:sz w:val="24"/>
          <w:szCs w:val="24"/>
          <w:lang w:val="en-GB"/>
        </w:rPr>
        <w:t xml:space="preserve"> death from inflammatory bowel disease </w:t>
      </w:r>
      <w:r w:rsidRPr="00494C78">
        <w:rPr>
          <w:rFonts w:eastAsia="Times New Roman" w:cs="Times New Roman"/>
          <w:sz w:val="24"/>
          <w:szCs w:val="24"/>
          <w:lang w:val="en-GB"/>
        </w:rPr>
        <w:t xml:space="preserve">can be related to relevant service rendered by veterans, members of Peacekeeping Forces, or members of the Forces under the VEA, or members under the </w:t>
      </w:r>
      <w:r w:rsidRPr="00494C78">
        <w:rPr>
          <w:rFonts w:eastAsia="Times New Roman" w:cs="Times New Roman"/>
          <w:i/>
          <w:sz w:val="24"/>
          <w:szCs w:val="24"/>
          <w:lang w:val="en-GB"/>
        </w:rPr>
        <w:t>Military Rehabilitation and Compensation Act 2004</w:t>
      </w:r>
      <w:r w:rsidRPr="00494C78">
        <w:rPr>
          <w:rFonts w:eastAsia="Times New Roman" w:cs="Times New Roman"/>
          <w:sz w:val="24"/>
          <w:szCs w:val="24"/>
          <w:lang w:val="en-GB"/>
        </w:rPr>
        <w:t xml:space="preserve"> (the MRCA).</w:t>
      </w:r>
    </w:p>
    <w:p w:rsidR="00494C78" w:rsidRPr="00494C78" w:rsidRDefault="00494C78" w:rsidP="00494C78">
      <w:pPr>
        <w:keepNext/>
        <w:spacing w:before="240" w:after="120" w:line="240" w:lineRule="auto"/>
        <w:jc w:val="both"/>
        <w:outlineLvl w:val="0"/>
        <w:rPr>
          <w:rFonts w:eastAsia="Times New Roman" w:cs="Times New Roman"/>
          <w:b/>
          <w:bCs/>
          <w:sz w:val="24"/>
          <w:szCs w:val="24"/>
        </w:rPr>
      </w:pPr>
      <w:r w:rsidRPr="00494C78">
        <w:rPr>
          <w:rFonts w:eastAsia="Times New Roman" w:cs="Times New Roman"/>
          <w:b/>
          <w:bCs/>
          <w:sz w:val="24"/>
          <w:szCs w:val="24"/>
        </w:rPr>
        <w:t>Factors that must be related to service</w:t>
      </w:r>
    </w:p>
    <w:p w:rsidR="00494C78" w:rsidRPr="00494C78" w:rsidRDefault="00494C78" w:rsidP="00494C78">
      <w:pPr>
        <w:spacing w:line="240" w:lineRule="atLeast"/>
        <w:ind w:left="720" w:hanging="720"/>
        <w:jc w:val="both"/>
        <w:rPr>
          <w:rFonts w:eastAsia="Times New Roman" w:cs="Times New Roman"/>
          <w:sz w:val="24"/>
          <w:szCs w:val="24"/>
          <w:lang w:val="en-GB"/>
        </w:rPr>
      </w:pPr>
      <w:r w:rsidRPr="00494C78">
        <w:rPr>
          <w:rFonts w:eastAsia="Times New Roman" w:cs="Times New Roman"/>
          <w:b/>
          <w:sz w:val="24"/>
          <w:szCs w:val="24"/>
          <w:lang w:val="en-GB"/>
        </w:rPr>
        <w:t>5.</w:t>
      </w:r>
      <w:r w:rsidRPr="00494C78">
        <w:rPr>
          <w:rFonts w:eastAsia="Times New Roman" w:cs="Times New Roman"/>
          <w:sz w:val="24"/>
          <w:szCs w:val="24"/>
          <w:lang w:val="en-GB"/>
        </w:rPr>
        <w:tab/>
        <w:t>Subject to clause 7, at least one of the factors set out in clause 6 must be related to the relevant service rendered by the person.</w:t>
      </w:r>
    </w:p>
    <w:p w:rsidR="00494C78" w:rsidRPr="00494C78" w:rsidRDefault="00494C78" w:rsidP="00494C78">
      <w:pPr>
        <w:keepNext/>
        <w:spacing w:before="240" w:after="120" w:line="240" w:lineRule="auto"/>
        <w:jc w:val="both"/>
        <w:outlineLvl w:val="0"/>
        <w:rPr>
          <w:rFonts w:eastAsia="Times New Roman" w:cs="Times New Roman"/>
          <w:b/>
          <w:bCs/>
          <w:sz w:val="24"/>
          <w:szCs w:val="24"/>
        </w:rPr>
      </w:pPr>
      <w:r w:rsidRPr="00494C78">
        <w:rPr>
          <w:rFonts w:eastAsia="Times New Roman" w:cs="Times New Roman"/>
          <w:b/>
          <w:bCs/>
          <w:sz w:val="24"/>
          <w:szCs w:val="24"/>
        </w:rPr>
        <w:t>Factors</w:t>
      </w:r>
    </w:p>
    <w:p w:rsidR="00494C78" w:rsidRPr="00494C78" w:rsidRDefault="00494C78" w:rsidP="00494C78">
      <w:pPr>
        <w:spacing w:after="120" w:line="240" w:lineRule="auto"/>
        <w:ind w:left="720" w:hanging="720"/>
        <w:jc w:val="both"/>
        <w:rPr>
          <w:rFonts w:eastAsia="Times New Roman" w:cs="Times New Roman"/>
          <w:sz w:val="24"/>
          <w:szCs w:val="24"/>
          <w:lang w:val="en-GB"/>
        </w:rPr>
      </w:pPr>
      <w:r w:rsidRPr="00494C78">
        <w:rPr>
          <w:rFonts w:eastAsia="Times New Roman" w:cs="Times New Roman"/>
          <w:b/>
          <w:sz w:val="24"/>
          <w:szCs w:val="24"/>
          <w:lang w:val="en-GB"/>
        </w:rPr>
        <w:t>6.</w:t>
      </w:r>
      <w:r w:rsidRPr="00494C78">
        <w:rPr>
          <w:rFonts w:eastAsia="Times New Roman" w:cs="Times New Roman"/>
          <w:sz w:val="24"/>
          <w:szCs w:val="24"/>
          <w:lang w:val="en-GB"/>
        </w:rPr>
        <w:tab/>
        <w:t xml:space="preserve">The factor that must as a minimum exist before it can be said that a reasonable hypothesis has been raised connecting </w:t>
      </w:r>
      <w:r w:rsidRPr="00494C78">
        <w:rPr>
          <w:rFonts w:eastAsia="Times New Roman" w:cs="Times New Roman"/>
          <w:b/>
          <w:sz w:val="24"/>
          <w:szCs w:val="24"/>
          <w:lang w:val="en-GB"/>
        </w:rPr>
        <w:t xml:space="preserve">inflammatory bowel disease </w:t>
      </w:r>
      <w:r w:rsidRPr="00494C78">
        <w:rPr>
          <w:rFonts w:eastAsia="Times New Roman" w:cs="Times New Roman"/>
          <w:sz w:val="24"/>
          <w:szCs w:val="24"/>
          <w:lang w:val="en-GB"/>
        </w:rPr>
        <w:t>or</w:t>
      </w:r>
      <w:r w:rsidRPr="00494C78">
        <w:rPr>
          <w:rFonts w:eastAsia="Times New Roman" w:cs="Times New Roman"/>
          <w:b/>
          <w:sz w:val="24"/>
          <w:szCs w:val="24"/>
          <w:lang w:val="en-GB"/>
        </w:rPr>
        <w:t xml:space="preserve"> death from inflammatory bowel disease </w:t>
      </w:r>
      <w:r w:rsidRPr="00494C78">
        <w:rPr>
          <w:rFonts w:eastAsia="Times New Roman" w:cs="Times New Roman"/>
          <w:sz w:val="24"/>
          <w:szCs w:val="24"/>
          <w:lang w:val="en-GB"/>
        </w:rPr>
        <w:t>with the circumstances of a person’s relevant service is:</w:t>
      </w:r>
    </w:p>
    <w:p w:rsidR="00494C78" w:rsidRPr="00494C78" w:rsidRDefault="00494C78" w:rsidP="00494C78">
      <w:pPr>
        <w:numPr>
          <w:ilvl w:val="0"/>
          <w:numId w:val="16"/>
        </w:numPr>
        <w:spacing w:after="120" w:line="240" w:lineRule="auto"/>
        <w:jc w:val="both"/>
        <w:rPr>
          <w:rFonts w:eastAsia="Times New Roman" w:cs="Times New Roman"/>
          <w:sz w:val="24"/>
          <w:szCs w:val="24"/>
          <w:lang w:val="en-US"/>
        </w:rPr>
      </w:pPr>
      <w:r w:rsidRPr="00494C78">
        <w:rPr>
          <w:rFonts w:eastAsia="Times New Roman" w:cs="Times New Roman"/>
          <w:sz w:val="24"/>
          <w:szCs w:val="24"/>
          <w:lang w:val="en-US"/>
        </w:rPr>
        <w:t xml:space="preserve">for ulcerative colitis only, in a person with a history of a regular smoking habit, </w:t>
      </w:r>
    </w:p>
    <w:p w:rsidR="00494C78" w:rsidRPr="00494C78" w:rsidRDefault="00494C78" w:rsidP="00494C78">
      <w:pPr>
        <w:spacing w:line="240" w:lineRule="atLeast"/>
        <w:ind w:left="2160" w:hanging="720"/>
        <w:jc w:val="both"/>
        <w:rPr>
          <w:rFonts w:eastAsia="Times New Roman" w:cs="Times New Roman"/>
          <w:sz w:val="24"/>
          <w:szCs w:val="24"/>
          <w:lang w:val="en-US"/>
        </w:rPr>
      </w:pPr>
      <w:r w:rsidRPr="00494C78">
        <w:rPr>
          <w:rFonts w:eastAsia="Times New Roman" w:cs="Times New Roman"/>
          <w:sz w:val="24"/>
          <w:szCs w:val="24"/>
          <w:lang w:val="en-US"/>
        </w:rPr>
        <w:t>(</w:t>
      </w:r>
      <w:proofErr w:type="spellStart"/>
      <w:r w:rsidRPr="00494C78">
        <w:rPr>
          <w:rFonts w:eastAsia="Times New Roman" w:cs="Times New Roman"/>
          <w:sz w:val="24"/>
          <w:szCs w:val="24"/>
          <w:lang w:val="en-US"/>
        </w:rPr>
        <w:t>i</w:t>
      </w:r>
      <w:proofErr w:type="spellEnd"/>
      <w:r w:rsidRPr="00494C78">
        <w:rPr>
          <w:rFonts w:eastAsia="Times New Roman" w:cs="Times New Roman"/>
          <w:sz w:val="24"/>
          <w:szCs w:val="24"/>
          <w:lang w:val="en-US"/>
        </w:rPr>
        <w:t>)</w:t>
      </w:r>
      <w:r w:rsidRPr="00494C78">
        <w:rPr>
          <w:rFonts w:eastAsia="Times New Roman" w:cs="Times New Roman"/>
          <w:sz w:val="24"/>
          <w:szCs w:val="24"/>
          <w:lang w:val="en-US"/>
        </w:rPr>
        <w:tab/>
        <w:t>ceasing to smoke within the ten years before the clinical onset of inflammatory bowel disease; and</w:t>
      </w:r>
    </w:p>
    <w:p w:rsidR="00494C78" w:rsidRPr="00494C78" w:rsidRDefault="00494C78" w:rsidP="00494C78">
      <w:pPr>
        <w:spacing w:after="120" w:line="240" w:lineRule="auto"/>
        <w:ind w:left="2160" w:hanging="720"/>
        <w:jc w:val="both"/>
        <w:rPr>
          <w:rFonts w:eastAsia="Times New Roman" w:cs="Times New Roman"/>
          <w:sz w:val="24"/>
          <w:szCs w:val="24"/>
          <w:lang w:val="en-US"/>
        </w:rPr>
      </w:pPr>
      <w:r w:rsidRPr="00494C78">
        <w:rPr>
          <w:rFonts w:eastAsia="Times New Roman" w:cs="Times New Roman"/>
          <w:sz w:val="24"/>
          <w:szCs w:val="24"/>
          <w:lang w:val="en-US"/>
        </w:rPr>
        <w:t>(ii)</w:t>
      </w:r>
      <w:r w:rsidRPr="00494C78">
        <w:rPr>
          <w:rFonts w:eastAsia="Times New Roman" w:cs="Times New Roman"/>
          <w:sz w:val="24"/>
          <w:szCs w:val="24"/>
          <w:lang w:val="en-US"/>
        </w:rPr>
        <w:tab/>
        <w:t>continuing not to smoke for the three months before the clinical onset of inflammatory bowel disease; or</w:t>
      </w:r>
    </w:p>
    <w:p w:rsidR="00494C78" w:rsidRPr="00494C78" w:rsidRDefault="00494C78" w:rsidP="00494C78">
      <w:pPr>
        <w:numPr>
          <w:ilvl w:val="0"/>
          <w:numId w:val="16"/>
        </w:numPr>
        <w:spacing w:after="120" w:line="240" w:lineRule="auto"/>
        <w:jc w:val="both"/>
        <w:rPr>
          <w:rFonts w:eastAsia="Times New Roman" w:cs="Times New Roman"/>
          <w:sz w:val="24"/>
          <w:szCs w:val="24"/>
          <w:lang w:val="en-US"/>
        </w:rPr>
      </w:pPr>
      <w:r w:rsidRPr="00494C78">
        <w:rPr>
          <w:rFonts w:eastAsia="Times New Roman" w:cs="Times New Roman"/>
          <w:sz w:val="24"/>
          <w:szCs w:val="24"/>
          <w:lang w:val="en-US"/>
        </w:rPr>
        <w:t>for Crohn’s disease only,</w:t>
      </w:r>
    </w:p>
    <w:p w:rsidR="00494C78" w:rsidRPr="00494C78" w:rsidRDefault="00494C78" w:rsidP="00494C78">
      <w:pPr>
        <w:spacing w:after="120" w:line="240" w:lineRule="atLeast"/>
        <w:ind w:left="2160" w:hanging="720"/>
        <w:jc w:val="both"/>
        <w:rPr>
          <w:rFonts w:eastAsia="Times New Roman" w:cs="Times New Roman"/>
          <w:sz w:val="24"/>
          <w:szCs w:val="24"/>
          <w:lang w:val="en-US"/>
        </w:rPr>
      </w:pPr>
      <w:r w:rsidRPr="00494C78">
        <w:rPr>
          <w:rFonts w:eastAsia="Times New Roman" w:cs="Times New Roman"/>
          <w:sz w:val="24"/>
          <w:szCs w:val="24"/>
          <w:lang w:val="en-US"/>
        </w:rPr>
        <w:t>(</w:t>
      </w:r>
      <w:proofErr w:type="spellStart"/>
      <w:r w:rsidRPr="00494C78">
        <w:rPr>
          <w:rFonts w:eastAsia="Times New Roman" w:cs="Times New Roman"/>
          <w:sz w:val="24"/>
          <w:szCs w:val="24"/>
          <w:lang w:val="en-US"/>
        </w:rPr>
        <w:t>i</w:t>
      </w:r>
      <w:proofErr w:type="spellEnd"/>
      <w:r w:rsidRPr="00494C78">
        <w:rPr>
          <w:rFonts w:eastAsia="Times New Roman" w:cs="Times New Roman"/>
          <w:sz w:val="24"/>
          <w:szCs w:val="24"/>
          <w:lang w:val="en-US"/>
        </w:rPr>
        <w:t>)</w:t>
      </w:r>
      <w:r w:rsidRPr="00494C78">
        <w:rPr>
          <w:rFonts w:eastAsia="Times New Roman" w:cs="Times New Roman"/>
          <w:sz w:val="24"/>
          <w:szCs w:val="24"/>
          <w:lang w:val="en-US"/>
        </w:rPr>
        <w:tab/>
        <w:t>smoking at least one pack-year of cigarettes, or the equivalent thereof in other tobacco products, before the clinical onset of inflammatory bowel disease, and where smoking has ceased, the clinical onset of inflammatory bowel disease has occurred within four years of cessation; or</w:t>
      </w:r>
    </w:p>
    <w:p w:rsidR="00494C78" w:rsidRPr="00494C78" w:rsidRDefault="00494C78" w:rsidP="00494C78">
      <w:pPr>
        <w:spacing w:after="120" w:line="240" w:lineRule="atLeast"/>
        <w:ind w:left="2160" w:hanging="720"/>
        <w:jc w:val="both"/>
        <w:rPr>
          <w:rFonts w:eastAsia="Times New Roman" w:cs="Times New Roman"/>
          <w:sz w:val="24"/>
          <w:szCs w:val="24"/>
          <w:lang w:val="en-US"/>
        </w:rPr>
      </w:pPr>
      <w:r w:rsidRPr="00494C78">
        <w:rPr>
          <w:rFonts w:eastAsia="Times New Roman" w:cs="Times New Roman"/>
          <w:sz w:val="24"/>
          <w:szCs w:val="24"/>
          <w:lang w:val="en-GB"/>
        </w:rPr>
        <w:lastRenderedPageBreak/>
        <w:t>(ii)</w:t>
      </w:r>
      <w:r w:rsidRPr="00494C78">
        <w:rPr>
          <w:rFonts w:eastAsia="Times New Roman" w:cs="Times New Roman"/>
          <w:sz w:val="24"/>
          <w:szCs w:val="24"/>
          <w:lang w:val="en-GB"/>
        </w:rPr>
        <w:tab/>
        <w:t xml:space="preserve">immersion in an atmosphere with a visible tobacco smoke haze in an enclosed space for at least 5000 hours before the clinical onset of inflammatory bowel disease, </w:t>
      </w:r>
      <w:r w:rsidRPr="00494C78">
        <w:rPr>
          <w:rFonts w:eastAsia="Times New Roman" w:cs="Times New Roman"/>
          <w:sz w:val="24"/>
          <w:szCs w:val="24"/>
          <w:lang w:val="en-US"/>
        </w:rPr>
        <w:t>and where exposure to tobacco smoke haze has ceased, the clinical onset of inflammatory bowel disease has occurred within four years of cessation of exposure; or</w:t>
      </w:r>
    </w:p>
    <w:p w:rsidR="00494C78" w:rsidRPr="00494C78" w:rsidRDefault="00494C78" w:rsidP="00494C78">
      <w:pPr>
        <w:numPr>
          <w:ilvl w:val="0"/>
          <w:numId w:val="16"/>
        </w:numPr>
        <w:spacing w:after="120" w:line="240" w:lineRule="auto"/>
        <w:jc w:val="both"/>
        <w:rPr>
          <w:rFonts w:eastAsia="Times New Roman" w:cs="Times New Roman"/>
          <w:sz w:val="24"/>
          <w:szCs w:val="24"/>
          <w:lang w:val="en-GB"/>
        </w:rPr>
      </w:pPr>
      <w:r w:rsidRPr="00494C78">
        <w:rPr>
          <w:rFonts w:eastAsia="Times New Roman" w:cs="Times New Roman"/>
          <w:sz w:val="24"/>
          <w:szCs w:val="24"/>
          <w:lang w:val="en-US"/>
        </w:rPr>
        <w:t>using the combined oral contraceptive pill for a period of at least six months before the clinical onset of inflammatory bowel disease, and where use of the oral contraceptive pill has ceased, the clinical onset of inflammatory bowel disease has occurred within one year of cessation; or</w:t>
      </w:r>
    </w:p>
    <w:p w:rsidR="00494C78" w:rsidRPr="00494C78" w:rsidRDefault="00494C78" w:rsidP="00494C78">
      <w:pPr>
        <w:numPr>
          <w:ilvl w:val="0"/>
          <w:numId w:val="16"/>
        </w:numPr>
        <w:spacing w:after="120" w:line="240" w:lineRule="auto"/>
        <w:jc w:val="both"/>
        <w:rPr>
          <w:rFonts w:eastAsia="Times New Roman" w:cs="Times New Roman"/>
          <w:snapToGrid w:val="0"/>
          <w:sz w:val="24"/>
          <w:szCs w:val="24"/>
          <w:lang w:val="en-GB"/>
        </w:rPr>
      </w:pPr>
      <w:r w:rsidRPr="00494C78">
        <w:rPr>
          <w:rFonts w:eastAsia="Times New Roman" w:cs="Times New Roman"/>
          <w:sz w:val="24"/>
          <w:szCs w:val="24"/>
          <w:lang w:val="en-GB"/>
        </w:rPr>
        <w:t xml:space="preserve">being treated with a drug or a drug from a class of drugs in the specified list, for at least the seven days before the clinical onset of </w:t>
      </w:r>
      <w:r w:rsidRPr="00494C78">
        <w:rPr>
          <w:rFonts w:eastAsia="Times New Roman" w:cs="Times New Roman"/>
          <w:sz w:val="24"/>
          <w:szCs w:val="24"/>
          <w:lang w:val="en-US"/>
        </w:rPr>
        <w:t>inflammatory bowel disease</w:t>
      </w:r>
      <w:r w:rsidRPr="00494C78">
        <w:rPr>
          <w:rFonts w:eastAsia="Times New Roman" w:cs="Times New Roman"/>
          <w:sz w:val="24"/>
          <w:szCs w:val="24"/>
          <w:lang w:val="en-GB"/>
        </w:rPr>
        <w:t>; or</w:t>
      </w:r>
    </w:p>
    <w:p w:rsidR="00494C78" w:rsidRPr="00494C78" w:rsidRDefault="00494C78" w:rsidP="00494C78">
      <w:pPr>
        <w:numPr>
          <w:ilvl w:val="0"/>
          <w:numId w:val="16"/>
        </w:numPr>
        <w:spacing w:after="120" w:line="240" w:lineRule="auto"/>
        <w:jc w:val="both"/>
        <w:rPr>
          <w:rFonts w:eastAsia="Times New Roman" w:cs="Times New Roman"/>
          <w:sz w:val="24"/>
          <w:szCs w:val="24"/>
          <w:lang w:val="en-GB"/>
        </w:rPr>
      </w:pPr>
      <w:r w:rsidRPr="00494C78">
        <w:rPr>
          <w:rFonts w:eastAsia="Times New Roman" w:cs="Times New Roman"/>
          <w:sz w:val="24"/>
          <w:szCs w:val="24"/>
          <w:lang w:val="en-GB"/>
        </w:rPr>
        <w:t>undergoing solid organ, bone marrow or stem cell transplantation before the clinical onset of inflammatory bowel disease; or</w:t>
      </w:r>
    </w:p>
    <w:p w:rsidR="00494C78" w:rsidRPr="00494C78" w:rsidRDefault="00494C78" w:rsidP="00494C78">
      <w:pPr>
        <w:numPr>
          <w:ilvl w:val="0"/>
          <w:numId w:val="16"/>
        </w:numPr>
        <w:spacing w:after="120" w:line="240" w:lineRule="auto"/>
        <w:jc w:val="both"/>
        <w:rPr>
          <w:rFonts w:eastAsia="Times New Roman" w:cs="Times New Roman"/>
          <w:sz w:val="24"/>
          <w:szCs w:val="24"/>
          <w:lang w:val="en-US"/>
        </w:rPr>
      </w:pPr>
      <w:r w:rsidRPr="00494C78">
        <w:rPr>
          <w:rFonts w:eastAsia="Times New Roman" w:cs="Times New Roman"/>
          <w:sz w:val="24"/>
          <w:szCs w:val="24"/>
          <w:lang w:val="en-US"/>
        </w:rPr>
        <w:t>for Crohn’s disease only,</w:t>
      </w:r>
    </w:p>
    <w:p w:rsidR="00494C78" w:rsidRPr="00494C78" w:rsidRDefault="00494C78" w:rsidP="00494C78">
      <w:pPr>
        <w:spacing w:after="120" w:line="240" w:lineRule="atLeast"/>
        <w:ind w:left="2160" w:hanging="720"/>
        <w:jc w:val="both"/>
        <w:rPr>
          <w:rFonts w:eastAsia="Times New Roman" w:cs="Times New Roman"/>
          <w:sz w:val="24"/>
          <w:szCs w:val="24"/>
          <w:lang w:val="en-US"/>
        </w:rPr>
      </w:pPr>
      <w:r w:rsidRPr="00494C78">
        <w:rPr>
          <w:rFonts w:eastAsia="Times New Roman" w:cs="Times New Roman"/>
          <w:sz w:val="24"/>
          <w:szCs w:val="24"/>
          <w:lang w:val="en-US"/>
        </w:rPr>
        <w:t>(</w:t>
      </w:r>
      <w:proofErr w:type="spellStart"/>
      <w:r w:rsidRPr="00494C78">
        <w:rPr>
          <w:rFonts w:eastAsia="Times New Roman" w:cs="Times New Roman"/>
          <w:sz w:val="24"/>
          <w:szCs w:val="24"/>
          <w:lang w:val="en-US"/>
        </w:rPr>
        <w:t>i</w:t>
      </w:r>
      <w:proofErr w:type="spellEnd"/>
      <w:r w:rsidRPr="00494C78">
        <w:rPr>
          <w:rFonts w:eastAsia="Times New Roman" w:cs="Times New Roman"/>
          <w:sz w:val="24"/>
          <w:szCs w:val="24"/>
          <w:lang w:val="en-US"/>
        </w:rPr>
        <w:t>)</w:t>
      </w:r>
      <w:r w:rsidRPr="00494C78">
        <w:rPr>
          <w:rFonts w:eastAsia="Times New Roman" w:cs="Times New Roman"/>
          <w:sz w:val="24"/>
          <w:szCs w:val="24"/>
          <w:lang w:val="en-US"/>
        </w:rPr>
        <w:tab/>
        <w:t>smoking at least one pack-year of cigarettes, or the equivalent thereof in other tobacco products, before the clinical worsening of inflammatory bowel disease, and where smoking has ceased, the clinical worsening of inflammatory bowel disease has occurred within four years of cessation; or</w:t>
      </w:r>
    </w:p>
    <w:p w:rsidR="00494C78" w:rsidRPr="00494C78" w:rsidRDefault="00494C78" w:rsidP="00494C78">
      <w:pPr>
        <w:spacing w:after="120" w:line="240" w:lineRule="atLeast"/>
        <w:ind w:left="2160" w:hanging="720"/>
        <w:jc w:val="both"/>
        <w:rPr>
          <w:rFonts w:eastAsia="Times New Roman" w:cs="Times New Roman"/>
          <w:sz w:val="24"/>
          <w:szCs w:val="24"/>
          <w:lang w:val="en-US"/>
        </w:rPr>
      </w:pPr>
      <w:r w:rsidRPr="00494C78">
        <w:rPr>
          <w:rFonts w:eastAsia="Times New Roman" w:cs="Times New Roman"/>
          <w:sz w:val="24"/>
          <w:szCs w:val="24"/>
          <w:lang w:val="en-GB"/>
        </w:rPr>
        <w:t>(ii)</w:t>
      </w:r>
      <w:r w:rsidRPr="00494C78">
        <w:rPr>
          <w:rFonts w:eastAsia="Times New Roman" w:cs="Times New Roman"/>
          <w:sz w:val="24"/>
          <w:szCs w:val="24"/>
          <w:lang w:val="en-GB"/>
        </w:rPr>
        <w:tab/>
        <w:t xml:space="preserve">immersion in an atmosphere with a visible tobacco smoke haze in an enclosed space for at least 5000 hours before the clinical worsening of inflammatory bowel disease, </w:t>
      </w:r>
      <w:r w:rsidRPr="00494C78">
        <w:rPr>
          <w:rFonts w:eastAsia="Times New Roman" w:cs="Times New Roman"/>
          <w:sz w:val="24"/>
          <w:szCs w:val="24"/>
          <w:lang w:val="en-US"/>
        </w:rPr>
        <w:t xml:space="preserve">and where exposure to tobacco smoke haze has ceased, the clinical </w:t>
      </w:r>
      <w:r w:rsidRPr="00494C78">
        <w:rPr>
          <w:rFonts w:eastAsia="Times New Roman" w:cs="Times New Roman"/>
          <w:sz w:val="24"/>
          <w:szCs w:val="24"/>
          <w:lang w:val="en-GB"/>
        </w:rPr>
        <w:t>worsening</w:t>
      </w:r>
      <w:r w:rsidRPr="00494C78">
        <w:rPr>
          <w:rFonts w:eastAsia="Times New Roman" w:cs="Times New Roman"/>
          <w:sz w:val="24"/>
          <w:szCs w:val="24"/>
          <w:lang w:val="en-US"/>
        </w:rPr>
        <w:t xml:space="preserve"> of inflammatory bowel disease has occurred within four years of cessation of exposure; or</w:t>
      </w:r>
    </w:p>
    <w:p w:rsidR="00494C78" w:rsidRPr="00494C78" w:rsidRDefault="00494C78" w:rsidP="00494C78">
      <w:pPr>
        <w:numPr>
          <w:ilvl w:val="0"/>
          <w:numId w:val="16"/>
        </w:numPr>
        <w:spacing w:after="120" w:line="240" w:lineRule="auto"/>
        <w:jc w:val="both"/>
        <w:rPr>
          <w:rFonts w:eastAsia="Times New Roman" w:cs="Times New Roman"/>
          <w:snapToGrid w:val="0"/>
          <w:sz w:val="24"/>
          <w:szCs w:val="24"/>
          <w:lang w:val="en-GB"/>
        </w:rPr>
      </w:pPr>
      <w:r w:rsidRPr="00494C78">
        <w:rPr>
          <w:rFonts w:eastAsia="Times New Roman" w:cs="Times New Roman"/>
          <w:sz w:val="24"/>
          <w:szCs w:val="24"/>
          <w:lang w:val="en-GB"/>
        </w:rPr>
        <w:t xml:space="preserve">being treated with a drug or a drug from a class of drugs in the specified list, for at least the seven days before the clinical worsening of </w:t>
      </w:r>
      <w:r w:rsidRPr="00494C78">
        <w:rPr>
          <w:rFonts w:eastAsia="Times New Roman" w:cs="Times New Roman"/>
          <w:sz w:val="24"/>
          <w:szCs w:val="24"/>
          <w:lang w:val="en-US"/>
        </w:rPr>
        <w:t>inflammatory bowel disease</w:t>
      </w:r>
      <w:r w:rsidRPr="00494C78">
        <w:rPr>
          <w:rFonts w:eastAsia="Times New Roman" w:cs="Times New Roman"/>
          <w:sz w:val="24"/>
          <w:szCs w:val="24"/>
          <w:lang w:val="en-GB"/>
        </w:rPr>
        <w:t>; or</w:t>
      </w:r>
    </w:p>
    <w:p w:rsidR="00494C78" w:rsidRPr="00494C78" w:rsidRDefault="00494C78" w:rsidP="00494C78">
      <w:pPr>
        <w:numPr>
          <w:ilvl w:val="0"/>
          <w:numId w:val="16"/>
        </w:numPr>
        <w:spacing w:after="120" w:line="240" w:lineRule="auto"/>
        <w:jc w:val="both"/>
        <w:rPr>
          <w:rFonts w:eastAsia="Times New Roman" w:cs="Times New Roman"/>
          <w:sz w:val="24"/>
          <w:szCs w:val="24"/>
          <w:lang w:val="en-GB"/>
        </w:rPr>
      </w:pPr>
      <w:r w:rsidRPr="00494C78">
        <w:rPr>
          <w:rFonts w:eastAsia="Times New Roman" w:cs="Times New Roman"/>
          <w:sz w:val="24"/>
          <w:szCs w:val="24"/>
          <w:lang w:val="en-GB"/>
        </w:rPr>
        <w:t>undergoing solid organ, bone marrow or stem cell transplantation before the clinical worsening of inflammatory bowel disease; or</w:t>
      </w:r>
    </w:p>
    <w:p w:rsidR="00494C78" w:rsidRPr="00494C78" w:rsidRDefault="00494C78" w:rsidP="00494C78">
      <w:pPr>
        <w:numPr>
          <w:ilvl w:val="0"/>
          <w:numId w:val="16"/>
        </w:numPr>
        <w:spacing w:after="120" w:line="240" w:lineRule="auto"/>
        <w:jc w:val="both"/>
        <w:rPr>
          <w:rFonts w:eastAsia="Times New Roman" w:cs="Times New Roman"/>
          <w:sz w:val="24"/>
          <w:szCs w:val="24"/>
          <w:lang w:val="en-GB"/>
        </w:rPr>
      </w:pPr>
      <w:r w:rsidRPr="00494C78">
        <w:rPr>
          <w:rFonts w:eastAsia="Times New Roman" w:cs="Times New Roman"/>
          <w:sz w:val="24"/>
          <w:szCs w:val="24"/>
          <w:lang w:val="en-GB"/>
        </w:rPr>
        <w:t>experiencing a category 1A stressor within the three months before the clinical worsening of inflammatory bowel disease; or</w:t>
      </w:r>
    </w:p>
    <w:p w:rsidR="00494C78" w:rsidRPr="00494C78" w:rsidRDefault="00494C78" w:rsidP="00494C78">
      <w:pPr>
        <w:numPr>
          <w:ilvl w:val="0"/>
          <w:numId w:val="16"/>
        </w:numPr>
        <w:spacing w:after="120" w:line="240" w:lineRule="auto"/>
        <w:jc w:val="both"/>
        <w:rPr>
          <w:rFonts w:eastAsia="Times New Roman" w:cs="Times New Roman"/>
          <w:sz w:val="24"/>
          <w:szCs w:val="24"/>
          <w:lang w:val="en-GB"/>
        </w:rPr>
      </w:pPr>
      <w:r w:rsidRPr="00494C78">
        <w:rPr>
          <w:rFonts w:eastAsia="Times New Roman" w:cs="Times New Roman"/>
          <w:sz w:val="24"/>
          <w:szCs w:val="24"/>
          <w:lang w:val="en-GB"/>
        </w:rPr>
        <w:t>experiencing a category 1B stressor within the three months before the clinical worsening of inflammatory bowel disease; or</w:t>
      </w:r>
    </w:p>
    <w:p w:rsidR="00494C78" w:rsidRPr="00494C78" w:rsidRDefault="00494C78" w:rsidP="00494C78">
      <w:pPr>
        <w:numPr>
          <w:ilvl w:val="0"/>
          <w:numId w:val="16"/>
        </w:numPr>
        <w:spacing w:after="120" w:line="240" w:lineRule="auto"/>
        <w:jc w:val="both"/>
        <w:rPr>
          <w:rFonts w:eastAsia="Times New Roman" w:cs="Times New Roman"/>
          <w:sz w:val="24"/>
          <w:szCs w:val="24"/>
          <w:lang w:val="en-GB"/>
        </w:rPr>
      </w:pPr>
      <w:r w:rsidRPr="00494C78">
        <w:rPr>
          <w:rFonts w:eastAsia="Times New Roman" w:cs="Times New Roman"/>
          <w:sz w:val="24"/>
          <w:szCs w:val="24"/>
          <w:lang w:val="en-GB"/>
        </w:rPr>
        <w:lastRenderedPageBreak/>
        <w:t>experiencing a category 2 stressor within the one month before the clinical worsening of inflammatory bowel disease; or</w:t>
      </w:r>
    </w:p>
    <w:p w:rsidR="00494C78" w:rsidRPr="00494C78" w:rsidRDefault="00494C78" w:rsidP="00494C78">
      <w:pPr>
        <w:numPr>
          <w:ilvl w:val="0"/>
          <w:numId w:val="16"/>
        </w:numPr>
        <w:spacing w:after="120" w:line="240" w:lineRule="auto"/>
        <w:jc w:val="both"/>
        <w:rPr>
          <w:rFonts w:eastAsia="Times New Roman" w:cs="Times New Roman"/>
          <w:sz w:val="24"/>
          <w:szCs w:val="24"/>
          <w:lang w:val="en-GB"/>
        </w:rPr>
      </w:pPr>
      <w:r w:rsidRPr="00494C78">
        <w:rPr>
          <w:rFonts w:eastAsia="Times New Roman" w:cs="Times New Roman"/>
          <w:sz w:val="24"/>
          <w:szCs w:val="24"/>
          <w:lang w:val="en-US"/>
        </w:rPr>
        <w:t>having a clinically significant depressive disorder for at least the one year before the clinical worsening of inflammatory bowel disease; or</w:t>
      </w:r>
      <w:r w:rsidRPr="00494C78">
        <w:rPr>
          <w:rFonts w:eastAsia="Times New Roman" w:cs="Times New Roman"/>
          <w:sz w:val="24"/>
          <w:szCs w:val="24"/>
          <w:lang w:val="en-GB"/>
        </w:rPr>
        <w:t xml:space="preserve"> </w:t>
      </w:r>
    </w:p>
    <w:p w:rsidR="00494C78" w:rsidRPr="00494C78" w:rsidRDefault="00494C78" w:rsidP="00494C78">
      <w:pPr>
        <w:numPr>
          <w:ilvl w:val="0"/>
          <w:numId w:val="16"/>
        </w:numPr>
        <w:spacing w:after="120" w:line="240" w:lineRule="auto"/>
        <w:jc w:val="both"/>
        <w:rPr>
          <w:rFonts w:eastAsia="Times New Roman" w:cs="Times New Roman"/>
          <w:sz w:val="24"/>
          <w:szCs w:val="24"/>
          <w:lang w:val="en-GB"/>
        </w:rPr>
      </w:pPr>
      <w:r w:rsidRPr="00494C78">
        <w:rPr>
          <w:rFonts w:eastAsia="Times New Roman" w:cs="Times New Roman"/>
          <w:sz w:val="24"/>
          <w:szCs w:val="24"/>
          <w:lang w:val="en-GB"/>
        </w:rPr>
        <w:t>having clinical or laboratory evidence of a bowel infection in the one month before the clinical worsening of inflammatory bowel disease; or</w:t>
      </w:r>
    </w:p>
    <w:p w:rsidR="00494C78" w:rsidRPr="00494C78" w:rsidRDefault="00494C78" w:rsidP="00494C78">
      <w:pPr>
        <w:numPr>
          <w:ilvl w:val="0"/>
          <w:numId w:val="16"/>
        </w:numPr>
        <w:spacing w:line="240" w:lineRule="auto"/>
        <w:jc w:val="both"/>
        <w:rPr>
          <w:rFonts w:eastAsia="Times New Roman" w:cs="Times New Roman"/>
          <w:sz w:val="24"/>
          <w:szCs w:val="24"/>
          <w:lang w:val="en-GB"/>
        </w:rPr>
      </w:pPr>
      <w:r w:rsidRPr="00494C78">
        <w:rPr>
          <w:rFonts w:eastAsia="Times New Roman" w:cs="Times New Roman"/>
          <w:sz w:val="24"/>
          <w:szCs w:val="24"/>
          <w:lang w:val="en-GB"/>
        </w:rPr>
        <w:t>inability to obtain appropriate clinical management for inflammatory bowel disease.</w:t>
      </w:r>
    </w:p>
    <w:p w:rsidR="00494C78" w:rsidRPr="00494C78" w:rsidRDefault="00494C78" w:rsidP="00494C78">
      <w:pPr>
        <w:keepNext/>
        <w:spacing w:before="240" w:after="120" w:line="240" w:lineRule="auto"/>
        <w:jc w:val="both"/>
        <w:outlineLvl w:val="0"/>
        <w:rPr>
          <w:rFonts w:eastAsia="Times New Roman" w:cs="Times New Roman"/>
          <w:b/>
          <w:bCs/>
          <w:sz w:val="24"/>
          <w:szCs w:val="24"/>
        </w:rPr>
      </w:pPr>
      <w:r w:rsidRPr="00494C78">
        <w:rPr>
          <w:rFonts w:eastAsia="Times New Roman" w:cs="Times New Roman"/>
          <w:b/>
          <w:bCs/>
          <w:sz w:val="24"/>
          <w:szCs w:val="24"/>
        </w:rPr>
        <w:t>Factors that apply only to material contribution or aggravation</w:t>
      </w:r>
    </w:p>
    <w:p w:rsidR="00494C78" w:rsidRPr="00494C78" w:rsidRDefault="00494C78" w:rsidP="00494C78">
      <w:pPr>
        <w:spacing w:line="240" w:lineRule="atLeast"/>
        <w:ind w:left="720" w:hanging="720"/>
        <w:jc w:val="both"/>
        <w:rPr>
          <w:rFonts w:eastAsia="Times New Roman" w:cs="Times New Roman"/>
          <w:sz w:val="24"/>
          <w:szCs w:val="24"/>
          <w:lang w:val="en-GB"/>
        </w:rPr>
      </w:pPr>
      <w:r w:rsidRPr="00494C78">
        <w:rPr>
          <w:rFonts w:eastAsia="Times New Roman" w:cs="Times New Roman"/>
          <w:b/>
          <w:sz w:val="24"/>
          <w:szCs w:val="24"/>
          <w:lang w:val="en-GB"/>
        </w:rPr>
        <w:t>7.</w:t>
      </w:r>
      <w:r w:rsidRPr="00494C78">
        <w:rPr>
          <w:rFonts w:eastAsia="Times New Roman" w:cs="Times New Roman"/>
          <w:sz w:val="24"/>
          <w:szCs w:val="24"/>
          <w:lang w:val="en-GB"/>
        </w:rPr>
        <w:tab/>
        <w:t xml:space="preserve">Paragraphs </w:t>
      </w:r>
      <w:r w:rsidRPr="00494C78">
        <w:rPr>
          <w:rFonts w:eastAsia="Times New Roman" w:cs="Times New Roman"/>
          <w:b/>
          <w:sz w:val="24"/>
          <w:szCs w:val="24"/>
          <w:lang w:val="en-GB"/>
        </w:rPr>
        <w:t xml:space="preserve">6(f) to 6(n) </w:t>
      </w:r>
      <w:r w:rsidRPr="00494C78">
        <w:rPr>
          <w:rFonts w:eastAsia="Times New Roman" w:cs="Times New Roman"/>
          <w:sz w:val="24"/>
          <w:szCs w:val="24"/>
          <w:lang w:val="en-GB"/>
        </w:rPr>
        <w:t>apply only to material contribution to, or aggravation of, inflammatory bowel disease where the person’s inflammatory bowel disease was suffered or contracted before or during (but not arising out of) the person’s relevant service.</w:t>
      </w:r>
    </w:p>
    <w:p w:rsidR="00494C78" w:rsidRPr="00494C78" w:rsidRDefault="00494C78" w:rsidP="00494C78">
      <w:pPr>
        <w:keepNext/>
        <w:spacing w:before="240" w:after="120" w:line="240" w:lineRule="auto"/>
        <w:jc w:val="both"/>
        <w:outlineLvl w:val="0"/>
        <w:rPr>
          <w:rFonts w:eastAsia="Times New Roman" w:cs="Times New Roman"/>
          <w:b/>
          <w:bCs/>
          <w:sz w:val="24"/>
          <w:szCs w:val="24"/>
        </w:rPr>
      </w:pPr>
      <w:r w:rsidRPr="00494C78">
        <w:rPr>
          <w:rFonts w:eastAsia="Times New Roman" w:cs="Times New Roman"/>
          <w:b/>
          <w:bCs/>
          <w:sz w:val="24"/>
          <w:szCs w:val="24"/>
        </w:rPr>
        <w:t>Inclusion of Statements of Principles</w:t>
      </w:r>
    </w:p>
    <w:p w:rsidR="00494C78" w:rsidRPr="00494C78" w:rsidRDefault="00494C78" w:rsidP="00494C78">
      <w:pPr>
        <w:spacing w:line="240" w:lineRule="atLeast"/>
        <w:ind w:left="720" w:hanging="720"/>
        <w:jc w:val="both"/>
        <w:rPr>
          <w:rFonts w:eastAsia="Times New Roman" w:cs="Times New Roman"/>
          <w:sz w:val="24"/>
          <w:szCs w:val="24"/>
          <w:lang w:val="en-GB"/>
        </w:rPr>
      </w:pPr>
      <w:r w:rsidRPr="00494C78">
        <w:rPr>
          <w:rFonts w:eastAsia="Times New Roman" w:cs="Times New Roman"/>
          <w:b/>
          <w:sz w:val="24"/>
          <w:szCs w:val="24"/>
          <w:lang w:val="en-GB"/>
        </w:rPr>
        <w:t>8.</w:t>
      </w:r>
      <w:r w:rsidRPr="00494C78">
        <w:rPr>
          <w:rFonts w:eastAsia="Times New Roman" w:cs="Times New Roman"/>
          <w:sz w:val="24"/>
          <w:szCs w:val="24"/>
          <w:lang w:val="en-GB"/>
        </w:rPr>
        <w:tab/>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494C78" w:rsidRPr="00494C78" w:rsidRDefault="00494C78" w:rsidP="00494C78">
      <w:pPr>
        <w:keepNext/>
        <w:spacing w:before="240" w:after="120" w:line="240" w:lineRule="auto"/>
        <w:jc w:val="both"/>
        <w:outlineLvl w:val="0"/>
        <w:rPr>
          <w:rFonts w:eastAsia="Times New Roman" w:cs="Times New Roman"/>
          <w:b/>
          <w:bCs/>
          <w:sz w:val="24"/>
          <w:szCs w:val="24"/>
        </w:rPr>
      </w:pPr>
      <w:r w:rsidRPr="00494C78">
        <w:rPr>
          <w:rFonts w:eastAsia="Times New Roman" w:cs="Times New Roman"/>
          <w:b/>
          <w:bCs/>
          <w:sz w:val="24"/>
          <w:szCs w:val="24"/>
        </w:rPr>
        <w:t>Other definitions</w:t>
      </w:r>
    </w:p>
    <w:p w:rsidR="00494C78" w:rsidRPr="00494C78" w:rsidRDefault="00494C78" w:rsidP="00494C78">
      <w:pPr>
        <w:spacing w:after="120" w:line="240" w:lineRule="auto"/>
        <w:jc w:val="both"/>
        <w:rPr>
          <w:rFonts w:eastAsia="Times New Roman" w:cs="Times New Roman"/>
          <w:sz w:val="24"/>
          <w:szCs w:val="24"/>
          <w:lang w:val="en-GB"/>
        </w:rPr>
      </w:pPr>
      <w:r w:rsidRPr="00494C78">
        <w:rPr>
          <w:rFonts w:eastAsia="Times New Roman" w:cs="Times New Roman"/>
          <w:b/>
          <w:sz w:val="24"/>
          <w:szCs w:val="24"/>
          <w:lang w:val="en-GB"/>
        </w:rPr>
        <w:t>9.</w:t>
      </w:r>
      <w:r w:rsidRPr="00494C78">
        <w:rPr>
          <w:rFonts w:eastAsia="Times New Roman" w:cs="Times New Roman"/>
          <w:sz w:val="24"/>
          <w:szCs w:val="24"/>
          <w:lang w:val="en-GB"/>
        </w:rPr>
        <w:tab/>
        <w:t>For the purposes of this Statement of Principles:</w:t>
      </w:r>
    </w:p>
    <w:p w:rsidR="00494C78" w:rsidRPr="00494C78" w:rsidRDefault="00494C78" w:rsidP="00494C78">
      <w:pPr>
        <w:tabs>
          <w:tab w:val="num" w:pos="851"/>
        </w:tabs>
        <w:spacing w:after="120" w:line="240" w:lineRule="atLeast"/>
        <w:ind w:left="720"/>
        <w:jc w:val="both"/>
        <w:rPr>
          <w:rFonts w:eastAsia="Times New Roman" w:cs="Times New Roman"/>
          <w:sz w:val="24"/>
          <w:szCs w:val="24"/>
          <w:lang w:val="en-GB"/>
        </w:rPr>
      </w:pPr>
      <w:r w:rsidRPr="00494C78">
        <w:rPr>
          <w:rFonts w:eastAsia="Times New Roman" w:cs="Times New Roman"/>
          <w:b/>
          <w:sz w:val="24"/>
          <w:szCs w:val="24"/>
          <w:lang w:val="en-GB"/>
        </w:rPr>
        <w:t>"a category 1A stressor"</w:t>
      </w:r>
      <w:r w:rsidRPr="00494C78">
        <w:rPr>
          <w:rFonts w:eastAsia="Times New Roman" w:cs="Times New Roman"/>
          <w:sz w:val="24"/>
          <w:szCs w:val="24"/>
          <w:lang w:val="en-GB"/>
        </w:rPr>
        <w:t xml:space="preserve"> means one or more of the following severe traumatic events:</w:t>
      </w:r>
    </w:p>
    <w:p w:rsidR="00494C78" w:rsidRPr="00494C78" w:rsidRDefault="00494C78" w:rsidP="00494C78">
      <w:pPr>
        <w:numPr>
          <w:ilvl w:val="0"/>
          <w:numId w:val="17"/>
        </w:numPr>
        <w:spacing w:line="240" w:lineRule="auto"/>
        <w:ind w:left="1440"/>
        <w:jc w:val="both"/>
        <w:rPr>
          <w:rFonts w:eastAsia="Times New Roman" w:cs="Times New Roman"/>
          <w:sz w:val="24"/>
          <w:szCs w:val="24"/>
          <w:lang w:val="en-GB"/>
        </w:rPr>
      </w:pPr>
      <w:r w:rsidRPr="00494C78">
        <w:rPr>
          <w:rFonts w:eastAsia="Times New Roman" w:cs="Times New Roman"/>
          <w:snapToGrid w:val="0"/>
          <w:sz w:val="24"/>
          <w:szCs w:val="24"/>
          <w:lang w:val="en-GB"/>
        </w:rPr>
        <w:t>experiencing a life-threatening event;</w:t>
      </w:r>
    </w:p>
    <w:p w:rsidR="00494C78" w:rsidRPr="00494C78" w:rsidRDefault="00494C78" w:rsidP="00494C78">
      <w:pPr>
        <w:numPr>
          <w:ilvl w:val="0"/>
          <w:numId w:val="17"/>
        </w:numPr>
        <w:spacing w:line="240" w:lineRule="auto"/>
        <w:ind w:left="1440"/>
        <w:jc w:val="both"/>
        <w:rPr>
          <w:rFonts w:eastAsia="Times New Roman" w:cs="Times New Roman"/>
          <w:sz w:val="24"/>
          <w:szCs w:val="24"/>
          <w:lang w:val="en-GB"/>
        </w:rPr>
      </w:pPr>
      <w:r w:rsidRPr="00494C78">
        <w:rPr>
          <w:rFonts w:eastAsia="Times New Roman" w:cs="Times New Roman"/>
          <w:snapToGrid w:val="0"/>
          <w:sz w:val="24"/>
          <w:szCs w:val="24"/>
          <w:lang w:val="en-GB"/>
        </w:rPr>
        <w:t xml:space="preserve">being subject to a </w:t>
      </w:r>
      <w:r w:rsidRPr="00494C78">
        <w:rPr>
          <w:rFonts w:eastAsia="Times New Roman" w:cs="Times New Roman"/>
          <w:sz w:val="24"/>
          <w:szCs w:val="24"/>
          <w:lang w:val="en-GB"/>
        </w:rPr>
        <w:t>serious physical attack or assault including rape and sexual molestation; or</w:t>
      </w:r>
    </w:p>
    <w:p w:rsidR="00494C78" w:rsidRPr="00494C78" w:rsidRDefault="00494C78" w:rsidP="00494C78">
      <w:pPr>
        <w:numPr>
          <w:ilvl w:val="0"/>
          <w:numId w:val="17"/>
        </w:numPr>
        <w:spacing w:after="120" w:line="240" w:lineRule="auto"/>
        <w:ind w:left="1440"/>
        <w:jc w:val="both"/>
        <w:rPr>
          <w:rFonts w:eastAsia="Times New Roman" w:cs="Times New Roman"/>
          <w:sz w:val="24"/>
          <w:szCs w:val="24"/>
          <w:lang w:val="en-GB"/>
        </w:rPr>
      </w:pPr>
      <w:r w:rsidRPr="00494C78">
        <w:rPr>
          <w:rFonts w:eastAsia="Times New Roman" w:cs="Times New Roman"/>
          <w:sz w:val="24"/>
          <w:szCs w:val="24"/>
          <w:lang w:val="en-GB"/>
        </w:rPr>
        <w:t>being threatened with a weapon, being held captive, being kidnapped, or being tortured;</w:t>
      </w:r>
    </w:p>
    <w:p w:rsidR="00494C78" w:rsidRPr="00494C78" w:rsidRDefault="00494C78" w:rsidP="00494C78">
      <w:pPr>
        <w:ind w:firstLine="709"/>
        <w:rPr>
          <w:sz w:val="24"/>
          <w:szCs w:val="24"/>
        </w:rPr>
      </w:pPr>
      <w:r w:rsidRPr="00494C78">
        <w:rPr>
          <w:b/>
          <w:sz w:val="24"/>
          <w:szCs w:val="24"/>
        </w:rPr>
        <w:t>"a category 1B stressor"</w:t>
      </w:r>
      <w:r w:rsidRPr="00494C78">
        <w:rPr>
          <w:sz w:val="24"/>
          <w:szCs w:val="24"/>
        </w:rPr>
        <w:t xml:space="preserve"> means one of the following severe traumatic events:</w:t>
      </w:r>
    </w:p>
    <w:p w:rsidR="00494C78" w:rsidRPr="00494C78" w:rsidRDefault="00494C78" w:rsidP="00494C78">
      <w:pPr>
        <w:ind w:firstLine="709"/>
        <w:rPr>
          <w:sz w:val="24"/>
          <w:szCs w:val="24"/>
        </w:rPr>
      </w:pPr>
      <w:r w:rsidRPr="00494C78">
        <w:rPr>
          <w:sz w:val="24"/>
          <w:szCs w:val="24"/>
        </w:rPr>
        <w:t>(a)</w:t>
      </w:r>
      <w:r w:rsidRPr="00494C78">
        <w:rPr>
          <w:sz w:val="24"/>
          <w:szCs w:val="24"/>
        </w:rPr>
        <w:tab/>
        <w:t xml:space="preserve">killing or maiming a person; </w:t>
      </w:r>
    </w:p>
    <w:p w:rsidR="00494C78" w:rsidRPr="00494C78" w:rsidRDefault="00494C78" w:rsidP="00494C78">
      <w:pPr>
        <w:ind w:firstLine="709"/>
        <w:rPr>
          <w:sz w:val="24"/>
          <w:szCs w:val="24"/>
        </w:rPr>
      </w:pPr>
      <w:r w:rsidRPr="00494C78">
        <w:rPr>
          <w:sz w:val="24"/>
          <w:szCs w:val="24"/>
        </w:rPr>
        <w:t>(b)</w:t>
      </w:r>
      <w:r w:rsidRPr="00494C78">
        <w:rPr>
          <w:sz w:val="24"/>
          <w:szCs w:val="24"/>
        </w:rPr>
        <w:tab/>
        <w:t>being an eyewitness to a person being killed or critically injured;</w:t>
      </w:r>
    </w:p>
    <w:p w:rsidR="00494C78" w:rsidRPr="00494C78" w:rsidRDefault="00494C78" w:rsidP="00494C78">
      <w:pPr>
        <w:ind w:firstLine="709"/>
        <w:rPr>
          <w:sz w:val="24"/>
          <w:szCs w:val="24"/>
        </w:rPr>
      </w:pPr>
      <w:r w:rsidRPr="00494C78">
        <w:rPr>
          <w:sz w:val="24"/>
          <w:szCs w:val="24"/>
        </w:rPr>
        <w:t>(c)</w:t>
      </w:r>
      <w:r w:rsidRPr="00494C78">
        <w:rPr>
          <w:sz w:val="24"/>
          <w:szCs w:val="24"/>
        </w:rPr>
        <w:tab/>
        <w:t xml:space="preserve">being an eyewitness to atrocities inflicted on another person; </w:t>
      </w:r>
    </w:p>
    <w:p w:rsidR="00494C78" w:rsidRPr="00494C78" w:rsidRDefault="00494C78" w:rsidP="00494C78">
      <w:pPr>
        <w:ind w:left="1440" w:hanging="731"/>
        <w:rPr>
          <w:sz w:val="24"/>
          <w:szCs w:val="24"/>
        </w:rPr>
      </w:pPr>
      <w:r w:rsidRPr="00494C78">
        <w:rPr>
          <w:sz w:val="24"/>
          <w:szCs w:val="24"/>
        </w:rPr>
        <w:t>(d)</w:t>
      </w:r>
      <w:r w:rsidRPr="00494C78">
        <w:rPr>
          <w:sz w:val="24"/>
          <w:szCs w:val="24"/>
        </w:rPr>
        <w:tab/>
        <w:t>participating in the clearance of a corpse or a critically injured casualty; or</w:t>
      </w:r>
    </w:p>
    <w:p w:rsidR="00494C78" w:rsidRPr="00494C78" w:rsidRDefault="00494C78" w:rsidP="00494C78">
      <w:pPr>
        <w:spacing w:after="120"/>
        <w:ind w:firstLine="709"/>
        <w:rPr>
          <w:sz w:val="24"/>
          <w:szCs w:val="24"/>
        </w:rPr>
      </w:pPr>
      <w:r w:rsidRPr="00494C78">
        <w:rPr>
          <w:sz w:val="24"/>
          <w:szCs w:val="24"/>
        </w:rPr>
        <w:t>(e)</w:t>
      </w:r>
      <w:r w:rsidRPr="00494C78">
        <w:rPr>
          <w:sz w:val="24"/>
          <w:szCs w:val="24"/>
        </w:rPr>
        <w:tab/>
        <w:t>viewing a corpse or a critically injured casualty as an eyewitness;</w:t>
      </w:r>
    </w:p>
    <w:p w:rsidR="00494C78" w:rsidRPr="00494C78" w:rsidRDefault="00494C78" w:rsidP="00494C78">
      <w:pPr>
        <w:tabs>
          <w:tab w:val="num" w:pos="851"/>
        </w:tabs>
        <w:spacing w:after="120" w:line="240" w:lineRule="atLeast"/>
        <w:ind w:left="720"/>
        <w:jc w:val="both"/>
        <w:rPr>
          <w:rFonts w:eastAsia="Times New Roman" w:cs="Times New Roman"/>
          <w:sz w:val="24"/>
          <w:szCs w:val="24"/>
          <w:lang w:val="en-GB"/>
        </w:rPr>
      </w:pPr>
      <w:r w:rsidRPr="00494C78">
        <w:rPr>
          <w:rFonts w:eastAsia="Times New Roman" w:cs="Times New Roman"/>
          <w:b/>
          <w:bCs/>
          <w:sz w:val="24"/>
          <w:szCs w:val="24"/>
          <w:lang w:val="en-GB"/>
        </w:rPr>
        <w:lastRenderedPageBreak/>
        <w:t xml:space="preserve">"a category 2 stressor" </w:t>
      </w:r>
      <w:r w:rsidRPr="00494C78">
        <w:rPr>
          <w:rFonts w:eastAsia="Times New Roman" w:cs="Times New Roman"/>
          <w:sz w:val="24"/>
          <w:szCs w:val="24"/>
          <w:lang w:val="en-GB"/>
        </w:rPr>
        <w:t>means one or more of the following negative life events, the effects of which are chronic in nature and cause the person to feel on-going distress, concern or worry:</w:t>
      </w:r>
    </w:p>
    <w:p w:rsidR="00494C78" w:rsidRPr="00494C78" w:rsidRDefault="00494C78" w:rsidP="00494C78">
      <w:pPr>
        <w:numPr>
          <w:ilvl w:val="0"/>
          <w:numId w:val="19"/>
        </w:numPr>
        <w:spacing w:line="240" w:lineRule="auto"/>
        <w:jc w:val="both"/>
        <w:rPr>
          <w:rFonts w:eastAsia="Times New Roman" w:cs="Times New Roman"/>
          <w:sz w:val="24"/>
          <w:szCs w:val="24"/>
          <w:lang w:val="en-GB"/>
        </w:rPr>
      </w:pPr>
      <w:r w:rsidRPr="00494C78">
        <w:rPr>
          <w:rFonts w:eastAsia="Times New Roman" w:cs="Times New Roman"/>
          <w:sz w:val="24"/>
          <w:szCs w:val="24"/>
          <w:lang w:val="en-GB"/>
        </w:rPr>
        <w:t>being socially isolated and unable to maintain friendships or family relationships, due to physical location, language barriers, disability, or medical or psychiatric illness;</w:t>
      </w:r>
    </w:p>
    <w:p w:rsidR="00494C78" w:rsidRPr="00494C78" w:rsidRDefault="00494C78" w:rsidP="00494C78">
      <w:pPr>
        <w:numPr>
          <w:ilvl w:val="0"/>
          <w:numId w:val="19"/>
        </w:numPr>
        <w:spacing w:line="240" w:lineRule="auto"/>
        <w:jc w:val="both"/>
        <w:rPr>
          <w:rFonts w:eastAsia="Times New Roman" w:cs="Times New Roman"/>
          <w:sz w:val="24"/>
          <w:szCs w:val="24"/>
          <w:lang w:val="en-GB"/>
        </w:rPr>
      </w:pPr>
      <w:r w:rsidRPr="00494C78">
        <w:rPr>
          <w:rFonts w:eastAsia="Times New Roman" w:cs="Times New Roman"/>
          <w:sz w:val="24"/>
          <w:szCs w:val="24"/>
          <w:lang w:val="en-GB"/>
        </w:rPr>
        <w:t>experiencing a problem with a long-term relationship including: the break-up of a close personal relationship, the need for marital or relationship counselling, marital separation, or divorce;</w:t>
      </w:r>
    </w:p>
    <w:p w:rsidR="00494C78" w:rsidRPr="00494C78" w:rsidRDefault="00494C78" w:rsidP="00494C78">
      <w:pPr>
        <w:numPr>
          <w:ilvl w:val="0"/>
          <w:numId w:val="19"/>
        </w:numPr>
        <w:spacing w:line="240" w:lineRule="auto"/>
        <w:jc w:val="both"/>
        <w:rPr>
          <w:rFonts w:eastAsia="Times New Roman" w:cs="Times New Roman"/>
          <w:sz w:val="24"/>
          <w:szCs w:val="24"/>
          <w:lang w:val="en-GB"/>
        </w:rPr>
      </w:pPr>
      <w:r w:rsidRPr="00494C78">
        <w:rPr>
          <w:rFonts w:eastAsia="Times New Roman" w:cs="Times New Roman"/>
          <w:sz w:val="24"/>
          <w:szCs w:val="24"/>
          <w:lang w:val="en-GB"/>
        </w:rPr>
        <w:t xml:space="preserve">having concerns in the work or school environment including: on-going disharmony with fellow work or school colleagues, perceived lack of social support within the work or school environment, perceived lack of control over tasks performed and stressful </w:t>
      </w:r>
      <w:proofErr w:type="spellStart"/>
      <w:r w:rsidRPr="00494C78">
        <w:rPr>
          <w:rFonts w:eastAsia="Times New Roman" w:cs="Times New Roman"/>
          <w:sz w:val="24"/>
          <w:szCs w:val="24"/>
          <w:lang w:val="en-GB"/>
        </w:rPr>
        <w:t>work loads</w:t>
      </w:r>
      <w:proofErr w:type="spellEnd"/>
      <w:r w:rsidRPr="00494C78">
        <w:rPr>
          <w:rFonts w:eastAsia="Times New Roman" w:cs="Times New Roman"/>
          <w:sz w:val="24"/>
          <w:szCs w:val="24"/>
          <w:lang w:val="en-GB"/>
        </w:rPr>
        <w:t>, or experiencing bullying in the workplace or school environment;</w:t>
      </w:r>
    </w:p>
    <w:p w:rsidR="00494C78" w:rsidRPr="00494C78" w:rsidRDefault="00494C78" w:rsidP="00494C78">
      <w:pPr>
        <w:numPr>
          <w:ilvl w:val="0"/>
          <w:numId w:val="19"/>
        </w:numPr>
        <w:spacing w:line="240" w:lineRule="auto"/>
        <w:jc w:val="both"/>
        <w:rPr>
          <w:rFonts w:eastAsia="Times New Roman" w:cs="Times New Roman"/>
          <w:sz w:val="24"/>
          <w:szCs w:val="24"/>
          <w:lang w:val="en-GB"/>
        </w:rPr>
      </w:pPr>
      <w:r w:rsidRPr="00494C78">
        <w:rPr>
          <w:rFonts w:eastAsia="Times New Roman" w:cs="Times New Roman"/>
          <w:sz w:val="24"/>
          <w:szCs w:val="24"/>
          <w:lang w:val="en-GB"/>
        </w:rPr>
        <w:t>experiencing serious legal issues including: being detained or held in custody, on-going involvement with the police concerning violations of the law, or court appearances associated with personal legal problems;</w:t>
      </w:r>
    </w:p>
    <w:p w:rsidR="00494C78" w:rsidRPr="00494C78" w:rsidRDefault="00494C78" w:rsidP="00494C78">
      <w:pPr>
        <w:numPr>
          <w:ilvl w:val="0"/>
          <w:numId w:val="19"/>
        </w:numPr>
        <w:spacing w:line="240" w:lineRule="auto"/>
        <w:jc w:val="both"/>
        <w:rPr>
          <w:rFonts w:eastAsia="Times New Roman" w:cs="Times New Roman"/>
          <w:sz w:val="24"/>
          <w:szCs w:val="24"/>
          <w:lang w:val="en-GB"/>
        </w:rPr>
      </w:pPr>
      <w:r w:rsidRPr="00494C78">
        <w:rPr>
          <w:rFonts w:eastAsia="Times New Roman" w:cs="Times New Roman"/>
          <w:sz w:val="24"/>
          <w:szCs w:val="24"/>
          <w:lang w:val="en-GB"/>
        </w:rPr>
        <w:t>having severe financial hardship including: loss of employment, long periods of unemployment, foreclosure on a property, or bankruptcy;</w:t>
      </w:r>
    </w:p>
    <w:p w:rsidR="00494C78" w:rsidRPr="00494C78" w:rsidRDefault="00494C78" w:rsidP="00494C78">
      <w:pPr>
        <w:numPr>
          <w:ilvl w:val="0"/>
          <w:numId w:val="19"/>
        </w:numPr>
        <w:spacing w:line="240" w:lineRule="auto"/>
        <w:jc w:val="both"/>
        <w:rPr>
          <w:rFonts w:eastAsia="Times New Roman" w:cs="Times New Roman"/>
          <w:sz w:val="24"/>
          <w:szCs w:val="24"/>
          <w:lang w:val="en-GB"/>
        </w:rPr>
      </w:pPr>
      <w:r w:rsidRPr="00494C78">
        <w:rPr>
          <w:rFonts w:eastAsia="Times New Roman" w:cs="Times New Roman"/>
          <w:sz w:val="24"/>
          <w:szCs w:val="24"/>
          <w:lang w:val="en-GB"/>
        </w:rPr>
        <w:t>having a family member or significant other experience a major deterioration in their health; or</w:t>
      </w:r>
    </w:p>
    <w:p w:rsidR="00494C78" w:rsidRDefault="00494C78" w:rsidP="00494C78">
      <w:pPr>
        <w:numPr>
          <w:ilvl w:val="0"/>
          <w:numId w:val="19"/>
        </w:numPr>
        <w:spacing w:after="120" w:line="240" w:lineRule="auto"/>
        <w:jc w:val="both"/>
        <w:rPr>
          <w:rFonts w:eastAsia="Times New Roman" w:cs="Times New Roman"/>
          <w:sz w:val="24"/>
          <w:szCs w:val="24"/>
          <w:lang w:val="en-GB"/>
        </w:rPr>
      </w:pPr>
      <w:r w:rsidRPr="00494C78">
        <w:rPr>
          <w:rFonts w:eastAsia="Times New Roman" w:cs="Times New Roman"/>
          <w:sz w:val="24"/>
          <w:szCs w:val="24"/>
          <w:lang w:val="en-GB"/>
        </w:rPr>
        <w:t>being a full-time caregiver to a family member or significant other with a severe physical, mental or developmental disability;</w:t>
      </w:r>
    </w:p>
    <w:p w:rsidR="00494C78" w:rsidRDefault="00494C78" w:rsidP="00494C78">
      <w:pPr>
        <w:pStyle w:val="BodyTextIndent"/>
        <w:tabs>
          <w:tab w:val="clear" w:pos="0"/>
          <w:tab w:val="left" w:pos="720"/>
        </w:tabs>
        <w:spacing w:after="120"/>
        <w:ind w:left="720" w:firstLine="0"/>
        <w:rPr>
          <w:sz w:val="28"/>
          <w:szCs w:val="22"/>
        </w:rPr>
      </w:pPr>
      <w:r>
        <w:rPr>
          <w:b/>
          <w:sz w:val="24"/>
          <w:szCs w:val="22"/>
        </w:rPr>
        <w:t>"a corpse"</w:t>
      </w:r>
      <w:r>
        <w:rPr>
          <w:sz w:val="24"/>
          <w:szCs w:val="22"/>
        </w:rPr>
        <w:t xml:space="preserve"> means the human remains or body parts of one or more persons who have met a violent or horrific death;  </w:t>
      </w:r>
    </w:p>
    <w:p w:rsidR="00494C78" w:rsidRPr="00F445D6" w:rsidRDefault="00494C78" w:rsidP="00494C78">
      <w:pPr>
        <w:pStyle w:val="BodyTextIndent"/>
        <w:spacing w:after="120" w:line="240" w:lineRule="auto"/>
        <w:rPr>
          <w:sz w:val="22"/>
          <w:szCs w:val="24"/>
        </w:rPr>
      </w:pPr>
      <w:r w:rsidRPr="00F445D6">
        <w:rPr>
          <w:sz w:val="18"/>
          <w:szCs w:val="18"/>
        </w:rPr>
        <w:t xml:space="preserve">Note:    </w:t>
      </w:r>
      <w:r w:rsidR="00F445D6">
        <w:rPr>
          <w:sz w:val="18"/>
          <w:szCs w:val="18"/>
        </w:rPr>
        <w:t xml:space="preserve">  </w:t>
      </w:r>
      <w:r w:rsidRPr="00F445D6">
        <w:rPr>
          <w:sz w:val="18"/>
          <w:szCs w:val="18"/>
        </w:rPr>
        <w:t>Examples of a violent or horrific death may include death due to suicide, gunshot, improvised explosive devices, natural and technological disasters, terrorist attacks or motor vehicle accidents.  Seeing a closed body bag or viewing a body in an open-casket coffin are excluded from this definition.</w:t>
      </w:r>
    </w:p>
    <w:p w:rsidR="00494C78" w:rsidRPr="00494C78" w:rsidRDefault="00494C78" w:rsidP="00494C78">
      <w:pPr>
        <w:spacing w:line="240" w:lineRule="atLeast"/>
        <w:ind w:left="720"/>
        <w:jc w:val="both"/>
        <w:rPr>
          <w:rFonts w:eastAsia="Times New Roman" w:cs="Times New Roman"/>
          <w:sz w:val="24"/>
          <w:szCs w:val="24"/>
          <w:lang w:val="en-GB"/>
        </w:rPr>
      </w:pPr>
      <w:r w:rsidRPr="00494C78">
        <w:rPr>
          <w:rFonts w:eastAsia="Times New Roman" w:cs="Times New Roman"/>
          <w:b/>
          <w:sz w:val="24"/>
          <w:szCs w:val="24"/>
          <w:lang w:val="en-GB"/>
        </w:rPr>
        <w:t>"a drug or a drug from a class of drugs</w:t>
      </w:r>
      <w:r w:rsidRPr="00494C78">
        <w:rPr>
          <w:rFonts w:eastAsia="Times New Roman" w:cs="Times New Roman"/>
          <w:sz w:val="24"/>
          <w:szCs w:val="24"/>
          <w:lang w:val="en-GB"/>
        </w:rPr>
        <w:t xml:space="preserve"> </w:t>
      </w:r>
      <w:r w:rsidRPr="00494C78">
        <w:rPr>
          <w:rFonts w:eastAsia="Times New Roman" w:cs="Times New Roman"/>
          <w:b/>
          <w:sz w:val="24"/>
          <w:szCs w:val="24"/>
          <w:lang w:val="en-GB"/>
        </w:rPr>
        <w:t>in the specified list"</w:t>
      </w:r>
      <w:r w:rsidRPr="00494C78">
        <w:rPr>
          <w:rFonts w:eastAsia="Times New Roman" w:cs="Times New Roman"/>
          <w:sz w:val="24"/>
          <w:szCs w:val="24"/>
          <w:lang w:val="en-GB"/>
        </w:rPr>
        <w:t xml:space="preserve"> means:</w:t>
      </w:r>
    </w:p>
    <w:p w:rsidR="00494C78" w:rsidRPr="00494C78" w:rsidRDefault="00494C78" w:rsidP="00494C78">
      <w:pPr>
        <w:numPr>
          <w:ilvl w:val="0"/>
          <w:numId w:val="20"/>
        </w:numPr>
        <w:spacing w:line="240" w:lineRule="auto"/>
        <w:ind w:left="1418" w:hanging="698"/>
        <w:jc w:val="both"/>
        <w:rPr>
          <w:rFonts w:eastAsia="Times New Roman" w:cs="Times New Roman"/>
          <w:sz w:val="24"/>
          <w:szCs w:val="24"/>
          <w:lang w:val="en-GB"/>
        </w:rPr>
      </w:pPr>
      <w:r w:rsidRPr="00494C78">
        <w:rPr>
          <w:rFonts w:eastAsia="Times New Roman" w:cs="Times New Roman"/>
          <w:sz w:val="24"/>
          <w:szCs w:val="24"/>
          <w:lang w:val="en-GB"/>
        </w:rPr>
        <w:t xml:space="preserve">interferons; </w:t>
      </w:r>
    </w:p>
    <w:p w:rsidR="00494C78" w:rsidRPr="00494C78" w:rsidRDefault="00494C78" w:rsidP="00494C78">
      <w:pPr>
        <w:numPr>
          <w:ilvl w:val="0"/>
          <w:numId w:val="20"/>
        </w:numPr>
        <w:spacing w:line="240" w:lineRule="auto"/>
        <w:ind w:left="1418" w:hanging="698"/>
        <w:jc w:val="both"/>
        <w:rPr>
          <w:rFonts w:eastAsia="Times New Roman" w:cs="Times New Roman"/>
          <w:sz w:val="24"/>
          <w:szCs w:val="24"/>
          <w:lang w:val="en-GB"/>
        </w:rPr>
      </w:pPr>
      <w:r w:rsidRPr="00494C78">
        <w:rPr>
          <w:rFonts w:eastAsia="Times New Roman" w:cs="Times New Roman"/>
          <w:sz w:val="24"/>
          <w:szCs w:val="24"/>
          <w:lang w:val="en-GB"/>
        </w:rPr>
        <w:t>isotretinoin;</w:t>
      </w:r>
    </w:p>
    <w:p w:rsidR="00494C78" w:rsidRPr="00494C78" w:rsidRDefault="00494C78" w:rsidP="00494C78">
      <w:pPr>
        <w:numPr>
          <w:ilvl w:val="0"/>
          <w:numId w:val="20"/>
        </w:numPr>
        <w:spacing w:line="240" w:lineRule="auto"/>
        <w:ind w:left="1418" w:hanging="698"/>
        <w:jc w:val="both"/>
        <w:rPr>
          <w:rFonts w:eastAsia="Times New Roman" w:cs="Times New Roman"/>
          <w:sz w:val="24"/>
          <w:szCs w:val="24"/>
          <w:lang w:val="en-GB"/>
        </w:rPr>
      </w:pPr>
      <w:r w:rsidRPr="00494C78">
        <w:rPr>
          <w:rFonts w:eastAsia="Times New Roman" w:cs="Times New Roman"/>
          <w:sz w:val="24"/>
          <w:szCs w:val="24"/>
          <w:lang w:val="en-GB"/>
        </w:rPr>
        <w:t>non-steroidal anti-inflammatory drugs; or</w:t>
      </w:r>
    </w:p>
    <w:p w:rsidR="00494C78" w:rsidRPr="00494C78" w:rsidRDefault="00494C78" w:rsidP="00494C78">
      <w:pPr>
        <w:numPr>
          <w:ilvl w:val="0"/>
          <w:numId w:val="20"/>
        </w:numPr>
        <w:spacing w:after="120" w:line="240" w:lineRule="auto"/>
        <w:ind w:left="1417" w:hanging="697"/>
        <w:jc w:val="both"/>
        <w:rPr>
          <w:rFonts w:eastAsia="Times New Roman" w:cs="Times New Roman"/>
          <w:sz w:val="24"/>
          <w:szCs w:val="24"/>
          <w:lang w:val="en-GB"/>
        </w:rPr>
      </w:pPr>
      <w:r w:rsidRPr="00494C78">
        <w:rPr>
          <w:rFonts w:eastAsia="Times New Roman" w:cs="Times New Roman"/>
          <w:sz w:val="24"/>
          <w:szCs w:val="24"/>
          <w:lang w:val="en-GB"/>
        </w:rPr>
        <w:t>tumour necrosis factor antagonists;</w:t>
      </w:r>
    </w:p>
    <w:p w:rsidR="00494C78" w:rsidRPr="00494C78" w:rsidRDefault="00494C78" w:rsidP="00494C78">
      <w:pPr>
        <w:tabs>
          <w:tab w:val="num" w:pos="709"/>
        </w:tabs>
        <w:spacing w:after="120" w:line="240" w:lineRule="auto"/>
        <w:ind w:left="709"/>
        <w:jc w:val="both"/>
        <w:rPr>
          <w:rFonts w:eastAsia="Times New Roman" w:cs="Times New Roman"/>
          <w:sz w:val="24"/>
          <w:szCs w:val="24"/>
          <w:lang w:val="en-US"/>
        </w:rPr>
      </w:pPr>
      <w:r w:rsidRPr="00494C78">
        <w:rPr>
          <w:rFonts w:eastAsia="Times New Roman" w:cs="Times New Roman"/>
          <w:b/>
          <w:sz w:val="24"/>
          <w:szCs w:val="24"/>
          <w:lang w:val="en-US"/>
        </w:rPr>
        <w:t>"a regular smoking habit"</w:t>
      </w:r>
      <w:r w:rsidRPr="00494C78">
        <w:rPr>
          <w:rFonts w:eastAsia="Times New Roman" w:cs="Times New Roman"/>
          <w:sz w:val="24"/>
          <w:szCs w:val="24"/>
          <w:lang w:val="en-US"/>
        </w:rPr>
        <w:t xml:space="preserve"> means having smoked at least one pack-year of cigarettes or the equivalent thereof in other tobacco products;</w:t>
      </w:r>
    </w:p>
    <w:p w:rsidR="00494C78" w:rsidRDefault="00494C78" w:rsidP="00494C78">
      <w:pPr>
        <w:ind w:left="709"/>
        <w:rPr>
          <w:sz w:val="24"/>
        </w:rPr>
      </w:pPr>
      <w:r w:rsidRPr="00494C78">
        <w:rPr>
          <w:rFonts w:eastAsia="Times New Roman" w:cs="Times New Roman"/>
          <w:b/>
          <w:bCs/>
          <w:sz w:val="24"/>
          <w:szCs w:val="24"/>
          <w:lang w:val="en-GB"/>
        </w:rPr>
        <w:t xml:space="preserve">"an eyewitness" </w:t>
      </w:r>
      <w:r>
        <w:rPr>
          <w:sz w:val="24"/>
          <w:szCs w:val="22"/>
        </w:rPr>
        <w:t>means a person who experiences an incident first hand and can give direct evidence of it.  This excludes persons exposed only to public broadcasting or mass media coverage of the incident;</w:t>
      </w:r>
    </w:p>
    <w:p w:rsidR="00494C78" w:rsidRPr="00494C78" w:rsidRDefault="00494C78" w:rsidP="00494C78">
      <w:pPr>
        <w:spacing w:after="120" w:line="240" w:lineRule="atLeast"/>
        <w:ind w:left="720"/>
        <w:jc w:val="both"/>
        <w:rPr>
          <w:rFonts w:eastAsia="Times New Roman" w:cs="Times New Roman"/>
          <w:b/>
          <w:sz w:val="24"/>
          <w:szCs w:val="24"/>
          <w:lang w:val="en-GB"/>
        </w:rPr>
      </w:pPr>
      <w:r w:rsidRPr="00494C78">
        <w:rPr>
          <w:rFonts w:eastAsia="Times New Roman" w:cs="Times New Roman"/>
          <w:b/>
          <w:sz w:val="24"/>
          <w:szCs w:val="24"/>
          <w:lang w:val="en-US"/>
        </w:rPr>
        <w:lastRenderedPageBreak/>
        <w:t>"clinically significant"</w:t>
      </w:r>
      <w:r w:rsidRPr="00494C78">
        <w:rPr>
          <w:rFonts w:eastAsia="Times New Roman" w:cs="Times New Roman"/>
          <w:sz w:val="24"/>
          <w:szCs w:val="24"/>
          <w:lang w:val="en-US"/>
        </w:rPr>
        <w:t xml:space="preserve"> means sufficient to warrant ongoing management, which may involve regular visits (for example, at least monthly), to a psychiatrist, counsellor or general practitioner;</w:t>
      </w:r>
    </w:p>
    <w:p w:rsidR="00494C78" w:rsidRPr="00494C78" w:rsidRDefault="00494C78" w:rsidP="00494C78">
      <w:pPr>
        <w:tabs>
          <w:tab w:val="num" w:pos="709"/>
        </w:tabs>
        <w:spacing w:after="120" w:line="240" w:lineRule="auto"/>
        <w:ind w:left="709"/>
        <w:jc w:val="both"/>
        <w:rPr>
          <w:rFonts w:eastAsia="Times New Roman" w:cs="Times New Roman"/>
          <w:sz w:val="24"/>
          <w:szCs w:val="24"/>
          <w:lang w:val="en-GB"/>
        </w:rPr>
      </w:pPr>
      <w:r w:rsidRPr="00494C78">
        <w:rPr>
          <w:rFonts w:eastAsia="Times New Roman" w:cs="Times New Roman"/>
          <w:b/>
          <w:sz w:val="24"/>
          <w:szCs w:val="24"/>
          <w:lang w:val="en-GB"/>
        </w:rPr>
        <w:t xml:space="preserve">"death from inflammatory bowel disease" </w:t>
      </w:r>
      <w:r w:rsidRPr="00494C78">
        <w:rPr>
          <w:rFonts w:eastAsia="Times New Roman" w:cs="Times New Roman"/>
          <w:sz w:val="24"/>
          <w:szCs w:val="24"/>
          <w:lang w:val="en-GB"/>
        </w:rPr>
        <w:t>in relation to a person includes death from a terminal event or condition that was contributed to by the person’s inflammatory bowel disease;</w:t>
      </w:r>
    </w:p>
    <w:p w:rsidR="00494C78" w:rsidRPr="00494C78" w:rsidRDefault="00494C78" w:rsidP="00494C78">
      <w:pPr>
        <w:tabs>
          <w:tab w:val="num" w:pos="709"/>
        </w:tabs>
        <w:spacing w:after="120" w:line="240" w:lineRule="auto"/>
        <w:ind w:left="709"/>
        <w:jc w:val="both"/>
        <w:rPr>
          <w:rFonts w:eastAsia="Times New Roman" w:cs="Times New Roman"/>
          <w:sz w:val="24"/>
          <w:szCs w:val="24"/>
          <w:lang w:val="en-GB"/>
        </w:rPr>
      </w:pPr>
      <w:r w:rsidRPr="00494C78">
        <w:rPr>
          <w:rFonts w:eastAsia="Times New Roman" w:cs="Times New Roman"/>
          <w:b/>
          <w:sz w:val="24"/>
          <w:szCs w:val="24"/>
          <w:lang w:val="en-GB"/>
        </w:rPr>
        <w:t>"ICD-10-AM code"</w:t>
      </w:r>
      <w:r w:rsidRPr="00494C78">
        <w:rPr>
          <w:rFonts w:eastAsia="Times New Roman" w:cs="Times New Roman"/>
          <w:sz w:val="24"/>
          <w:szCs w:val="24"/>
          <w:lang w:val="en-GB"/>
        </w:rPr>
        <w:t xml:space="preserve"> means a number assigned to a particular kind of injury or disease in The International Statistical Classification of Diseases and Related Health Problems, 10th Revision, Australian Modification (ICD-10-AM), Seventh Edition, effective date of 1 July 2010, copyrighted by the National Centre for Classification in Health, Sydney, NSW, and having ISBN 978 1 74210 154 5;</w:t>
      </w:r>
    </w:p>
    <w:p w:rsidR="00494C78" w:rsidRPr="00494C78" w:rsidRDefault="00494C78" w:rsidP="00494C78">
      <w:pPr>
        <w:tabs>
          <w:tab w:val="num" w:pos="851"/>
        </w:tabs>
        <w:spacing w:after="120" w:line="240" w:lineRule="atLeast"/>
        <w:ind w:left="720"/>
        <w:jc w:val="both"/>
        <w:rPr>
          <w:rFonts w:eastAsia="Times New Roman" w:cs="Times New Roman"/>
          <w:sz w:val="24"/>
          <w:szCs w:val="24"/>
          <w:lang w:val="en-GB"/>
        </w:rPr>
      </w:pPr>
      <w:r w:rsidRPr="00494C78">
        <w:rPr>
          <w:rFonts w:eastAsia="Times New Roman" w:cs="Times New Roman"/>
          <w:b/>
          <w:sz w:val="24"/>
          <w:szCs w:val="24"/>
          <w:lang w:val="en-GB"/>
        </w:rPr>
        <w:t>"pack-year of cigarettes, or the equivalent thereof in other tobacco products"</w:t>
      </w:r>
      <w:r w:rsidRPr="00494C78">
        <w:rPr>
          <w:rFonts w:eastAsia="Times New Roman" w:cs="Times New Roman"/>
          <w:sz w:val="24"/>
          <w:szCs w:val="24"/>
          <w:lang w:val="en-GB"/>
        </w:rPr>
        <w:t xml:space="preserve"> means a calculation of consumption where one pack-year of cigarettes equals 20 tailor-made cigarettes per day for a period of one calendar year, or 7300 cigarettes.  One tailor-made cigarette approximates one gram of tobacco or one gram of cigar or pipe tobacco by weight.  One pack-year of tailor-made cigarettes equates to 7.3 kilograms of smoking tobacco by weight.  Tobacco products means either cigarettes, pipe tobacco or cigars smoked, alone or in any combination;</w:t>
      </w:r>
    </w:p>
    <w:p w:rsidR="00494C78" w:rsidRPr="00494C78" w:rsidRDefault="00494C78" w:rsidP="00494C78">
      <w:pPr>
        <w:tabs>
          <w:tab w:val="num" w:pos="709"/>
        </w:tabs>
        <w:spacing w:after="120" w:line="240" w:lineRule="auto"/>
        <w:ind w:left="709"/>
        <w:jc w:val="both"/>
        <w:rPr>
          <w:rFonts w:eastAsia="Times New Roman" w:cs="Times New Roman"/>
          <w:sz w:val="24"/>
          <w:szCs w:val="24"/>
          <w:lang w:val="en-GB"/>
        </w:rPr>
      </w:pPr>
      <w:r w:rsidRPr="00494C78">
        <w:rPr>
          <w:rFonts w:eastAsia="Times New Roman" w:cs="Times New Roman"/>
          <w:b/>
          <w:sz w:val="24"/>
          <w:szCs w:val="24"/>
          <w:lang w:val="en-GB"/>
        </w:rPr>
        <w:t>"relevant service"</w:t>
      </w:r>
      <w:r w:rsidRPr="00494C78">
        <w:rPr>
          <w:rFonts w:eastAsia="Times New Roman" w:cs="Times New Roman"/>
          <w:sz w:val="24"/>
          <w:szCs w:val="24"/>
          <w:lang w:val="en-GB"/>
        </w:rPr>
        <w:t xml:space="preserve"> means:</w:t>
      </w:r>
    </w:p>
    <w:p w:rsidR="00494C78" w:rsidRPr="00494C78" w:rsidRDefault="00494C78" w:rsidP="00494C78">
      <w:pPr>
        <w:numPr>
          <w:ilvl w:val="0"/>
          <w:numId w:val="21"/>
        </w:numPr>
        <w:spacing w:line="240" w:lineRule="auto"/>
        <w:jc w:val="both"/>
        <w:rPr>
          <w:rFonts w:eastAsia="Times New Roman" w:cs="Times New Roman"/>
          <w:sz w:val="24"/>
          <w:szCs w:val="24"/>
          <w:lang w:val="en-GB"/>
        </w:rPr>
      </w:pPr>
      <w:r w:rsidRPr="00494C78">
        <w:rPr>
          <w:rFonts w:eastAsia="Times New Roman" w:cs="Times New Roman"/>
          <w:sz w:val="24"/>
          <w:szCs w:val="24"/>
          <w:lang w:val="en-GB"/>
        </w:rPr>
        <w:t xml:space="preserve">operational service under the VEA; </w:t>
      </w:r>
    </w:p>
    <w:p w:rsidR="00494C78" w:rsidRPr="00494C78" w:rsidRDefault="00494C78" w:rsidP="00494C78">
      <w:pPr>
        <w:numPr>
          <w:ilvl w:val="0"/>
          <w:numId w:val="21"/>
        </w:numPr>
        <w:tabs>
          <w:tab w:val="num" w:pos="709"/>
        </w:tabs>
        <w:spacing w:line="240" w:lineRule="auto"/>
        <w:ind w:left="709" w:firstLine="0"/>
        <w:jc w:val="both"/>
        <w:rPr>
          <w:rFonts w:eastAsia="Times New Roman" w:cs="Times New Roman"/>
          <w:sz w:val="24"/>
          <w:szCs w:val="24"/>
          <w:lang w:val="en-GB"/>
        </w:rPr>
      </w:pPr>
      <w:r w:rsidRPr="00494C78">
        <w:rPr>
          <w:rFonts w:eastAsia="Times New Roman" w:cs="Times New Roman"/>
          <w:sz w:val="24"/>
          <w:szCs w:val="24"/>
          <w:lang w:val="en-GB"/>
        </w:rPr>
        <w:t xml:space="preserve">peacekeeping service under the VEA; </w:t>
      </w:r>
    </w:p>
    <w:p w:rsidR="00494C78" w:rsidRPr="00494C78" w:rsidRDefault="00494C78" w:rsidP="00494C78">
      <w:pPr>
        <w:numPr>
          <w:ilvl w:val="0"/>
          <w:numId w:val="21"/>
        </w:numPr>
        <w:tabs>
          <w:tab w:val="num" w:pos="709"/>
        </w:tabs>
        <w:spacing w:line="240" w:lineRule="auto"/>
        <w:ind w:left="709" w:firstLine="0"/>
        <w:jc w:val="both"/>
        <w:rPr>
          <w:rFonts w:eastAsia="Times New Roman" w:cs="Times New Roman"/>
          <w:sz w:val="24"/>
          <w:szCs w:val="24"/>
          <w:lang w:val="en-GB"/>
        </w:rPr>
      </w:pPr>
      <w:r w:rsidRPr="00494C78">
        <w:rPr>
          <w:rFonts w:eastAsia="Times New Roman" w:cs="Times New Roman"/>
          <w:sz w:val="24"/>
          <w:szCs w:val="24"/>
          <w:lang w:val="en-GB"/>
        </w:rPr>
        <w:t xml:space="preserve">hazardous service under the VEA; </w:t>
      </w:r>
    </w:p>
    <w:p w:rsidR="00494C78" w:rsidRPr="00494C78" w:rsidRDefault="00494C78" w:rsidP="00494C78">
      <w:pPr>
        <w:numPr>
          <w:ilvl w:val="0"/>
          <w:numId w:val="21"/>
        </w:numPr>
        <w:tabs>
          <w:tab w:val="num" w:pos="709"/>
        </w:tabs>
        <w:spacing w:line="240" w:lineRule="auto"/>
        <w:ind w:left="709" w:firstLine="0"/>
        <w:jc w:val="both"/>
        <w:rPr>
          <w:rFonts w:eastAsia="Times New Roman" w:cs="Times New Roman"/>
          <w:sz w:val="24"/>
          <w:szCs w:val="24"/>
          <w:lang w:val="en-GB"/>
        </w:rPr>
      </w:pPr>
      <w:r w:rsidRPr="00494C78">
        <w:rPr>
          <w:rFonts w:eastAsia="Times New Roman" w:cs="Times New Roman"/>
          <w:sz w:val="24"/>
          <w:szCs w:val="24"/>
          <w:lang w:val="en-GB"/>
        </w:rPr>
        <w:t>British nuclear test defence service under the VEA;</w:t>
      </w:r>
    </w:p>
    <w:p w:rsidR="00494C78" w:rsidRPr="00494C78" w:rsidRDefault="00494C78" w:rsidP="00494C78">
      <w:pPr>
        <w:numPr>
          <w:ilvl w:val="0"/>
          <w:numId w:val="21"/>
        </w:numPr>
        <w:tabs>
          <w:tab w:val="num" w:pos="709"/>
        </w:tabs>
        <w:spacing w:line="240" w:lineRule="auto"/>
        <w:ind w:left="709" w:firstLine="0"/>
        <w:jc w:val="both"/>
        <w:rPr>
          <w:rFonts w:eastAsia="Times New Roman" w:cs="Times New Roman"/>
          <w:sz w:val="24"/>
          <w:szCs w:val="24"/>
          <w:lang w:val="en-GB"/>
        </w:rPr>
      </w:pPr>
      <w:r w:rsidRPr="00494C78">
        <w:rPr>
          <w:rFonts w:eastAsia="Times New Roman" w:cs="Times New Roman"/>
          <w:sz w:val="24"/>
          <w:szCs w:val="24"/>
          <w:lang w:val="en-GB"/>
        </w:rPr>
        <w:t>warlike service under the MRCA; or</w:t>
      </w:r>
    </w:p>
    <w:p w:rsidR="00494C78" w:rsidRPr="00494C78" w:rsidRDefault="00494C78" w:rsidP="00494C78">
      <w:pPr>
        <w:numPr>
          <w:ilvl w:val="0"/>
          <w:numId w:val="21"/>
        </w:numPr>
        <w:tabs>
          <w:tab w:val="num" w:pos="709"/>
        </w:tabs>
        <w:spacing w:after="120" w:line="240" w:lineRule="auto"/>
        <w:ind w:left="709" w:firstLine="0"/>
        <w:jc w:val="both"/>
        <w:rPr>
          <w:rFonts w:eastAsia="Times New Roman" w:cs="Times New Roman"/>
          <w:sz w:val="24"/>
          <w:szCs w:val="24"/>
          <w:lang w:val="en-GB"/>
        </w:rPr>
      </w:pPr>
      <w:r w:rsidRPr="00494C78">
        <w:rPr>
          <w:rFonts w:eastAsia="Times New Roman" w:cs="Times New Roman"/>
          <w:sz w:val="24"/>
          <w:szCs w:val="24"/>
          <w:lang w:val="en-GB"/>
        </w:rPr>
        <w:t>non-warlike service under the MRCA;</w:t>
      </w:r>
    </w:p>
    <w:p w:rsidR="00494C78" w:rsidRPr="00494C78" w:rsidRDefault="00494C78" w:rsidP="00494C78">
      <w:pPr>
        <w:tabs>
          <w:tab w:val="num" w:pos="709"/>
        </w:tabs>
        <w:spacing w:after="120" w:line="240" w:lineRule="auto"/>
        <w:ind w:left="709"/>
        <w:jc w:val="both"/>
        <w:rPr>
          <w:rFonts w:eastAsia="Times New Roman" w:cs="Times New Roman"/>
          <w:sz w:val="24"/>
          <w:szCs w:val="24"/>
          <w:lang w:val="en-GB"/>
        </w:rPr>
      </w:pPr>
      <w:r w:rsidRPr="00494C78">
        <w:rPr>
          <w:rFonts w:eastAsia="Times New Roman" w:cs="Times New Roman"/>
          <w:b/>
          <w:sz w:val="24"/>
          <w:szCs w:val="24"/>
          <w:lang w:val="en-GB"/>
        </w:rPr>
        <w:t xml:space="preserve">"terminal event" </w:t>
      </w:r>
      <w:r w:rsidRPr="00494C78">
        <w:rPr>
          <w:rFonts w:eastAsia="Times New Roman" w:cs="Times New Roman"/>
          <w:sz w:val="24"/>
          <w:szCs w:val="24"/>
          <w:lang w:val="en-GB"/>
        </w:rPr>
        <w:t>means the proximate or ultimate cause of death and includes:</w:t>
      </w:r>
    </w:p>
    <w:p w:rsidR="00494C78" w:rsidRPr="00494C78" w:rsidRDefault="00494C78" w:rsidP="00494C78">
      <w:pPr>
        <w:numPr>
          <w:ilvl w:val="0"/>
          <w:numId w:val="22"/>
        </w:numPr>
        <w:spacing w:line="240" w:lineRule="auto"/>
        <w:jc w:val="both"/>
        <w:rPr>
          <w:rFonts w:eastAsia="Times New Roman" w:cs="Times New Roman"/>
          <w:sz w:val="24"/>
          <w:szCs w:val="24"/>
          <w:lang w:val="en-GB"/>
        </w:rPr>
      </w:pPr>
      <w:r w:rsidRPr="00494C78">
        <w:rPr>
          <w:rFonts w:eastAsia="Times New Roman" w:cs="Times New Roman"/>
          <w:sz w:val="24"/>
          <w:szCs w:val="24"/>
          <w:lang w:val="en-GB"/>
        </w:rPr>
        <w:t>pneumonia;</w:t>
      </w:r>
    </w:p>
    <w:p w:rsidR="00494C78" w:rsidRPr="00494C78" w:rsidRDefault="00494C78" w:rsidP="00494C78">
      <w:pPr>
        <w:numPr>
          <w:ilvl w:val="0"/>
          <w:numId w:val="22"/>
        </w:numPr>
        <w:spacing w:line="240" w:lineRule="auto"/>
        <w:jc w:val="both"/>
        <w:rPr>
          <w:rFonts w:eastAsia="Times New Roman" w:cs="Times New Roman"/>
          <w:sz w:val="24"/>
          <w:szCs w:val="24"/>
          <w:lang w:val="en-GB"/>
        </w:rPr>
      </w:pPr>
      <w:r w:rsidRPr="00494C78">
        <w:rPr>
          <w:rFonts w:eastAsia="Times New Roman" w:cs="Times New Roman"/>
          <w:sz w:val="24"/>
          <w:szCs w:val="24"/>
          <w:lang w:val="en-GB"/>
        </w:rPr>
        <w:t>respiratory failure;</w:t>
      </w:r>
    </w:p>
    <w:p w:rsidR="00494C78" w:rsidRPr="00494C78" w:rsidRDefault="00494C78" w:rsidP="00494C78">
      <w:pPr>
        <w:numPr>
          <w:ilvl w:val="0"/>
          <w:numId w:val="22"/>
        </w:numPr>
        <w:spacing w:line="240" w:lineRule="auto"/>
        <w:jc w:val="both"/>
        <w:rPr>
          <w:rFonts w:eastAsia="Times New Roman" w:cs="Times New Roman"/>
          <w:sz w:val="24"/>
          <w:szCs w:val="24"/>
          <w:lang w:val="en-GB"/>
        </w:rPr>
      </w:pPr>
      <w:r w:rsidRPr="00494C78">
        <w:rPr>
          <w:rFonts w:eastAsia="Times New Roman" w:cs="Times New Roman"/>
          <w:sz w:val="24"/>
          <w:szCs w:val="24"/>
          <w:lang w:val="en-GB"/>
        </w:rPr>
        <w:t>cardiac arrest;</w:t>
      </w:r>
    </w:p>
    <w:p w:rsidR="00494C78" w:rsidRPr="00494C78" w:rsidRDefault="00494C78" w:rsidP="00494C78">
      <w:pPr>
        <w:numPr>
          <w:ilvl w:val="0"/>
          <w:numId w:val="22"/>
        </w:numPr>
        <w:spacing w:line="240" w:lineRule="auto"/>
        <w:jc w:val="both"/>
        <w:rPr>
          <w:rFonts w:eastAsia="Times New Roman" w:cs="Times New Roman"/>
          <w:sz w:val="24"/>
          <w:szCs w:val="24"/>
          <w:lang w:val="en-GB"/>
        </w:rPr>
      </w:pPr>
      <w:r w:rsidRPr="00494C78">
        <w:rPr>
          <w:rFonts w:eastAsia="Times New Roman" w:cs="Times New Roman"/>
          <w:sz w:val="24"/>
          <w:szCs w:val="24"/>
          <w:lang w:val="en-GB"/>
        </w:rPr>
        <w:t>circulatory failure; or</w:t>
      </w:r>
    </w:p>
    <w:p w:rsidR="00494C78" w:rsidRPr="00494C78" w:rsidRDefault="00494C78" w:rsidP="00494C78">
      <w:pPr>
        <w:numPr>
          <w:ilvl w:val="0"/>
          <w:numId w:val="22"/>
        </w:numPr>
        <w:spacing w:line="240" w:lineRule="auto"/>
        <w:jc w:val="both"/>
        <w:rPr>
          <w:rFonts w:eastAsia="Times New Roman" w:cs="Times New Roman"/>
          <w:sz w:val="24"/>
          <w:szCs w:val="24"/>
          <w:lang w:val="en-GB"/>
        </w:rPr>
      </w:pPr>
      <w:r w:rsidRPr="00494C78">
        <w:rPr>
          <w:rFonts w:eastAsia="Times New Roman" w:cs="Times New Roman"/>
          <w:sz w:val="24"/>
          <w:szCs w:val="24"/>
          <w:lang w:val="en-GB"/>
        </w:rPr>
        <w:t>cessation of brain function.</w:t>
      </w:r>
    </w:p>
    <w:p w:rsidR="00494C78" w:rsidRPr="00494C78" w:rsidRDefault="00494C78" w:rsidP="00494C78">
      <w:pPr>
        <w:keepNext/>
        <w:spacing w:before="240" w:after="120" w:line="240" w:lineRule="auto"/>
        <w:jc w:val="both"/>
        <w:outlineLvl w:val="0"/>
        <w:rPr>
          <w:rFonts w:eastAsia="Times New Roman" w:cs="Times New Roman"/>
          <w:b/>
          <w:bCs/>
          <w:sz w:val="24"/>
          <w:szCs w:val="24"/>
        </w:rPr>
      </w:pPr>
      <w:r w:rsidRPr="00494C78">
        <w:rPr>
          <w:rFonts w:eastAsia="Times New Roman" w:cs="Times New Roman"/>
          <w:b/>
          <w:bCs/>
          <w:sz w:val="24"/>
          <w:szCs w:val="24"/>
        </w:rPr>
        <w:t>Application</w:t>
      </w:r>
    </w:p>
    <w:p w:rsidR="00F445D6" w:rsidRDefault="00494C78" w:rsidP="00F445D6">
      <w:pPr>
        <w:spacing w:line="240" w:lineRule="auto"/>
        <w:ind w:left="720" w:hanging="720"/>
        <w:jc w:val="both"/>
        <w:rPr>
          <w:rFonts w:eastAsia="Times New Roman" w:cs="Times New Roman"/>
          <w:sz w:val="24"/>
          <w:szCs w:val="24"/>
          <w:lang w:val="en-GB"/>
        </w:rPr>
      </w:pPr>
      <w:r w:rsidRPr="00494C78">
        <w:rPr>
          <w:rFonts w:eastAsia="Times New Roman" w:cs="Times New Roman"/>
          <w:b/>
          <w:sz w:val="24"/>
          <w:szCs w:val="24"/>
          <w:lang w:val="en-GB"/>
        </w:rPr>
        <w:t>10.</w:t>
      </w:r>
      <w:r w:rsidRPr="00494C78">
        <w:rPr>
          <w:rFonts w:eastAsia="Times New Roman" w:cs="Times New Roman"/>
          <w:sz w:val="24"/>
          <w:szCs w:val="24"/>
          <w:lang w:val="en-GB"/>
        </w:rPr>
        <w:tab/>
        <w:t>This Instrument applies to all matters to which section 120A of the VEA or section 338 of the MRCA applies.</w:t>
      </w:r>
    </w:p>
    <w:p w:rsidR="00494C78" w:rsidRPr="00494C78" w:rsidRDefault="00494C78" w:rsidP="00F445D6">
      <w:pPr>
        <w:spacing w:before="240" w:line="240" w:lineRule="auto"/>
        <w:ind w:left="720" w:hanging="720"/>
        <w:jc w:val="both"/>
        <w:rPr>
          <w:rFonts w:eastAsia="Times New Roman" w:cs="Times New Roman"/>
          <w:b/>
          <w:bCs/>
          <w:sz w:val="24"/>
          <w:szCs w:val="24"/>
        </w:rPr>
      </w:pPr>
      <w:r w:rsidRPr="00494C78">
        <w:rPr>
          <w:rFonts w:eastAsia="Times New Roman" w:cs="Times New Roman"/>
          <w:b/>
          <w:bCs/>
          <w:sz w:val="24"/>
          <w:szCs w:val="24"/>
        </w:rPr>
        <w:t>Date of effect</w:t>
      </w:r>
    </w:p>
    <w:p w:rsidR="00DC7B41" w:rsidRDefault="00494C78" w:rsidP="00F445D6">
      <w:pPr>
        <w:spacing w:line="240" w:lineRule="auto"/>
        <w:ind w:left="720" w:hanging="720"/>
        <w:jc w:val="both"/>
      </w:pPr>
      <w:r w:rsidRPr="00494C78">
        <w:rPr>
          <w:rFonts w:eastAsia="Times New Roman" w:cs="Times New Roman"/>
          <w:b/>
          <w:sz w:val="24"/>
          <w:szCs w:val="24"/>
          <w:lang w:val="en-GB"/>
        </w:rPr>
        <w:t>11.</w:t>
      </w:r>
      <w:r w:rsidRPr="00494C78">
        <w:rPr>
          <w:rFonts w:eastAsia="Times New Roman" w:cs="Times New Roman"/>
          <w:sz w:val="24"/>
          <w:szCs w:val="24"/>
          <w:lang w:val="en-GB"/>
        </w:rPr>
        <w:tab/>
        <w:t>This Instrument takes effect from 7 March 2012.</w:t>
      </w:r>
    </w:p>
    <w:p w:rsidR="00DC7B41" w:rsidRDefault="00DC7B41" w:rsidP="00DC7B41">
      <w:pPr>
        <w:sectPr w:rsidR="00DC7B41" w:rsidSect="00AC07B0">
          <w:headerReference w:type="even" r:id="rId15"/>
          <w:headerReference w:type="default" r:id="rId16"/>
          <w:footerReference w:type="even" r:id="rId17"/>
          <w:footerReference w:type="default" r:id="rId18"/>
          <w:headerReference w:type="first" r:id="rId19"/>
          <w:pgSz w:w="11907" w:h="16839"/>
          <w:pgMar w:top="2378" w:right="1797" w:bottom="1440" w:left="1797" w:header="720" w:footer="709" w:gutter="0"/>
          <w:pgNumType w:start="1"/>
          <w:cols w:space="708"/>
          <w:docGrid w:linePitch="360"/>
        </w:sectPr>
      </w:pPr>
    </w:p>
    <w:p w:rsidR="00307068" w:rsidRPr="001778F8" w:rsidRDefault="00307068" w:rsidP="00307068">
      <w:pPr>
        <w:pStyle w:val="ENotesHeading1"/>
      </w:pPr>
      <w:r>
        <w:lastRenderedPageBreak/>
        <w:t>Endnotes</w:t>
      </w:r>
    </w:p>
    <w:p w:rsidR="00307068" w:rsidRPr="00BC57F4" w:rsidRDefault="00307068" w:rsidP="00307068">
      <w:pPr>
        <w:pStyle w:val="ENotesHeading2"/>
      </w:pPr>
      <w:r w:rsidRPr="00BC57F4">
        <w:t>Endnote 1—About the endnotes</w:t>
      </w:r>
    </w:p>
    <w:p w:rsidR="00307068" w:rsidRPr="00042EA7" w:rsidRDefault="00307068" w:rsidP="00307068">
      <w:pPr>
        <w:spacing w:after="120"/>
      </w:pPr>
      <w:r w:rsidRPr="00042EA7">
        <w:t>The endnotes provide information about this compilation and the compiled law.</w:t>
      </w:r>
    </w:p>
    <w:p w:rsidR="00307068" w:rsidRPr="00042EA7" w:rsidRDefault="00307068" w:rsidP="00307068">
      <w:pPr>
        <w:spacing w:after="120"/>
      </w:pPr>
      <w:r w:rsidRPr="00042EA7">
        <w:t>The following endnotes are included in every compilation:</w:t>
      </w:r>
    </w:p>
    <w:p w:rsidR="00307068" w:rsidRPr="00042EA7" w:rsidRDefault="00307068" w:rsidP="00307068">
      <w:r w:rsidRPr="00042EA7">
        <w:t>Endnote 1—About the endnotes</w:t>
      </w:r>
    </w:p>
    <w:p w:rsidR="00307068" w:rsidRPr="00042EA7" w:rsidRDefault="00307068" w:rsidP="00307068">
      <w:r w:rsidRPr="00042EA7">
        <w:t>Endnote 2—Abbreviation key</w:t>
      </w:r>
    </w:p>
    <w:p w:rsidR="00307068" w:rsidRPr="00042EA7" w:rsidRDefault="00307068" w:rsidP="00307068">
      <w:r w:rsidRPr="00042EA7">
        <w:t>Endnote 3—Legislation history</w:t>
      </w:r>
    </w:p>
    <w:p w:rsidR="00307068" w:rsidRPr="00042EA7" w:rsidRDefault="00307068" w:rsidP="00307068">
      <w:pPr>
        <w:spacing w:after="120"/>
      </w:pPr>
      <w:r w:rsidRPr="00042EA7">
        <w:t>Endnote 4—Amendment history</w:t>
      </w:r>
    </w:p>
    <w:p w:rsidR="00307068" w:rsidRPr="00042EA7" w:rsidRDefault="00307068" w:rsidP="00307068">
      <w:r w:rsidRPr="00042EA7">
        <w:rPr>
          <w:b/>
        </w:rPr>
        <w:t>Abbreviation key—Endnote 2</w:t>
      </w:r>
    </w:p>
    <w:p w:rsidR="00307068" w:rsidRPr="00042EA7" w:rsidRDefault="00307068" w:rsidP="00307068">
      <w:pPr>
        <w:spacing w:after="120"/>
      </w:pPr>
      <w:r w:rsidRPr="00042EA7">
        <w:t>The abbreviation key sets out abbreviations that may be used in the endnotes.</w:t>
      </w:r>
    </w:p>
    <w:p w:rsidR="00307068" w:rsidRPr="00042EA7" w:rsidRDefault="00307068" w:rsidP="00307068">
      <w:pPr>
        <w:rPr>
          <w:b/>
        </w:rPr>
      </w:pPr>
      <w:r w:rsidRPr="00042EA7">
        <w:rPr>
          <w:b/>
        </w:rPr>
        <w:t>Legislation history and amendment history—Endnotes 3 and 4</w:t>
      </w:r>
    </w:p>
    <w:p w:rsidR="00307068" w:rsidRPr="00042EA7" w:rsidRDefault="00307068" w:rsidP="00307068">
      <w:pPr>
        <w:spacing w:after="120"/>
      </w:pPr>
      <w:r w:rsidRPr="00042EA7">
        <w:t>Amending laws are annotated in the legislation history and amendment history.</w:t>
      </w:r>
    </w:p>
    <w:p w:rsidR="00307068" w:rsidRPr="00042EA7" w:rsidRDefault="00307068" w:rsidP="00307068">
      <w:pPr>
        <w:spacing w:after="120"/>
      </w:pPr>
      <w:r w:rsidRPr="00042E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07068" w:rsidRPr="00042EA7" w:rsidRDefault="00307068" w:rsidP="00307068">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07068" w:rsidRPr="00042EA7" w:rsidRDefault="00307068" w:rsidP="00307068">
      <w:pPr>
        <w:keepNext/>
      </w:pPr>
      <w:r w:rsidRPr="00042EA7">
        <w:rPr>
          <w:b/>
        </w:rPr>
        <w:t>Misdescribed amendments</w:t>
      </w:r>
    </w:p>
    <w:p w:rsidR="00307068" w:rsidRPr="00042EA7" w:rsidRDefault="00307068" w:rsidP="00307068">
      <w:pPr>
        <w:spacing w:after="120"/>
      </w:pPr>
      <w:r w:rsidRPr="00042EA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307068" w:rsidRPr="00C337CB" w:rsidRDefault="00307068" w:rsidP="00307068">
      <w:pPr>
        <w:spacing w:before="120"/>
      </w:pPr>
      <w:r w:rsidRPr="00C337CB">
        <w:t>If a misdescribed amendment cannot be given effect as intended, the abbreviation “(md not incorp)” is added to the details of the amendment included in the amendment history.</w:t>
      </w:r>
      <w:r>
        <w:t xml:space="preserve">  </w:t>
      </w:r>
    </w:p>
    <w:p w:rsidR="00307068" w:rsidRPr="00BC57F4" w:rsidRDefault="00307068" w:rsidP="00307068">
      <w:pPr>
        <w:pStyle w:val="ENotesHeading2"/>
        <w:pageBreakBefore/>
        <w:outlineLvl w:val="9"/>
      </w:pPr>
      <w:r w:rsidRPr="00BC57F4">
        <w:lastRenderedPageBreak/>
        <w:t>Endnote 2—Abbreviation key</w:t>
      </w:r>
    </w:p>
    <w:tbl>
      <w:tblPr>
        <w:tblW w:w="7939" w:type="dxa"/>
        <w:tblInd w:w="108" w:type="dxa"/>
        <w:tblLayout w:type="fixed"/>
        <w:tblLook w:val="0000" w:firstRow="0" w:lastRow="0" w:firstColumn="0" w:lastColumn="0" w:noHBand="0" w:noVBand="0"/>
      </w:tblPr>
      <w:tblGrid>
        <w:gridCol w:w="4253"/>
        <w:gridCol w:w="3686"/>
      </w:tblGrid>
      <w:tr w:rsidR="00307068" w:rsidRPr="008E7D28" w:rsidTr="007C6637">
        <w:tc>
          <w:tcPr>
            <w:tcW w:w="4253" w:type="dxa"/>
            <w:shd w:val="clear" w:color="auto" w:fill="auto"/>
          </w:tcPr>
          <w:p w:rsidR="00307068" w:rsidRPr="008E7D28" w:rsidRDefault="00307068" w:rsidP="007C6637">
            <w:pPr>
              <w:spacing w:before="60"/>
              <w:ind w:left="34"/>
              <w:rPr>
                <w:sz w:val="20"/>
              </w:rPr>
            </w:pPr>
          </w:p>
        </w:tc>
        <w:tc>
          <w:tcPr>
            <w:tcW w:w="3686" w:type="dxa"/>
            <w:shd w:val="clear" w:color="auto" w:fill="auto"/>
          </w:tcPr>
          <w:p w:rsidR="00307068" w:rsidRPr="008E7D28" w:rsidRDefault="00307068" w:rsidP="007C6637">
            <w:pPr>
              <w:spacing w:before="60"/>
              <w:ind w:left="34"/>
              <w:rPr>
                <w:sz w:val="20"/>
              </w:rPr>
            </w:pPr>
            <w:r w:rsidRPr="008E7D28">
              <w:rPr>
                <w:sz w:val="20"/>
              </w:rPr>
              <w:t>o = order(s)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ad = added or inserted</w:t>
            </w:r>
          </w:p>
        </w:tc>
        <w:tc>
          <w:tcPr>
            <w:tcW w:w="3686" w:type="dxa"/>
            <w:shd w:val="clear" w:color="auto" w:fill="auto"/>
          </w:tcPr>
          <w:p w:rsidR="00307068" w:rsidRPr="008E7D28" w:rsidRDefault="00307068" w:rsidP="007C6637">
            <w:pPr>
              <w:spacing w:before="60"/>
              <w:ind w:left="34"/>
              <w:rPr>
                <w:sz w:val="20"/>
              </w:rPr>
            </w:pPr>
            <w:r w:rsidRPr="008E7D28">
              <w:rPr>
                <w:sz w:val="20"/>
              </w:rPr>
              <w:t>Ord = Ordinance</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am = amended</w:t>
            </w:r>
          </w:p>
        </w:tc>
        <w:tc>
          <w:tcPr>
            <w:tcW w:w="3686" w:type="dxa"/>
            <w:shd w:val="clear" w:color="auto" w:fill="auto"/>
          </w:tcPr>
          <w:p w:rsidR="00307068" w:rsidRPr="008E7D28" w:rsidRDefault="00307068" w:rsidP="007C6637">
            <w:pPr>
              <w:spacing w:before="60"/>
              <w:ind w:left="34"/>
              <w:rPr>
                <w:sz w:val="20"/>
              </w:rPr>
            </w:pPr>
            <w:r w:rsidRPr="008E7D28">
              <w:rPr>
                <w:sz w:val="20"/>
              </w:rPr>
              <w:t>orig = original</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amdt = amendment</w:t>
            </w:r>
          </w:p>
        </w:tc>
        <w:tc>
          <w:tcPr>
            <w:tcW w:w="3686" w:type="dxa"/>
            <w:shd w:val="clear" w:color="auto" w:fill="auto"/>
          </w:tcPr>
          <w:p w:rsidR="00307068" w:rsidRPr="008E7D28" w:rsidRDefault="00307068" w:rsidP="007C6637">
            <w:pPr>
              <w:spacing w:before="60"/>
              <w:ind w:left="34"/>
              <w:rPr>
                <w:sz w:val="20"/>
              </w:rPr>
            </w:pPr>
            <w:r w:rsidRPr="008E7D28">
              <w:rPr>
                <w:sz w:val="20"/>
              </w:rPr>
              <w:t>par = paragraph(s)/subparagraph(s)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c = clause(s)</w:t>
            </w:r>
          </w:p>
        </w:tc>
        <w:tc>
          <w:tcPr>
            <w:tcW w:w="3686" w:type="dxa"/>
            <w:shd w:val="clear" w:color="auto" w:fill="auto"/>
          </w:tcPr>
          <w:p w:rsidR="00307068" w:rsidRPr="008E7D28" w:rsidRDefault="00307068" w:rsidP="007C6637">
            <w:pPr>
              <w:ind w:left="34"/>
              <w:rPr>
                <w:sz w:val="20"/>
              </w:rPr>
            </w:pPr>
            <w:r w:rsidRPr="008E7D28">
              <w:rPr>
                <w:sz w:val="20"/>
              </w:rPr>
              <w:t xml:space="preserve">    /sub</w:t>
            </w:r>
            <w:r>
              <w:rPr>
                <w:sz w:val="20"/>
              </w:rPr>
              <w:noBreakHyphen/>
            </w:r>
            <w:r w:rsidRPr="008E7D28">
              <w:rPr>
                <w:sz w:val="20"/>
              </w:rPr>
              <w:t>subparagraph(s)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C[x] = Compilation No. x</w:t>
            </w:r>
          </w:p>
        </w:tc>
        <w:tc>
          <w:tcPr>
            <w:tcW w:w="3686" w:type="dxa"/>
            <w:shd w:val="clear" w:color="auto" w:fill="auto"/>
          </w:tcPr>
          <w:p w:rsidR="00307068" w:rsidRPr="008E7D28" w:rsidRDefault="00307068" w:rsidP="007C6637">
            <w:pPr>
              <w:spacing w:before="60"/>
              <w:ind w:left="34"/>
              <w:rPr>
                <w:sz w:val="20"/>
              </w:rPr>
            </w:pPr>
            <w:r w:rsidRPr="008E7D28">
              <w:rPr>
                <w:sz w:val="20"/>
              </w:rPr>
              <w:t>pres = present</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Ch = Chapter(s)</w:t>
            </w:r>
          </w:p>
        </w:tc>
        <w:tc>
          <w:tcPr>
            <w:tcW w:w="3686" w:type="dxa"/>
            <w:shd w:val="clear" w:color="auto" w:fill="auto"/>
          </w:tcPr>
          <w:p w:rsidR="00307068" w:rsidRPr="008E7D28" w:rsidRDefault="00307068" w:rsidP="007C6637">
            <w:pPr>
              <w:spacing w:before="60"/>
              <w:ind w:left="34"/>
              <w:rPr>
                <w:sz w:val="20"/>
              </w:rPr>
            </w:pPr>
            <w:r w:rsidRPr="008E7D28">
              <w:rPr>
                <w:sz w:val="20"/>
              </w:rPr>
              <w:t>prev = previous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def = definition(s)</w:t>
            </w:r>
          </w:p>
        </w:tc>
        <w:tc>
          <w:tcPr>
            <w:tcW w:w="3686" w:type="dxa"/>
            <w:shd w:val="clear" w:color="auto" w:fill="auto"/>
          </w:tcPr>
          <w:p w:rsidR="00307068" w:rsidRPr="008E7D28" w:rsidRDefault="00307068" w:rsidP="007C6637">
            <w:pPr>
              <w:spacing w:before="60"/>
              <w:ind w:left="34"/>
              <w:rPr>
                <w:sz w:val="20"/>
              </w:rPr>
            </w:pPr>
            <w:r w:rsidRPr="008E7D28">
              <w:rPr>
                <w:sz w:val="20"/>
              </w:rPr>
              <w:t>(prev…) = previously</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Dict = Dictionary</w:t>
            </w:r>
          </w:p>
        </w:tc>
        <w:tc>
          <w:tcPr>
            <w:tcW w:w="3686" w:type="dxa"/>
            <w:shd w:val="clear" w:color="auto" w:fill="auto"/>
          </w:tcPr>
          <w:p w:rsidR="00307068" w:rsidRPr="008E7D28" w:rsidRDefault="00307068" w:rsidP="007C6637">
            <w:pPr>
              <w:spacing w:before="60"/>
              <w:ind w:left="34"/>
              <w:rPr>
                <w:sz w:val="20"/>
              </w:rPr>
            </w:pPr>
            <w:r w:rsidRPr="008E7D28">
              <w:rPr>
                <w:sz w:val="20"/>
              </w:rPr>
              <w:t>Pt = Part(s)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disallowed = disallowed by Parliament</w:t>
            </w:r>
          </w:p>
        </w:tc>
        <w:tc>
          <w:tcPr>
            <w:tcW w:w="3686" w:type="dxa"/>
            <w:shd w:val="clear" w:color="auto" w:fill="auto"/>
          </w:tcPr>
          <w:p w:rsidR="00307068" w:rsidRPr="008E7D28" w:rsidRDefault="00307068" w:rsidP="007C6637">
            <w:pPr>
              <w:spacing w:before="60"/>
              <w:ind w:left="34"/>
              <w:rPr>
                <w:sz w:val="20"/>
              </w:rPr>
            </w:pPr>
            <w:r w:rsidRPr="008E7D28">
              <w:rPr>
                <w:sz w:val="20"/>
              </w:rPr>
              <w:t>r = regulation(s)/rule(s)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Div = Division(s)</w:t>
            </w:r>
          </w:p>
        </w:tc>
        <w:tc>
          <w:tcPr>
            <w:tcW w:w="3686" w:type="dxa"/>
            <w:shd w:val="clear" w:color="auto" w:fill="auto"/>
          </w:tcPr>
          <w:p w:rsidR="00307068" w:rsidRPr="008E7D28" w:rsidRDefault="00307068" w:rsidP="007C6637">
            <w:pPr>
              <w:spacing w:before="60"/>
              <w:ind w:left="34"/>
              <w:rPr>
                <w:sz w:val="20"/>
              </w:rPr>
            </w:pP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exp = expires/expired or ceases/ceased to have</w:t>
            </w:r>
          </w:p>
        </w:tc>
        <w:tc>
          <w:tcPr>
            <w:tcW w:w="3686" w:type="dxa"/>
            <w:shd w:val="clear" w:color="auto" w:fill="auto"/>
          </w:tcPr>
          <w:p w:rsidR="00307068" w:rsidRPr="008E7D28" w:rsidRDefault="00307068" w:rsidP="007C6637">
            <w:pPr>
              <w:spacing w:before="60"/>
              <w:ind w:left="34"/>
              <w:rPr>
                <w:sz w:val="20"/>
              </w:rPr>
            </w:pPr>
            <w:r w:rsidRPr="008E7D28">
              <w:rPr>
                <w:sz w:val="20"/>
              </w:rPr>
              <w:t>reloc = relocated</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effect</w:t>
            </w:r>
          </w:p>
        </w:tc>
        <w:tc>
          <w:tcPr>
            <w:tcW w:w="3686" w:type="dxa"/>
            <w:shd w:val="clear" w:color="auto" w:fill="auto"/>
          </w:tcPr>
          <w:p w:rsidR="00307068" w:rsidRPr="008E7D28" w:rsidRDefault="00307068" w:rsidP="007C6637">
            <w:pPr>
              <w:spacing w:before="60"/>
              <w:ind w:left="34"/>
              <w:rPr>
                <w:sz w:val="20"/>
              </w:rPr>
            </w:pPr>
            <w:r w:rsidRPr="008E7D28">
              <w:rPr>
                <w:sz w:val="20"/>
              </w:rPr>
              <w:t>renum = renumbered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F = Federal Register of </w:t>
            </w:r>
            <w:r>
              <w:rPr>
                <w:sz w:val="20"/>
              </w:rPr>
              <w:t>Legislation</w:t>
            </w:r>
          </w:p>
        </w:tc>
        <w:tc>
          <w:tcPr>
            <w:tcW w:w="3686" w:type="dxa"/>
            <w:shd w:val="clear" w:color="auto" w:fill="auto"/>
          </w:tcPr>
          <w:p w:rsidR="00307068" w:rsidRPr="008E7D28" w:rsidRDefault="00307068" w:rsidP="007C6637">
            <w:pPr>
              <w:spacing w:before="60"/>
              <w:ind w:left="34"/>
              <w:rPr>
                <w:sz w:val="20"/>
              </w:rPr>
            </w:pPr>
            <w:r w:rsidRPr="008E7D28">
              <w:rPr>
                <w:sz w:val="20"/>
              </w:rPr>
              <w:t>rep = repealed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gaz = gazette</w:t>
            </w:r>
          </w:p>
        </w:tc>
        <w:tc>
          <w:tcPr>
            <w:tcW w:w="3686" w:type="dxa"/>
            <w:shd w:val="clear" w:color="auto" w:fill="auto"/>
          </w:tcPr>
          <w:p w:rsidR="00307068" w:rsidRPr="008E7D28" w:rsidRDefault="00307068" w:rsidP="007C6637">
            <w:pPr>
              <w:spacing w:before="60"/>
              <w:ind w:left="34"/>
              <w:rPr>
                <w:sz w:val="20"/>
              </w:rPr>
            </w:pPr>
            <w:r w:rsidRPr="008E7D28">
              <w:rPr>
                <w:sz w:val="20"/>
              </w:rPr>
              <w:t>rs = repealed and substituted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Pr>
                <w:sz w:val="20"/>
              </w:rPr>
              <w:t xml:space="preserve">LA = </w:t>
            </w:r>
            <w:r w:rsidRPr="009C3FDA">
              <w:rPr>
                <w:i/>
                <w:sz w:val="20"/>
              </w:rPr>
              <w:t>Legislation Act 2003</w:t>
            </w:r>
          </w:p>
        </w:tc>
        <w:tc>
          <w:tcPr>
            <w:tcW w:w="3686" w:type="dxa"/>
            <w:shd w:val="clear" w:color="auto" w:fill="auto"/>
          </w:tcPr>
          <w:p w:rsidR="00307068" w:rsidRPr="008E7D28" w:rsidRDefault="00307068" w:rsidP="007C6637">
            <w:pPr>
              <w:spacing w:before="60"/>
              <w:ind w:left="34"/>
              <w:rPr>
                <w:sz w:val="20"/>
              </w:rPr>
            </w:pPr>
            <w:r w:rsidRPr="008E7D28">
              <w:rPr>
                <w:sz w:val="20"/>
              </w:rPr>
              <w:t>s = section(s)/subsection(s)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LIA = </w:t>
            </w:r>
            <w:r w:rsidRPr="008E7D28">
              <w:rPr>
                <w:i/>
                <w:sz w:val="20"/>
              </w:rPr>
              <w:t>Legislative Instruments Act 2003</w:t>
            </w:r>
          </w:p>
        </w:tc>
        <w:tc>
          <w:tcPr>
            <w:tcW w:w="3686" w:type="dxa"/>
            <w:shd w:val="clear" w:color="auto" w:fill="auto"/>
          </w:tcPr>
          <w:p w:rsidR="00307068" w:rsidRPr="008E7D28" w:rsidRDefault="00307068" w:rsidP="007C6637">
            <w:pPr>
              <w:spacing w:before="60"/>
              <w:ind w:left="34"/>
              <w:rPr>
                <w:sz w:val="20"/>
              </w:rPr>
            </w:pPr>
            <w:r w:rsidRPr="008E7D28">
              <w:rPr>
                <w:sz w:val="20"/>
              </w:rPr>
              <w:t>Sch = Schedule(s)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(md) = misdescribed amendment can be given</w:t>
            </w:r>
          </w:p>
        </w:tc>
        <w:tc>
          <w:tcPr>
            <w:tcW w:w="3686" w:type="dxa"/>
            <w:shd w:val="clear" w:color="auto" w:fill="auto"/>
          </w:tcPr>
          <w:p w:rsidR="00307068" w:rsidRPr="008E7D28" w:rsidRDefault="00307068" w:rsidP="007C6637">
            <w:pPr>
              <w:spacing w:before="60"/>
              <w:ind w:left="34"/>
              <w:rPr>
                <w:sz w:val="20"/>
              </w:rPr>
            </w:pPr>
            <w:r w:rsidRPr="008E7D28">
              <w:rPr>
                <w:sz w:val="20"/>
              </w:rPr>
              <w:t>Sdiv = Subdivision(s)</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effect</w:t>
            </w:r>
          </w:p>
        </w:tc>
        <w:tc>
          <w:tcPr>
            <w:tcW w:w="3686" w:type="dxa"/>
            <w:shd w:val="clear" w:color="auto" w:fill="auto"/>
          </w:tcPr>
          <w:p w:rsidR="00307068" w:rsidRPr="008E7D28" w:rsidRDefault="00307068" w:rsidP="007C6637">
            <w:pPr>
              <w:spacing w:before="60"/>
              <w:ind w:left="34"/>
              <w:rPr>
                <w:sz w:val="20"/>
              </w:rPr>
            </w:pPr>
            <w:r w:rsidRPr="008E7D28">
              <w:rPr>
                <w:sz w:val="20"/>
              </w:rPr>
              <w:t>SLI = Select Legislative Instrument</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(md not incorp) = misdescribed amendment</w:t>
            </w:r>
          </w:p>
        </w:tc>
        <w:tc>
          <w:tcPr>
            <w:tcW w:w="3686" w:type="dxa"/>
            <w:shd w:val="clear" w:color="auto" w:fill="auto"/>
          </w:tcPr>
          <w:p w:rsidR="00307068" w:rsidRPr="008E7D28" w:rsidRDefault="00307068" w:rsidP="007C6637">
            <w:pPr>
              <w:spacing w:before="60"/>
              <w:ind w:left="34"/>
              <w:rPr>
                <w:sz w:val="20"/>
              </w:rPr>
            </w:pPr>
            <w:r w:rsidRPr="008E7D28">
              <w:rPr>
                <w:sz w:val="20"/>
              </w:rPr>
              <w:t>SR = Statutory Rules</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cannot be given effect</w:t>
            </w:r>
          </w:p>
        </w:tc>
        <w:tc>
          <w:tcPr>
            <w:tcW w:w="3686" w:type="dxa"/>
            <w:shd w:val="clear" w:color="auto" w:fill="auto"/>
          </w:tcPr>
          <w:p w:rsidR="00307068" w:rsidRPr="008E7D28" w:rsidRDefault="00307068" w:rsidP="007C6637">
            <w:pPr>
              <w:spacing w:before="60"/>
              <w:ind w:left="34"/>
              <w:rPr>
                <w:sz w:val="20"/>
              </w:rPr>
            </w:pPr>
            <w:r w:rsidRPr="008E7D28">
              <w:rPr>
                <w:sz w:val="20"/>
              </w:rPr>
              <w:t>Sub</w:t>
            </w:r>
            <w:r>
              <w:rPr>
                <w:sz w:val="20"/>
              </w:rPr>
              <w:noBreakHyphen/>
            </w:r>
            <w:r w:rsidRPr="008E7D28">
              <w:rPr>
                <w:sz w:val="20"/>
              </w:rPr>
              <w:t>Ch = Sub</w:t>
            </w:r>
            <w:r>
              <w:rPr>
                <w:sz w:val="20"/>
              </w:rPr>
              <w:noBreakHyphen/>
            </w:r>
            <w:r w:rsidRPr="008E7D28">
              <w:rPr>
                <w:sz w:val="20"/>
              </w:rPr>
              <w:t>Chapter(s)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mod = modified/modification</w:t>
            </w:r>
          </w:p>
        </w:tc>
        <w:tc>
          <w:tcPr>
            <w:tcW w:w="3686" w:type="dxa"/>
            <w:shd w:val="clear" w:color="auto" w:fill="auto"/>
          </w:tcPr>
          <w:p w:rsidR="00307068" w:rsidRPr="008E7D28" w:rsidRDefault="00307068" w:rsidP="007C6637">
            <w:pPr>
              <w:spacing w:before="60"/>
              <w:ind w:left="34"/>
              <w:rPr>
                <w:sz w:val="20"/>
              </w:rPr>
            </w:pPr>
            <w:r w:rsidRPr="008E7D28">
              <w:rPr>
                <w:sz w:val="20"/>
              </w:rPr>
              <w:t>SubPt = Subpart(s)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No. = Number(s)</w:t>
            </w:r>
          </w:p>
        </w:tc>
        <w:tc>
          <w:tcPr>
            <w:tcW w:w="3686" w:type="dxa"/>
            <w:shd w:val="clear" w:color="auto" w:fill="auto"/>
          </w:tcPr>
          <w:p w:rsidR="00307068" w:rsidRPr="008E7D28" w:rsidRDefault="00307068" w:rsidP="007C6637">
            <w:pPr>
              <w:spacing w:before="60"/>
              <w:ind w:left="34"/>
              <w:rPr>
                <w:sz w:val="20"/>
              </w:rPr>
            </w:pPr>
            <w:r w:rsidRPr="008E7D28">
              <w:rPr>
                <w:sz w:val="20"/>
                <w:u w:val="single"/>
              </w:rPr>
              <w:t>underlining</w:t>
            </w:r>
            <w:r w:rsidRPr="008E7D28">
              <w:rPr>
                <w:sz w:val="20"/>
              </w:rPr>
              <w:t xml:space="preserve"> = whole or part not</w:t>
            </w:r>
          </w:p>
        </w:tc>
      </w:tr>
      <w:tr w:rsidR="00307068" w:rsidRPr="008E7D28" w:rsidTr="007C6637">
        <w:trPr>
          <w:trHeight w:val="302"/>
        </w:trPr>
        <w:tc>
          <w:tcPr>
            <w:tcW w:w="4253" w:type="dxa"/>
            <w:shd w:val="clear" w:color="auto" w:fill="auto"/>
          </w:tcPr>
          <w:p w:rsidR="00307068" w:rsidRPr="008E7D28" w:rsidRDefault="00307068" w:rsidP="007C6637">
            <w:pPr>
              <w:spacing w:before="60"/>
              <w:ind w:left="34"/>
              <w:rPr>
                <w:sz w:val="20"/>
              </w:rPr>
            </w:pPr>
          </w:p>
        </w:tc>
        <w:tc>
          <w:tcPr>
            <w:tcW w:w="3686" w:type="dxa"/>
            <w:shd w:val="clear" w:color="auto" w:fill="auto"/>
          </w:tcPr>
          <w:p w:rsidR="00307068" w:rsidRPr="008E7D28" w:rsidRDefault="00307068" w:rsidP="007C6637">
            <w:pPr>
              <w:ind w:left="34"/>
              <w:rPr>
                <w:sz w:val="20"/>
              </w:rPr>
            </w:pPr>
            <w:r w:rsidRPr="008E7D28">
              <w:rPr>
                <w:sz w:val="20"/>
              </w:rPr>
              <w:t xml:space="preserve">    commenced or to be commenced</w:t>
            </w:r>
          </w:p>
        </w:tc>
      </w:tr>
    </w:tbl>
    <w:p w:rsidR="00307068" w:rsidRPr="00BC57F4" w:rsidRDefault="00307068" w:rsidP="00307068">
      <w:pPr>
        <w:pStyle w:val="Tabletext"/>
      </w:pPr>
    </w:p>
    <w:p w:rsidR="00307068" w:rsidRDefault="00307068" w:rsidP="00307068">
      <w:pPr>
        <w:pStyle w:val="ENotesHeading2"/>
        <w:pageBreakBefore/>
      </w:pPr>
      <w:r>
        <w:lastRenderedPageBreak/>
        <w:t>Endnote 3—Legislation history</w:t>
      </w:r>
    </w:p>
    <w:p w:rsidR="00307068" w:rsidRDefault="00307068" w:rsidP="00307068">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9302EC" w:rsidRPr="0098546F" w:rsidTr="00DC78AA">
        <w:trPr>
          <w:cantSplit/>
          <w:tblHeader/>
        </w:trPr>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t>Name</w:t>
            </w:r>
          </w:p>
        </w:tc>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t>Registration</w:t>
            </w:r>
          </w:p>
        </w:tc>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t>Commencement</w:t>
            </w:r>
          </w:p>
        </w:tc>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rsidRPr="00E117A3">
              <w:t>Application, saving and transitional provisions</w:t>
            </w:r>
          </w:p>
        </w:tc>
      </w:tr>
      <w:tr w:rsidR="00DC78AA" w:rsidRPr="00E117A3" w:rsidTr="00DC78AA">
        <w:trPr>
          <w:cantSplit/>
        </w:trPr>
        <w:tc>
          <w:tcPr>
            <w:tcW w:w="1806" w:type="dxa"/>
            <w:tcBorders>
              <w:top w:val="single" w:sz="12" w:space="0" w:color="auto"/>
              <w:bottom w:val="single" w:sz="4" w:space="0" w:color="auto"/>
            </w:tcBorders>
            <w:shd w:val="clear" w:color="auto" w:fill="auto"/>
          </w:tcPr>
          <w:p w:rsidR="00DC78AA" w:rsidRPr="0072244D" w:rsidRDefault="005D6A59" w:rsidP="00021F2F">
            <w:pPr>
              <w:pStyle w:val="ENoteTableText"/>
              <w:rPr>
                <w:rFonts w:ascii="Arial" w:hAnsi="Arial" w:cs="Arial"/>
                <w:sz w:val="18"/>
                <w:szCs w:val="18"/>
              </w:rPr>
            </w:pPr>
            <w:r w:rsidRPr="0072244D">
              <w:rPr>
                <w:rFonts w:ascii="Arial" w:hAnsi="Arial" w:cs="Arial"/>
                <w:i/>
                <w:sz w:val="18"/>
                <w:szCs w:val="18"/>
              </w:rPr>
              <w:t xml:space="preserve">Statement </w:t>
            </w:r>
            <w:r w:rsidR="0059763C" w:rsidRPr="0072244D">
              <w:rPr>
                <w:rFonts w:ascii="Arial" w:hAnsi="Arial" w:cs="Arial"/>
                <w:i/>
                <w:sz w:val="18"/>
                <w:szCs w:val="18"/>
              </w:rPr>
              <w:t>of Principles concerning inflammatory bowel disease</w:t>
            </w:r>
            <w:r w:rsidRPr="0072244D">
              <w:rPr>
                <w:rFonts w:ascii="Arial" w:hAnsi="Arial" w:cs="Arial"/>
                <w:i/>
                <w:sz w:val="18"/>
                <w:szCs w:val="18"/>
              </w:rPr>
              <w:t xml:space="preserve"> No. </w:t>
            </w:r>
            <w:r w:rsidR="0059763C" w:rsidRPr="0072244D">
              <w:rPr>
                <w:rFonts w:ascii="Arial" w:hAnsi="Arial" w:cs="Arial"/>
                <w:i/>
                <w:sz w:val="18"/>
                <w:szCs w:val="18"/>
              </w:rPr>
              <w:t>19</w:t>
            </w:r>
            <w:r w:rsidRPr="0072244D">
              <w:rPr>
                <w:rFonts w:ascii="Arial" w:hAnsi="Arial" w:cs="Arial"/>
                <w:i/>
                <w:sz w:val="18"/>
                <w:szCs w:val="18"/>
              </w:rPr>
              <w:t xml:space="preserve"> of </w:t>
            </w:r>
            <w:r w:rsidR="0059763C" w:rsidRPr="0072244D">
              <w:rPr>
                <w:rFonts w:ascii="Arial" w:hAnsi="Arial" w:cs="Arial"/>
                <w:i/>
                <w:sz w:val="18"/>
                <w:szCs w:val="18"/>
              </w:rPr>
              <w:t>2012</w:t>
            </w:r>
          </w:p>
          <w:p w:rsidR="00DC78AA" w:rsidRPr="0072244D" w:rsidRDefault="00DC78AA" w:rsidP="00021F2F">
            <w:pPr>
              <w:pStyle w:val="ENoteTableText"/>
              <w:rPr>
                <w:rFonts w:ascii="Arial" w:hAnsi="Arial" w:cs="Arial"/>
                <w:sz w:val="18"/>
                <w:szCs w:val="18"/>
              </w:rPr>
            </w:pPr>
          </w:p>
        </w:tc>
        <w:tc>
          <w:tcPr>
            <w:tcW w:w="1806" w:type="dxa"/>
            <w:tcBorders>
              <w:top w:val="single" w:sz="12" w:space="0" w:color="auto"/>
              <w:bottom w:val="single" w:sz="4" w:space="0" w:color="auto"/>
            </w:tcBorders>
            <w:shd w:val="clear" w:color="auto" w:fill="auto"/>
          </w:tcPr>
          <w:p w:rsidR="00DC78AA" w:rsidRDefault="0059763C" w:rsidP="00021F2F">
            <w:pPr>
              <w:pStyle w:val="TableOfStatRules"/>
              <w:rPr>
                <w:rFonts w:cs="Arial"/>
                <w:szCs w:val="18"/>
              </w:rPr>
            </w:pPr>
            <w:r>
              <w:rPr>
                <w:rFonts w:cs="Arial"/>
                <w:szCs w:val="18"/>
              </w:rPr>
              <w:t>29 February 2012</w:t>
            </w:r>
          </w:p>
          <w:p w:rsidR="0059763C" w:rsidRPr="00E85EF4" w:rsidRDefault="0059763C" w:rsidP="00021F2F">
            <w:pPr>
              <w:pStyle w:val="TableOfStatRules"/>
              <w:rPr>
                <w:rFonts w:cs="Arial"/>
                <w:szCs w:val="18"/>
              </w:rPr>
            </w:pPr>
          </w:p>
          <w:p w:rsidR="00DC78AA" w:rsidRPr="00E85EF4" w:rsidRDefault="00DC78AA" w:rsidP="0059763C">
            <w:pPr>
              <w:pStyle w:val="ENoteTableText"/>
              <w:rPr>
                <w:rFonts w:ascii="Arial" w:hAnsi="Arial" w:cs="Arial"/>
                <w:sz w:val="18"/>
                <w:szCs w:val="18"/>
              </w:rPr>
            </w:pPr>
            <w:r w:rsidRPr="00E85EF4">
              <w:rPr>
                <w:rFonts w:ascii="Arial" w:hAnsi="Arial" w:cs="Arial"/>
                <w:sz w:val="18"/>
                <w:szCs w:val="18"/>
              </w:rPr>
              <w:t>F201</w:t>
            </w:r>
            <w:r w:rsidR="0059763C">
              <w:rPr>
                <w:rFonts w:ascii="Arial" w:hAnsi="Arial" w:cs="Arial"/>
                <w:sz w:val="18"/>
                <w:szCs w:val="18"/>
              </w:rPr>
              <w:t>2L00449</w:t>
            </w:r>
          </w:p>
        </w:tc>
        <w:tc>
          <w:tcPr>
            <w:tcW w:w="1806" w:type="dxa"/>
            <w:tcBorders>
              <w:top w:val="single" w:sz="12" w:space="0" w:color="auto"/>
              <w:bottom w:val="single" w:sz="4" w:space="0" w:color="auto"/>
            </w:tcBorders>
            <w:shd w:val="clear" w:color="auto" w:fill="auto"/>
          </w:tcPr>
          <w:p w:rsidR="00DC78AA" w:rsidRPr="00E85EF4" w:rsidRDefault="0059763C" w:rsidP="00021F2F">
            <w:pPr>
              <w:pStyle w:val="TableOfStatRules"/>
              <w:rPr>
                <w:rFonts w:cs="Arial"/>
                <w:szCs w:val="18"/>
              </w:rPr>
            </w:pPr>
            <w:r>
              <w:rPr>
                <w:rFonts w:cs="Arial"/>
                <w:szCs w:val="18"/>
              </w:rPr>
              <w:t>7 March 2012</w:t>
            </w:r>
          </w:p>
          <w:p w:rsidR="00DC78AA" w:rsidRPr="00E85EF4" w:rsidRDefault="00DC78AA" w:rsidP="00021F2F">
            <w:pPr>
              <w:pStyle w:val="ENoteTableText"/>
              <w:rPr>
                <w:rFonts w:ascii="Arial" w:hAnsi="Arial" w:cs="Arial"/>
                <w:sz w:val="18"/>
                <w:szCs w:val="18"/>
              </w:rPr>
            </w:pPr>
          </w:p>
        </w:tc>
        <w:tc>
          <w:tcPr>
            <w:tcW w:w="1806" w:type="dxa"/>
            <w:tcBorders>
              <w:top w:val="single" w:sz="12" w:space="0" w:color="auto"/>
              <w:bottom w:val="single" w:sz="4" w:space="0" w:color="auto"/>
            </w:tcBorders>
            <w:shd w:val="clear" w:color="auto" w:fill="auto"/>
          </w:tcPr>
          <w:p w:rsidR="00DC78AA" w:rsidRPr="00E85EF4" w:rsidRDefault="00DC78AA" w:rsidP="00021F2F">
            <w:pPr>
              <w:pStyle w:val="ENoteTableText"/>
              <w:rPr>
                <w:rFonts w:ascii="Arial" w:hAnsi="Arial" w:cs="Arial"/>
                <w:sz w:val="18"/>
                <w:szCs w:val="18"/>
              </w:rPr>
            </w:pPr>
          </w:p>
        </w:tc>
      </w:tr>
      <w:tr w:rsidR="00DC78AA" w:rsidTr="00DC78AA">
        <w:trPr>
          <w:cantSplit/>
        </w:trPr>
        <w:tc>
          <w:tcPr>
            <w:tcW w:w="1806" w:type="dxa"/>
            <w:tcBorders>
              <w:bottom w:val="single" w:sz="12" w:space="0" w:color="auto"/>
            </w:tcBorders>
            <w:shd w:val="clear" w:color="auto" w:fill="auto"/>
          </w:tcPr>
          <w:p w:rsidR="0059763C" w:rsidRPr="0072244D" w:rsidRDefault="0059763C" w:rsidP="0059763C">
            <w:pPr>
              <w:rPr>
                <w:rFonts w:ascii="Arial" w:hAnsi="Arial" w:cs="Arial"/>
                <w:i/>
                <w:sz w:val="18"/>
                <w:szCs w:val="18"/>
              </w:rPr>
            </w:pPr>
            <w:r w:rsidRPr="0072244D">
              <w:rPr>
                <w:rFonts w:ascii="Arial" w:hAnsi="Arial" w:cs="Arial"/>
                <w:i/>
                <w:sz w:val="18"/>
                <w:szCs w:val="18"/>
              </w:rPr>
              <w:t>Veterans' Entitlements (Statements of Principles—Category 1B Stressor) Amen</w:t>
            </w:r>
            <w:r w:rsidR="0072244D" w:rsidRPr="0072244D">
              <w:rPr>
                <w:rFonts w:ascii="Arial" w:hAnsi="Arial" w:cs="Arial"/>
                <w:i/>
                <w:sz w:val="18"/>
                <w:szCs w:val="18"/>
              </w:rPr>
              <w:t>dment Determination 2018 (No. 87</w:t>
            </w:r>
            <w:r w:rsidRPr="0072244D">
              <w:rPr>
                <w:rFonts w:ascii="Arial" w:hAnsi="Arial" w:cs="Arial"/>
                <w:i/>
                <w:sz w:val="18"/>
                <w:szCs w:val="18"/>
              </w:rPr>
              <w:t xml:space="preserve"> of 2018)</w:t>
            </w:r>
          </w:p>
          <w:p w:rsidR="00DC78AA" w:rsidRPr="0072244D" w:rsidRDefault="00DC78AA"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DC78AA" w:rsidRPr="00E85EF4" w:rsidRDefault="0072244D" w:rsidP="00021F2F">
            <w:pPr>
              <w:pStyle w:val="TableOfStatRules"/>
              <w:rPr>
                <w:rFonts w:cs="Arial"/>
                <w:szCs w:val="18"/>
              </w:rPr>
            </w:pPr>
            <w:r>
              <w:rPr>
                <w:rFonts w:cs="Arial"/>
                <w:szCs w:val="18"/>
              </w:rPr>
              <w:t>28 August 2018</w:t>
            </w:r>
          </w:p>
          <w:p w:rsidR="00DC78AA" w:rsidRPr="00E85EF4" w:rsidRDefault="00DC78AA" w:rsidP="00021F2F">
            <w:pPr>
              <w:pStyle w:val="TableOfStatRules"/>
              <w:rPr>
                <w:rFonts w:cs="Arial"/>
                <w:szCs w:val="18"/>
              </w:rPr>
            </w:pPr>
          </w:p>
          <w:p w:rsidR="00DC78AA" w:rsidRPr="00E85EF4" w:rsidRDefault="00DC78AA" w:rsidP="00021F2F">
            <w:pPr>
              <w:pStyle w:val="TableOfStatRules"/>
              <w:rPr>
                <w:rFonts w:cs="Arial"/>
                <w:szCs w:val="18"/>
              </w:rPr>
            </w:pPr>
            <w:r w:rsidRPr="00E85EF4">
              <w:rPr>
                <w:rFonts w:cs="Arial"/>
                <w:szCs w:val="18"/>
              </w:rPr>
              <w:t>F201</w:t>
            </w:r>
            <w:r w:rsidR="0072244D">
              <w:rPr>
                <w:rFonts w:cs="Arial"/>
                <w:szCs w:val="18"/>
              </w:rPr>
              <w:t>8L01188</w:t>
            </w:r>
          </w:p>
          <w:p w:rsidR="00DC78AA" w:rsidRPr="00E85EF4" w:rsidRDefault="00DC78AA"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DC78AA" w:rsidRPr="00E85EF4" w:rsidRDefault="0072244D" w:rsidP="00021F2F">
            <w:pPr>
              <w:pStyle w:val="TableOfStatRules"/>
              <w:rPr>
                <w:rFonts w:cs="Arial"/>
                <w:szCs w:val="18"/>
              </w:rPr>
            </w:pPr>
            <w:r>
              <w:rPr>
                <w:rFonts w:cs="Arial"/>
                <w:szCs w:val="18"/>
              </w:rPr>
              <w:t>24 September 2018</w:t>
            </w:r>
          </w:p>
          <w:p w:rsidR="00DC78AA" w:rsidRPr="00E85EF4" w:rsidRDefault="00DC78AA"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DC78AA" w:rsidRPr="00E85EF4" w:rsidRDefault="00DC78AA" w:rsidP="00021F2F">
            <w:pPr>
              <w:pStyle w:val="ENoteTableText"/>
              <w:rPr>
                <w:rFonts w:ascii="Arial" w:hAnsi="Arial" w:cs="Arial"/>
                <w:sz w:val="18"/>
                <w:szCs w:val="18"/>
              </w:rPr>
            </w:pPr>
          </w:p>
        </w:tc>
      </w:tr>
    </w:tbl>
    <w:p w:rsidR="00307068" w:rsidRDefault="00307068" w:rsidP="00307068"/>
    <w:p w:rsidR="00307068" w:rsidRDefault="00307068" w:rsidP="00307068">
      <w:pPr>
        <w:pStyle w:val="ENotesHeading2"/>
        <w:pageBreakBefore/>
      </w:pPr>
      <w:r>
        <w:lastRenderedPageBreak/>
        <w:t>Endnote 4—Amendment history</w:t>
      </w:r>
    </w:p>
    <w:p w:rsidR="00307068" w:rsidRDefault="00307068" w:rsidP="00307068">
      <w:pPr>
        <w:pStyle w:val="Tabletext"/>
      </w:pPr>
    </w:p>
    <w:tbl>
      <w:tblPr>
        <w:tblW w:w="7082" w:type="dxa"/>
        <w:tblInd w:w="113" w:type="dxa"/>
        <w:tblLayout w:type="fixed"/>
        <w:tblLook w:val="0000" w:firstRow="0" w:lastRow="0" w:firstColumn="0" w:lastColumn="0" w:noHBand="0" w:noVBand="0"/>
      </w:tblPr>
      <w:tblGrid>
        <w:gridCol w:w="2139"/>
        <w:gridCol w:w="4943"/>
      </w:tblGrid>
      <w:tr w:rsidR="00307068" w:rsidRPr="0098546F" w:rsidTr="007C6637">
        <w:trPr>
          <w:cantSplit/>
          <w:tblHeader/>
        </w:trPr>
        <w:tc>
          <w:tcPr>
            <w:tcW w:w="2139" w:type="dxa"/>
            <w:tcBorders>
              <w:top w:val="single" w:sz="12" w:space="0" w:color="auto"/>
              <w:bottom w:val="single" w:sz="12" w:space="0" w:color="auto"/>
            </w:tcBorders>
            <w:shd w:val="clear" w:color="auto" w:fill="auto"/>
          </w:tcPr>
          <w:p w:rsidR="00307068" w:rsidRPr="00E117A3" w:rsidRDefault="00307068" w:rsidP="007C6637">
            <w:pPr>
              <w:pStyle w:val="ENoteTableHeading"/>
            </w:pPr>
            <w:r w:rsidRPr="00E117A3">
              <w:t>Provision affected</w:t>
            </w:r>
          </w:p>
        </w:tc>
        <w:tc>
          <w:tcPr>
            <w:tcW w:w="4943" w:type="dxa"/>
            <w:tcBorders>
              <w:top w:val="single" w:sz="12" w:space="0" w:color="auto"/>
              <w:bottom w:val="single" w:sz="12" w:space="0" w:color="auto"/>
            </w:tcBorders>
            <w:shd w:val="clear" w:color="auto" w:fill="auto"/>
          </w:tcPr>
          <w:p w:rsidR="00307068" w:rsidRPr="00E117A3" w:rsidRDefault="00307068" w:rsidP="007C6637">
            <w:pPr>
              <w:pStyle w:val="ENoteTableHeading"/>
            </w:pPr>
            <w:r w:rsidRPr="00E117A3">
              <w:t>How affected</w:t>
            </w:r>
          </w:p>
        </w:tc>
      </w:tr>
      <w:tr w:rsidR="00307068" w:rsidRPr="00E117A3" w:rsidTr="007C6637">
        <w:trPr>
          <w:cantSplit/>
        </w:trPr>
        <w:tc>
          <w:tcPr>
            <w:tcW w:w="2139" w:type="dxa"/>
            <w:tcBorders>
              <w:top w:val="single" w:sz="12" w:space="0" w:color="auto"/>
            </w:tcBorders>
            <w:shd w:val="clear" w:color="auto" w:fill="auto"/>
          </w:tcPr>
          <w:p w:rsidR="00307068" w:rsidRPr="00E117A3" w:rsidRDefault="00E47AF4" w:rsidP="007C6637">
            <w:pPr>
              <w:pStyle w:val="ENoteTableText"/>
            </w:pPr>
            <w:r>
              <w:rPr>
                <w:rFonts w:ascii="Arial" w:hAnsi="Arial" w:cs="Arial"/>
                <w:sz w:val="18"/>
                <w:szCs w:val="18"/>
              </w:rPr>
              <w:t>Clause 9 '"a category 1B stressor"……………'</w:t>
            </w:r>
          </w:p>
        </w:tc>
        <w:tc>
          <w:tcPr>
            <w:tcW w:w="4943" w:type="dxa"/>
            <w:tcBorders>
              <w:top w:val="single" w:sz="12" w:space="0" w:color="auto"/>
            </w:tcBorders>
            <w:shd w:val="clear" w:color="auto" w:fill="auto"/>
          </w:tcPr>
          <w:p w:rsidR="00307068" w:rsidRPr="00E117A3" w:rsidRDefault="0072244D" w:rsidP="0072244D">
            <w:pPr>
              <w:pStyle w:val="ENoteTableText"/>
            </w:pPr>
            <w:proofErr w:type="spellStart"/>
            <w:r>
              <w:rPr>
                <w:rFonts w:ascii="Arial" w:hAnsi="Arial" w:cs="Arial"/>
                <w:sz w:val="18"/>
                <w:szCs w:val="18"/>
              </w:rPr>
              <w:t>rs</w:t>
            </w:r>
            <w:proofErr w:type="spellEnd"/>
            <w:r>
              <w:rPr>
                <w:rFonts w:ascii="Arial" w:hAnsi="Arial" w:cs="Arial"/>
                <w:sz w:val="18"/>
                <w:szCs w:val="18"/>
              </w:rPr>
              <w:t>. No. 87</w:t>
            </w:r>
            <w:r w:rsidR="00E47AF4">
              <w:rPr>
                <w:rFonts w:ascii="Arial" w:hAnsi="Arial" w:cs="Arial"/>
                <w:sz w:val="18"/>
                <w:szCs w:val="18"/>
              </w:rPr>
              <w:t xml:space="preserve"> of 2018</w:t>
            </w:r>
          </w:p>
        </w:tc>
      </w:tr>
      <w:tr w:rsidR="00307068" w:rsidTr="007C6637">
        <w:trPr>
          <w:cantSplit/>
        </w:trPr>
        <w:tc>
          <w:tcPr>
            <w:tcW w:w="2139" w:type="dxa"/>
            <w:shd w:val="clear" w:color="auto" w:fill="auto"/>
          </w:tcPr>
          <w:p w:rsidR="00307068" w:rsidRPr="00E117A3" w:rsidRDefault="00E47AF4" w:rsidP="007C6637">
            <w:pPr>
              <w:pStyle w:val="ENoteTableText"/>
            </w:pPr>
            <w:r>
              <w:rPr>
                <w:rFonts w:ascii="Arial" w:hAnsi="Arial" w:cs="Arial"/>
                <w:sz w:val="18"/>
                <w:szCs w:val="18"/>
              </w:rPr>
              <w:t>Clause 9 '"an eyewitness"……………'</w:t>
            </w:r>
          </w:p>
        </w:tc>
        <w:tc>
          <w:tcPr>
            <w:tcW w:w="4943" w:type="dxa"/>
            <w:shd w:val="clear" w:color="auto" w:fill="auto"/>
          </w:tcPr>
          <w:p w:rsidR="00307068" w:rsidRPr="00E117A3" w:rsidRDefault="0072244D" w:rsidP="0075736A">
            <w:pPr>
              <w:pStyle w:val="ENoteTableText"/>
            </w:pPr>
            <w:proofErr w:type="spellStart"/>
            <w:r>
              <w:rPr>
                <w:rFonts w:ascii="Arial" w:hAnsi="Arial" w:cs="Arial"/>
                <w:sz w:val="18"/>
                <w:szCs w:val="18"/>
              </w:rPr>
              <w:t>rs</w:t>
            </w:r>
            <w:proofErr w:type="spellEnd"/>
            <w:r>
              <w:rPr>
                <w:rFonts w:ascii="Arial" w:hAnsi="Arial" w:cs="Arial"/>
                <w:sz w:val="18"/>
                <w:szCs w:val="18"/>
              </w:rPr>
              <w:t>. No. 87</w:t>
            </w:r>
            <w:r w:rsidR="00E47AF4">
              <w:rPr>
                <w:rFonts w:ascii="Arial" w:hAnsi="Arial" w:cs="Arial"/>
                <w:sz w:val="18"/>
                <w:szCs w:val="18"/>
              </w:rPr>
              <w:t xml:space="preserve"> of 2018</w:t>
            </w:r>
          </w:p>
        </w:tc>
      </w:tr>
      <w:tr w:rsidR="00307068" w:rsidTr="007C6637">
        <w:trPr>
          <w:cantSplit/>
        </w:trPr>
        <w:tc>
          <w:tcPr>
            <w:tcW w:w="2139" w:type="dxa"/>
            <w:tcBorders>
              <w:bottom w:val="single" w:sz="12" w:space="0" w:color="auto"/>
            </w:tcBorders>
            <w:shd w:val="clear" w:color="auto" w:fill="auto"/>
          </w:tcPr>
          <w:p w:rsidR="00307068" w:rsidRPr="00E117A3" w:rsidRDefault="00E47AF4" w:rsidP="007C6637">
            <w:pPr>
              <w:pStyle w:val="ENoteTableText"/>
            </w:pPr>
            <w:r>
              <w:rPr>
                <w:rFonts w:ascii="Arial" w:hAnsi="Arial" w:cs="Arial"/>
                <w:sz w:val="18"/>
                <w:szCs w:val="18"/>
              </w:rPr>
              <w:t>Clause 9 '"a corpse"….'</w:t>
            </w:r>
          </w:p>
        </w:tc>
        <w:tc>
          <w:tcPr>
            <w:tcW w:w="4943" w:type="dxa"/>
            <w:tcBorders>
              <w:bottom w:val="single" w:sz="12" w:space="0" w:color="auto"/>
            </w:tcBorders>
            <w:shd w:val="clear" w:color="auto" w:fill="auto"/>
          </w:tcPr>
          <w:p w:rsidR="00307068" w:rsidRPr="00E117A3" w:rsidRDefault="0075736A" w:rsidP="0075736A">
            <w:pPr>
              <w:pStyle w:val="ENoteTableText"/>
            </w:pPr>
            <w:r>
              <w:rPr>
                <w:rFonts w:ascii="Arial" w:hAnsi="Arial" w:cs="Arial"/>
                <w:sz w:val="18"/>
                <w:szCs w:val="18"/>
              </w:rPr>
              <w:t>ad.</w:t>
            </w:r>
            <w:r w:rsidR="0072244D">
              <w:rPr>
                <w:rFonts w:ascii="Arial" w:hAnsi="Arial" w:cs="Arial"/>
                <w:sz w:val="18"/>
                <w:szCs w:val="18"/>
              </w:rPr>
              <w:t xml:space="preserve"> No. 87</w:t>
            </w:r>
            <w:bookmarkStart w:id="0" w:name="_GoBack"/>
            <w:bookmarkEnd w:id="0"/>
            <w:r w:rsidR="00E47AF4">
              <w:rPr>
                <w:rFonts w:ascii="Arial" w:hAnsi="Arial" w:cs="Arial"/>
                <w:sz w:val="18"/>
                <w:szCs w:val="18"/>
              </w:rPr>
              <w:t xml:space="preserve"> of 2018</w:t>
            </w:r>
          </w:p>
        </w:tc>
      </w:tr>
    </w:tbl>
    <w:p w:rsidR="00307068" w:rsidRDefault="00307068" w:rsidP="00307068">
      <w:pPr>
        <w:pStyle w:val="Tabletext"/>
      </w:pPr>
    </w:p>
    <w:p w:rsidR="00DF6D7F" w:rsidRDefault="00DF6D7F" w:rsidP="00307068">
      <w:pPr>
        <w:sectPr w:rsidR="00DF6D7F" w:rsidSect="004C79CF">
          <w:headerReference w:type="even" r:id="rId20"/>
          <w:headerReference w:type="default" r:id="rId21"/>
          <w:footerReference w:type="even" r:id="rId22"/>
          <w:footerReference w:type="default" r:id="rId23"/>
          <w:pgSz w:w="11907" w:h="16839" w:code="9"/>
          <w:pgMar w:top="1440" w:right="1797" w:bottom="1440" w:left="1797" w:header="720" w:footer="709" w:gutter="0"/>
          <w:cols w:space="708"/>
          <w:docGrid w:linePitch="360"/>
        </w:sectPr>
      </w:pPr>
    </w:p>
    <w:p w:rsidR="00307068" w:rsidRPr="00152412" w:rsidRDefault="00307068" w:rsidP="00DF6D7F"/>
    <w:sectPr w:rsidR="00307068" w:rsidRPr="00152412" w:rsidSect="00DF6D7F">
      <w:footerReference w:type="even" r:id="rId24"/>
      <w:footerReference w:type="default" r:id="rId25"/>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068" w:rsidRDefault="00307068" w:rsidP="008E17F3">
      <w:pPr>
        <w:spacing w:line="240" w:lineRule="auto"/>
      </w:pPr>
      <w:r>
        <w:separator/>
      </w:r>
    </w:p>
  </w:endnote>
  <w:endnote w:type="continuationSeparator" w:id="0">
    <w:p w:rsidR="00307068" w:rsidRDefault="00307068"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Default="00307068" w:rsidP="00983541">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9A" w:rsidRPr="00E33C1C" w:rsidRDefault="00F85C9A" w:rsidP="00F85C9A">
    <w:pPr>
      <w:pBdr>
        <w:top w:val="single" w:sz="6" w:space="1" w:color="auto"/>
      </w:pBdr>
      <w:spacing w:before="120" w:line="0" w:lineRule="atLeast"/>
      <w:rPr>
        <w:sz w:val="16"/>
        <w:szCs w:val="16"/>
      </w:rPr>
    </w:pPr>
  </w:p>
  <w:p w:rsidR="00DF6D7F" w:rsidRPr="00F85C9A" w:rsidRDefault="00DF6D7F" w:rsidP="00F85C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1F" w:rsidRDefault="00D03A1F" w:rsidP="00D03A1F">
    <w:pPr>
      <w:pStyle w:val="Footer"/>
      <w:spacing w:before="120"/>
    </w:pPr>
    <w:r w:rsidRPr="00CB7761">
      <w:t>Prepared by</w:t>
    </w:r>
    <w:r>
      <w:t xml:space="preserve"> the Repatriation Medical Authority Secretariat, Brisbane</w:t>
    </w:r>
  </w:p>
  <w:p w:rsidR="00307068" w:rsidRPr="00D03A1F" w:rsidRDefault="00307068" w:rsidP="00D03A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33C1C" w:rsidRDefault="00DC7B41" w:rsidP="007177E0">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C7B41" w:rsidTr="00B33709">
      <w:tc>
        <w:tcPr>
          <w:tcW w:w="709" w:type="dxa"/>
          <w:tcBorders>
            <w:top w:val="nil"/>
            <w:left w:val="nil"/>
            <w:bottom w:val="nil"/>
            <w:right w:val="nil"/>
          </w:tcBorders>
        </w:tcPr>
        <w:p w:rsidR="00DC7B41" w:rsidRDefault="00DC7B41"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v</w:t>
          </w:r>
          <w:r w:rsidRPr="00ED79B6">
            <w:rPr>
              <w:i/>
              <w:sz w:val="18"/>
            </w:rPr>
            <w:fldChar w:fldCharType="end"/>
          </w:r>
        </w:p>
      </w:tc>
      <w:tc>
        <w:tcPr>
          <w:tcW w:w="6379" w:type="dxa"/>
          <w:tcBorders>
            <w:top w:val="nil"/>
            <w:left w:val="nil"/>
            <w:bottom w:val="nil"/>
            <w:right w:val="nil"/>
          </w:tcBorders>
        </w:tcPr>
        <w:p w:rsidR="00DC7B41" w:rsidRDefault="00DC7B41"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C78">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rsidR="00DC7B41" w:rsidRDefault="00DC7B41" w:rsidP="00830B62">
          <w:pPr>
            <w:spacing w:line="0" w:lineRule="atLeast"/>
            <w:jc w:val="right"/>
            <w:rPr>
              <w:sz w:val="18"/>
            </w:rPr>
          </w:pPr>
        </w:p>
      </w:tc>
    </w:tr>
    <w:tr w:rsidR="00DC7B41"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C7B41" w:rsidRDefault="008F0CF0" w:rsidP="00830B62">
          <w:pPr>
            <w:jc w:val="right"/>
            <w:rPr>
              <w:sz w:val="18"/>
            </w:rPr>
          </w:pPr>
          <w:r>
            <w:rPr>
              <w:i/>
              <w:noProof/>
              <w:sz w:val="18"/>
            </w:rPr>
            <w:t>S16MD235.v06.docx</w:t>
          </w:r>
          <w:r w:rsidR="00DC7B41" w:rsidRPr="00ED79B6">
            <w:rPr>
              <w:i/>
              <w:sz w:val="18"/>
            </w:rPr>
            <w:t xml:space="preserve"> </w:t>
          </w:r>
          <w:r>
            <w:rPr>
              <w:i/>
              <w:noProof/>
              <w:sz w:val="18"/>
            </w:rPr>
            <w:t>18/7/2016 12:36 PM</w:t>
          </w:r>
        </w:p>
      </w:tc>
    </w:tr>
  </w:tbl>
  <w:p w:rsidR="00DC7B41" w:rsidRPr="00ED79B6" w:rsidRDefault="00DC7B41" w:rsidP="007500C8">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33C1C" w:rsidRDefault="00DC7B41" w:rsidP="007177E0">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297247" w:rsidTr="0034373D">
      <w:tc>
        <w:tcPr>
          <w:tcW w:w="851" w:type="dxa"/>
          <w:tcBorders>
            <w:top w:val="nil"/>
            <w:left w:val="nil"/>
            <w:bottom w:val="nil"/>
            <w:right w:val="nil"/>
          </w:tcBorders>
        </w:tcPr>
        <w:p w:rsidR="00297247" w:rsidRDefault="00297247" w:rsidP="00297247">
          <w:pPr>
            <w:spacing w:line="0" w:lineRule="atLeast"/>
            <w:rPr>
              <w:sz w:val="18"/>
            </w:rPr>
          </w:pPr>
        </w:p>
      </w:tc>
      <w:tc>
        <w:tcPr>
          <w:tcW w:w="6762" w:type="dxa"/>
          <w:gridSpan w:val="3"/>
          <w:tcBorders>
            <w:top w:val="nil"/>
            <w:left w:val="nil"/>
            <w:bottom w:val="nil"/>
            <w:right w:val="nil"/>
          </w:tcBorders>
        </w:tcPr>
        <w:p w:rsidR="00297247" w:rsidRPr="00AD2D4B" w:rsidRDefault="00297247" w:rsidP="00297247">
          <w:pPr>
            <w:spacing w:line="0" w:lineRule="atLeast"/>
            <w:jc w:val="center"/>
            <w:rPr>
              <w:i/>
              <w:sz w:val="18"/>
              <w:szCs w:val="18"/>
            </w:rPr>
          </w:pPr>
          <w:r w:rsidRPr="00AD2D4B">
            <w:rPr>
              <w:i/>
              <w:sz w:val="18"/>
              <w:szCs w:val="18"/>
            </w:rPr>
            <w:t xml:space="preserve">Statement of Principles concerning </w:t>
          </w:r>
          <w:r w:rsidR="00494C78">
            <w:rPr>
              <w:i/>
              <w:sz w:val="18"/>
              <w:szCs w:val="18"/>
            </w:rPr>
            <w:t>Inflammatory Bowel Disease</w:t>
          </w:r>
        </w:p>
      </w:tc>
      <w:tc>
        <w:tcPr>
          <w:tcW w:w="700" w:type="dxa"/>
          <w:tcBorders>
            <w:top w:val="nil"/>
            <w:left w:val="nil"/>
            <w:bottom w:val="nil"/>
            <w:right w:val="nil"/>
          </w:tcBorders>
        </w:tcPr>
        <w:p w:rsidR="00297247" w:rsidRDefault="00297247" w:rsidP="0029724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2244D">
            <w:rPr>
              <w:i/>
              <w:noProof/>
              <w:sz w:val="18"/>
            </w:rPr>
            <w:t>6</w:t>
          </w:r>
          <w:r w:rsidRPr="00ED79B6">
            <w:rPr>
              <w:i/>
              <w:sz w:val="18"/>
            </w:rPr>
            <w:fldChar w:fldCharType="end"/>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297247">
          <w:pPr>
            <w:jc w:val="center"/>
            <w:rPr>
              <w:i/>
              <w:sz w:val="18"/>
            </w:rPr>
          </w:pPr>
          <w:r w:rsidRPr="007E56FF">
            <w:rPr>
              <w:i/>
              <w:sz w:val="18"/>
            </w:rPr>
            <w:t xml:space="preserve">Instrument No. </w:t>
          </w:r>
          <w:r w:rsidR="00494C78">
            <w:rPr>
              <w:i/>
              <w:sz w:val="18"/>
            </w:rPr>
            <w:t>19</w:t>
          </w:r>
          <w:r w:rsidRPr="007E56FF">
            <w:rPr>
              <w:i/>
              <w:sz w:val="18"/>
            </w:rPr>
            <w:t xml:space="preserve"> of </w:t>
          </w:r>
          <w:r w:rsidR="00494C78">
            <w:rPr>
              <w:i/>
              <w:sz w:val="18"/>
            </w:rPr>
            <w:t>2012</w:t>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297247">
          <w:pPr>
            <w:jc w:val="center"/>
            <w:rPr>
              <w:i/>
              <w:sz w:val="18"/>
            </w:rPr>
          </w:pPr>
          <w:r w:rsidRPr="007E56FF">
            <w:rPr>
              <w:i/>
              <w:sz w:val="18"/>
            </w:rPr>
            <w:t>Veterans' Entitlements Act 1986</w:t>
          </w:r>
        </w:p>
      </w:tc>
    </w:tr>
    <w:tr w:rsidR="00297247" w:rsidRPr="00130F3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297247" w:rsidRPr="00130F37" w:rsidRDefault="00297247" w:rsidP="00297247">
          <w:pPr>
            <w:spacing w:before="120"/>
            <w:rPr>
              <w:sz w:val="16"/>
              <w:szCs w:val="16"/>
            </w:rPr>
          </w:pPr>
          <w:r w:rsidRPr="00130F37">
            <w:rPr>
              <w:sz w:val="16"/>
              <w:szCs w:val="16"/>
            </w:rPr>
            <w:t xml:space="preserve">Compilation No. </w:t>
          </w:r>
          <w:r w:rsidR="00494C78">
            <w:rPr>
              <w:sz w:val="16"/>
              <w:szCs w:val="16"/>
            </w:rPr>
            <w:t>1</w:t>
          </w:r>
        </w:p>
      </w:tc>
      <w:tc>
        <w:tcPr>
          <w:tcW w:w="2859" w:type="dxa"/>
        </w:tcPr>
        <w:p w:rsidR="00297247" w:rsidRPr="00130F37" w:rsidRDefault="00297247" w:rsidP="00297247">
          <w:pPr>
            <w:spacing w:before="120"/>
            <w:jc w:val="center"/>
            <w:rPr>
              <w:sz w:val="16"/>
              <w:szCs w:val="16"/>
            </w:rPr>
          </w:pPr>
        </w:p>
      </w:tc>
      <w:tc>
        <w:tcPr>
          <w:tcW w:w="3297" w:type="dxa"/>
          <w:gridSpan w:val="2"/>
        </w:tcPr>
        <w:p w:rsidR="00297247" w:rsidRPr="00130F37" w:rsidRDefault="00297247" w:rsidP="00423CB2">
          <w:pPr>
            <w:spacing w:before="120"/>
            <w:jc w:val="right"/>
            <w:rPr>
              <w:sz w:val="16"/>
              <w:szCs w:val="16"/>
            </w:rPr>
          </w:pPr>
          <w:r w:rsidRPr="00130F37">
            <w:rPr>
              <w:sz w:val="16"/>
              <w:szCs w:val="16"/>
            </w:rPr>
            <w:t xml:space="preserve">Compilation date: </w:t>
          </w:r>
          <w:r w:rsidR="00423CB2">
            <w:rPr>
              <w:sz w:val="16"/>
              <w:szCs w:val="16"/>
            </w:rPr>
            <w:t>24/09/2018</w:t>
          </w:r>
        </w:p>
      </w:tc>
    </w:tr>
  </w:tbl>
  <w:p w:rsidR="00DC7B41" w:rsidRPr="00ED79B6" w:rsidRDefault="00DC7B41" w:rsidP="007500C8">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E33C1C" w:rsidRDefault="00307068" w:rsidP="001A0BEE">
    <w:pPr>
      <w:pBdr>
        <w:top w:val="single" w:sz="6" w:space="1" w:color="auto"/>
      </w:pBdr>
      <w:spacing w:line="0" w:lineRule="atLeast"/>
      <w:rPr>
        <w:sz w:val="16"/>
        <w:szCs w:val="16"/>
      </w:rPr>
    </w:pPr>
  </w:p>
  <w:tbl>
    <w:tblPr>
      <w:tblStyle w:val="TableGrid"/>
      <w:tblW w:w="8755" w:type="dxa"/>
      <w:tblLayout w:type="fixed"/>
      <w:tblLook w:val="04A0" w:firstRow="1" w:lastRow="0" w:firstColumn="1" w:lastColumn="0" w:noHBand="0" w:noVBand="1"/>
    </w:tblPr>
    <w:tblGrid>
      <w:gridCol w:w="709"/>
      <w:gridCol w:w="1481"/>
      <w:gridCol w:w="2920"/>
      <w:gridCol w:w="1978"/>
      <w:gridCol w:w="1384"/>
      <w:gridCol w:w="283"/>
    </w:tblGrid>
    <w:tr w:rsidR="00307068" w:rsidTr="00203E60">
      <w:trPr>
        <w:gridAfter w:val="1"/>
        <w:wAfter w:w="283" w:type="dxa"/>
      </w:trPr>
      <w:tc>
        <w:tcPr>
          <w:tcW w:w="709" w:type="dxa"/>
          <w:tcBorders>
            <w:top w:val="nil"/>
            <w:left w:val="nil"/>
            <w:bottom w:val="nil"/>
            <w:right w:val="nil"/>
          </w:tcBorders>
        </w:tcPr>
        <w:p w:rsidR="00307068" w:rsidRDefault="00307068" w:rsidP="001A0BE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gridSpan w:val="3"/>
          <w:tcBorders>
            <w:top w:val="nil"/>
            <w:left w:val="nil"/>
            <w:bottom w:val="nil"/>
            <w:right w:val="nil"/>
          </w:tcBorders>
        </w:tcPr>
        <w:p w:rsidR="00307068" w:rsidRPr="00910EED" w:rsidRDefault="00307068" w:rsidP="0065450D">
          <w:pPr>
            <w:spacing w:line="0" w:lineRule="atLeast"/>
            <w:jc w:val="center"/>
            <w:rPr>
              <w:i/>
              <w:sz w:val="18"/>
            </w:rPr>
          </w:pPr>
          <w:r w:rsidRPr="00910EED">
            <w:rPr>
              <w:i/>
            </w:rPr>
            <w:t>[name of principal legislative instrument</w:t>
          </w:r>
          <w:r>
            <w:rPr>
              <w:i/>
            </w:rPr>
            <w:t xml:space="preserve"> or notifiable instrument</w:t>
          </w:r>
          <w:r w:rsidRPr="00910EED">
            <w:rPr>
              <w:i/>
            </w:rPr>
            <w:t>]</w:t>
          </w:r>
        </w:p>
      </w:tc>
      <w:tc>
        <w:tcPr>
          <w:tcW w:w="1384" w:type="dxa"/>
          <w:tcBorders>
            <w:top w:val="nil"/>
            <w:left w:val="nil"/>
            <w:bottom w:val="nil"/>
            <w:right w:val="nil"/>
          </w:tcBorders>
        </w:tcPr>
        <w:p w:rsidR="00307068" w:rsidRDefault="00307068" w:rsidP="001A0BEE">
          <w:pPr>
            <w:spacing w:line="0" w:lineRule="atLeast"/>
            <w:jc w:val="right"/>
            <w:rPr>
              <w:sz w:val="18"/>
            </w:rPr>
          </w:pPr>
        </w:p>
      </w:tc>
    </w:tr>
    <w:tr w:rsidR="00307068"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Pr>
      <w:tc>
        <w:tcPr>
          <w:tcW w:w="8472" w:type="dxa"/>
          <w:gridSpan w:val="5"/>
        </w:tcPr>
        <w:p w:rsidR="00307068" w:rsidRDefault="00307068" w:rsidP="001A0BEE">
          <w:pPr>
            <w:jc w:val="right"/>
            <w:rPr>
              <w:sz w:val="18"/>
            </w:rPr>
          </w:pPr>
        </w:p>
      </w:tc>
    </w:tr>
    <w:tr w:rsidR="00307068" w:rsidRPr="00130F37"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rsidR="00307068" w:rsidRPr="00130F37" w:rsidRDefault="00307068" w:rsidP="00194012">
          <w:pPr>
            <w:spacing w:before="120"/>
            <w:rPr>
              <w:sz w:val="16"/>
              <w:szCs w:val="16"/>
            </w:rPr>
          </w:pPr>
          <w:r w:rsidRPr="00130F37">
            <w:rPr>
              <w:sz w:val="16"/>
              <w:szCs w:val="16"/>
            </w:rPr>
            <w:t xml:space="preserve">Compilation No. </w:t>
          </w:r>
          <w:r>
            <w:rPr>
              <w:sz w:val="16"/>
              <w:szCs w:val="16"/>
            </w:rPr>
            <w:t>XX</w:t>
          </w:r>
        </w:p>
      </w:tc>
      <w:tc>
        <w:tcPr>
          <w:tcW w:w="2920" w:type="dxa"/>
        </w:tcPr>
        <w:p w:rsidR="00307068" w:rsidRPr="00130F37" w:rsidRDefault="00307068" w:rsidP="00194012">
          <w:pPr>
            <w:spacing w:before="120"/>
            <w:jc w:val="center"/>
            <w:rPr>
              <w:sz w:val="16"/>
              <w:szCs w:val="16"/>
            </w:rPr>
          </w:pPr>
        </w:p>
      </w:tc>
      <w:tc>
        <w:tcPr>
          <w:tcW w:w="3645" w:type="dxa"/>
          <w:gridSpan w:val="3"/>
        </w:tcPr>
        <w:p w:rsidR="00307068" w:rsidRPr="00130F37" w:rsidRDefault="00307068" w:rsidP="00194012">
          <w:pPr>
            <w:spacing w:before="120"/>
            <w:jc w:val="right"/>
            <w:rPr>
              <w:sz w:val="16"/>
              <w:szCs w:val="16"/>
            </w:rPr>
          </w:pPr>
          <w:r w:rsidRPr="00130F37">
            <w:rPr>
              <w:sz w:val="16"/>
              <w:szCs w:val="16"/>
            </w:rPr>
            <w:t xml:space="preserve">Compilation date: </w:t>
          </w:r>
          <w:r>
            <w:rPr>
              <w:sz w:val="16"/>
              <w:szCs w:val="16"/>
            </w:rPr>
            <w:t>dd/mm/yyyy</w:t>
          </w:r>
        </w:p>
      </w:tc>
    </w:tr>
  </w:tbl>
  <w:p w:rsidR="00307068" w:rsidRPr="00ED79B6" w:rsidRDefault="00307068" w:rsidP="001A0BE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E33C1C" w:rsidRDefault="00307068" w:rsidP="001A0BE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297247" w:rsidTr="0034373D">
      <w:tc>
        <w:tcPr>
          <w:tcW w:w="851" w:type="dxa"/>
          <w:tcBorders>
            <w:top w:val="nil"/>
            <w:left w:val="nil"/>
            <w:bottom w:val="nil"/>
            <w:right w:val="nil"/>
          </w:tcBorders>
        </w:tcPr>
        <w:p w:rsidR="00297247" w:rsidRDefault="00297247" w:rsidP="00297247">
          <w:pPr>
            <w:spacing w:line="0" w:lineRule="atLeast"/>
            <w:rPr>
              <w:sz w:val="18"/>
            </w:rPr>
          </w:pPr>
        </w:p>
      </w:tc>
      <w:tc>
        <w:tcPr>
          <w:tcW w:w="6762" w:type="dxa"/>
          <w:gridSpan w:val="3"/>
          <w:tcBorders>
            <w:top w:val="nil"/>
            <w:left w:val="nil"/>
            <w:bottom w:val="nil"/>
            <w:right w:val="nil"/>
          </w:tcBorders>
        </w:tcPr>
        <w:p w:rsidR="00297247" w:rsidRPr="00AD2D4B" w:rsidRDefault="00297247" w:rsidP="00494C78">
          <w:pPr>
            <w:spacing w:line="0" w:lineRule="atLeast"/>
            <w:jc w:val="center"/>
            <w:rPr>
              <w:i/>
              <w:sz w:val="18"/>
              <w:szCs w:val="18"/>
            </w:rPr>
          </w:pPr>
          <w:r w:rsidRPr="00AD2D4B">
            <w:rPr>
              <w:i/>
              <w:sz w:val="18"/>
              <w:szCs w:val="18"/>
            </w:rPr>
            <w:t xml:space="preserve">Statement of Principles concerning </w:t>
          </w:r>
          <w:r w:rsidR="00494C78">
            <w:rPr>
              <w:i/>
              <w:sz w:val="18"/>
              <w:szCs w:val="18"/>
            </w:rPr>
            <w:t>Inflammatory Bowel Disease</w:t>
          </w:r>
        </w:p>
      </w:tc>
      <w:tc>
        <w:tcPr>
          <w:tcW w:w="700" w:type="dxa"/>
          <w:tcBorders>
            <w:top w:val="nil"/>
            <w:left w:val="nil"/>
            <w:bottom w:val="nil"/>
            <w:right w:val="nil"/>
          </w:tcBorders>
        </w:tcPr>
        <w:p w:rsidR="00297247" w:rsidRDefault="00297247" w:rsidP="0029724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2244D">
            <w:rPr>
              <w:i/>
              <w:noProof/>
              <w:sz w:val="18"/>
            </w:rPr>
            <w:t>10</w:t>
          </w:r>
          <w:r w:rsidRPr="00ED79B6">
            <w:rPr>
              <w:i/>
              <w:sz w:val="18"/>
            </w:rPr>
            <w:fldChar w:fldCharType="end"/>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297247">
          <w:pPr>
            <w:jc w:val="center"/>
            <w:rPr>
              <w:i/>
              <w:sz w:val="18"/>
            </w:rPr>
          </w:pPr>
          <w:r w:rsidRPr="007E56FF">
            <w:rPr>
              <w:i/>
              <w:sz w:val="18"/>
            </w:rPr>
            <w:t xml:space="preserve">Instrument No. </w:t>
          </w:r>
          <w:r w:rsidR="00494C78">
            <w:rPr>
              <w:i/>
              <w:sz w:val="18"/>
            </w:rPr>
            <w:t>19</w:t>
          </w:r>
          <w:r w:rsidRPr="007E56FF">
            <w:rPr>
              <w:i/>
              <w:sz w:val="18"/>
            </w:rPr>
            <w:t xml:space="preserve"> of </w:t>
          </w:r>
          <w:r w:rsidR="00494C78">
            <w:rPr>
              <w:i/>
              <w:sz w:val="18"/>
            </w:rPr>
            <w:t>2012</w:t>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297247">
          <w:pPr>
            <w:jc w:val="center"/>
            <w:rPr>
              <w:i/>
              <w:sz w:val="18"/>
            </w:rPr>
          </w:pPr>
          <w:r w:rsidRPr="007E56FF">
            <w:rPr>
              <w:i/>
              <w:sz w:val="18"/>
            </w:rPr>
            <w:t>Veterans' Entitlements Act 1986</w:t>
          </w:r>
        </w:p>
      </w:tc>
    </w:tr>
    <w:tr w:rsidR="00297247" w:rsidRPr="00130F3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297247" w:rsidRPr="00130F37" w:rsidRDefault="00297247" w:rsidP="00297247">
          <w:pPr>
            <w:spacing w:before="120"/>
            <w:rPr>
              <w:sz w:val="16"/>
              <w:szCs w:val="16"/>
            </w:rPr>
          </w:pPr>
          <w:r w:rsidRPr="00130F37">
            <w:rPr>
              <w:sz w:val="16"/>
              <w:szCs w:val="16"/>
            </w:rPr>
            <w:t xml:space="preserve">Compilation No. </w:t>
          </w:r>
          <w:r w:rsidR="00494C78">
            <w:rPr>
              <w:sz w:val="16"/>
              <w:szCs w:val="16"/>
            </w:rPr>
            <w:t>1</w:t>
          </w:r>
        </w:p>
      </w:tc>
      <w:tc>
        <w:tcPr>
          <w:tcW w:w="2859" w:type="dxa"/>
        </w:tcPr>
        <w:p w:rsidR="00297247" w:rsidRPr="00130F37" w:rsidRDefault="00297247" w:rsidP="00297247">
          <w:pPr>
            <w:spacing w:before="120"/>
            <w:jc w:val="center"/>
            <w:rPr>
              <w:sz w:val="16"/>
              <w:szCs w:val="16"/>
            </w:rPr>
          </w:pPr>
        </w:p>
      </w:tc>
      <w:tc>
        <w:tcPr>
          <w:tcW w:w="3297" w:type="dxa"/>
          <w:gridSpan w:val="2"/>
        </w:tcPr>
        <w:p w:rsidR="00297247" w:rsidRPr="00130F37" w:rsidRDefault="00297247" w:rsidP="00423CB2">
          <w:pPr>
            <w:spacing w:before="120"/>
            <w:jc w:val="right"/>
            <w:rPr>
              <w:sz w:val="16"/>
              <w:szCs w:val="16"/>
            </w:rPr>
          </w:pPr>
          <w:r w:rsidRPr="00130F37">
            <w:rPr>
              <w:sz w:val="16"/>
              <w:szCs w:val="16"/>
            </w:rPr>
            <w:t xml:space="preserve">Compilation date: </w:t>
          </w:r>
          <w:r w:rsidR="00423CB2">
            <w:rPr>
              <w:sz w:val="16"/>
              <w:szCs w:val="16"/>
            </w:rPr>
            <w:t>24/09/2018</w:t>
          </w:r>
        </w:p>
      </w:tc>
    </w:tr>
  </w:tbl>
  <w:p w:rsidR="00307068" w:rsidRPr="00ED79B6" w:rsidRDefault="00307068" w:rsidP="0075398B">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F3" w:rsidRDefault="006E2E9F" w:rsidP="008E17F3">
    <w:pPr>
      <w:pStyle w:val="Footer"/>
      <w:framePr w:wrap="around" w:vAnchor="text" w:hAnchor="margin" w:xAlign="right" w:y="1"/>
      <w:rPr>
        <w:rStyle w:val="PageNumber"/>
      </w:rPr>
    </w:pPr>
    <w:r>
      <w:rPr>
        <w:rStyle w:val="PageNumber"/>
      </w:rPr>
      <w:fldChar w:fldCharType="begin"/>
    </w:r>
    <w:r w:rsidR="008E17F3">
      <w:rPr>
        <w:rStyle w:val="PageNumber"/>
      </w:rPr>
      <w:instrText xml:space="preserve">PAGE  </w:instrText>
    </w:r>
    <w:r>
      <w:rPr>
        <w:rStyle w:val="PageNumber"/>
      </w:rPr>
      <w:fldChar w:fldCharType="end"/>
    </w:r>
  </w:p>
  <w:p w:rsidR="008E17F3" w:rsidRDefault="008E17F3" w:rsidP="008E17F3">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F3" w:rsidRDefault="008E17F3" w:rsidP="008E17F3">
    <w:pPr>
      <w:pStyle w:val="Footer"/>
      <w:tabs>
        <w:tab w:val="clear" w:pos="4153"/>
        <w:tab w:val="clear" w:pos="8306"/>
        <w:tab w:val="left" w:pos="7680"/>
      </w:tabs>
      <w:ind w:right="27"/>
      <w:rPr>
        <w:sz w:val="16"/>
      </w:rPr>
    </w:pPr>
    <w:r>
      <w:rPr>
        <w:sz w:val="16"/>
      </w:rPr>
      <w:tab/>
    </w:r>
    <w:r>
      <w:rPr>
        <w:sz w:val="16"/>
      </w:rPr>
      <w:tab/>
    </w:r>
    <w:r>
      <w:t xml:space="preserve">Page  </w:t>
    </w:r>
    <w:r w:rsidR="005327A0">
      <w:fldChar w:fldCharType="begin"/>
    </w:r>
    <w:r w:rsidR="005327A0">
      <w:instrText xml:space="preserve"> PAGE  \* MERGEFORMAT </w:instrText>
    </w:r>
    <w:r w:rsidR="005327A0">
      <w:fldChar w:fldCharType="separate"/>
    </w:r>
    <w:r w:rsidR="00DF6D7F">
      <w:rPr>
        <w:noProof/>
      </w:rPr>
      <w:t>6</w:t>
    </w:r>
    <w:r w:rsidR="005327A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068" w:rsidRDefault="00307068" w:rsidP="008E17F3">
      <w:pPr>
        <w:spacing w:line="240" w:lineRule="auto"/>
      </w:pPr>
      <w:r>
        <w:separator/>
      </w:r>
    </w:p>
  </w:footnote>
  <w:footnote w:type="continuationSeparator" w:id="0">
    <w:p w:rsidR="00307068" w:rsidRDefault="00307068" w:rsidP="008E1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Default="00307068" w:rsidP="0076547B">
    <w:pPr>
      <w:pStyle w:val="Header"/>
      <w:pBdr>
        <w:bottom w:val="single" w:sz="4" w:space="1" w:color="auto"/>
      </w:pBdr>
      <w:tabs>
        <w:tab w:val="clear" w:pos="4150"/>
        <w:tab w:val="clear" w:pos="8307"/>
      </w:tabs>
    </w:pPr>
  </w:p>
  <w:p w:rsidR="00307068" w:rsidRDefault="00307068" w:rsidP="0076547B">
    <w:pPr>
      <w:pStyle w:val="Header"/>
      <w:pBdr>
        <w:bottom w:val="single" w:sz="4" w:space="1" w:color="auto"/>
      </w:pBdr>
      <w:tabs>
        <w:tab w:val="clear" w:pos="4150"/>
        <w:tab w:val="clear" w:pos="8307"/>
      </w:tabs>
    </w:pPr>
  </w:p>
  <w:p w:rsidR="00307068" w:rsidRPr="005F1388" w:rsidRDefault="00307068" w:rsidP="0076547B">
    <w:pPr>
      <w:pStyle w:val="Header"/>
      <w:pBdr>
        <w:bottom w:val="single" w:sz="4" w:space="1" w:color="auto"/>
      </w:pBd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9A" w:rsidRPr="00ED79B6" w:rsidRDefault="00F85C9A" w:rsidP="00F85C9A">
    <w:pPr>
      <w:pBdr>
        <w:bottom w:val="single" w:sz="12" w:space="1" w:color="auto"/>
      </w:pBdr>
      <w:spacing w:before="1000" w:line="240" w:lineRule="auto"/>
    </w:pPr>
  </w:p>
  <w:p w:rsidR="00307068" w:rsidRPr="00F85C9A" w:rsidRDefault="00307068" w:rsidP="00F85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5F1388" w:rsidRDefault="00307068" w:rsidP="0076547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715914">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5C0CFA">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C4473E" w:rsidRDefault="00307068" w:rsidP="001A0BEE">
    <w:pPr>
      <w:rPr>
        <w:sz w:val="26"/>
        <w:szCs w:val="26"/>
      </w:rPr>
    </w:pPr>
  </w:p>
  <w:p w:rsidR="00307068" w:rsidRPr="00965EE7" w:rsidRDefault="00307068" w:rsidP="001A0BEE">
    <w:pPr>
      <w:rPr>
        <w:b/>
        <w:sz w:val="20"/>
      </w:rPr>
    </w:pPr>
    <w:r w:rsidRPr="00965EE7">
      <w:rPr>
        <w:b/>
        <w:sz w:val="20"/>
      </w:rPr>
      <w:t>Endnotes</w:t>
    </w:r>
  </w:p>
  <w:p w:rsidR="00307068" w:rsidRPr="007A1328" w:rsidRDefault="00307068" w:rsidP="001A0BEE">
    <w:pPr>
      <w:rPr>
        <w:sz w:val="20"/>
      </w:rPr>
    </w:pPr>
  </w:p>
  <w:p w:rsidR="00307068" w:rsidRPr="007A1328" w:rsidRDefault="00307068" w:rsidP="001A0BEE">
    <w:pPr>
      <w:rPr>
        <w:b/>
        <w:sz w:val="24"/>
      </w:rPr>
    </w:pPr>
  </w:p>
  <w:p w:rsidR="00307068" w:rsidRPr="00C4473E" w:rsidRDefault="00307068" w:rsidP="001A0BE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75C78">
      <w:rPr>
        <w:noProof/>
        <w:szCs w:val="22"/>
      </w:rPr>
      <w:t>Endnote 1—About the endnotes</w:t>
    </w:r>
    <w:r w:rsidRPr="00C4473E">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C4473E" w:rsidRDefault="00307068" w:rsidP="001A0BEE">
    <w:pPr>
      <w:jc w:val="right"/>
      <w:rPr>
        <w:sz w:val="26"/>
        <w:szCs w:val="26"/>
      </w:rPr>
    </w:pPr>
  </w:p>
  <w:p w:rsidR="00307068" w:rsidRPr="00965EE7" w:rsidRDefault="00307068" w:rsidP="001A0BEE">
    <w:pPr>
      <w:jc w:val="right"/>
      <w:rPr>
        <w:b/>
        <w:sz w:val="20"/>
      </w:rPr>
    </w:pPr>
    <w:r w:rsidRPr="00965EE7">
      <w:rPr>
        <w:b/>
        <w:sz w:val="20"/>
      </w:rPr>
      <w:t>Endnotes</w:t>
    </w:r>
  </w:p>
  <w:p w:rsidR="00307068" w:rsidRPr="007A1328" w:rsidRDefault="00307068" w:rsidP="001A0BEE">
    <w:pPr>
      <w:jc w:val="right"/>
      <w:rPr>
        <w:sz w:val="20"/>
      </w:rPr>
    </w:pPr>
  </w:p>
  <w:p w:rsidR="00307068" w:rsidRPr="007A1328" w:rsidRDefault="00307068" w:rsidP="001A0BEE">
    <w:pPr>
      <w:jc w:val="right"/>
      <w:rPr>
        <w:b/>
        <w:sz w:val="24"/>
      </w:rPr>
    </w:pPr>
  </w:p>
  <w:p w:rsidR="00307068" w:rsidRPr="00C4473E" w:rsidRDefault="00307068" w:rsidP="001A0BE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72244D">
      <w:rPr>
        <w:noProof/>
        <w:szCs w:val="22"/>
      </w:rPr>
      <w:t>Endnote 4—Amendment history</w:t>
    </w:r>
    <w:r w:rsidRPr="00C4473E">
      <w:rPr>
        <w:szCs w:val="22"/>
      </w:rPr>
      <w:fldChar w:fldCharType="end"/>
    </w:r>
  </w:p>
  <w:p w:rsidR="00307068" w:rsidRDefault="003070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E4C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848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30AB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86C3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F82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A20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C6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4CB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4B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0C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901B2"/>
    <w:multiLevelType w:val="singleLevel"/>
    <w:tmpl w:val="74484C84"/>
    <w:lvl w:ilvl="0">
      <w:start w:val="1"/>
      <w:numFmt w:val="lowerLetter"/>
      <w:lvlText w:val="(%1)"/>
      <w:lvlJc w:val="left"/>
      <w:pPr>
        <w:tabs>
          <w:tab w:val="num" w:pos="1429"/>
        </w:tabs>
        <w:ind w:left="1429" w:hanging="720"/>
      </w:pPr>
      <w:rPr>
        <w:sz w:val="26"/>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4666D9"/>
    <w:multiLevelType w:val="hybridMultilevel"/>
    <w:tmpl w:val="E0164ACC"/>
    <w:lvl w:ilvl="0" w:tplc="B37C13A2">
      <w:start w:val="1"/>
      <w:numFmt w:val="lowerLetter"/>
      <w:lvlText w:val="(%1)"/>
      <w:lvlJc w:val="left"/>
      <w:pPr>
        <w:tabs>
          <w:tab w:val="num" w:pos="1080"/>
        </w:tabs>
        <w:ind w:left="1080" w:hanging="360"/>
      </w:pPr>
    </w:lvl>
    <w:lvl w:ilvl="1" w:tplc="0C090019">
      <w:start w:val="1"/>
      <w:numFmt w:val="lowerLetter"/>
      <w:lvlText w:val="%2."/>
      <w:lvlJc w:val="left"/>
      <w:pPr>
        <w:tabs>
          <w:tab w:val="num" w:pos="2160"/>
        </w:tabs>
        <w:ind w:left="2160" w:hanging="360"/>
      </w:pPr>
    </w:lvl>
    <w:lvl w:ilvl="2" w:tplc="0C09001B">
      <w:start w:val="1"/>
      <w:numFmt w:val="lowerRoman"/>
      <w:lvlText w:val="%3."/>
      <w:lvlJc w:val="right"/>
      <w:pPr>
        <w:tabs>
          <w:tab w:val="num" w:pos="2880"/>
        </w:tabs>
        <w:ind w:left="2880" w:hanging="180"/>
      </w:pPr>
    </w:lvl>
    <w:lvl w:ilvl="3" w:tplc="0C09000F">
      <w:start w:val="1"/>
      <w:numFmt w:val="decimal"/>
      <w:lvlText w:val="%4."/>
      <w:lvlJc w:val="left"/>
      <w:pPr>
        <w:tabs>
          <w:tab w:val="num" w:pos="3600"/>
        </w:tabs>
        <w:ind w:left="3600" w:hanging="360"/>
      </w:pPr>
    </w:lvl>
    <w:lvl w:ilvl="4" w:tplc="0C090019">
      <w:start w:val="1"/>
      <w:numFmt w:val="lowerLetter"/>
      <w:lvlText w:val="%5."/>
      <w:lvlJc w:val="left"/>
      <w:pPr>
        <w:tabs>
          <w:tab w:val="num" w:pos="4320"/>
        </w:tabs>
        <w:ind w:left="4320" w:hanging="360"/>
      </w:pPr>
    </w:lvl>
    <w:lvl w:ilvl="5" w:tplc="0C09001B">
      <w:start w:val="1"/>
      <w:numFmt w:val="lowerRoman"/>
      <w:lvlText w:val="%6."/>
      <w:lvlJc w:val="right"/>
      <w:pPr>
        <w:tabs>
          <w:tab w:val="num" w:pos="5040"/>
        </w:tabs>
        <w:ind w:left="5040" w:hanging="180"/>
      </w:pPr>
    </w:lvl>
    <w:lvl w:ilvl="6" w:tplc="0C09000F">
      <w:start w:val="1"/>
      <w:numFmt w:val="decimal"/>
      <w:lvlText w:val="%7."/>
      <w:lvlJc w:val="left"/>
      <w:pPr>
        <w:tabs>
          <w:tab w:val="num" w:pos="5760"/>
        </w:tabs>
        <w:ind w:left="5760" w:hanging="360"/>
      </w:pPr>
    </w:lvl>
    <w:lvl w:ilvl="7" w:tplc="0C090019">
      <w:start w:val="1"/>
      <w:numFmt w:val="lowerLetter"/>
      <w:lvlText w:val="%8."/>
      <w:lvlJc w:val="left"/>
      <w:pPr>
        <w:tabs>
          <w:tab w:val="num" w:pos="6480"/>
        </w:tabs>
        <w:ind w:left="6480" w:hanging="360"/>
      </w:pPr>
    </w:lvl>
    <w:lvl w:ilvl="8" w:tplc="0C09001B">
      <w:start w:val="1"/>
      <w:numFmt w:val="lowerRoman"/>
      <w:lvlText w:val="%9."/>
      <w:lvlJc w:val="right"/>
      <w:pPr>
        <w:tabs>
          <w:tab w:val="num" w:pos="7200"/>
        </w:tabs>
        <w:ind w:left="7200" w:hanging="180"/>
      </w:p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490E6070"/>
    <w:multiLevelType w:val="singleLevel"/>
    <w:tmpl w:val="544A35C6"/>
    <w:lvl w:ilvl="0">
      <w:start w:val="1"/>
      <w:numFmt w:val="lowerLetter"/>
      <w:lvlText w:val="(%1)"/>
      <w:lvlJc w:val="left"/>
      <w:pPr>
        <w:tabs>
          <w:tab w:val="num" w:pos="1440"/>
        </w:tabs>
        <w:ind w:left="1440" w:hanging="720"/>
      </w:pPr>
    </w:lvl>
  </w:abstractNum>
  <w:abstractNum w:abstractNumId="15" w15:restartNumberingAfterBreak="0">
    <w:nsid w:val="4C7568DE"/>
    <w:multiLevelType w:val="singleLevel"/>
    <w:tmpl w:val="95CC4C00"/>
    <w:lvl w:ilvl="0">
      <w:start w:val="2"/>
      <w:numFmt w:val="lowerLetter"/>
      <w:lvlText w:val="(%1)"/>
      <w:lvlJc w:val="left"/>
      <w:pPr>
        <w:tabs>
          <w:tab w:val="num" w:pos="1429"/>
        </w:tabs>
        <w:ind w:left="1429" w:hanging="720"/>
      </w:pPr>
    </w:lvl>
  </w:abstractNum>
  <w:abstractNum w:abstractNumId="16" w15:restartNumberingAfterBreak="0">
    <w:nsid w:val="4ED17128"/>
    <w:multiLevelType w:val="singleLevel"/>
    <w:tmpl w:val="DA7C8A0A"/>
    <w:lvl w:ilvl="0">
      <w:start w:val="1"/>
      <w:numFmt w:val="lowerLetter"/>
      <w:lvlText w:val="(%1)"/>
      <w:lvlJc w:val="left"/>
      <w:pPr>
        <w:tabs>
          <w:tab w:val="num" w:pos="1440"/>
        </w:tabs>
        <w:ind w:left="1440" w:hanging="720"/>
      </w:pPr>
      <w:rPr>
        <w:rFonts w:ascii="Times New Roman" w:hAnsi="Times New Roman" w:cs="Times New Roman" w:hint="default"/>
        <w:b w:val="0"/>
        <w:i w:val="0"/>
        <w:sz w:val="24"/>
      </w:rPr>
    </w:lvl>
  </w:abstractNum>
  <w:abstractNum w:abstractNumId="17" w15:restartNumberingAfterBreak="0">
    <w:nsid w:val="56D62742"/>
    <w:multiLevelType w:val="hybridMultilevel"/>
    <w:tmpl w:val="9C501CFC"/>
    <w:lvl w:ilvl="0" w:tplc="2D3228E2">
      <w:start w:val="1"/>
      <w:numFmt w:val="lowerLetter"/>
      <w:lvlText w:val="(%1)"/>
      <w:lvlJc w:val="left"/>
      <w:pPr>
        <w:tabs>
          <w:tab w:val="num" w:pos="1440"/>
        </w:tabs>
        <w:ind w:left="1440" w:hanging="720"/>
      </w:pPr>
      <w:rPr>
        <w:rFonts w:ascii="Times New Roman" w:hAnsi="Times New Roman" w:cs="Times New Roman" w:hint="default"/>
        <w:b w:val="0"/>
        <w:i w:val="0"/>
        <w:sz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8"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1767E76"/>
    <w:multiLevelType w:val="hybridMultilevel"/>
    <w:tmpl w:val="AC42F26A"/>
    <w:lvl w:ilvl="0" w:tplc="3B847F12">
      <w:start w:val="1"/>
      <w:numFmt w:val="lowerLetter"/>
      <w:lvlText w:val="(%1)"/>
      <w:lvlJc w:val="left"/>
      <w:pPr>
        <w:tabs>
          <w:tab w:val="num" w:pos="1440"/>
        </w:tabs>
        <w:ind w:left="1440" w:hanging="720"/>
      </w:pPr>
      <w:rPr>
        <w:sz w:val="26"/>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0" w15:restartNumberingAfterBreak="0">
    <w:nsid w:val="7D502709"/>
    <w:multiLevelType w:val="singleLevel"/>
    <w:tmpl w:val="DFD8DFF4"/>
    <w:lvl w:ilvl="0">
      <w:start w:val="4"/>
      <w:numFmt w:val="lowerLetter"/>
      <w:lvlText w:val="(%1)"/>
      <w:lvlJc w:val="left"/>
      <w:pPr>
        <w:tabs>
          <w:tab w:val="num" w:pos="1429"/>
        </w:tabs>
        <w:ind w:left="1429" w:hanging="720"/>
      </w:pPr>
      <w:rPr>
        <w:sz w:val="26"/>
      </w:rPr>
    </w:lvl>
  </w:abstractNum>
  <w:abstractNum w:abstractNumId="21" w15:restartNumberingAfterBreak="0">
    <w:nsid w:val="7DF31FC2"/>
    <w:multiLevelType w:val="hybridMultilevel"/>
    <w:tmpl w:val="9CA866CE"/>
    <w:lvl w:ilvl="0" w:tplc="6AAA88C8">
      <w:start w:val="1"/>
      <w:numFmt w:val="lowerLetter"/>
      <w:lvlText w:val="(%1)"/>
      <w:lvlJc w:val="left"/>
      <w:pPr>
        <w:tabs>
          <w:tab w:val="num" w:pos="2422"/>
        </w:tabs>
        <w:ind w:left="2422" w:hanging="720"/>
      </w:pPr>
      <w:rPr>
        <w:sz w:val="26"/>
      </w:rPr>
    </w:lvl>
    <w:lvl w:ilvl="1" w:tplc="28F475F6">
      <w:start w:val="1"/>
      <w:numFmt w:val="lowerLetter"/>
      <w:lvlText w:val="(%2)"/>
      <w:lvlJc w:val="left"/>
      <w:pPr>
        <w:tabs>
          <w:tab w:val="num" w:pos="1440"/>
        </w:tabs>
        <w:ind w:left="1440" w:hanging="360"/>
      </w:pPr>
      <w:rPr>
        <w:sz w:val="26"/>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1"/>
  </w:num>
  <w:num w:numId="14">
    <w:abstractNumId w:val="15"/>
    <w:lvlOverride w:ilvl="0">
      <w:startOverride w:val="2"/>
    </w:lvlOverride>
  </w:num>
  <w:num w:numId="15">
    <w:abstractNumId w:val="20"/>
    <w:lvlOverride w:ilvl="0">
      <w:startOverride w:val="4"/>
    </w:lvlOverride>
  </w:num>
  <w:num w:numId="16">
    <w:abstractNumId w:val="16"/>
    <w:lvlOverride w:ilvl="0">
      <w:startOverride w:val="1"/>
    </w:lvlOverride>
  </w:num>
  <w:num w:numId="17">
    <w:abstractNumId w:val="10"/>
    <w:lvlOverride w:ilvl="0">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68"/>
    <w:rsid w:val="000136AF"/>
    <w:rsid w:val="00022B7E"/>
    <w:rsid w:val="000341FA"/>
    <w:rsid w:val="00036B0B"/>
    <w:rsid w:val="000444FE"/>
    <w:rsid w:val="000517C9"/>
    <w:rsid w:val="00056743"/>
    <w:rsid w:val="000614BF"/>
    <w:rsid w:val="00075C78"/>
    <w:rsid w:val="000C604C"/>
    <w:rsid w:val="000D05EF"/>
    <w:rsid w:val="0010745C"/>
    <w:rsid w:val="00160F9F"/>
    <w:rsid w:val="00166C2F"/>
    <w:rsid w:val="001939E1"/>
    <w:rsid w:val="00195382"/>
    <w:rsid w:val="001C69C4"/>
    <w:rsid w:val="001E3590"/>
    <w:rsid w:val="001E71AC"/>
    <w:rsid w:val="001E7407"/>
    <w:rsid w:val="00253D1B"/>
    <w:rsid w:val="00295FBA"/>
    <w:rsid w:val="002970D7"/>
    <w:rsid w:val="00297247"/>
    <w:rsid w:val="00297ECB"/>
    <w:rsid w:val="002B5DAE"/>
    <w:rsid w:val="002C7668"/>
    <w:rsid w:val="002D043A"/>
    <w:rsid w:val="002D6A8E"/>
    <w:rsid w:val="00307068"/>
    <w:rsid w:val="00311448"/>
    <w:rsid w:val="0032286F"/>
    <w:rsid w:val="00352B0F"/>
    <w:rsid w:val="00360FB0"/>
    <w:rsid w:val="00377A00"/>
    <w:rsid w:val="003B5735"/>
    <w:rsid w:val="003D0BFE"/>
    <w:rsid w:val="003D5700"/>
    <w:rsid w:val="003D6F8A"/>
    <w:rsid w:val="003E4160"/>
    <w:rsid w:val="004116CD"/>
    <w:rsid w:val="00423CB2"/>
    <w:rsid w:val="00424CA9"/>
    <w:rsid w:val="0044291A"/>
    <w:rsid w:val="004560FB"/>
    <w:rsid w:val="004653F8"/>
    <w:rsid w:val="00494C78"/>
    <w:rsid w:val="00496F97"/>
    <w:rsid w:val="00516B8D"/>
    <w:rsid w:val="005327A0"/>
    <w:rsid w:val="00537FBC"/>
    <w:rsid w:val="00584811"/>
    <w:rsid w:val="00594161"/>
    <w:rsid w:val="00594749"/>
    <w:rsid w:val="0059763C"/>
    <w:rsid w:val="005D6A59"/>
    <w:rsid w:val="00600219"/>
    <w:rsid w:val="00613A55"/>
    <w:rsid w:val="006207A3"/>
    <w:rsid w:val="006279B8"/>
    <w:rsid w:val="00677CC2"/>
    <w:rsid w:val="00680F77"/>
    <w:rsid w:val="0069207B"/>
    <w:rsid w:val="006C7F8C"/>
    <w:rsid w:val="006D77BA"/>
    <w:rsid w:val="006E2E9F"/>
    <w:rsid w:val="00704A73"/>
    <w:rsid w:val="0072244D"/>
    <w:rsid w:val="007276BC"/>
    <w:rsid w:val="00731E00"/>
    <w:rsid w:val="00733990"/>
    <w:rsid w:val="0075736A"/>
    <w:rsid w:val="0076291A"/>
    <w:rsid w:val="00766393"/>
    <w:rsid w:val="007715C9"/>
    <w:rsid w:val="00774EDD"/>
    <w:rsid w:val="00775577"/>
    <w:rsid w:val="007757EC"/>
    <w:rsid w:val="00782F76"/>
    <w:rsid w:val="008006B2"/>
    <w:rsid w:val="00856A31"/>
    <w:rsid w:val="00872162"/>
    <w:rsid w:val="008754D0"/>
    <w:rsid w:val="00893A33"/>
    <w:rsid w:val="008E17F3"/>
    <w:rsid w:val="008E3B8C"/>
    <w:rsid w:val="008E4F16"/>
    <w:rsid w:val="008F0CF0"/>
    <w:rsid w:val="008F20EA"/>
    <w:rsid w:val="00910C7A"/>
    <w:rsid w:val="009302EC"/>
    <w:rsid w:val="0094622F"/>
    <w:rsid w:val="0098638B"/>
    <w:rsid w:val="00A145FE"/>
    <w:rsid w:val="00A231E2"/>
    <w:rsid w:val="00A64912"/>
    <w:rsid w:val="00A70A74"/>
    <w:rsid w:val="00A91B5C"/>
    <w:rsid w:val="00AC07B0"/>
    <w:rsid w:val="00AD5641"/>
    <w:rsid w:val="00B33B3C"/>
    <w:rsid w:val="00BE719A"/>
    <w:rsid w:val="00BE720A"/>
    <w:rsid w:val="00C3616F"/>
    <w:rsid w:val="00C42BF8"/>
    <w:rsid w:val="00C50043"/>
    <w:rsid w:val="00C544DF"/>
    <w:rsid w:val="00C57B7F"/>
    <w:rsid w:val="00C61CDD"/>
    <w:rsid w:val="00C7573B"/>
    <w:rsid w:val="00C83868"/>
    <w:rsid w:val="00CB3D6B"/>
    <w:rsid w:val="00CB48D8"/>
    <w:rsid w:val="00CC0A9E"/>
    <w:rsid w:val="00CD0200"/>
    <w:rsid w:val="00CF0BB2"/>
    <w:rsid w:val="00D03A1F"/>
    <w:rsid w:val="00D13441"/>
    <w:rsid w:val="00D70DFB"/>
    <w:rsid w:val="00D766DF"/>
    <w:rsid w:val="00DB3CFE"/>
    <w:rsid w:val="00DB6E60"/>
    <w:rsid w:val="00DC78AA"/>
    <w:rsid w:val="00DC7B41"/>
    <w:rsid w:val="00DE7073"/>
    <w:rsid w:val="00DF1CF5"/>
    <w:rsid w:val="00DF6D7F"/>
    <w:rsid w:val="00E47AF4"/>
    <w:rsid w:val="00E74DC7"/>
    <w:rsid w:val="00E76A98"/>
    <w:rsid w:val="00E774E7"/>
    <w:rsid w:val="00ED0C49"/>
    <w:rsid w:val="00EE0816"/>
    <w:rsid w:val="00EF2E3A"/>
    <w:rsid w:val="00F04811"/>
    <w:rsid w:val="00F078DC"/>
    <w:rsid w:val="00F23E5F"/>
    <w:rsid w:val="00F445D6"/>
    <w:rsid w:val="00F51269"/>
    <w:rsid w:val="00F85C9A"/>
    <w:rsid w:val="00FA25AC"/>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AC4AAFAB-80C6-452D-BCA1-B7DFEB54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69C4"/>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uiPriority w:val="59"/>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paragraph" w:customStyle="1" w:styleId="TableOfStatRules">
    <w:name w:val="TableOfStatRules"/>
    <w:basedOn w:val="Normal"/>
    <w:rsid w:val="009302EC"/>
    <w:pPr>
      <w:spacing w:before="60" w:line="200" w:lineRule="exact"/>
    </w:pPr>
    <w:rPr>
      <w:rFonts w:ascii="Arial" w:eastAsia="Times New Roman" w:hAnsi="Arial" w:cs="Times New Roman"/>
      <w:noProof/>
      <w:sz w:val="18"/>
      <w:szCs w:val="24"/>
      <w:lang w:eastAsia="en-AU"/>
    </w:rPr>
  </w:style>
  <w:style w:type="paragraph" w:customStyle="1" w:styleId="Plainheader">
    <w:name w:val="Plain header"/>
    <w:autoRedefine/>
    <w:uiPriority w:val="2"/>
    <w:qFormat/>
    <w:rsid w:val="000444FE"/>
    <w:pPr>
      <w:spacing w:before="120" w:after="120" w:line="280" w:lineRule="atLeast"/>
      <w:jc w:val="center"/>
      <w:outlineLvl w:val="0"/>
    </w:pPr>
    <w:rPr>
      <w:rFonts w:eastAsia="Calibri" w:cs="Times New Roman"/>
      <w:b/>
      <w:color w:val="000000"/>
      <w:sz w:val="40"/>
    </w:rPr>
  </w:style>
  <w:style w:type="paragraph" w:styleId="ListParagraph">
    <w:name w:val="List Paragraph"/>
    <w:basedOn w:val="Normal"/>
    <w:uiPriority w:val="34"/>
    <w:qFormat/>
    <w:rsid w:val="00494C78"/>
    <w:pPr>
      <w:ind w:left="720"/>
      <w:contextualSpacing/>
    </w:pPr>
  </w:style>
  <w:style w:type="paragraph" w:styleId="BodyTextIndent">
    <w:name w:val="Body Text Indent"/>
    <w:basedOn w:val="Normal"/>
    <w:link w:val="BodyTextIndentChar"/>
    <w:unhideWhenUsed/>
    <w:rsid w:val="00494C78"/>
    <w:pPr>
      <w:tabs>
        <w:tab w:val="left" w:pos="0"/>
      </w:tabs>
      <w:spacing w:line="240" w:lineRule="atLeast"/>
      <w:ind w:left="1440" w:hanging="731"/>
      <w:jc w:val="both"/>
    </w:pPr>
    <w:rPr>
      <w:rFonts w:eastAsia="Times New Roman" w:cs="Times New Roman"/>
      <w:sz w:val="26"/>
      <w:lang w:val="en-GB" w:eastAsia="en-AU"/>
    </w:rPr>
  </w:style>
  <w:style w:type="character" w:customStyle="1" w:styleId="BodyTextIndentChar">
    <w:name w:val="Body Text Indent Char"/>
    <w:basedOn w:val="DefaultParagraphFont"/>
    <w:link w:val="BodyTextIndent"/>
    <w:rsid w:val="00494C78"/>
    <w:rPr>
      <w:rFonts w:eastAsia="Times New Roman" w:cs="Times New Roman"/>
      <w:sz w:val="2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3567">
      <w:bodyDiv w:val="1"/>
      <w:marLeft w:val="0"/>
      <w:marRight w:val="0"/>
      <w:marTop w:val="0"/>
      <w:marBottom w:val="0"/>
      <w:divBdr>
        <w:top w:val="none" w:sz="0" w:space="0" w:color="auto"/>
        <w:left w:val="none" w:sz="0" w:space="0" w:color="auto"/>
        <w:bottom w:val="none" w:sz="0" w:space="0" w:color="auto"/>
        <w:right w:val="none" w:sz="0" w:space="0" w:color="auto"/>
      </w:divBdr>
    </w:div>
    <w:div w:id="699623206">
      <w:bodyDiv w:val="1"/>
      <w:marLeft w:val="0"/>
      <w:marRight w:val="0"/>
      <w:marTop w:val="0"/>
      <w:marBottom w:val="0"/>
      <w:divBdr>
        <w:top w:val="none" w:sz="0" w:space="0" w:color="auto"/>
        <w:left w:val="none" w:sz="0" w:space="0" w:color="auto"/>
        <w:bottom w:val="none" w:sz="0" w:space="0" w:color="auto"/>
        <w:right w:val="none" w:sz="0" w:space="0" w:color="auto"/>
      </w:divBdr>
    </w:div>
    <w:div w:id="771047231">
      <w:bodyDiv w:val="1"/>
      <w:marLeft w:val="0"/>
      <w:marRight w:val="0"/>
      <w:marTop w:val="0"/>
      <w:marBottom w:val="0"/>
      <w:divBdr>
        <w:top w:val="none" w:sz="0" w:space="0" w:color="auto"/>
        <w:left w:val="none" w:sz="0" w:space="0" w:color="auto"/>
        <w:bottom w:val="none" w:sz="0" w:space="0" w:color="auto"/>
        <w:right w:val="none" w:sz="0" w:space="0" w:color="auto"/>
      </w:divBdr>
    </w:div>
    <w:div w:id="979723684">
      <w:bodyDiv w:val="1"/>
      <w:marLeft w:val="0"/>
      <w:marRight w:val="0"/>
      <w:marTop w:val="0"/>
      <w:marBottom w:val="0"/>
      <w:divBdr>
        <w:top w:val="none" w:sz="0" w:space="0" w:color="auto"/>
        <w:left w:val="none" w:sz="0" w:space="0" w:color="auto"/>
        <w:bottom w:val="none" w:sz="0" w:space="0" w:color="auto"/>
        <w:right w:val="none" w:sz="0" w:space="0" w:color="auto"/>
      </w:divBdr>
    </w:div>
    <w:div w:id="1036468928">
      <w:bodyDiv w:val="1"/>
      <w:marLeft w:val="0"/>
      <w:marRight w:val="0"/>
      <w:marTop w:val="0"/>
      <w:marBottom w:val="0"/>
      <w:divBdr>
        <w:top w:val="none" w:sz="0" w:space="0" w:color="auto"/>
        <w:left w:val="none" w:sz="0" w:space="0" w:color="auto"/>
        <w:bottom w:val="none" w:sz="0" w:space="0" w:color="auto"/>
        <w:right w:val="none" w:sz="0" w:space="0" w:color="auto"/>
      </w:divBdr>
    </w:div>
    <w:div w:id="1287858232">
      <w:bodyDiv w:val="1"/>
      <w:marLeft w:val="0"/>
      <w:marRight w:val="0"/>
      <w:marTop w:val="0"/>
      <w:marBottom w:val="0"/>
      <w:divBdr>
        <w:top w:val="none" w:sz="0" w:space="0" w:color="auto"/>
        <w:left w:val="none" w:sz="0" w:space="0" w:color="auto"/>
        <w:bottom w:val="none" w:sz="0" w:space="0" w:color="auto"/>
        <w:right w:val="none" w:sz="0" w:space="0" w:color="auto"/>
      </w:divBdr>
    </w:div>
    <w:div w:id="1312296591">
      <w:bodyDiv w:val="1"/>
      <w:marLeft w:val="0"/>
      <w:marRight w:val="0"/>
      <w:marTop w:val="0"/>
      <w:marBottom w:val="0"/>
      <w:divBdr>
        <w:top w:val="none" w:sz="0" w:space="0" w:color="auto"/>
        <w:left w:val="none" w:sz="0" w:space="0" w:color="auto"/>
        <w:bottom w:val="none" w:sz="0" w:space="0" w:color="auto"/>
        <w:right w:val="none" w:sz="0" w:space="0" w:color="auto"/>
      </w:divBdr>
    </w:div>
    <w:div w:id="1402682016">
      <w:bodyDiv w:val="1"/>
      <w:marLeft w:val="0"/>
      <w:marRight w:val="0"/>
      <w:marTop w:val="0"/>
      <w:marBottom w:val="0"/>
      <w:divBdr>
        <w:top w:val="none" w:sz="0" w:space="0" w:color="auto"/>
        <w:left w:val="none" w:sz="0" w:space="0" w:color="auto"/>
        <w:bottom w:val="none" w:sz="0" w:space="0" w:color="auto"/>
        <w:right w:val="none" w:sz="0" w:space="0" w:color="auto"/>
      </w:divBdr>
    </w:div>
    <w:div w:id="1470322711">
      <w:bodyDiv w:val="1"/>
      <w:marLeft w:val="0"/>
      <w:marRight w:val="0"/>
      <w:marTop w:val="0"/>
      <w:marBottom w:val="0"/>
      <w:divBdr>
        <w:top w:val="none" w:sz="0" w:space="0" w:color="auto"/>
        <w:left w:val="none" w:sz="0" w:space="0" w:color="auto"/>
        <w:bottom w:val="none" w:sz="0" w:space="0" w:color="auto"/>
        <w:right w:val="none" w:sz="0" w:space="0" w:color="auto"/>
      </w:divBdr>
    </w:div>
    <w:div w:id="162850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Sundry</Template>
  <TotalTime>29</TotalTime>
  <Pages>12</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Compilations—Agency prepared template</vt:lpstr>
    </vt:vector>
  </TitlesOfParts>
  <Company>Office of Parliamentary Counsel</Company>
  <LinksUpToDate>false</LinksUpToDate>
  <CharactersWithSpaces>16877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Compilations—Agency prepared template</dc:title>
  <dc:creator>colesd</dc:creator>
  <cp:lastModifiedBy>Lochel, Sarah</cp:lastModifiedBy>
  <cp:revision>13</cp:revision>
  <cp:lastPrinted>2016-11-03T03:57:00Z</cp:lastPrinted>
  <dcterms:created xsi:type="dcterms:W3CDTF">2018-07-10T22:56:00Z</dcterms:created>
  <dcterms:modified xsi:type="dcterms:W3CDTF">2018-08-30T04:11:00Z</dcterms:modified>
  <cp:category>Other - Update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ies>
</file>