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FA" w:rsidRPr="00EF17DB" w:rsidRDefault="00676CFA" w:rsidP="00166A6B">
      <w:pPr>
        <w:pStyle w:val="Indent0"/>
        <w:spacing w:after="0"/>
        <w:jc w:val="center"/>
        <w:rPr>
          <w:b/>
          <w:sz w:val="24"/>
          <w:szCs w:val="24"/>
        </w:rPr>
      </w:pPr>
      <w:r w:rsidRPr="00EF17DB">
        <w:rPr>
          <w:b/>
          <w:i/>
          <w:sz w:val="24"/>
          <w:szCs w:val="24"/>
          <w:lang w:val="pt-PT"/>
        </w:rPr>
        <w:t>BANKING (FOREIGN EXCHANGE) REGULATIONS 1959</w:t>
      </w:r>
      <w:r w:rsidRPr="00EF17DB">
        <w:rPr>
          <w:b/>
          <w:i/>
          <w:sz w:val="24"/>
          <w:szCs w:val="24"/>
          <w:lang w:val="pt-PT"/>
        </w:rPr>
        <w:br/>
      </w:r>
      <w:r w:rsidR="0098175E">
        <w:rPr>
          <w:b/>
          <w:sz w:val="24"/>
          <w:szCs w:val="24"/>
          <w:lang w:val="pt-PT"/>
        </w:rPr>
        <w:t xml:space="preserve">AUTONOMOUS FINANCIAL </w:t>
      </w:r>
      <w:r w:rsidRPr="00EF17DB">
        <w:rPr>
          <w:b/>
          <w:sz w:val="24"/>
          <w:szCs w:val="24"/>
          <w:lang w:val="pt-PT"/>
        </w:rPr>
        <w:t xml:space="preserve">SANCTIONS AGAINST </w:t>
      </w:r>
      <w:r w:rsidR="0006298F">
        <w:rPr>
          <w:b/>
          <w:sz w:val="24"/>
          <w:szCs w:val="24"/>
          <w:lang w:val="pt-PT"/>
        </w:rPr>
        <w:t>ZIMBABWE</w:t>
      </w:r>
      <w:r w:rsidRPr="00EF17DB">
        <w:rPr>
          <w:b/>
          <w:sz w:val="24"/>
          <w:szCs w:val="24"/>
          <w:lang w:val="pt-PT"/>
        </w:rPr>
        <w:t xml:space="preserve"> – </w:t>
      </w:r>
      <w:r w:rsidR="00617F83">
        <w:rPr>
          <w:b/>
          <w:sz w:val="24"/>
          <w:szCs w:val="24"/>
        </w:rPr>
        <w:t xml:space="preserve">REVOCATION </w:t>
      </w:r>
      <w:r w:rsidR="00874A4D">
        <w:rPr>
          <w:b/>
          <w:sz w:val="24"/>
          <w:szCs w:val="24"/>
        </w:rPr>
        <w:t>OF INSTRUMENTS</w:t>
      </w:r>
    </w:p>
    <w:p w:rsidR="00166A6B" w:rsidRPr="00EF17DB" w:rsidRDefault="00166A6B" w:rsidP="00166A6B">
      <w:pPr>
        <w:pStyle w:val="Indent0"/>
        <w:spacing w:after="0"/>
        <w:jc w:val="center"/>
        <w:rPr>
          <w:b/>
          <w:sz w:val="24"/>
          <w:szCs w:val="24"/>
        </w:rPr>
      </w:pPr>
    </w:p>
    <w:p w:rsidR="00166A6B" w:rsidRPr="00EF17DB" w:rsidRDefault="00166A6B" w:rsidP="00166A6B">
      <w:pPr>
        <w:pStyle w:val="Indent0"/>
        <w:spacing w:after="0"/>
        <w:jc w:val="center"/>
        <w:rPr>
          <w:b/>
          <w:sz w:val="24"/>
          <w:szCs w:val="24"/>
        </w:rPr>
      </w:pPr>
      <w:r w:rsidRPr="00EF17DB">
        <w:rPr>
          <w:b/>
          <w:sz w:val="24"/>
          <w:szCs w:val="24"/>
        </w:rPr>
        <w:t>EXPLANATORY STATEMENT</w:t>
      </w:r>
    </w:p>
    <w:p w:rsidR="00166A6B" w:rsidRPr="00EF17DB" w:rsidRDefault="00166A6B" w:rsidP="00166A6B">
      <w:pPr>
        <w:pStyle w:val="Indent0"/>
        <w:spacing w:after="0"/>
        <w:jc w:val="center"/>
        <w:rPr>
          <w:b/>
          <w:sz w:val="24"/>
          <w:szCs w:val="24"/>
        </w:rPr>
      </w:pPr>
    </w:p>
    <w:p w:rsidR="00874A4D" w:rsidRPr="00A95562" w:rsidRDefault="00874A4D" w:rsidP="00EF17DB">
      <w:pPr>
        <w:jc w:val="both"/>
        <w:rPr>
          <w:sz w:val="24"/>
          <w:szCs w:val="24"/>
        </w:rPr>
      </w:pPr>
      <w:bookmarkStart w:id="0" w:name="Body"/>
      <w:bookmarkEnd w:id="0"/>
      <w:r>
        <w:rPr>
          <w:sz w:val="24"/>
          <w:szCs w:val="24"/>
        </w:rPr>
        <w:t xml:space="preserve">The Reserve Bank of Australia has been directed by the Australian Government to take the necessary steps to </w:t>
      </w:r>
      <w:r w:rsidR="00E601D3">
        <w:rPr>
          <w:sz w:val="24"/>
          <w:szCs w:val="24"/>
        </w:rPr>
        <w:t xml:space="preserve">remove </w:t>
      </w:r>
      <w:r>
        <w:rPr>
          <w:sz w:val="24"/>
          <w:szCs w:val="24"/>
        </w:rPr>
        <w:t>all</w:t>
      </w:r>
      <w:r w:rsidRPr="00874A4D">
        <w:t xml:space="preserve"> </w:t>
      </w:r>
      <w:r w:rsidRPr="00874A4D">
        <w:rPr>
          <w:sz w:val="24"/>
          <w:szCs w:val="24"/>
        </w:rPr>
        <w:t>autonomous targeted financial sanctions</w:t>
      </w:r>
      <w:r w:rsidR="00CC4236" w:rsidRPr="002422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currently administered </w:t>
      </w:r>
      <w:r w:rsidRPr="00242277">
        <w:rPr>
          <w:sz w:val="24"/>
          <w:szCs w:val="24"/>
        </w:rPr>
        <w:t xml:space="preserve">under the </w:t>
      </w:r>
      <w:r w:rsidRPr="00242277">
        <w:rPr>
          <w:i/>
          <w:sz w:val="24"/>
          <w:szCs w:val="24"/>
        </w:rPr>
        <w:t>Banking (Foreign Exchange) Regulations 1959</w:t>
      </w:r>
      <w:r w:rsidR="00AB5266">
        <w:rPr>
          <w:i/>
          <w:sz w:val="24"/>
          <w:szCs w:val="24"/>
        </w:rPr>
        <w:t xml:space="preserve"> </w:t>
      </w:r>
      <w:r w:rsidR="00982595" w:rsidRPr="00982595">
        <w:rPr>
          <w:sz w:val="24"/>
          <w:szCs w:val="24"/>
        </w:rPr>
        <w:t>(the “Banking Regulations”)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601D3">
        <w:rPr>
          <w:sz w:val="24"/>
          <w:szCs w:val="24"/>
        </w:rPr>
        <w:t>The instruments</w:t>
      </w:r>
      <w:r w:rsidR="00A074E2">
        <w:rPr>
          <w:sz w:val="24"/>
          <w:szCs w:val="24"/>
        </w:rPr>
        <w:t xml:space="preserve"> effecting the </w:t>
      </w:r>
      <w:r w:rsidR="00A95562" w:rsidRPr="00D1262D">
        <w:rPr>
          <w:sz w:val="24"/>
          <w:szCs w:val="24"/>
        </w:rPr>
        <w:t>revocation</w:t>
      </w:r>
      <w:r w:rsidR="00A271E8">
        <w:rPr>
          <w:sz w:val="24"/>
          <w:szCs w:val="24"/>
        </w:rPr>
        <w:t xml:space="preserve"> for each country </w:t>
      </w:r>
      <w:r w:rsidR="00A271E8" w:rsidRPr="0098175E">
        <w:rPr>
          <w:sz w:val="24"/>
          <w:szCs w:val="24"/>
        </w:rPr>
        <w:t>the subject of targeted financial sanctions under the Banking</w:t>
      </w:r>
      <w:r w:rsidR="00A271E8" w:rsidRPr="0098175E">
        <w:rPr>
          <w:i/>
          <w:sz w:val="24"/>
          <w:szCs w:val="24"/>
        </w:rPr>
        <w:t xml:space="preserve"> </w:t>
      </w:r>
      <w:r w:rsidR="00A271E8" w:rsidRPr="0098175E">
        <w:rPr>
          <w:sz w:val="24"/>
          <w:szCs w:val="24"/>
        </w:rPr>
        <w:t>Regulations</w:t>
      </w:r>
      <w:r w:rsidR="00A271E8" w:rsidRPr="00D1262D">
        <w:rPr>
          <w:sz w:val="24"/>
          <w:szCs w:val="24"/>
        </w:rPr>
        <w:t xml:space="preserve"> </w:t>
      </w:r>
      <w:r w:rsidR="00A95562" w:rsidRPr="00D1262D">
        <w:rPr>
          <w:sz w:val="24"/>
          <w:szCs w:val="24"/>
        </w:rPr>
        <w:t xml:space="preserve">will </w:t>
      </w:r>
      <w:r w:rsidR="00A271E8">
        <w:rPr>
          <w:sz w:val="24"/>
          <w:szCs w:val="24"/>
        </w:rPr>
        <w:t xml:space="preserve">come into effect upon the commencement of the </w:t>
      </w:r>
      <w:r w:rsidR="0098175E">
        <w:rPr>
          <w:sz w:val="24"/>
          <w:szCs w:val="24"/>
        </w:rPr>
        <w:t xml:space="preserve">corresponding </w:t>
      </w:r>
      <w:r w:rsidRPr="00D1262D">
        <w:rPr>
          <w:sz w:val="24"/>
          <w:szCs w:val="24"/>
        </w:rPr>
        <w:t xml:space="preserve">new legislative instrument </w:t>
      </w:r>
      <w:r w:rsidR="003668C3">
        <w:rPr>
          <w:sz w:val="24"/>
          <w:szCs w:val="24"/>
        </w:rPr>
        <w:t xml:space="preserve">enacted </w:t>
      </w:r>
      <w:r w:rsidR="00982595">
        <w:rPr>
          <w:sz w:val="24"/>
          <w:szCs w:val="24"/>
        </w:rPr>
        <w:t xml:space="preserve">under the </w:t>
      </w:r>
      <w:r w:rsidR="00982595">
        <w:rPr>
          <w:i/>
          <w:sz w:val="24"/>
          <w:szCs w:val="24"/>
        </w:rPr>
        <w:t>Autonomous Sanctions Regulations 2011.</w:t>
      </w:r>
      <w:r w:rsidR="00982595" w:rsidRPr="00982595">
        <w:rPr>
          <w:i/>
          <w:sz w:val="24"/>
          <w:szCs w:val="24"/>
        </w:rPr>
        <w:t xml:space="preserve">  </w:t>
      </w:r>
      <w:r w:rsidR="00982595">
        <w:rPr>
          <w:sz w:val="24"/>
          <w:szCs w:val="24"/>
        </w:rPr>
        <w:t>The</w:t>
      </w:r>
      <w:r w:rsidR="00982595" w:rsidRPr="00982595">
        <w:rPr>
          <w:sz w:val="24"/>
          <w:szCs w:val="24"/>
        </w:rPr>
        <w:t xml:space="preserve"> new instruments</w:t>
      </w:r>
      <w:r w:rsidR="00982595" w:rsidRPr="00982595">
        <w:rPr>
          <w:i/>
          <w:sz w:val="24"/>
          <w:szCs w:val="24"/>
        </w:rPr>
        <w:t xml:space="preserve"> </w:t>
      </w:r>
      <w:r w:rsidR="00982595" w:rsidRPr="00982595">
        <w:rPr>
          <w:sz w:val="24"/>
          <w:szCs w:val="24"/>
        </w:rPr>
        <w:t>will</w:t>
      </w:r>
      <w:r w:rsidR="00982595" w:rsidRPr="00982595">
        <w:rPr>
          <w:i/>
          <w:sz w:val="24"/>
          <w:szCs w:val="24"/>
        </w:rPr>
        <w:t xml:space="preserve"> </w:t>
      </w:r>
      <w:r w:rsidR="00982595">
        <w:rPr>
          <w:sz w:val="24"/>
          <w:szCs w:val="24"/>
        </w:rPr>
        <w:t xml:space="preserve">give effect to the new autonomous targeted financial sanctions regime </w:t>
      </w:r>
      <w:r w:rsidR="00A271E8">
        <w:rPr>
          <w:sz w:val="24"/>
          <w:szCs w:val="24"/>
        </w:rPr>
        <w:t xml:space="preserve">for a specified country under the </w:t>
      </w:r>
      <w:r w:rsidR="00A271E8" w:rsidRPr="00D450FE">
        <w:rPr>
          <w:i/>
          <w:sz w:val="24"/>
          <w:szCs w:val="24"/>
        </w:rPr>
        <w:t xml:space="preserve">Autonomous Sanctions Regulations </w:t>
      </w:r>
      <w:r w:rsidR="00982595" w:rsidRPr="00982595">
        <w:rPr>
          <w:sz w:val="24"/>
          <w:szCs w:val="24"/>
        </w:rPr>
        <w:t>and will be</w:t>
      </w:r>
      <w:r w:rsidR="00A271E8">
        <w:rPr>
          <w:i/>
          <w:sz w:val="24"/>
          <w:szCs w:val="24"/>
        </w:rPr>
        <w:t xml:space="preserve"> </w:t>
      </w:r>
      <w:r w:rsidR="00982595">
        <w:rPr>
          <w:sz w:val="24"/>
          <w:szCs w:val="24"/>
        </w:rPr>
        <w:t>administered by the Department of Foreign Affairs and Trade.  This timing is to ensure continuity in the operation of Australia’s autonomous financial sanctions regime.</w:t>
      </w:r>
    </w:p>
    <w:p w:rsidR="00EF17DB" w:rsidRPr="0051599E" w:rsidRDefault="00982595" w:rsidP="00846865">
      <w:pPr>
        <w:jc w:val="both"/>
        <w:rPr>
          <w:iCs/>
          <w:sz w:val="24"/>
          <w:szCs w:val="24"/>
        </w:rPr>
      </w:pPr>
      <w:r w:rsidRPr="00982595">
        <w:rPr>
          <w:sz w:val="24"/>
          <w:szCs w:val="24"/>
        </w:rPr>
        <w:t>In accordance with a direction from the Treasurer</w:t>
      </w:r>
      <w:r w:rsidR="00576B15">
        <w:rPr>
          <w:sz w:val="24"/>
          <w:szCs w:val="24"/>
        </w:rPr>
        <w:t>,</w:t>
      </w:r>
      <w:r w:rsidRPr="009825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Reserve Bank of Australia revokes the following legislative instruments pertaining to </w:t>
      </w:r>
      <w:r w:rsidR="0006298F">
        <w:rPr>
          <w:sz w:val="24"/>
          <w:szCs w:val="24"/>
        </w:rPr>
        <w:t>Zimbabwe</w:t>
      </w:r>
      <w:r>
        <w:rPr>
          <w:sz w:val="24"/>
          <w:szCs w:val="24"/>
        </w:rPr>
        <w:t xml:space="preserve">: </w:t>
      </w:r>
      <w:bookmarkStart w:id="1" w:name="OLE_LINK1"/>
    </w:p>
    <w:bookmarkEnd w:id="1"/>
    <w:p w:rsidR="00943F84" w:rsidRPr="0051599E" w:rsidRDefault="00982595" w:rsidP="00943F84">
      <w:pPr>
        <w:pStyle w:val="Indent0"/>
        <w:numPr>
          <w:ilvl w:val="0"/>
          <w:numId w:val="1"/>
        </w:numPr>
        <w:tabs>
          <w:tab w:val="left" w:pos="1080"/>
        </w:tabs>
        <w:jc w:val="both"/>
        <w:rPr>
          <w:sz w:val="24"/>
          <w:szCs w:val="24"/>
        </w:rPr>
      </w:pPr>
      <w:r w:rsidRPr="00982595">
        <w:rPr>
          <w:sz w:val="24"/>
          <w:szCs w:val="24"/>
        </w:rPr>
        <w:t xml:space="preserve">Direction Relating To Foreign Currency Transactions And To </w:t>
      </w:r>
      <w:r w:rsidR="0006298F">
        <w:rPr>
          <w:sz w:val="24"/>
          <w:szCs w:val="24"/>
        </w:rPr>
        <w:t>Zimbabwe</w:t>
      </w:r>
      <w:r w:rsidR="00576B15">
        <w:rPr>
          <w:sz w:val="24"/>
          <w:szCs w:val="24"/>
        </w:rPr>
        <w:t xml:space="preserve"> </w:t>
      </w:r>
      <w:r w:rsidRPr="00982595">
        <w:rPr>
          <w:sz w:val="24"/>
          <w:szCs w:val="24"/>
        </w:rPr>
        <w:t xml:space="preserve">issued under regulation 5 of the </w:t>
      </w:r>
      <w:r w:rsidR="003768D2">
        <w:rPr>
          <w:sz w:val="24"/>
          <w:szCs w:val="24"/>
        </w:rPr>
        <w:t xml:space="preserve">Banking </w:t>
      </w:r>
      <w:r w:rsidRPr="00982595">
        <w:rPr>
          <w:sz w:val="24"/>
          <w:szCs w:val="24"/>
        </w:rPr>
        <w:t>Regulations dated</w:t>
      </w:r>
      <w:r w:rsidR="0006298F">
        <w:rPr>
          <w:sz w:val="24"/>
          <w:szCs w:val="24"/>
        </w:rPr>
        <w:t xml:space="preserve"> 25 November 2002</w:t>
      </w:r>
      <w:r w:rsidRPr="00982595">
        <w:rPr>
          <w:sz w:val="24"/>
          <w:szCs w:val="24"/>
        </w:rPr>
        <w:t>, as published in the Commonwealth of Australia Gazette No. </w:t>
      </w:r>
      <w:r w:rsidR="0006298F">
        <w:rPr>
          <w:sz w:val="24"/>
          <w:szCs w:val="24"/>
        </w:rPr>
        <w:t>GN 49, 11 December 2002</w:t>
      </w:r>
      <w:r w:rsidRPr="00982595">
        <w:rPr>
          <w:sz w:val="24"/>
          <w:szCs w:val="24"/>
        </w:rPr>
        <w:t xml:space="preserve"> (and as subsequently amended), relating to foreign currency transactions involving certain persons and entities in or associated with </w:t>
      </w:r>
      <w:r w:rsidR="0006298F">
        <w:rPr>
          <w:sz w:val="24"/>
          <w:szCs w:val="24"/>
        </w:rPr>
        <w:t>Zimbabwe</w:t>
      </w:r>
      <w:r w:rsidR="00576B15">
        <w:rPr>
          <w:sz w:val="24"/>
          <w:szCs w:val="24"/>
        </w:rPr>
        <w:t>;</w:t>
      </w:r>
    </w:p>
    <w:p w:rsidR="00943F84" w:rsidRPr="00242277" w:rsidRDefault="00982595" w:rsidP="00943F84">
      <w:pPr>
        <w:pStyle w:val="Indent0"/>
        <w:numPr>
          <w:ilvl w:val="0"/>
          <w:numId w:val="1"/>
        </w:numPr>
        <w:tabs>
          <w:tab w:val="left" w:pos="1080"/>
        </w:tabs>
        <w:jc w:val="both"/>
        <w:rPr>
          <w:sz w:val="24"/>
          <w:szCs w:val="24"/>
        </w:rPr>
      </w:pPr>
      <w:r w:rsidRPr="00982595">
        <w:rPr>
          <w:sz w:val="24"/>
          <w:szCs w:val="24"/>
        </w:rPr>
        <w:t xml:space="preserve">Variation of Exemption dated </w:t>
      </w:r>
      <w:r w:rsidR="0006298F">
        <w:rPr>
          <w:sz w:val="24"/>
          <w:szCs w:val="24"/>
        </w:rPr>
        <w:t>25 November 2002</w:t>
      </w:r>
      <w:r w:rsidRPr="00982595">
        <w:rPr>
          <w:sz w:val="24"/>
          <w:szCs w:val="24"/>
        </w:rPr>
        <w:t>, as published in the Commonwealth of Australia Gazette No. </w:t>
      </w:r>
      <w:r w:rsidR="0006298F">
        <w:rPr>
          <w:sz w:val="24"/>
          <w:szCs w:val="24"/>
        </w:rPr>
        <w:t>GN 49, 11 December 2002</w:t>
      </w:r>
      <w:r>
        <w:rPr>
          <w:sz w:val="24"/>
          <w:szCs w:val="24"/>
        </w:rPr>
        <w:t xml:space="preserve"> </w:t>
      </w:r>
      <w:r w:rsidRPr="00982595">
        <w:rPr>
          <w:sz w:val="24"/>
          <w:szCs w:val="24"/>
        </w:rPr>
        <w:t>(and as subsequently amended), relating to sub</w:t>
      </w:r>
      <w:r w:rsidRPr="00982595">
        <w:rPr>
          <w:sz w:val="24"/>
          <w:szCs w:val="24"/>
        </w:rPr>
        <w:noBreakHyphen/>
        <w:t xml:space="preserve">regulation 6(1) of the </w:t>
      </w:r>
      <w:r w:rsidR="003768D2">
        <w:rPr>
          <w:sz w:val="24"/>
          <w:szCs w:val="24"/>
        </w:rPr>
        <w:t xml:space="preserve">Banking </w:t>
      </w:r>
      <w:r w:rsidRPr="00982595">
        <w:rPr>
          <w:sz w:val="24"/>
          <w:szCs w:val="24"/>
        </w:rPr>
        <w:t xml:space="preserve">Regulations and to certain persons and entities in or associated with </w:t>
      </w:r>
      <w:r w:rsidR="0006298F">
        <w:rPr>
          <w:sz w:val="24"/>
          <w:szCs w:val="24"/>
        </w:rPr>
        <w:t>Zimbabwe</w:t>
      </w:r>
      <w:r w:rsidRPr="00982595">
        <w:rPr>
          <w:sz w:val="24"/>
          <w:szCs w:val="24"/>
        </w:rPr>
        <w:t>; and</w:t>
      </w:r>
    </w:p>
    <w:p w:rsidR="00943F84" w:rsidRPr="00AB5266" w:rsidRDefault="00982595" w:rsidP="00943F84">
      <w:pPr>
        <w:pStyle w:val="Indent0"/>
        <w:numPr>
          <w:ilvl w:val="0"/>
          <w:numId w:val="1"/>
        </w:numPr>
        <w:tabs>
          <w:tab w:val="left" w:pos="1080"/>
        </w:tabs>
        <w:jc w:val="both"/>
        <w:rPr>
          <w:sz w:val="24"/>
          <w:szCs w:val="24"/>
        </w:rPr>
      </w:pPr>
      <w:r w:rsidRPr="00982595">
        <w:rPr>
          <w:sz w:val="24"/>
          <w:szCs w:val="24"/>
        </w:rPr>
        <w:t xml:space="preserve">Variation of Exemption dated </w:t>
      </w:r>
      <w:r w:rsidR="0006298F">
        <w:rPr>
          <w:sz w:val="24"/>
          <w:szCs w:val="24"/>
        </w:rPr>
        <w:t>25 November 2002</w:t>
      </w:r>
      <w:r w:rsidRPr="00982595">
        <w:rPr>
          <w:sz w:val="24"/>
          <w:szCs w:val="24"/>
        </w:rPr>
        <w:t>, as published in the Commonwealth of Australia Gazette No. </w:t>
      </w:r>
      <w:r w:rsidR="0006298F">
        <w:rPr>
          <w:sz w:val="24"/>
          <w:szCs w:val="24"/>
        </w:rPr>
        <w:t>GN 49, 11 December 2002</w:t>
      </w:r>
      <w:r w:rsidRPr="00982595">
        <w:rPr>
          <w:sz w:val="24"/>
          <w:szCs w:val="24"/>
        </w:rPr>
        <w:t xml:space="preserve"> (and as subsequently amended), relating to sub</w:t>
      </w:r>
      <w:r w:rsidRPr="00982595">
        <w:rPr>
          <w:sz w:val="24"/>
          <w:szCs w:val="24"/>
        </w:rPr>
        <w:noBreakHyphen/>
        <w:t xml:space="preserve">regulation 8(1)(a) of the </w:t>
      </w:r>
      <w:r w:rsidR="003768D2">
        <w:rPr>
          <w:sz w:val="24"/>
          <w:szCs w:val="24"/>
        </w:rPr>
        <w:t xml:space="preserve">Banking </w:t>
      </w:r>
      <w:r w:rsidRPr="00982595">
        <w:rPr>
          <w:sz w:val="24"/>
          <w:szCs w:val="24"/>
        </w:rPr>
        <w:t xml:space="preserve">Regulations and to certain persons and entities in or associated with </w:t>
      </w:r>
      <w:r w:rsidR="0006298F">
        <w:rPr>
          <w:sz w:val="24"/>
          <w:szCs w:val="24"/>
        </w:rPr>
        <w:t>Zimbabwe</w:t>
      </w:r>
      <w:r w:rsidRPr="00982595">
        <w:rPr>
          <w:sz w:val="24"/>
          <w:szCs w:val="24"/>
        </w:rPr>
        <w:t>.</w:t>
      </w:r>
    </w:p>
    <w:p w:rsidR="00A95562" w:rsidRDefault="00A271E8" w:rsidP="00F13E16">
      <w:pPr>
        <w:pStyle w:val="Indent0"/>
        <w:jc w:val="both"/>
        <w:rPr>
          <w:sz w:val="24"/>
          <w:szCs w:val="24"/>
        </w:rPr>
      </w:pPr>
      <w:r>
        <w:rPr>
          <w:sz w:val="24"/>
          <w:szCs w:val="24"/>
        </w:rPr>
        <w:t>When the above revocations come into effect</w:t>
      </w:r>
      <w:r w:rsidR="00A95562">
        <w:rPr>
          <w:sz w:val="24"/>
          <w:szCs w:val="24"/>
        </w:rPr>
        <w:t xml:space="preserve">, </w:t>
      </w:r>
      <w:r w:rsidR="00035BB6" w:rsidRPr="00035BB6">
        <w:rPr>
          <w:sz w:val="24"/>
          <w:szCs w:val="24"/>
        </w:rPr>
        <w:t>the R</w:t>
      </w:r>
      <w:r w:rsidR="00035BB6">
        <w:rPr>
          <w:sz w:val="24"/>
          <w:szCs w:val="24"/>
        </w:rPr>
        <w:t xml:space="preserve">eserve </w:t>
      </w:r>
      <w:r w:rsidR="00035BB6" w:rsidRPr="00035BB6">
        <w:rPr>
          <w:sz w:val="24"/>
          <w:szCs w:val="24"/>
        </w:rPr>
        <w:t>B</w:t>
      </w:r>
      <w:r w:rsidR="00035BB6">
        <w:rPr>
          <w:sz w:val="24"/>
          <w:szCs w:val="24"/>
        </w:rPr>
        <w:t xml:space="preserve">ank of </w:t>
      </w:r>
      <w:r w:rsidR="00035BB6" w:rsidRPr="00035BB6">
        <w:rPr>
          <w:sz w:val="24"/>
          <w:szCs w:val="24"/>
        </w:rPr>
        <w:t>A</w:t>
      </w:r>
      <w:r w:rsidR="00035BB6">
        <w:rPr>
          <w:sz w:val="24"/>
          <w:szCs w:val="24"/>
        </w:rPr>
        <w:t>ustralia</w:t>
      </w:r>
      <w:r w:rsidR="00035BB6" w:rsidRPr="00035BB6">
        <w:rPr>
          <w:sz w:val="24"/>
          <w:szCs w:val="24"/>
        </w:rPr>
        <w:t xml:space="preserve"> </w:t>
      </w:r>
      <w:r w:rsidR="00A95562">
        <w:rPr>
          <w:sz w:val="24"/>
          <w:szCs w:val="24"/>
        </w:rPr>
        <w:t>will</w:t>
      </w:r>
      <w:r w:rsidR="00035BB6">
        <w:rPr>
          <w:sz w:val="24"/>
          <w:szCs w:val="24"/>
        </w:rPr>
        <w:t xml:space="preserve"> </w:t>
      </w:r>
      <w:r w:rsidR="00035BB6" w:rsidRPr="00035BB6">
        <w:rPr>
          <w:sz w:val="24"/>
          <w:szCs w:val="24"/>
        </w:rPr>
        <w:t>n</w:t>
      </w:r>
      <w:r w:rsidR="00035BB6">
        <w:rPr>
          <w:sz w:val="24"/>
          <w:szCs w:val="24"/>
        </w:rPr>
        <w:t>o longer</w:t>
      </w:r>
      <w:r w:rsidR="00A95562">
        <w:rPr>
          <w:sz w:val="24"/>
          <w:szCs w:val="24"/>
        </w:rPr>
        <w:t xml:space="preserve"> play any role</w:t>
      </w:r>
      <w:r w:rsidR="00035BB6">
        <w:rPr>
          <w:sz w:val="24"/>
          <w:szCs w:val="24"/>
        </w:rPr>
        <w:t xml:space="preserve"> </w:t>
      </w:r>
      <w:r w:rsidR="00A95562">
        <w:rPr>
          <w:sz w:val="24"/>
          <w:szCs w:val="24"/>
        </w:rPr>
        <w:t>in the administration of</w:t>
      </w:r>
      <w:r w:rsidR="00035BB6">
        <w:rPr>
          <w:sz w:val="24"/>
          <w:szCs w:val="24"/>
        </w:rPr>
        <w:t xml:space="preserve"> </w:t>
      </w:r>
      <w:r w:rsidR="00035BB6" w:rsidRPr="00035BB6">
        <w:rPr>
          <w:sz w:val="24"/>
          <w:szCs w:val="24"/>
        </w:rPr>
        <w:t xml:space="preserve">autonomous </w:t>
      </w:r>
      <w:r w:rsidR="00A95562">
        <w:rPr>
          <w:sz w:val="24"/>
          <w:szCs w:val="24"/>
        </w:rPr>
        <w:t xml:space="preserve">targeted </w:t>
      </w:r>
      <w:r w:rsidR="00035BB6" w:rsidRPr="00035BB6">
        <w:rPr>
          <w:sz w:val="24"/>
          <w:szCs w:val="24"/>
        </w:rPr>
        <w:t>financial sanctions on behalf of the Australian government in relation to any individual or entities in</w:t>
      </w:r>
      <w:r w:rsidR="00035BB6">
        <w:rPr>
          <w:sz w:val="24"/>
          <w:szCs w:val="24"/>
        </w:rPr>
        <w:t xml:space="preserve"> or associated with</w:t>
      </w:r>
      <w:r w:rsidR="0006298F">
        <w:rPr>
          <w:sz w:val="24"/>
          <w:szCs w:val="24"/>
        </w:rPr>
        <w:t xml:space="preserve"> Zimbabwe</w:t>
      </w:r>
      <w:r w:rsidR="00035BB6" w:rsidRPr="00035BB6">
        <w:rPr>
          <w:sz w:val="24"/>
          <w:szCs w:val="24"/>
        </w:rPr>
        <w:t xml:space="preserve">. </w:t>
      </w:r>
    </w:p>
    <w:p w:rsidR="00323073" w:rsidRDefault="00323073" w:rsidP="005727E5">
      <w:pPr>
        <w:jc w:val="both"/>
        <w:rPr>
          <w:sz w:val="24"/>
          <w:szCs w:val="24"/>
        </w:rPr>
      </w:pPr>
      <w:r w:rsidRPr="00AF5D3F">
        <w:rPr>
          <w:sz w:val="24"/>
          <w:szCs w:val="24"/>
        </w:rPr>
        <w:t xml:space="preserve">The Department of Foreign Affairs and Trade </w:t>
      </w:r>
      <w:r>
        <w:rPr>
          <w:sz w:val="24"/>
          <w:szCs w:val="24"/>
        </w:rPr>
        <w:t xml:space="preserve">has completed a comprehensive public consultation on the </w:t>
      </w:r>
      <w:r>
        <w:rPr>
          <w:i/>
          <w:sz w:val="24"/>
          <w:szCs w:val="24"/>
        </w:rPr>
        <w:t xml:space="preserve">Autonomous Sanctions Regulations, </w:t>
      </w:r>
      <w:r>
        <w:rPr>
          <w:sz w:val="24"/>
          <w:szCs w:val="24"/>
        </w:rPr>
        <w:t xml:space="preserve">and has published a report on the outcomes of this consultation.  As </w:t>
      </w:r>
      <w:r w:rsidR="00CF7A37">
        <w:rPr>
          <w:sz w:val="24"/>
          <w:szCs w:val="24"/>
        </w:rPr>
        <w:t xml:space="preserve">the new </w:t>
      </w:r>
      <w:r w:rsidR="00CF7A37" w:rsidRPr="00874A4D">
        <w:rPr>
          <w:sz w:val="24"/>
          <w:szCs w:val="24"/>
        </w:rPr>
        <w:t>autonomous targeted financial sanctions</w:t>
      </w:r>
      <w:r w:rsidR="00CF7A37" w:rsidRPr="00242277">
        <w:rPr>
          <w:sz w:val="24"/>
          <w:szCs w:val="24"/>
        </w:rPr>
        <w:t xml:space="preserve"> </w:t>
      </w:r>
      <w:r w:rsidR="00CF7A37">
        <w:rPr>
          <w:sz w:val="24"/>
          <w:szCs w:val="24"/>
        </w:rPr>
        <w:t xml:space="preserve">regime under </w:t>
      </w:r>
      <w:r w:rsidR="00CF7A37">
        <w:rPr>
          <w:i/>
          <w:sz w:val="24"/>
          <w:szCs w:val="24"/>
        </w:rPr>
        <w:t>Autonomous Sanctions Regulations</w:t>
      </w:r>
      <w:r w:rsidR="00CF7A37">
        <w:rPr>
          <w:sz w:val="24"/>
          <w:szCs w:val="24"/>
        </w:rPr>
        <w:t xml:space="preserve"> will replace those under the Banking Regulations</w:t>
      </w:r>
      <w:r>
        <w:rPr>
          <w:sz w:val="24"/>
          <w:szCs w:val="24"/>
        </w:rPr>
        <w:t>, the</w:t>
      </w:r>
      <w:r w:rsidRPr="00AF5D3F">
        <w:rPr>
          <w:sz w:val="24"/>
          <w:szCs w:val="24"/>
        </w:rPr>
        <w:t xml:space="preserve"> Reserve Bank is satisfied that wider consultation beyond those already undertaken by the Department of Foreign Affairs and Trade</w:t>
      </w:r>
      <w:r>
        <w:rPr>
          <w:sz w:val="24"/>
          <w:szCs w:val="24"/>
        </w:rPr>
        <w:t xml:space="preserve"> </w:t>
      </w:r>
      <w:r w:rsidR="00BB63E4">
        <w:rPr>
          <w:sz w:val="24"/>
          <w:szCs w:val="24"/>
        </w:rPr>
        <w:t xml:space="preserve">is unnecessary </w:t>
      </w:r>
      <w:r w:rsidRPr="00AF5D3F">
        <w:rPr>
          <w:sz w:val="24"/>
          <w:szCs w:val="24"/>
        </w:rPr>
        <w:t xml:space="preserve"> (sub-sections 18 (1) and </w:t>
      </w:r>
      <w:r w:rsidRPr="00AF5D3F">
        <w:rPr>
          <w:bCs/>
          <w:sz w:val="24"/>
          <w:szCs w:val="24"/>
        </w:rPr>
        <w:t>18</w:t>
      </w:r>
      <w:r w:rsidRPr="00AF5D3F">
        <w:rPr>
          <w:b/>
          <w:bCs/>
          <w:color w:val="FF0000"/>
          <w:sz w:val="24"/>
          <w:szCs w:val="24"/>
        </w:rPr>
        <w:t xml:space="preserve"> </w:t>
      </w:r>
      <w:r w:rsidRPr="00AF5D3F">
        <w:rPr>
          <w:sz w:val="24"/>
          <w:szCs w:val="24"/>
        </w:rPr>
        <w:t xml:space="preserve">(2)(e) of the </w:t>
      </w:r>
      <w:r w:rsidRPr="00AF5D3F">
        <w:rPr>
          <w:i/>
          <w:iCs/>
          <w:sz w:val="24"/>
          <w:szCs w:val="24"/>
        </w:rPr>
        <w:t>Legislative Instruments Act 2003</w:t>
      </w:r>
      <w:r w:rsidRPr="00AF5D3F">
        <w:rPr>
          <w:sz w:val="24"/>
          <w:szCs w:val="24"/>
        </w:rPr>
        <w:t>).</w:t>
      </w:r>
    </w:p>
    <w:p w:rsidR="00511300" w:rsidRPr="00CF7A37" w:rsidRDefault="00511300" w:rsidP="005727E5">
      <w:pPr>
        <w:jc w:val="both"/>
      </w:pPr>
    </w:p>
    <w:p w:rsidR="00035BB6" w:rsidRDefault="00035BB6" w:rsidP="005727E5">
      <w:pPr>
        <w:jc w:val="both"/>
        <w:rPr>
          <w:bCs/>
          <w:sz w:val="24"/>
          <w:szCs w:val="24"/>
        </w:rPr>
      </w:pPr>
    </w:p>
    <w:p w:rsidR="00640AE5" w:rsidRDefault="00640AE5" w:rsidP="005727E5">
      <w:pPr>
        <w:jc w:val="both"/>
        <w:rPr>
          <w:bCs/>
          <w:sz w:val="24"/>
          <w:szCs w:val="24"/>
        </w:rPr>
      </w:pPr>
    </w:p>
    <w:p w:rsidR="00640AE5" w:rsidRDefault="00640AE5" w:rsidP="005727E5">
      <w:pPr>
        <w:jc w:val="both"/>
        <w:rPr>
          <w:bCs/>
          <w:sz w:val="24"/>
          <w:szCs w:val="24"/>
        </w:rPr>
      </w:pPr>
    </w:p>
    <w:p w:rsidR="00640AE5" w:rsidRPr="00D664E6" w:rsidRDefault="00640AE5" w:rsidP="00640AE5">
      <w:pPr>
        <w:spacing w:before="240" w:after="120"/>
        <w:jc w:val="center"/>
        <w:rPr>
          <w:b/>
          <w:sz w:val="28"/>
          <w:szCs w:val="28"/>
        </w:rPr>
      </w:pPr>
      <w:r w:rsidRPr="00D664E6">
        <w:rPr>
          <w:b/>
          <w:sz w:val="28"/>
          <w:szCs w:val="28"/>
        </w:rPr>
        <w:lastRenderedPageBreak/>
        <w:t>Statement of Compatibility with Human Rights</w:t>
      </w:r>
    </w:p>
    <w:p w:rsidR="00640AE5" w:rsidRPr="00D664E6" w:rsidRDefault="00640AE5" w:rsidP="00640AE5">
      <w:pPr>
        <w:spacing w:before="120" w:after="120"/>
        <w:jc w:val="center"/>
        <w:rPr>
          <w:sz w:val="24"/>
          <w:szCs w:val="24"/>
        </w:rPr>
      </w:pPr>
      <w:r w:rsidRPr="00D664E6">
        <w:rPr>
          <w:i/>
          <w:sz w:val="24"/>
          <w:szCs w:val="24"/>
        </w:rPr>
        <w:t>Prepared in accordance with Part 3 of the Human Rights (Parliamentary Scrutiny) Act 2011</w:t>
      </w:r>
    </w:p>
    <w:p w:rsidR="00640AE5" w:rsidRPr="0043427E" w:rsidRDefault="00640AE5" w:rsidP="00640AE5">
      <w:pPr>
        <w:spacing w:before="360" w:after="360"/>
        <w:jc w:val="center"/>
        <w:rPr>
          <w:sz w:val="24"/>
          <w:szCs w:val="24"/>
        </w:rPr>
      </w:pPr>
      <w:r w:rsidRPr="0043427E">
        <w:rPr>
          <w:sz w:val="24"/>
          <w:szCs w:val="24"/>
        </w:rPr>
        <w:t>REVOCATION OF VARIATIONS OF</w:t>
      </w:r>
      <w:r w:rsidR="007131A0">
        <w:rPr>
          <w:sz w:val="24"/>
          <w:szCs w:val="24"/>
        </w:rPr>
        <w:t xml:space="preserve"> EXEMPTION AND DIRECTION RELATI</w:t>
      </w:r>
      <w:r w:rsidRPr="0043427E">
        <w:rPr>
          <w:sz w:val="24"/>
          <w:szCs w:val="24"/>
        </w:rPr>
        <w:t>N</w:t>
      </w:r>
      <w:r w:rsidR="007131A0">
        <w:rPr>
          <w:sz w:val="24"/>
          <w:szCs w:val="24"/>
        </w:rPr>
        <w:t>G</w:t>
      </w:r>
      <w:r w:rsidRPr="0043427E">
        <w:rPr>
          <w:sz w:val="24"/>
          <w:szCs w:val="24"/>
        </w:rPr>
        <w:t xml:space="preserve"> TO FOREIGN CURRENCY TRANSACTIONS – </w:t>
      </w:r>
      <w:r>
        <w:rPr>
          <w:sz w:val="24"/>
          <w:szCs w:val="24"/>
        </w:rPr>
        <w:t>ZIMBABWE</w:t>
      </w:r>
    </w:p>
    <w:p w:rsidR="00640AE5" w:rsidRPr="00D664E6" w:rsidRDefault="00640AE5" w:rsidP="00640AE5">
      <w:pPr>
        <w:spacing w:before="120" w:after="120"/>
        <w:jc w:val="both"/>
        <w:rPr>
          <w:sz w:val="24"/>
          <w:szCs w:val="24"/>
        </w:rPr>
      </w:pPr>
      <w:r w:rsidRPr="00D664E6">
        <w:rPr>
          <w:sz w:val="24"/>
          <w:szCs w:val="24"/>
        </w:rPr>
        <w:t xml:space="preserve">This Legislative Instrument is compatible with the human rights and freedoms recognised or declared in the international instruments listed in section 3 of the </w:t>
      </w:r>
      <w:r w:rsidRPr="00D664E6">
        <w:rPr>
          <w:i/>
          <w:sz w:val="24"/>
          <w:szCs w:val="24"/>
        </w:rPr>
        <w:t>Human Rights (Parliamentary Scrutiny) Act 2011</w:t>
      </w:r>
      <w:r w:rsidRPr="00D664E6">
        <w:rPr>
          <w:sz w:val="24"/>
          <w:szCs w:val="24"/>
        </w:rPr>
        <w:t>.</w:t>
      </w:r>
    </w:p>
    <w:p w:rsidR="00640AE5" w:rsidRPr="00D664E6" w:rsidRDefault="00640AE5" w:rsidP="00640AE5">
      <w:pPr>
        <w:spacing w:before="360" w:after="120"/>
        <w:jc w:val="both"/>
        <w:rPr>
          <w:b/>
          <w:sz w:val="24"/>
          <w:szCs w:val="24"/>
        </w:rPr>
      </w:pPr>
      <w:r w:rsidRPr="00D664E6">
        <w:rPr>
          <w:b/>
          <w:sz w:val="24"/>
          <w:szCs w:val="24"/>
        </w:rPr>
        <w:t>Overview of the Bill/Legislative Instrument</w:t>
      </w:r>
    </w:p>
    <w:p w:rsidR="00640AE5" w:rsidRDefault="00640AE5" w:rsidP="00640AE5">
      <w:pPr>
        <w:spacing w:before="120" w:after="120"/>
        <w:jc w:val="both"/>
        <w:rPr>
          <w:sz w:val="24"/>
          <w:szCs w:val="24"/>
        </w:rPr>
      </w:pPr>
      <w:r w:rsidRPr="00E90131">
        <w:rPr>
          <w:sz w:val="24"/>
          <w:szCs w:val="24"/>
        </w:rPr>
        <w:t xml:space="preserve">As part of the Government’s policy to reform Australia’s autonomous sanctions regime, a new legislative framework has been implemented under the </w:t>
      </w:r>
      <w:r w:rsidRPr="00E90131">
        <w:rPr>
          <w:i/>
          <w:sz w:val="24"/>
          <w:szCs w:val="24"/>
        </w:rPr>
        <w:t>Autonomous Sanctions Act 2011</w:t>
      </w:r>
      <w:r>
        <w:rPr>
          <w:sz w:val="24"/>
          <w:szCs w:val="24"/>
        </w:rPr>
        <w:t>.  As part of this reform, t</w:t>
      </w:r>
      <w:r w:rsidRPr="00234C47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Reserve Bank of Australia </w:t>
      </w:r>
      <w:r w:rsidRPr="00234C47">
        <w:rPr>
          <w:sz w:val="24"/>
          <w:szCs w:val="24"/>
        </w:rPr>
        <w:t xml:space="preserve">has been directed by the Treasurer to take the necessary steps to remove all </w:t>
      </w:r>
      <w:r>
        <w:rPr>
          <w:sz w:val="24"/>
          <w:szCs w:val="24"/>
        </w:rPr>
        <w:t xml:space="preserve">existing </w:t>
      </w:r>
      <w:r w:rsidRPr="00234C47">
        <w:rPr>
          <w:sz w:val="24"/>
          <w:szCs w:val="24"/>
        </w:rPr>
        <w:t xml:space="preserve">autonomous financial sanctions currently administered under the </w:t>
      </w:r>
      <w:r w:rsidRPr="00234C47">
        <w:rPr>
          <w:i/>
          <w:sz w:val="24"/>
          <w:szCs w:val="24"/>
        </w:rPr>
        <w:t xml:space="preserve">Banking (Foreign Exchange) Regulations 1959 </w:t>
      </w:r>
      <w:r w:rsidRPr="00234C47">
        <w:rPr>
          <w:sz w:val="24"/>
          <w:szCs w:val="24"/>
        </w:rPr>
        <w:t>(the “Banking Regulations”)</w:t>
      </w:r>
      <w:r w:rsidRPr="00234C47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 </w:t>
      </w:r>
      <w:r w:rsidRPr="00234C47">
        <w:rPr>
          <w:sz w:val="24"/>
          <w:szCs w:val="24"/>
        </w:rPr>
        <w:t>This</w:t>
      </w:r>
      <w:r>
        <w:rPr>
          <w:sz w:val="24"/>
          <w:szCs w:val="24"/>
        </w:rPr>
        <w:t xml:space="preserve"> Legislative Instrument revokes the instruments which have implemented autonomous financial sanctions pertaining to the above country.</w:t>
      </w:r>
    </w:p>
    <w:p w:rsidR="00640AE5" w:rsidRDefault="00640AE5" w:rsidP="00640AE5">
      <w:pPr>
        <w:spacing w:before="120" w:after="120"/>
        <w:jc w:val="both"/>
        <w:rPr>
          <w:b/>
          <w:sz w:val="24"/>
          <w:szCs w:val="24"/>
        </w:rPr>
      </w:pPr>
      <w:r w:rsidRPr="00D664E6">
        <w:rPr>
          <w:b/>
          <w:sz w:val="24"/>
          <w:szCs w:val="24"/>
        </w:rPr>
        <w:t>Human rights implications</w:t>
      </w:r>
    </w:p>
    <w:p w:rsidR="00640AE5" w:rsidRPr="005D553D" w:rsidRDefault="00640AE5" w:rsidP="00640AE5">
      <w:pPr>
        <w:pStyle w:val="ListParagraph"/>
        <w:spacing w:before="120"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</w:t>
      </w:r>
      <w:r w:rsidRPr="005D553D">
        <w:rPr>
          <w:rFonts w:ascii="Times New Roman" w:hAnsi="Times New Roman"/>
          <w:sz w:val="24"/>
          <w:szCs w:val="24"/>
        </w:rPr>
        <w:t xml:space="preserve"> instrument will </w:t>
      </w:r>
      <w:r>
        <w:rPr>
          <w:rFonts w:ascii="Times New Roman" w:hAnsi="Times New Roman"/>
          <w:sz w:val="24"/>
          <w:szCs w:val="24"/>
        </w:rPr>
        <w:t xml:space="preserve">terminate </w:t>
      </w:r>
      <w:r w:rsidRPr="005D553D">
        <w:rPr>
          <w:rFonts w:ascii="Times New Roman" w:hAnsi="Times New Roman"/>
          <w:sz w:val="24"/>
          <w:szCs w:val="24"/>
        </w:rPr>
        <w:t>the autonomous financial sanctions regime under the Banking Regulations pertaining to the abov</w:t>
      </w:r>
      <w:r>
        <w:rPr>
          <w:rFonts w:ascii="Times New Roman" w:hAnsi="Times New Roman"/>
          <w:sz w:val="24"/>
          <w:szCs w:val="24"/>
        </w:rPr>
        <w:t>e country.  Once the revocation</w:t>
      </w:r>
      <w:r w:rsidRPr="005D55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5D553D">
        <w:rPr>
          <w:rFonts w:ascii="Times New Roman" w:hAnsi="Times New Roman"/>
          <w:sz w:val="24"/>
          <w:szCs w:val="24"/>
        </w:rPr>
        <w:t xml:space="preserve">in place, the prohibitions previously </w:t>
      </w:r>
      <w:r>
        <w:rPr>
          <w:rFonts w:ascii="Times New Roman" w:hAnsi="Times New Roman"/>
          <w:sz w:val="24"/>
          <w:szCs w:val="24"/>
        </w:rPr>
        <w:t xml:space="preserve">applicable to </w:t>
      </w:r>
      <w:r w:rsidRPr="005D553D">
        <w:rPr>
          <w:rFonts w:ascii="Times New Roman" w:hAnsi="Times New Roman"/>
          <w:sz w:val="24"/>
          <w:szCs w:val="24"/>
        </w:rPr>
        <w:t>the affected groups of persons will be lifted</w:t>
      </w:r>
      <w:r>
        <w:rPr>
          <w:rFonts w:ascii="Times New Roman" w:hAnsi="Times New Roman"/>
          <w:sz w:val="24"/>
          <w:szCs w:val="24"/>
        </w:rPr>
        <w:t xml:space="preserve">.  Removing the prohibitions without there being an equivalent sanction in place under another legislative instrument would </w:t>
      </w:r>
      <w:r w:rsidRPr="005D553D">
        <w:rPr>
          <w:rFonts w:ascii="Times New Roman" w:hAnsi="Times New Roman"/>
          <w:sz w:val="24"/>
          <w:szCs w:val="24"/>
        </w:rPr>
        <w:t xml:space="preserve">promote the </w:t>
      </w:r>
      <w:r>
        <w:rPr>
          <w:rFonts w:ascii="Times New Roman" w:hAnsi="Times New Roman"/>
          <w:sz w:val="24"/>
          <w:szCs w:val="24"/>
        </w:rPr>
        <w:t xml:space="preserve">human </w:t>
      </w:r>
      <w:r w:rsidRPr="005D553D">
        <w:rPr>
          <w:rFonts w:ascii="Times New Roman" w:hAnsi="Times New Roman"/>
          <w:sz w:val="24"/>
          <w:szCs w:val="24"/>
        </w:rPr>
        <w:t xml:space="preserve">rights and freedoms of </w:t>
      </w:r>
      <w:r>
        <w:rPr>
          <w:rFonts w:ascii="Times New Roman" w:hAnsi="Times New Roman"/>
          <w:sz w:val="24"/>
          <w:szCs w:val="24"/>
        </w:rPr>
        <w:t xml:space="preserve">those </w:t>
      </w:r>
      <w:r w:rsidRPr="005D553D">
        <w:rPr>
          <w:rFonts w:ascii="Times New Roman" w:hAnsi="Times New Roman"/>
          <w:sz w:val="24"/>
          <w:szCs w:val="24"/>
        </w:rPr>
        <w:t>persons who were previously subject to the prohibitions.</w:t>
      </w:r>
    </w:p>
    <w:p w:rsidR="00640AE5" w:rsidRDefault="00640AE5" w:rsidP="00640AE5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Note that the </w:t>
      </w:r>
      <w:r w:rsidRPr="005D553D">
        <w:rPr>
          <w:sz w:val="24"/>
          <w:szCs w:val="24"/>
        </w:rPr>
        <w:t xml:space="preserve">revocation contained in this instrument will </w:t>
      </w:r>
      <w:r>
        <w:rPr>
          <w:sz w:val="24"/>
          <w:szCs w:val="24"/>
        </w:rPr>
        <w:t xml:space="preserve">only </w:t>
      </w:r>
      <w:r w:rsidRPr="005D553D">
        <w:rPr>
          <w:sz w:val="24"/>
          <w:szCs w:val="24"/>
        </w:rPr>
        <w:t>come into effect</w:t>
      </w:r>
      <w:r>
        <w:rPr>
          <w:sz w:val="24"/>
          <w:szCs w:val="24"/>
        </w:rPr>
        <w:t xml:space="preserve"> when</w:t>
      </w:r>
      <w:r w:rsidRPr="005D55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5D553D">
        <w:rPr>
          <w:sz w:val="24"/>
          <w:szCs w:val="24"/>
        </w:rPr>
        <w:t xml:space="preserve">new legislative instrument enacted </w:t>
      </w:r>
      <w:r>
        <w:rPr>
          <w:sz w:val="24"/>
          <w:szCs w:val="24"/>
        </w:rPr>
        <w:t>by the Department of Foreign Affairs and Trade (</w:t>
      </w:r>
      <w:r w:rsidR="00511300">
        <w:rPr>
          <w:sz w:val="24"/>
          <w:szCs w:val="24"/>
        </w:rPr>
        <w:t>“</w:t>
      </w:r>
      <w:r>
        <w:rPr>
          <w:sz w:val="24"/>
          <w:szCs w:val="24"/>
        </w:rPr>
        <w:t>DFAT</w:t>
      </w:r>
      <w:r w:rsidR="00511300">
        <w:rPr>
          <w:sz w:val="24"/>
          <w:szCs w:val="24"/>
        </w:rPr>
        <w:t>”</w:t>
      </w:r>
      <w:r>
        <w:rPr>
          <w:sz w:val="24"/>
          <w:szCs w:val="24"/>
        </w:rPr>
        <w:t xml:space="preserve">) </w:t>
      </w:r>
      <w:r w:rsidRPr="005D553D">
        <w:rPr>
          <w:sz w:val="24"/>
          <w:szCs w:val="24"/>
        </w:rPr>
        <w:t xml:space="preserve">under the </w:t>
      </w:r>
      <w:r w:rsidRPr="005D553D">
        <w:rPr>
          <w:i/>
          <w:sz w:val="24"/>
          <w:szCs w:val="24"/>
        </w:rPr>
        <w:t>Autonomous Sanctions Regulations 2011</w:t>
      </w:r>
      <w:r w:rsidRPr="0090449F">
        <w:rPr>
          <w:sz w:val="24"/>
          <w:szCs w:val="24"/>
        </w:rPr>
        <w:t xml:space="preserve"> commences</w:t>
      </w:r>
      <w:r w:rsidRPr="005D553D">
        <w:rPr>
          <w:i/>
          <w:sz w:val="24"/>
          <w:szCs w:val="24"/>
        </w:rPr>
        <w:t xml:space="preserve">.  </w:t>
      </w:r>
      <w:r>
        <w:rPr>
          <w:sz w:val="24"/>
          <w:szCs w:val="24"/>
        </w:rPr>
        <w:t>The new legislative instrument</w:t>
      </w:r>
      <w:r w:rsidRPr="005D553D">
        <w:rPr>
          <w:i/>
          <w:sz w:val="24"/>
          <w:szCs w:val="24"/>
        </w:rPr>
        <w:t xml:space="preserve"> </w:t>
      </w:r>
      <w:r w:rsidRPr="005D553D">
        <w:rPr>
          <w:sz w:val="24"/>
          <w:szCs w:val="24"/>
        </w:rPr>
        <w:t>will</w:t>
      </w:r>
      <w:r w:rsidRPr="005D553D">
        <w:rPr>
          <w:i/>
          <w:sz w:val="24"/>
          <w:szCs w:val="24"/>
        </w:rPr>
        <w:t xml:space="preserve"> </w:t>
      </w:r>
      <w:r w:rsidRPr="005D553D">
        <w:rPr>
          <w:sz w:val="24"/>
          <w:szCs w:val="24"/>
        </w:rPr>
        <w:t xml:space="preserve">give effect to the new autonomous targeted financial sanctions regime for </w:t>
      </w:r>
      <w:r>
        <w:rPr>
          <w:sz w:val="24"/>
          <w:szCs w:val="24"/>
        </w:rPr>
        <w:t xml:space="preserve">the above </w:t>
      </w:r>
      <w:r w:rsidRPr="005D553D">
        <w:rPr>
          <w:sz w:val="24"/>
          <w:szCs w:val="24"/>
        </w:rPr>
        <w:t xml:space="preserve">country under the </w:t>
      </w:r>
      <w:r w:rsidRPr="00511300">
        <w:rPr>
          <w:i/>
          <w:sz w:val="24"/>
          <w:szCs w:val="24"/>
        </w:rPr>
        <w:t>Autonomous Sanctions Regulations</w:t>
      </w:r>
      <w:r>
        <w:rPr>
          <w:sz w:val="24"/>
          <w:szCs w:val="24"/>
        </w:rPr>
        <w:t>, and be accompanied by a Human Rights Compatibility Statement prepared by DFAT</w:t>
      </w:r>
      <w:r w:rsidRPr="005D553D">
        <w:rPr>
          <w:sz w:val="24"/>
          <w:szCs w:val="24"/>
        </w:rPr>
        <w:t xml:space="preserve">.  The timing of commencement of </w:t>
      </w:r>
      <w:r>
        <w:rPr>
          <w:sz w:val="24"/>
          <w:szCs w:val="24"/>
        </w:rPr>
        <w:t>this instrument</w:t>
      </w:r>
      <w:r w:rsidRPr="005D553D">
        <w:rPr>
          <w:sz w:val="24"/>
          <w:szCs w:val="24"/>
        </w:rPr>
        <w:t xml:space="preserve"> will ensure continuity in the operation of Australia’s autonomous financial sanctions </w:t>
      </w:r>
      <w:r>
        <w:rPr>
          <w:sz w:val="24"/>
          <w:szCs w:val="24"/>
        </w:rPr>
        <w:t>pertaining to the above country</w:t>
      </w:r>
      <w:r w:rsidRPr="005D553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40AE5" w:rsidRPr="005D553D" w:rsidRDefault="00640AE5" w:rsidP="00640AE5">
      <w:pPr>
        <w:spacing w:before="120" w:after="120"/>
        <w:jc w:val="both"/>
        <w:rPr>
          <w:b/>
          <w:sz w:val="24"/>
          <w:szCs w:val="24"/>
        </w:rPr>
      </w:pPr>
      <w:r w:rsidRPr="005D553D">
        <w:rPr>
          <w:b/>
          <w:sz w:val="24"/>
          <w:szCs w:val="24"/>
        </w:rPr>
        <w:t xml:space="preserve">Conclusion </w:t>
      </w:r>
    </w:p>
    <w:p w:rsidR="00640AE5" w:rsidRPr="00D664E6" w:rsidRDefault="00640AE5" w:rsidP="00640AE5">
      <w:pPr>
        <w:spacing w:before="120" w:after="120"/>
        <w:jc w:val="both"/>
        <w:rPr>
          <w:sz w:val="24"/>
          <w:szCs w:val="24"/>
        </w:rPr>
      </w:pPr>
      <w:r w:rsidRPr="005D553D">
        <w:rPr>
          <w:sz w:val="24"/>
          <w:szCs w:val="24"/>
        </w:rPr>
        <w:t xml:space="preserve">This Legislative Instrument is compatible with human rights because it </w:t>
      </w:r>
      <w:r>
        <w:rPr>
          <w:sz w:val="24"/>
          <w:szCs w:val="24"/>
        </w:rPr>
        <w:t>does not limit any human rights as they apply to Australia</w:t>
      </w:r>
      <w:r w:rsidRPr="005D553D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640AE5" w:rsidRPr="002D22F0" w:rsidRDefault="00640AE5" w:rsidP="00640AE5">
      <w:pPr>
        <w:spacing w:before="36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Reserve Bank of Australia</w:t>
      </w:r>
      <w:r w:rsidRPr="00557820">
        <w:rPr>
          <w:rFonts w:ascii="Cambria" w:hAnsi="Cambria"/>
          <w:sz w:val="24"/>
          <w:szCs w:val="24"/>
        </w:rPr>
        <w:t xml:space="preserve"> </w:t>
      </w:r>
    </w:p>
    <w:p w:rsidR="00640AE5" w:rsidRPr="00A95562" w:rsidRDefault="00640AE5" w:rsidP="005727E5">
      <w:pPr>
        <w:jc w:val="both"/>
        <w:rPr>
          <w:bCs/>
          <w:sz w:val="24"/>
          <w:szCs w:val="24"/>
        </w:rPr>
      </w:pPr>
    </w:p>
    <w:sectPr w:rsidR="00640AE5" w:rsidRPr="00A95562" w:rsidSect="00595506">
      <w:footerReference w:type="even" r:id="rId7"/>
      <w:type w:val="continuous"/>
      <w:pgSz w:w="11906" w:h="16838" w:code="9"/>
      <w:pgMar w:top="851" w:right="1376" w:bottom="851" w:left="851" w:header="720" w:footer="720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C8E" w:rsidRDefault="00113C8E">
      <w:r>
        <w:separator/>
      </w:r>
    </w:p>
  </w:endnote>
  <w:endnote w:type="continuationSeparator" w:id="0">
    <w:p w:rsidR="00113C8E" w:rsidRDefault="00113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27" w:rsidRDefault="00AF45F6" w:rsidP="000E78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3F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3F27" w:rsidRDefault="00313F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C8E" w:rsidRDefault="00113C8E">
      <w:r>
        <w:separator/>
      </w:r>
    </w:p>
  </w:footnote>
  <w:footnote w:type="continuationSeparator" w:id="0">
    <w:p w:rsidR="00113C8E" w:rsidRDefault="00113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54124"/>
    <w:multiLevelType w:val="singleLevel"/>
    <w:tmpl w:val="A882323E"/>
    <w:lvl w:ilvl="0">
      <w:start w:val="1"/>
      <w:numFmt w:val="lowerRoman"/>
      <w:lvlText w:val="(%1)"/>
      <w:legacy w:legacy="1" w:legacySpace="120" w:legacyIndent="720"/>
      <w:lvlJc w:val="left"/>
      <w:pPr>
        <w:ind w:left="10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155"/>
    <w:rsid w:val="00034CEE"/>
    <w:rsid w:val="00035BB6"/>
    <w:rsid w:val="000569C7"/>
    <w:rsid w:val="0006298F"/>
    <w:rsid w:val="00091F67"/>
    <w:rsid w:val="0009236B"/>
    <w:rsid w:val="000A0B79"/>
    <w:rsid w:val="000B6219"/>
    <w:rsid w:val="000B66C7"/>
    <w:rsid w:val="000C2714"/>
    <w:rsid w:val="000E6A40"/>
    <w:rsid w:val="000E7873"/>
    <w:rsid w:val="000F3079"/>
    <w:rsid w:val="001004E4"/>
    <w:rsid w:val="00101815"/>
    <w:rsid w:val="001030D9"/>
    <w:rsid w:val="00105B1C"/>
    <w:rsid w:val="00113C8E"/>
    <w:rsid w:val="00113CA3"/>
    <w:rsid w:val="0012063C"/>
    <w:rsid w:val="001221B5"/>
    <w:rsid w:val="00134A05"/>
    <w:rsid w:val="001423DB"/>
    <w:rsid w:val="00153351"/>
    <w:rsid w:val="00166A6B"/>
    <w:rsid w:val="00191620"/>
    <w:rsid w:val="001A6399"/>
    <w:rsid w:val="001C0626"/>
    <w:rsid w:val="001C6DCE"/>
    <w:rsid w:val="001D0092"/>
    <w:rsid w:val="001D2D8C"/>
    <w:rsid w:val="001D59AB"/>
    <w:rsid w:val="00217196"/>
    <w:rsid w:val="00242277"/>
    <w:rsid w:val="00243B42"/>
    <w:rsid w:val="002535CD"/>
    <w:rsid w:val="00265C9B"/>
    <w:rsid w:val="002736A0"/>
    <w:rsid w:val="0028466A"/>
    <w:rsid w:val="002857CA"/>
    <w:rsid w:val="002B521D"/>
    <w:rsid w:val="002B6BF7"/>
    <w:rsid w:val="002E66A0"/>
    <w:rsid w:val="00304EE0"/>
    <w:rsid w:val="00306827"/>
    <w:rsid w:val="00313F27"/>
    <w:rsid w:val="00323073"/>
    <w:rsid w:val="003504B4"/>
    <w:rsid w:val="00350C9E"/>
    <w:rsid w:val="00352F44"/>
    <w:rsid w:val="00353F67"/>
    <w:rsid w:val="003668C3"/>
    <w:rsid w:val="003766DA"/>
    <w:rsid w:val="003768D2"/>
    <w:rsid w:val="00397CF5"/>
    <w:rsid w:val="003A59B1"/>
    <w:rsid w:val="003A759D"/>
    <w:rsid w:val="003B319A"/>
    <w:rsid w:val="003D01A3"/>
    <w:rsid w:val="003D4E13"/>
    <w:rsid w:val="003E235A"/>
    <w:rsid w:val="003F4E63"/>
    <w:rsid w:val="00430758"/>
    <w:rsid w:val="00442312"/>
    <w:rsid w:val="0045502C"/>
    <w:rsid w:val="00457006"/>
    <w:rsid w:val="00467BFB"/>
    <w:rsid w:val="00472F22"/>
    <w:rsid w:val="00485693"/>
    <w:rsid w:val="00491BC7"/>
    <w:rsid w:val="00493019"/>
    <w:rsid w:val="004A0CBA"/>
    <w:rsid w:val="004C119A"/>
    <w:rsid w:val="004C3294"/>
    <w:rsid w:val="004E5A66"/>
    <w:rsid w:val="004F1C70"/>
    <w:rsid w:val="0050288E"/>
    <w:rsid w:val="00504315"/>
    <w:rsid w:val="00511300"/>
    <w:rsid w:val="0051599E"/>
    <w:rsid w:val="005304A9"/>
    <w:rsid w:val="0053464D"/>
    <w:rsid w:val="00544F7A"/>
    <w:rsid w:val="005727E5"/>
    <w:rsid w:val="00576B15"/>
    <w:rsid w:val="00587CC5"/>
    <w:rsid w:val="00595506"/>
    <w:rsid w:val="0059720F"/>
    <w:rsid w:val="005A3AAF"/>
    <w:rsid w:val="005A4B4F"/>
    <w:rsid w:val="005A7DFA"/>
    <w:rsid w:val="005C77D9"/>
    <w:rsid w:val="005D4417"/>
    <w:rsid w:val="005E6C40"/>
    <w:rsid w:val="0060151E"/>
    <w:rsid w:val="006046D7"/>
    <w:rsid w:val="00617F83"/>
    <w:rsid w:val="00632E73"/>
    <w:rsid w:val="0063684F"/>
    <w:rsid w:val="006407B2"/>
    <w:rsid w:val="00640AE5"/>
    <w:rsid w:val="00660FC2"/>
    <w:rsid w:val="006629E7"/>
    <w:rsid w:val="0066382F"/>
    <w:rsid w:val="00671DE4"/>
    <w:rsid w:val="00672974"/>
    <w:rsid w:val="00676CFA"/>
    <w:rsid w:val="00684A79"/>
    <w:rsid w:val="00692EC7"/>
    <w:rsid w:val="00697B32"/>
    <w:rsid w:val="006A6970"/>
    <w:rsid w:val="006A7E96"/>
    <w:rsid w:val="006D0130"/>
    <w:rsid w:val="006E0618"/>
    <w:rsid w:val="006F1B49"/>
    <w:rsid w:val="007131A0"/>
    <w:rsid w:val="007177A9"/>
    <w:rsid w:val="00750C5F"/>
    <w:rsid w:val="00773797"/>
    <w:rsid w:val="007744DD"/>
    <w:rsid w:val="00786B13"/>
    <w:rsid w:val="00791B8D"/>
    <w:rsid w:val="007A69BA"/>
    <w:rsid w:val="007B2C4E"/>
    <w:rsid w:val="007B3ABA"/>
    <w:rsid w:val="007C6677"/>
    <w:rsid w:val="007D41D9"/>
    <w:rsid w:val="008379F2"/>
    <w:rsid w:val="00843842"/>
    <w:rsid w:val="00846865"/>
    <w:rsid w:val="00852A31"/>
    <w:rsid w:val="008570F2"/>
    <w:rsid w:val="00857155"/>
    <w:rsid w:val="00865010"/>
    <w:rsid w:val="00867487"/>
    <w:rsid w:val="00874797"/>
    <w:rsid w:val="00874A4D"/>
    <w:rsid w:val="008A1974"/>
    <w:rsid w:val="008B2BA8"/>
    <w:rsid w:val="008B400B"/>
    <w:rsid w:val="008C4B0B"/>
    <w:rsid w:val="008C620A"/>
    <w:rsid w:val="0090235E"/>
    <w:rsid w:val="0091609D"/>
    <w:rsid w:val="0094081E"/>
    <w:rsid w:val="00943F84"/>
    <w:rsid w:val="00953637"/>
    <w:rsid w:val="00961341"/>
    <w:rsid w:val="00975D84"/>
    <w:rsid w:val="00980DB6"/>
    <w:rsid w:val="0098175E"/>
    <w:rsid w:val="00982595"/>
    <w:rsid w:val="0099165E"/>
    <w:rsid w:val="009A27A8"/>
    <w:rsid w:val="009A2E5D"/>
    <w:rsid w:val="009B2112"/>
    <w:rsid w:val="009C496B"/>
    <w:rsid w:val="009D3733"/>
    <w:rsid w:val="009F78C0"/>
    <w:rsid w:val="00A073B5"/>
    <w:rsid w:val="00A074E2"/>
    <w:rsid w:val="00A271E8"/>
    <w:rsid w:val="00A304FB"/>
    <w:rsid w:val="00A31545"/>
    <w:rsid w:val="00A400C7"/>
    <w:rsid w:val="00A43A23"/>
    <w:rsid w:val="00A4654B"/>
    <w:rsid w:val="00A54E3C"/>
    <w:rsid w:val="00A65448"/>
    <w:rsid w:val="00A72CF5"/>
    <w:rsid w:val="00A838C5"/>
    <w:rsid w:val="00A85CF7"/>
    <w:rsid w:val="00A95562"/>
    <w:rsid w:val="00AA0D6C"/>
    <w:rsid w:val="00AB2C19"/>
    <w:rsid w:val="00AB2D67"/>
    <w:rsid w:val="00AB3353"/>
    <w:rsid w:val="00AB5266"/>
    <w:rsid w:val="00AC0454"/>
    <w:rsid w:val="00AD0283"/>
    <w:rsid w:val="00AD30D9"/>
    <w:rsid w:val="00AE09B5"/>
    <w:rsid w:val="00AE128D"/>
    <w:rsid w:val="00AF260F"/>
    <w:rsid w:val="00AF45F6"/>
    <w:rsid w:val="00B0052E"/>
    <w:rsid w:val="00B100B0"/>
    <w:rsid w:val="00B20A88"/>
    <w:rsid w:val="00B22408"/>
    <w:rsid w:val="00B27D8C"/>
    <w:rsid w:val="00B346E7"/>
    <w:rsid w:val="00B354A4"/>
    <w:rsid w:val="00B53CEC"/>
    <w:rsid w:val="00B81C32"/>
    <w:rsid w:val="00BA692E"/>
    <w:rsid w:val="00BB3A1B"/>
    <w:rsid w:val="00BB63E4"/>
    <w:rsid w:val="00BB77A6"/>
    <w:rsid w:val="00BE49A2"/>
    <w:rsid w:val="00BF0840"/>
    <w:rsid w:val="00BF6863"/>
    <w:rsid w:val="00C17846"/>
    <w:rsid w:val="00C21DF1"/>
    <w:rsid w:val="00C31F62"/>
    <w:rsid w:val="00C354B8"/>
    <w:rsid w:val="00C66717"/>
    <w:rsid w:val="00C733A4"/>
    <w:rsid w:val="00C760A6"/>
    <w:rsid w:val="00C7781C"/>
    <w:rsid w:val="00C834C4"/>
    <w:rsid w:val="00C90079"/>
    <w:rsid w:val="00C96647"/>
    <w:rsid w:val="00CA6DBC"/>
    <w:rsid w:val="00CA7605"/>
    <w:rsid w:val="00CB0BDF"/>
    <w:rsid w:val="00CC4236"/>
    <w:rsid w:val="00CC4E1B"/>
    <w:rsid w:val="00CD3CAA"/>
    <w:rsid w:val="00CE42C6"/>
    <w:rsid w:val="00CF33BA"/>
    <w:rsid w:val="00CF7A37"/>
    <w:rsid w:val="00D1262D"/>
    <w:rsid w:val="00D1679B"/>
    <w:rsid w:val="00D1787A"/>
    <w:rsid w:val="00D17CF6"/>
    <w:rsid w:val="00D30F0A"/>
    <w:rsid w:val="00D4490D"/>
    <w:rsid w:val="00D450FE"/>
    <w:rsid w:val="00D5631F"/>
    <w:rsid w:val="00D71F1A"/>
    <w:rsid w:val="00D91558"/>
    <w:rsid w:val="00DA0B43"/>
    <w:rsid w:val="00DB14BC"/>
    <w:rsid w:val="00DB66B4"/>
    <w:rsid w:val="00DC1201"/>
    <w:rsid w:val="00DC2C42"/>
    <w:rsid w:val="00DC6183"/>
    <w:rsid w:val="00DD2480"/>
    <w:rsid w:val="00DD24AE"/>
    <w:rsid w:val="00DD31C0"/>
    <w:rsid w:val="00DD421D"/>
    <w:rsid w:val="00DF1BB5"/>
    <w:rsid w:val="00DF657B"/>
    <w:rsid w:val="00E46127"/>
    <w:rsid w:val="00E601D3"/>
    <w:rsid w:val="00E83C8D"/>
    <w:rsid w:val="00E92FCA"/>
    <w:rsid w:val="00EA7DD1"/>
    <w:rsid w:val="00EB0F33"/>
    <w:rsid w:val="00EC70DB"/>
    <w:rsid w:val="00EC768C"/>
    <w:rsid w:val="00ED1064"/>
    <w:rsid w:val="00ED680E"/>
    <w:rsid w:val="00EF17DB"/>
    <w:rsid w:val="00EF17E9"/>
    <w:rsid w:val="00EF7608"/>
    <w:rsid w:val="00EF7FAD"/>
    <w:rsid w:val="00F03FFA"/>
    <w:rsid w:val="00F13E16"/>
    <w:rsid w:val="00F150CE"/>
    <w:rsid w:val="00F164F9"/>
    <w:rsid w:val="00F25B3B"/>
    <w:rsid w:val="00F31A71"/>
    <w:rsid w:val="00F500A1"/>
    <w:rsid w:val="00F50915"/>
    <w:rsid w:val="00F70780"/>
    <w:rsid w:val="00F87FDA"/>
    <w:rsid w:val="00F9036D"/>
    <w:rsid w:val="00F9060D"/>
    <w:rsid w:val="00FA7415"/>
    <w:rsid w:val="00FC25A1"/>
    <w:rsid w:val="00FD3DAC"/>
    <w:rsid w:val="00FD50E3"/>
    <w:rsid w:val="00FF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CEC"/>
    <w:pPr>
      <w:overflowPunct w:val="0"/>
      <w:autoSpaceDE w:val="0"/>
      <w:autoSpaceDN w:val="0"/>
      <w:adjustRightInd w:val="0"/>
      <w:spacing w:after="240"/>
      <w:textAlignment w:val="baseline"/>
    </w:pPr>
    <w:rPr>
      <w:sz w:val="26"/>
      <w:lang w:eastAsia="en-US"/>
    </w:rPr>
  </w:style>
  <w:style w:type="paragraph" w:styleId="Heading1">
    <w:name w:val="heading 1"/>
    <w:basedOn w:val="BaseHeading"/>
    <w:next w:val="Normal"/>
    <w:qFormat/>
    <w:rsid w:val="00A65448"/>
    <w:pPr>
      <w:outlineLvl w:val="0"/>
    </w:pPr>
    <w:rPr>
      <w:caps/>
    </w:rPr>
  </w:style>
  <w:style w:type="paragraph" w:styleId="Heading2">
    <w:name w:val="heading 2"/>
    <w:basedOn w:val="BaseHeading"/>
    <w:next w:val="Normal"/>
    <w:qFormat/>
    <w:rsid w:val="00A65448"/>
    <w:pPr>
      <w:outlineLvl w:val="1"/>
    </w:pPr>
  </w:style>
  <w:style w:type="paragraph" w:styleId="Heading3">
    <w:name w:val="heading 3"/>
    <w:basedOn w:val="BaseHeading"/>
    <w:next w:val="Normal"/>
    <w:qFormat/>
    <w:rsid w:val="00A65448"/>
    <w:pPr>
      <w:outlineLvl w:val="2"/>
    </w:pPr>
  </w:style>
  <w:style w:type="paragraph" w:styleId="Heading4">
    <w:name w:val="heading 4"/>
    <w:basedOn w:val="BaseHeading"/>
    <w:next w:val="Normal"/>
    <w:qFormat/>
    <w:rsid w:val="00A6544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HangIndent">
    <w:name w:val="BaseHangIndent"/>
    <w:basedOn w:val="Normal"/>
    <w:rsid w:val="00A65448"/>
  </w:style>
  <w:style w:type="paragraph" w:customStyle="1" w:styleId="BaseHeading">
    <w:name w:val="BaseHeading"/>
    <w:basedOn w:val="Normal"/>
    <w:rsid w:val="00A65448"/>
    <w:pPr>
      <w:keepNext/>
    </w:pPr>
    <w:rPr>
      <w:b/>
    </w:rPr>
  </w:style>
  <w:style w:type="paragraph" w:customStyle="1" w:styleId="BaseIndent">
    <w:name w:val="BaseIndent"/>
    <w:basedOn w:val="Normal"/>
    <w:rsid w:val="00A65448"/>
  </w:style>
  <w:style w:type="paragraph" w:customStyle="1" w:styleId="BaseTable">
    <w:name w:val="BaseTable"/>
    <w:basedOn w:val="Normal"/>
    <w:rsid w:val="00A65448"/>
  </w:style>
  <w:style w:type="paragraph" w:customStyle="1" w:styleId="Draft">
    <w:name w:val="Draft"/>
    <w:basedOn w:val="Normal"/>
    <w:rsid w:val="00A65448"/>
    <w:rPr>
      <w:b/>
    </w:rPr>
  </w:style>
  <w:style w:type="paragraph" w:customStyle="1" w:styleId="FileName">
    <w:name w:val="FileName"/>
    <w:basedOn w:val="Normal"/>
    <w:rsid w:val="00A65448"/>
    <w:pPr>
      <w:framePr w:hSpace="181" w:wrap="around" w:hAnchor="text" w:yAlign="bottom"/>
    </w:pPr>
    <w:rPr>
      <w:sz w:val="18"/>
    </w:rPr>
  </w:style>
  <w:style w:type="paragraph" w:styleId="Footer">
    <w:name w:val="footer"/>
    <w:basedOn w:val="Normal"/>
    <w:rsid w:val="00A65448"/>
    <w:pPr>
      <w:tabs>
        <w:tab w:val="right" w:pos="9072"/>
      </w:tabs>
      <w:spacing w:before="240"/>
    </w:pPr>
  </w:style>
  <w:style w:type="paragraph" w:customStyle="1" w:styleId="HangIndent0">
    <w:name w:val="HangIndent_0"/>
    <w:basedOn w:val="BaseHangIndent"/>
    <w:rsid w:val="00A65448"/>
    <w:pPr>
      <w:ind w:left="567" w:hanging="567"/>
    </w:pPr>
  </w:style>
  <w:style w:type="paragraph" w:customStyle="1" w:styleId="HangIndent1">
    <w:name w:val="HangIndent_1"/>
    <w:basedOn w:val="BaseHangIndent"/>
    <w:rsid w:val="00A65448"/>
    <w:pPr>
      <w:ind w:left="1134" w:hanging="567"/>
    </w:pPr>
  </w:style>
  <w:style w:type="paragraph" w:customStyle="1" w:styleId="HangIndent2">
    <w:name w:val="HangIndent_2"/>
    <w:basedOn w:val="BaseHangIndent"/>
    <w:rsid w:val="00A65448"/>
    <w:pPr>
      <w:ind w:left="1701" w:hanging="567"/>
    </w:pPr>
  </w:style>
  <w:style w:type="paragraph" w:customStyle="1" w:styleId="HangIndent3">
    <w:name w:val="HangIndent_3"/>
    <w:basedOn w:val="BaseHangIndent"/>
    <w:rsid w:val="00A65448"/>
    <w:pPr>
      <w:ind w:left="2268" w:hanging="567"/>
    </w:pPr>
  </w:style>
  <w:style w:type="paragraph" w:customStyle="1" w:styleId="HangIndent325">
    <w:name w:val="HangIndent_3.25"/>
    <w:basedOn w:val="BaseHangIndent"/>
    <w:rsid w:val="00A65448"/>
    <w:pPr>
      <w:ind w:left="2410" w:hanging="567"/>
    </w:pPr>
  </w:style>
  <w:style w:type="paragraph" w:styleId="Header">
    <w:name w:val="header"/>
    <w:basedOn w:val="Normal"/>
    <w:rsid w:val="00A65448"/>
    <w:pPr>
      <w:tabs>
        <w:tab w:val="right" w:pos="9072"/>
      </w:tabs>
    </w:pPr>
  </w:style>
  <w:style w:type="paragraph" w:customStyle="1" w:styleId="Heading">
    <w:name w:val="Heading"/>
    <w:basedOn w:val="BaseHeading"/>
    <w:next w:val="Normal"/>
    <w:rsid w:val="00A65448"/>
  </w:style>
  <w:style w:type="paragraph" w:customStyle="1" w:styleId="Indent0">
    <w:name w:val="Indent_0"/>
    <w:basedOn w:val="BaseIndent"/>
    <w:rsid w:val="00A65448"/>
  </w:style>
  <w:style w:type="paragraph" w:customStyle="1" w:styleId="Indent1">
    <w:name w:val="Indent_1"/>
    <w:basedOn w:val="BaseIndent"/>
    <w:rsid w:val="00A65448"/>
    <w:pPr>
      <w:ind w:left="567"/>
    </w:pPr>
  </w:style>
  <w:style w:type="paragraph" w:customStyle="1" w:styleId="Indent2">
    <w:name w:val="Indent_2"/>
    <w:basedOn w:val="BaseIndent"/>
    <w:rsid w:val="00A65448"/>
    <w:pPr>
      <w:ind w:left="1134"/>
    </w:pPr>
  </w:style>
  <w:style w:type="paragraph" w:customStyle="1" w:styleId="Indent3">
    <w:name w:val="Indent_3"/>
    <w:basedOn w:val="BaseIndent"/>
    <w:rsid w:val="00A65448"/>
    <w:pPr>
      <w:ind w:left="1701"/>
    </w:pPr>
  </w:style>
  <w:style w:type="paragraph" w:customStyle="1" w:styleId="Indent325">
    <w:name w:val="Indent_3.25"/>
    <w:basedOn w:val="BaseIndent"/>
    <w:rsid w:val="00A65448"/>
    <w:pPr>
      <w:ind w:left="1843"/>
    </w:pPr>
  </w:style>
  <w:style w:type="paragraph" w:styleId="MacroText">
    <w:name w:val="macro"/>
    <w:semiHidden/>
    <w:rsid w:val="00A6544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</w:pPr>
    <w:rPr>
      <w:sz w:val="22"/>
      <w:lang w:eastAsia="en-US"/>
    </w:rPr>
  </w:style>
  <w:style w:type="paragraph" w:customStyle="1" w:styleId="Messages">
    <w:name w:val="Messages"/>
    <w:basedOn w:val="Normal"/>
    <w:rsid w:val="00A65448"/>
    <w:rPr>
      <w:vanish/>
      <w:color w:val="FF0000"/>
      <w:sz w:val="48"/>
    </w:rPr>
  </w:style>
  <w:style w:type="paragraph" w:customStyle="1" w:styleId="Signatory">
    <w:name w:val="Signatory"/>
    <w:basedOn w:val="Normal"/>
    <w:next w:val="Indent0"/>
    <w:rsid w:val="00A65448"/>
    <w:pPr>
      <w:spacing w:before="1200"/>
    </w:pPr>
  </w:style>
  <w:style w:type="paragraph" w:customStyle="1" w:styleId="Table">
    <w:name w:val="Table"/>
    <w:basedOn w:val="BaseTable"/>
    <w:rsid w:val="00A65448"/>
    <w:pPr>
      <w:spacing w:before="60" w:after="60"/>
    </w:pPr>
  </w:style>
  <w:style w:type="paragraph" w:styleId="TOC1">
    <w:name w:val="toc 1"/>
    <w:basedOn w:val="Normal"/>
    <w:next w:val="Normal"/>
    <w:autoRedefine/>
    <w:semiHidden/>
    <w:rsid w:val="00A65448"/>
    <w:pPr>
      <w:tabs>
        <w:tab w:val="right" w:pos="9071"/>
      </w:tabs>
      <w:spacing w:before="360" w:after="0"/>
      <w:ind w:left="567" w:hanging="567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A65448"/>
    <w:pPr>
      <w:tabs>
        <w:tab w:val="right" w:leader="dot" w:pos="9071"/>
      </w:tabs>
      <w:spacing w:after="0"/>
      <w:ind w:left="851" w:hanging="851"/>
    </w:pPr>
  </w:style>
  <w:style w:type="paragraph" w:styleId="TOC3">
    <w:name w:val="toc 3"/>
    <w:basedOn w:val="Normal"/>
    <w:next w:val="Normal"/>
    <w:autoRedefine/>
    <w:semiHidden/>
    <w:rsid w:val="00A65448"/>
    <w:pPr>
      <w:tabs>
        <w:tab w:val="right" w:leader="dot" w:pos="9071"/>
      </w:tabs>
      <w:spacing w:after="0"/>
      <w:ind w:left="851" w:hanging="851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A65448"/>
    <w:pPr>
      <w:tabs>
        <w:tab w:val="right" w:leader="dot" w:pos="9071"/>
      </w:tabs>
      <w:spacing w:after="0"/>
      <w:ind w:left="520"/>
    </w:pPr>
    <w:rPr>
      <w:sz w:val="18"/>
    </w:rPr>
  </w:style>
  <w:style w:type="paragraph" w:styleId="BalloonText">
    <w:name w:val="Balloon Text"/>
    <w:basedOn w:val="Normal"/>
    <w:semiHidden/>
    <w:rsid w:val="00C834C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E7873"/>
  </w:style>
  <w:style w:type="character" w:styleId="Hyperlink">
    <w:name w:val="Hyperlink"/>
    <w:basedOn w:val="DefaultParagraphFont"/>
    <w:rsid w:val="00671DE4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31A71"/>
    <w:rPr>
      <w:sz w:val="16"/>
      <w:szCs w:val="16"/>
    </w:rPr>
  </w:style>
  <w:style w:type="paragraph" w:styleId="CommentText">
    <w:name w:val="annotation text"/>
    <w:basedOn w:val="Normal"/>
    <w:semiHidden/>
    <w:rsid w:val="00F31A71"/>
    <w:pPr>
      <w:overflowPunct/>
      <w:autoSpaceDE/>
      <w:autoSpaceDN/>
      <w:adjustRightInd/>
      <w:spacing w:after="0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19162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BANKING (FOREIGN EXCHANGE) REGULATIONS 1959</vt:lpstr>
    </vt:vector>
  </TitlesOfParts>
  <Company>RBA</Company>
  <LinksUpToDate>false</LinksUpToDate>
  <CharactersWithSpaces>5415</CharactersWithSpaces>
  <SharedDoc>false</SharedDoc>
  <HLinks>
    <vt:vector size="30" baseType="variant">
      <vt:variant>
        <vt:i4>4980751</vt:i4>
      </vt:variant>
      <vt:variant>
        <vt:i4>12</vt:i4>
      </vt:variant>
      <vt:variant>
        <vt:i4>0</vt:i4>
      </vt:variant>
      <vt:variant>
        <vt:i4>5</vt:i4>
      </vt:variant>
      <vt:variant>
        <vt:lpwstr>http://www.saharabank.co.ly/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http://www.ncb.ly/</vt:lpwstr>
      </vt:variant>
      <vt:variant>
        <vt:lpwstr/>
      </vt:variant>
      <vt:variant>
        <vt:i4>6881374</vt:i4>
      </vt:variant>
      <vt:variant>
        <vt:i4>6</vt:i4>
      </vt:variant>
      <vt:variant>
        <vt:i4>0</vt:i4>
      </vt:variant>
      <vt:variant>
        <vt:i4>5</vt:i4>
      </vt:variant>
      <vt:variant>
        <vt:lpwstr>mailto:info@gumhouria-bank.com.ly</vt:lpwstr>
      </vt:variant>
      <vt:variant>
        <vt:lpwstr/>
      </vt:variant>
      <vt:variant>
        <vt:i4>4653076</vt:i4>
      </vt:variant>
      <vt:variant>
        <vt:i4>3</vt:i4>
      </vt:variant>
      <vt:variant>
        <vt:i4>0</vt:i4>
      </vt:variant>
      <vt:variant>
        <vt:i4>5</vt:i4>
      </vt:variant>
      <vt:variant>
        <vt:lpwstr>http://www.gumhouria-bank.com.ly/</vt:lpwstr>
      </vt:variant>
      <vt:variant>
        <vt:lpwstr/>
      </vt:variant>
      <vt:variant>
        <vt:i4>5505124</vt:i4>
      </vt:variant>
      <vt:variant>
        <vt:i4>0</vt:i4>
      </vt:variant>
      <vt:variant>
        <vt:i4>0</vt:i4>
      </vt:variant>
      <vt:variant>
        <vt:i4>5</vt:i4>
      </vt:variant>
      <vt:variant>
        <vt:lpwstr>mailto:info@esdf.ly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(FOREIGN EXCHANGE) REGULATIONS 1959</dc:title>
  <dc:subject/>
  <dc:creator>Danica Irvine</dc:creator>
  <cp:keywords/>
  <dc:description/>
  <cp:lastModifiedBy>Michelle Wright</cp:lastModifiedBy>
  <cp:revision>6</cp:revision>
  <cp:lastPrinted>2010-07-13T21:37:00Z</cp:lastPrinted>
  <dcterms:created xsi:type="dcterms:W3CDTF">2012-02-02T00:26:00Z</dcterms:created>
  <dcterms:modified xsi:type="dcterms:W3CDTF">2012-02-21T06:53:00Z</dcterms:modified>
</cp:coreProperties>
</file>