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AEE" w:rsidRDefault="00095AEE">
      <w:pPr>
        <w:pStyle w:val="Standardtitle"/>
      </w:pPr>
      <w:r>
        <w:t>Standard 4.2.3</w:t>
      </w:r>
    </w:p>
    <w:p w:rsidR="00095AEE" w:rsidRPr="00AC7145" w:rsidRDefault="00095AEE" w:rsidP="00AC7145"/>
    <w:p w:rsidR="00095AEE" w:rsidRDefault="00095AEE">
      <w:pPr>
        <w:pStyle w:val="Standardtitle"/>
      </w:pPr>
      <w:r>
        <w:t>PRODUCTION AND PROCESSING STANDARD FOR MEAT</w:t>
      </w:r>
    </w:p>
    <w:p w:rsidR="00095AEE" w:rsidRDefault="00095AEE">
      <w:pPr>
        <w:pStyle w:val="TitleBorder"/>
      </w:pPr>
    </w:p>
    <w:p w:rsidR="00095AEE" w:rsidRPr="00A353C4" w:rsidRDefault="00095AEE" w:rsidP="00A353C4"/>
    <w:p w:rsidR="00095AEE" w:rsidRDefault="00095AEE">
      <w:pPr>
        <w:pStyle w:val="DivisionHeading"/>
      </w:pPr>
      <w:r>
        <w:t>(</w:t>
      </w:r>
      <w:smartTag w:uri="urn:schemas-microsoft-com:office:smarttags" w:element="country-region">
        <w:smartTag w:uri="urn:schemas-microsoft-com:office:smarttags" w:element="place">
          <w:r>
            <w:t>Australia</w:t>
          </w:r>
        </w:smartTag>
      </w:smartTag>
      <w:r w:rsidR="00CB767F">
        <w:t xml:space="preserve"> o</w:t>
      </w:r>
      <w:r>
        <w:t>nly)</w:t>
      </w:r>
    </w:p>
    <w:p w:rsidR="00095AEE" w:rsidRDefault="00095AEE"/>
    <w:p w:rsidR="00095AEE" w:rsidRDefault="00095AEE">
      <w:pPr>
        <w:pStyle w:val="MiscellaneousHeading"/>
      </w:pPr>
      <w:r>
        <w:t>Purpose and commentary</w:t>
      </w:r>
    </w:p>
    <w:p w:rsidR="00095AEE" w:rsidRDefault="00095AEE"/>
    <w:p w:rsidR="00095AEE" w:rsidRDefault="00095AEE">
      <w:r>
        <w:t>Reserved</w:t>
      </w:r>
    </w:p>
    <w:p w:rsidR="00095AEE" w:rsidRDefault="00095AEE">
      <w:pPr>
        <w:pStyle w:val="MiscellaneousHeading"/>
      </w:pPr>
    </w:p>
    <w:p w:rsidR="00095AEE" w:rsidRDefault="00095AEE">
      <w:pPr>
        <w:pStyle w:val="MiscellaneousHeading"/>
      </w:pPr>
      <w:r>
        <w:t xml:space="preserve">Table of Provisions </w:t>
      </w:r>
    </w:p>
    <w:p w:rsidR="00095AEE" w:rsidRDefault="00095AEE"/>
    <w:p w:rsidR="00095AEE" w:rsidRDefault="00095AEE">
      <w:pPr>
        <w:pStyle w:val="ClauseList"/>
      </w:pPr>
      <w:r>
        <w:t>Division 1 – Preliminary</w:t>
      </w:r>
    </w:p>
    <w:p w:rsidR="00095AEE" w:rsidRDefault="00095AEE">
      <w:pPr>
        <w:pStyle w:val="ClauseList"/>
      </w:pPr>
      <w:r>
        <w:t>1</w:t>
      </w:r>
      <w:r>
        <w:tab/>
        <w:t>Reserved</w:t>
      </w:r>
    </w:p>
    <w:p w:rsidR="00095AEE" w:rsidRDefault="00095AEE">
      <w:pPr>
        <w:pStyle w:val="ClauseList"/>
      </w:pPr>
      <w:r>
        <w:t>2</w:t>
      </w:r>
      <w:r>
        <w:tab/>
        <w:t>Interpretation</w:t>
      </w:r>
    </w:p>
    <w:p w:rsidR="00095AEE" w:rsidRDefault="00095AEE"/>
    <w:p w:rsidR="00095AEE" w:rsidRDefault="00095AEE">
      <w:pPr>
        <w:pStyle w:val="ClauseList"/>
      </w:pPr>
      <w:r>
        <w:t>Division 2 – Reserved</w:t>
      </w:r>
    </w:p>
    <w:p w:rsidR="00095AEE" w:rsidRDefault="00095AEE"/>
    <w:p w:rsidR="00095AEE" w:rsidRDefault="00095AEE">
      <w:r>
        <w:t>Division 3 – Production of ready-to-eat meat</w:t>
      </w:r>
    </w:p>
    <w:p w:rsidR="00095AEE" w:rsidRDefault="00095AEE">
      <w:pPr>
        <w:pStyle w:val="ClauseList"/>
      </w:pPr>
      <w:r>
        <w:t>3</w:t>
      </w:r>
      <w:r>
        <w:tab/>
        <w:t>Interpretation</w:t>
      </w:r>
    </w:p>
    <w:p w:rsidR="00095AEE" w:rsidRDefault="00095AEE">
      <w:pPr>
        <w:pStyle w:val="ClauseList"/>
      </w:pPr>
      <w:r>
        <w:t>4</w:t>
      </w:r>
      <w:r>
        <w:tab/>
        <w:t>Requirements on producers of ready-to-eat meat</w:t>
      </w:r>
    </w:p>
    <w:p w:rsidR="00095AEE" w:rsidRDefault="00095AEE">
      <w:pPr>
        <w:pStyle w:val="ClauseList"/>
      </w:pPr>
      <w:r>
        <w:t>5</w:t>
      </w:r>
      <w:r>
        <w:tab/>
        <w:t>Additional requirements for uncooked comminuted fermented meat</w:t>
      </w:r>
    </w:p>
    <w:p w:rsidR="002732F4" w:rsidRDefault="002732F4" w:rsidP="002732F4"/>
    <w:p w:rsidR="002732F4" w:rsidRPr="002732F4" w:rsidRDefault="002732F4" w:rsidP="00A353C4">
      <w:pPr>
        <w:pStyle w:val="ClauseList"/>
      </w:pPr>
      <w:r>
        <w:t>Schedule</w:t>
      </w:r>
      <w:r>
        <w:tab/>
      </w:r>
      <w:r w:rsidR="00A353C4">
        <w:tab/>
      </w:r>
      <w:r>
        <w:t>Method for measuring pH</w:t>
      </w:r>
    </w:p>
    <w:p w:rsidR="00095AEE" w:rsidRDefault="00095AEE">
      <w:pPr>
        <w:pStyle w:val="ClauseList"/>
      </w:pPr>
    </w:p>
    <w:p w:rsidR="00095AEE" w:rsidRDefault="00095AEE">
      <w:pPr>
        <w:pStyle w:val="MiscellaneousHeading"/>
      </w:pPr>
      <w:r>
        <w:t xml:space="preserve">Clauses </w:t>
      </w:r>
    </w:p>
    <w:p w:rsidR="00095AEE" w:rsidRDefault="00095AEE">
      <w:pPr>
        <w:pStyle w:val="Clauseheading"/>
      </w:pPr>
    </w:p>
    <w:p w:rsidR="00095AEE" w:rsidRDefault="00095AEE">
      <w:pPr>
        <w:pStyle w:val="DivisionHeading"/>
      </w:pPr>
      <w:r>
        <w:t>Division 1 – Preliminary</w:t>
      </w:r>
    </w:p>
    <w:p w:rsidR="00095AEE" w:rsidRDefault="00095AEE"/>
    <w:p w:rsidR="00095AEE" w:rsidRDefault="00095AEE">
      <w:pPr>
        <w:pStyle w:val="Clauseheading"/>
      </w:pPr>
      <w:r>
        <w:t>1</w:t>
      </w:r>
      <w:r>
        <w:tab/>
        <w:t>Reserved</w:t>
      </w:r>
    </w:p>
    <w:p w:rsidR="00095AEE" w:rsidRDefault="00095AEE">
      <w:pPr>
        <w:pStyle w:val="Clauseheading"/>
      </w:pPr>
    </w:p>
    <w:p w:rsidR="00095AEE" w:rsidRDefault="00095AEE">
      <w:pPr>
        <w:pStyle w:val="Clauseheading"/>
      </w:pPr>
      <w:r>
        <w:t>2</w:t>
      </w:r>
      <w:r>
        <w:tab/>
        <w:t>Interpretation</w:t>
      </w:r>
    </w:p>
    <w:p w:rsidR="00095AEE" w:rsidRDefault="00095AEE">
      <w:pPr>
        <w:pStyle w:val="Clause"/>
      </w:pPr>
    </w:p>
    <w:p w:rsidR="00095AEE" w:rsidRDefault="00095AEE">
      <w:pPr>
        <w:pStyle w:val="Subclause"/>
      </w:pPr>
      <w:r>
        <w:t>(1)</w:t>
      </w:r>
      <w:r>
        <w:tab/>
        <w:t>Unless the contrary intention appears, the definitions in Chapter 3 of this Code apply for the purposes of this Standard.</w:t>
      </w:r>
    </w:p>
    <w:p w:rsidR="00095AEE" w:rsidRDefault="00095AEE">
      <w:pPr>
        <w:pStyle w:val="Subclause"/>
      </w:pPr>
    </w:p>
    <w:p w:rsidR="00095AEE" w:rsidRDefault="00095AEE">
      <w:pPr>
        <w:pStyle w:val="DivisionHeading"/>
      </w:pPr>
      <w:r>
        <w:t>Division 2 – Reserved</w:t>
      </w:r>
    </w:p>
    <w:p w:rsidR="00095AEE" w:rsidRDefault="00095AEE"/>
    <w:p w:rsidR="00095AEE" w:rsidRDefault="00095AEE">
      <w:pPr>
        <w:pStyle w:val="DivisionHeading"/>
      </w:pPr>
      <w:r>
        <w:t>Division 3 – Production of ready-to-eat meat</w:t>
      </w:r>
    </w:p>
    <w:p w:rsidR="00095AEE" w:rsidRDefault="00095AEE"/>
    <w:p w:rsidR="00095AEE" w:rsidRDefault="00095AEE">
      <w:pPr>
        <w:pStyle w:val="Clauseheading"/>
      </w:pPr>
      <w:r>
        <w:rPr>
          <w:bCs/>
        </w:rPr>
        <w:t>3</w:t>
      </w:r>
      <w:r w:rsidRPr="00A353C4">
        <w:tab/>
      </w:r>
      <w:r>
        <w:t>Interpretation</w:t>
      </w:r>
    </w:p>
    <w:p w:rsidR="00095AEE" w:rsidRDefault="00095AEE"/>
    <w:p w:rsidR="00095AEE" w:rsidRDefault="00095AEE">
      <w:pPr>
        <w:pStyle w:val="Clause"/>
      </w:pPr>
      <w:r>
        <w:t>In this Division –</w:t>
      </w:r>
    </w:p>
    <w:p w:rsidR="00095AEE" w:rsidRDefault="00095AEE"/>
    <w:p w:rsidR="00095AEE" w:rsidRDefault="00095AEE">
      <w:pPr>
        <w:pStyle w:val="Definition"/>
      </w:pPr>
      <w:proofErr w:type="gramStart"/>
      <w:r>
        <w:rPr>
          <w:b/>
          <w:bCs/>
        </w:rPr>
        <w:t>control</w:t>
      </w:r>
      <w:proofErr w:type="gramEnd"/>
      <w:r>
        <w:t xml:space="preserve"> means a measure that prevents, eliminates or reduces to an acceptable level, a food safety hazard.</w:t>
      </w:r>
    </w:p>
    <w:p w:rsidR="00095AEE" w:rsidRDefault="00095AEE">
      <w:pPr>
        <w:pStyle w:val="Definition"/>
        <w:rPr>
          <w:b/>
          <w:bCs/>
        </w:rPr>
      </w:pPr>
    </w:p>
    <w:p w:rsidR="00095AEE" w:rsidRDefault="00095AEE">
      <w:pPr>
        <w:pStyle w:val="Definition"/>
      </w:pPr>
      <w:r>
        <w:rPr>
          <w:b/>
          <w:bCs/>
        </w:rPr>
        <w:t xml:space="preserve">HACCP plan </w:t>
      </w:r>
      <w:r>
        <w:t>means the –</w:t>
      </w:r>
    </w:p>
    <w:p w:rsidR="00095AEE" w:rsidRDefault="00095AEE"/>
    <w:p w:rsidR="00095AEE" w:rsidRDefault="00095AEE">
      <w:pPr>
        <w:pStyle w:val="Subparagraph"/>
      </w:pPr>
      <w:r>
        <w:t>(a)</w:t>
      </w:r>
      <w:r>
        <w:tab/>
        <w:t>Codex HACCP plan, Annex to CAC/RCPI 1969, Revision 4 (2003); or</w:t>
      </w:r>
    </w:p>
    <w:p w:rsidR="00095AEE" w:rsidRDefault="00095AEE">
      <w:pPr>
        <w:pStyle w:val="Subparagraph"/>
      </w:pPr>
      <w:r>
        <w:t>(b)</w:t>
      </w:r>
      <w:r>
        <w:tab/>
        <w:t>HACCP plan outlined in Australian Standard AS-4696-2002.</w:t>
      </w:r>
    </w:p>
    <w:p w:rsidR="00095AEE" w:rsidRDefault="00095AEE">
      <w:pPr>
        <w:pStyle w:val="Definition"/>
        <w:rPr>
          <w:b/>
          <w:bCs/>
        </w:rPr>
      </w:pPr>
    </w:p>
    <w:p w:rsidR="00095AEE" w:rsidRDefault="00095AEE">
      <w:pPr>
        <w:pStyle w:val="Definition"/>
        <w:rPr>
          <w:b/>
          <w:bCs/>
        </w:rPr>
      </w:pPr>
      <w:proofErr w:type="gramStart"/>
      <w:r>
        <w:rPr>
          <w:b/>
          <w:bCs/>
        </w:rPr>
        <w:t>handling</w:t>
      </w:r>
      <w:proofErr w:type="gramEnd"/>
      <w:r>
        <w:rPr>
          <w:b/>
          <w:bCs/>
        </w:rPr>
        <w:t xml:space="preserve"> </w:t>
      </w:r>
      <w:r>
        <w:t>means slicing, shaving or dicing, where it is followed by the packaging of the product in a modified atmosphere package.</w:t>
      </w:r>
    </w:p>
    <w:p w:rsidR="00095AEE" w:rsidRDefault="00095AEE">
      <w:pPr>
        <w:pStyle w:val="Definition"/>
        <w:rPr>
          <w:b/>
          <w:bCs/>
        </w:rPr>
      </w:pPr>
    </w:p>
    <w:p w:rsidR="00095AEE" w:rsidRDefault="00095AEE">
      <w:pPr>
        <w:pStyle w:val="Definition"/>
      </w:pPr>
      <w:proofErr w:type="gramStart"/>
      <w:r>
        <w:rPr>
          <w:b/>
          <w:bCs/>
        </w:rPr>
        <w:t>producer</w:t>
      </w:r>
      <w:proofErr w:type="gramEnd"/>
      <w:r>
        <w:rPr>
          <w:b/>
          <w:bCs/>
        </w:rPr>
        <w:t xml:space="preserve"> of ready-to-eat meat</w:t>
      </w:r>
      <w:r>
        <w:t xml:space="preserve"> means a food business that engages in the – </w:t>
      </w:r>
    </w:p>
    <w:p w:rsidR="00095AEE" w:rsidRDefault="00A353C4" w:rsidP="00A353C4">
      <w:pPr>
        <w:pStyle w:val="Subparagraph"/>
      </w:pPr>
      <w:r>
        <w:br w:type="page"/>
      </w:r>
      <w:r w:rsidR="00095AEE">
        <w:lastRenderedPageBreak/>
        <w:t>(a)</w:t>
      </w:r>
      <w:r w:rsidR="00095AEE">
        <w:tab/>
        <w:t>making, manufacturing, producing, extracting, processing, preparing, treating, preserving, packing, cooking, thawing or handling of ready-to-eat meat; or</w:t>
      </w:r>
    </w:p>
    <w:p w:rsidR="00095AEE" w:rsidRDefault="00095AEE">
      <w:pPr>
        <w:pStyle w:val="Subparagraph"/>
      </w:pPr>
      <w:r>
        <w:t>(b)</w:t>
      </w:r>
      <w:r>
        <w:tab/>
        <w:t>handling of ready-to-eat meat for retail sale.</w:t>
      </w:r>
    </w:p>
    <w:p w:rsidR="00095AEE" w:rsidRDefault="00095AEE"/>
    <w:p w:rsidR="00095AEE" w:rsidRDefault="00095AEE">
      <w:pPr>
        <w:pStyle w:val="Definition"/>
      </w:pPr>
      <w:r>
        <w:rPr>
          <w:b/>
          <w:bCs/>
        </w:rPr>
        <w:t>ready-to-eat meat</w:t>
      </w:r>
      <w:r>
        <w:t xml:space="preserve"> means meat products intended to be consumed without further heating or cooking, and includes –</w:t>
      </w:r>
    </w:p>
    <w:p w:rsidR="00095AEE" w:rsidRDefault="00095AEE">
      <w:pPr>
        <w:pStyle w:val="Subparagraph"/>
      </w:pPr>
    </w:p>
    <w:p w:rsidR="00095AEE" w:rsidRDefault="00095AEE">
      <w:pPr>
        <w:pStyle w:val="Subparagraph"/>
      </w:pPr>
      <w:r>
        <w:t>(a)</w:t>
      </w:r>
      <w:r>
        <w:tab/>
        <w:t>cooked or uncooked fermented meat; and</w:t>
      </w:r>
    </w:p>
    <w:p w:rsidR="00095AEE" w:rsidRDefault="00095AEE">
      <w:pPr>
        <w:pStyle w:val="Subparagraph"/>
      </w:pPr>
      <w:r>
        <w:t>(b)</w:t>
      </w:r>
      <w:r>
        <w:tab/>
        <w:t>pâté; and</w:t>
      </w:r>
    </w:p>
    <w:p w:rsidR="00095AEE" w:rsidRDefault="00095AEE">
      <w:pPr>
        <w:pStyle w:val="Subparagraph"/>
      </w:pPr>
      <w:r>
        <w:t>(c)</w:t>
      </w:r>
      <w:r>
        <w:tab/>
        <w:t>dried meat; and</w:t>
      </w:r>
    </w:p>
    <w:p w:rsidR="00095AEE" w:rsidRDefault="00095AEE">
      <w:pPr>
        <w:pStyle w:val="Subparagraph"/>
      </w:pPr>
      <w:r>
        <w:t>(d)</w:t>
      </w:r>
      <w:r>
        <w:tab/>
        <w:t>slow cured meat; and</w:t>
      </w:r>
    </w:p>
    <w:p w:rsidR="00095AEE" w:rsidRDefault="00095AEE">
      <w:pPr>
        <w:pStyle w:val="Subparagraph"/>
      </w:pPr>
      <w:r>
        <w:t>(e)</w:t>
      </w:r>
      <w:r>
        <w:tab/>
        <w:t xml:space="preserve">luncheon meat; and </w:t>
      </w:r>
    </w:p>
    <w:p w:rsidR="00095AEE" w:rsidRDefault="00095AEE">
      <w:pPr>
        <w:pStyle w:val="Subparagraph"/>
      </w:pPr>
      <w:r>
        <w:t>(f)</w:t>
      </w:r>
      <w:r>
        <w:tab/>
        <w:t>cooked muscle meat including ham and roast beef;  and</w:t>
      </w:r>
    </w:p>
    <w:p w:rsidR="00095AEE" w:rsidRDefault="00095AEE">
      <w:pPr>
        <w:pStyle w:val="Subparagraph"/>
      </w:pPr>
      <w:r>
        <w:t>(g)</w:t>
      </w:r>
      <w:r>
        <w:tab/>
        <w:t xml:space="preserve">other ready-to-eat meat that is susceptible to the growth of pathogens or the production of toxins. </w:t>
      </w:r>
    </w:p>
    <w:p w:rsidR="00095AEE" w:rsidRDefault="00095AEE"/>
    <w:p w:rsidR="00095AEE" w:rsidRDefault="00095AEE">
      <w:pPr>
        <w:pStyle w:val="Clauseheading"/>
      </w:pPr>
      <w:r>
        <w:t>4</w:t>
      </w:r>
      <w:r>
        <w:tab/>
        <w:t>Requirements on producers of ready-to-eat meat</w:t>
      </w:r>
    </w:p>
    <w:p w:rsidR="00095AEE" w:rsidRDefault="00095AEE"/>
    <w:p w:rsidR="00095AEE" w:rsidRDefault="00095AEE">
      <w:pPr>
        <w:pStyle w:val="Clause"/>
      </w:pPr>
      <w:r>
        <w:t>A producer of ready-to-eat meat must implement a food safety management system that identifies, evaluates and controls hazards, and meets the requirements in Table 1 or Table 2 to this clause.</w:t>
      </w:r>
    </w:p>
    <w:p w:rsidR="00095AEE" w:rsidRDefault="00095AEE">
      <w:pPr>
        <w:pStyle w:val="Clauseheading"/>
      </w:pPr>
    </w:p>
    <w:p w:rsidR="00095AEE" w:rsidRDefault="00095AEE">
      <w:pPr>
        <w:pStyle w:val="TableHeading"/>
      </w:pPr>
      <w:r>
        <w:t>Table 1 to clause 4</w:t>
      </w:r>
    </w:p>
    <w:p w:rsidR="00095AEE" w:rsidRDefault="00095AEE">
      <w:pPr>
        <w:pStyle w:val="Table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6"/>
      </w:tblGrid>
      <w:tr w:rsidR="00095AEE">
        <w:tc>
          <w:tcPr>
            <w:tcW w:w="9236" w:type="dxa"/>
          </w:tcPr>
          <w:p w:rsidR="00095AEE" w:rsidRDefault="00095AEE">
            <w:pPr>
              <w:pStyle w:val="Table2"/>
            </w:pPr>
            <w:r>
              <w:t>Document all stages of production</w:t>
            </w:r>
          </w:p>
        </w:tc>
      </w:tr>
      <w:tr w:rsidR="00095AEE">
        <w:tc>
          <w:tcPr>
            <w:tcW w:w="9236" w:type="dxa"/>
          </w:tcPr>
          <w:p w:rsidR="00095AEE" w:rsidRDefault="00095AEE">
            <w:pPr>
              <w:pStyle w:val="Table2"/>
            </w:pPr>
            <w:r>
              <w:t>Identify all food safety hazards and controls through the use of a HACCP plan</w:t>
            </w:r>
          </w:p>
        </w:tc>
      </w:tr>
      <w:tr w:rsidR="00095AEE">
        <w:tc>
          <w:tcPr>
            <w:tcW w:w="9236" w:type="dxa"/>
          </w:tcPr>
          <w:p w:rsidR="00095AEE" w:rsidRDefault="00095AEE">
            <w:pPr>
              <w:pStyle w:val="Table2"/>
            </w:pPr>
            <w:r>
              <w:t>Document compliance with Standard 3.2.2 of this Code</w:t>
            </w:r>
          </w:p>
        </w:tc>
      </w:tr>
      <w:tr w:rsidR="00095AEE">
        <w:tc>
          <w:tcPr>
            <w:tcW w:w="9236" w:type="dxa"/>
          </w:tcPr>
          <w:p w:rsidR="00095AEE" w:rsidRDefault="00095AEE">
            <w:pPr>
              <w:pStyle w:val="Table2"/>
            </w:pPr>
            <w:r>
              <w:t>Document the management system set out in clauses 3.3 to 3.10 of the Australian Standard AS4696-2002</w:t>
            </w:r>
          </w:p>
        </w:tc>
      </w:tr>
    </w:tbl>
    <w:p w:rsidR="00095AEE" w:rsidRDefault="00095AEE"/>
    <w:p w:rsidR="00095AEE" w:rsidRDefault="00095AEE">
      <w:pPr>
        <w:pStyle w:val="TableHeading"/>
      </w:pPr>
      <w:r>
        <w:t>Table 2 to clause 4</w:t>
      </w:r>
    </w:p>
    <w:p w:rsidR="00095AEE" w:rsidRDefault="00095AEE">
      <w:pPr>
        <w:pStyle w:val="Clausehead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6"/>
      </w:tblGrid>
      <w:tr w:rsidR="00095AEE">
        <w:tc>
          <w:tcPr>
            <w:tcW w:w="9236" w:type="dxa"/>
          </w:tcPr>
          <w:p w:rsidR="00095AEE" w:rsidRDefault="00095AEE">
            <w:pPr>
              <w:pStyle w:val="Table2"/>
            </w:pPr>
            <w:r>
              <w:t>Comply with a food safety management system recognised by the relevant authority</w:t>
            </w:r>
          </w:p>
        </w:tc>
      </w:tr>
    </w:tbl>
    <w:p w:rsidR="00095AEE" w:rsidRDefault="00095AEE"/>
    <w:p w:rsidR="00095AEE" w:rsidRDefault="00095AEE">
      <w:pPr>
        <w:pStyle w:val="EditorialNoteLine1"/>
      </w:pPr>
      <w:r>
        <w:t>Editorial note:</w:t>
      </w:r>
    </w:p>
    <w:p w:rsidR="00095AEE" w:rsidRDefault="00095AEE">
      <w:pPr>
        <w:pStyle w:val="EditorialNotetext"/>
      </w:pPr>
    </w:p>
    <w:p w:rsidR="00095AEE" w:rsidRDefault="00095AEE">
      <w:pPr>
        <w:pStyle w:val="EditorialNotetext"/>
      </w:pPr>
      <w:r>
        <w:t>‘Hazard’ is defined in Standard 3.1.1 as a biological, chemical or physical agent in, or condition of, food that has the potential to cause an adverse health effect in humans.</w:t>
      </w:r>
    </w:p>
    <w:p w:rsidR="00095AEE" w:rsidRDefault="00095AEE">
      <w:pPr>
        <w:pStyle w:val="EditorialNotetext"/>
      </w:pPr>
    </w:p>
    <w:p w:rsidR="00095AEE" w:rsidRDefault="00095AEE">
      <w:pPr>
        <w:pStyle w:val="EditorialNotetext"/>
      </w:pPr>
      <w:r>
        <w:t>‘Relevant authority’ is defined in Standard 1.1.1.</w:t>
      </w:r>
    </w:p>
    <w:p w:rsidR="00095AEE" w:rsidRDefault="00095AEE">
      <w:pPr>
        <w:pStyle w:val="EditorialNotetext"/>
      </w:pPr>
    </w:p>
    <w:p w:rsidR="00095AEE" w:rsidRDefault="00095AEE">
      <w:pPr>
        <w:pStyle w:val="EditorialNotetext"/>
      </w:pPr>
      <w:r>
        <w:t>Examples of a food safety management system that a relevant authority may recognise are the Commonwealth Export Control (Meat and Meat Products) Orders 2005 or the Australian Standard AS4696-2002.</w:t>
      </w:r>
    </w:p>
    <w:p w:rsidR="00095AEE" w:rsidRDefault="00095AEE"/>
    <w:p w:rsidR="00095AEE" w:rsidRDefault="00095AEE">
      <w:pPr>
        <w:pStyle w:val="Clauseheading"/>
      </w:pPr>
      <w:r>
        <w:t>5</w:t>
      </w:r>
      <w:r>
        <w:tab/>
        <w:t>Additional requirements for uncooked comminuted fermented meat</w:t>
      </w:r>
    </w:p>
    <w:p w:rsidR="00095AEE" w:rsidRDefault="00095AEE"/>
    <w:p w:rsidR="00095AEE" w:rsidRDefault="00095AEE">
      <w:pPr>
        <w:pStyle w:val="Subclause"/>
      </w:pPr>
      <w:r>
        <w:t>(1)</w:t>
      </w:r>
      <w:r>
        <w:tab/>
        <w:t>In this clause –</w:t>
      </w:r>
    </w:p>
    <w:p w:rsidR="00095AEE" w:rsidRDefault="00095AEE" w:rsidP="00A353C4"/>
    <w:p w:rsidR="00095AEE" w:rsidRDefault="00095AEE">
      <w:pPr>
        <w:pStyle w:val="Definition"/>
      </w:pPr>
      <w:r>
        <w:rPr>
          <w:b/>
          <w:bCs/>
        </w:rPr>
        <w:t>audit</w:t>
      </w:r>
      <w:r>
        <w:t xml:space="preserve"> means a review or examination of any, or all requirements of a food safety program which has been conducted by a person approved as being competent in food safety matters relating to UCFM.</w:t>
      </w:r>
    </w:p>
    <w:p w:rsidR="00095AEE" w:rsidRDefault="00095AEE">
      <w:pPr>
        <w:pStyle w:val="Definition"/>
      </w:pPr>
    </w:p>
    <w:p w:rsidR="00095AEE" w:rsidRDefault="00095AEE">
      <w:pPr>
        <w:pStyle w:val="Definition"/>
      </w:pPr>
      <w:r>
        <w:rPr>
          <w:b/>
          <w:bCs/>
        </w:rPr>
        <w:t>batter mix</w:t>
      </w:r>
      <w:r>
        <w:t xml:space="preserve"> means all the ingredients in the UCFM recipe that have been combined prior to filling a casing.</w:t>
      </w:r>
    </w:p>
    <w:p w:rsidR="00095AEE" w:rsidRDefault="00095AEE"/>
    <w:p w:rsidR="00095AEE" w:rsidRDefault="00095AEE">
      <w:pPr>
        <w:pStyle w:val="Definition"/>
      </w:pPr>
      <w:r>
        <w:rPr>
          <w:b/>
          <w:bCs/>
        </w:rPr>
        <w:t>starter culture</w:t>
      </w:r>
      <w:r>
        <w:t xml:space="preserve"> means a preparation of </w:t>
      </w:r>
      <w:r w:rsidR="00A353C4">
        <w:t>microorganism</w:t>
      </w:r>
      <w:r>
        <w:t>s prepared for the purpose of fermenting meat which –</w:t>
      </w:r>
    </w:p>
    <w:p w:rsidR="00095AEE" w:rsidRDefault="00095AEE"/>
    <w:p w:rsidR="00095AEE" w:rsidRPr="00A353C4" w:rsidRDefault="00095AEE" w:rsidP="00A353C4">
      <w:pPr>
        <w:pStyle w:val="Subparagraph"/>
      </w:pPr>
      <w:r>
        <w:t>(a)</w:t>
      </w:r>
      <w:r>
        <w:tab/>
      </w:r>
      <w:r w:rsidRPr="00A353C4">
        <w:t>successfully competes for the nutrients in the meat medium; and</w:t>
      </w:r>
    </w:p>
    <w:p w:rsidR="00A353C4" w:rsidRDefault="00095AEE" w:rsidP="00A353C4">
      <w:pPr>
        <w:pStyle w:val="Subparagraph"/>
      </w:pPr>
      <w:r w:rsidRPr="00A353C4">
        <w:t>(b)</w:t>
      </w:r>
      <w:r w:rsidRPr="00A353C4">
        <w:tab/>
        <w:t xml:space="preserve">produces microbial inhibitors; and </w:t>
      </w:r>
    </w:p>
    <w:p w:rsidR="00095AEE" w:rsidRPr="00A353C4" w:rsidRDefault="00A353C4" w:rsidP="00A353C4">
      <w:pPr>
        <w:pStyle w:val="Subparagraph"/>
      </w:pPr>
      <w:r>
        <w:br w:type="page"/>
      </w:r>
      <w:r w:rsidR="00095AEE" w:rsidRPr="00A353C4">
        <w:lastRenderedPageBreak/>
        <w:t>(c)</w:t>
      </w:r>
      <w:r w:rsidR="00095AEE" w:rsidRPr="00A353C4">
        <w:tab/>
        <w:t xml:space="preserve">is microbiologically safe; and </w:t>
      </w:r>
    </w:p>
    <w:p w:rsidR="00095AEE" w:rsidRDefault="00095AEE" w:rsidP="00A353C4">
      <w:pPr>
        <w:pStyle w:val="Subparagraph"/>
      </w:pPr>
      <w:r w:rsidRPr="00A353C4">
        <w:t>(d)</w:t>
      </w:r>
      <w:r w:rsidRPr="00A353C4">
        <w:tab/>
        <w:t>produces a</w:t>
      </w:r>
      <w:r>
        <w:t xml:space="preserve"> controlled reduction of the pH of the meat mix.</w:t>
      </w:r>
    </w:p>
    <w:p w:rsidR="00095AEE" w:rsidRDefault="00095AEE"/>
    <w:p w:rsidR="00095AEE" w:rsidRDefault="00095AEE">
      <w:pPr>
        <w:pStyle w:val="Definition"/>
      </w:pPr>
      <w:r>
        <w:rPr>
          <w:b/>
          <w:bCs/>
        </w:rPr>
        <w:t>UCFM</w:t>
      </w:r>
      <w:r>
        <w:t xml:space="preserve"> means a comminuted fermented meat which has not had its core temperature maintained at 65</w:t>
      </w:r>
      <w:r>
        <w:sym w:font="Symbol" w:char="F0B0"/>
      </w:r>
      <w:r>
        <w:t>C for at least 10 minutes or an equivalent combination of time and higher temperature during production.  To avoid doubt, a UCFM includes comminuted fermented meat which has been heat treated.</w:t>
      </w:r>
    </w:p>
    <w:p w:rsidR="00095AEE" w:rsidRDefault="00095AEE"/>
    <w:p w:rsidR="00095AEE" w:rsidRDefault="00095AEE">
      <w:pPr>
        <w:pStyle w:val="Definition"/>
      </w:pPr>
      <w:r>
        <w:rPr>
          <w:b/>
          <w:bCs/>
        </w:rPr>
        <w:t>validation</w:t>
      </w:r>
      <w:r>
        <w:t xml:space="preserve"> means obtaining evidence to confirm that the food safety management system is complete and effective and will deliver the expected food safety outcomes.</w:t>
      </w:r>
    </w:p>
    <w:p w:rsidR="00095AEE" w:rsidRDefault="00095AEE">
      <w:pPr>
        <w:pStyle w:val="Definition"/>
      </w:pPr>
    </w:p>
    <w:p w:rsidR="00095AEE" w:rsidRDefault="00095AEE">
      <w:pPr>
        <w:pStyle w:val="Definition"/>
      </w:pPr>
      <w:r>
        <w:rPr>
          <w:b/>
          <w:bCs/>
        </w:rPr>
        <w:t>verification</w:t>
      </w:r>
      <w:r>
        <w:t xml:space="preserve"> means the use of methods, procedures and tests in addition to monitoring to determine compliance with the food safety management system.</w:t>
      </w:r>
    </w:p>
    <w:p w:rsidR="00095AEE" w:rsidRDefault="00095AEE"/>
    <w:p w:rsidR="00095AEE" w:rsidRDefault="00095AEE">
      <w:pPr>
        <w:pStyle w:val="Subclause"/>
      </w:pPr>
      <w:r>
        <w:t>(2)</w:t>
      </w:r>
      <w:r>
        <w:tab/>
        <w:t>Unless expressly provided elsewhere in this Code, a UCFM must not be sold unless it is produced in accordance with this clause.</w:t>
      </w:r>
    </w:p>
    <w:p w:rsidR="00095AEE" w:rsidRDefault="00095AEE">
      <w:pPr>
        <w:pStyle w:val="Subclause"/>
      </w:pPr>
    </w:p>
    <w:p w:rsidR="00095AEE" w:rsidRDefault="00095AEE">
      <w:pPr>
        <w:pStyle w:val="Subclause"/>
      </w:pPr>
      <w:r>
        <w:t>(3)</w:t>
      </w:r>
      <w:r>
        <w:tab/>
        <w:t>For the purposes of subclause 5(2), a UCFM may be sold where it is produced using an alternative technology or method specified elsewhere in this Code, provided that the equivalent food safety outcome in this clause is achieved.</w:t>
      </w:r>
    </w:p>
    <w:p w:rsidR="00095AEE" w:rsidRDefault="00095AEE" w:rsidP="00A353C4"/>
    <w:p w:rsidR="00095AEE" w:rsidRDefault="00095AEE">
      <w:pPr>
        <w:pStyle w:val="Subclause"/>
      </w:pPr>
      <w:r>
        <w:t>(4)</w:t>
      </w:r>
      <w:r>
        <w:tab/>
        <w:t>A UCFM must be produced in accordance with a food safety management system under clause 4 which –</w:t>
      </w:r>
    </w:p>
    <w:p w:rsidR="00095AEE" w:rsidRDefault="00095AEE" w:rsidP="00A353C4"/>
    <w:p w:rsidR="00095AEE" w:rsidRDefault="00095AEE">
      <w:pPr>
        <w:pStyle w:val="Paragraph"/>
      </w:pPr>
      <w:r>
        <w:t>(a)</w:t>
      </w:r>
      <w:r>
        <w:tab/>
        <w:t xml:space="preserve">has been verified and audited to ensure the number of </w:t>
      </w:r>
      <w:r>
        <w:rPr>
          <w:i/>
          <w:iCs/>
        </w:rPr>
        <w:t>Escherichia coli</w:t>
      </w:r>
      <w:r>
        <w:t xml:space="preserve"> organisms in the final UCFM comply with the microbiological limits in Standard 1.6.1 in this Code; and</w:t>
      </w:r>
    </w:p>
    <w:p w:rsidR="00095AEE" w:rsidRDefault="00095AEE">
      <w:pPr>
        <w:pStyle w:val="Paragraph"/>
      </w:pPr>
      <w:r>
        <w:t>(b)</w:t>
      </w:r>
      <w:r>
        <w:tab/>
        <w:t xml:space="preserve">demonstrates that the production process handles the variations of </w:t>
      </w:r>
      <w:r>
        <w:rPr>
          <w:i/>
          <w:iCs/>
        </w:rPr>
        <w:t>Escherichia coli</w:t>
      </w:r>
      <w:r>
        <w:t xml:space="preserve"> contamination in the ingoing raw meat ingredients. </w:t>
      </w:r>
    </w:p>
    <w:p w:rsidR="00095AEE" w:rsidRDefault="00095AEE">
      <w:pPr>
        <w:pStyle w:val="Paragraph"/>
      </w:pPr>
    </w:p>
    <w:p w:rsidR="00095AEE" w:rsidRDefault="00095AEE">
      <w:pPr>
        <w:pStyle w:val="Subclause"/>
      </w:pPr>
      <w:r>
        <w:t>(5)</w:t>
      </w:r>
      <w:r>
        <w:tab/>
        <w:t xml:space="preserve">As part of the validation or verification requirements of the food safety management system, the number of </w:t>
      </w:r>
      <w:r>
        <w:rPr>
          <w:i/>
          <w:iCs/>
        </w:rPr>
        <w:t>Escherichia coli</w:t>
      </w:r>
      <w:r>
        <w:t xml:space="preserve"> organisms must be recorded for the –</w:t>
      </w:r>
    </w:p>
    <w:p w:rsidR="00095AEE" w:rsidRDefault="00095AEE" w:rsidP="00A353C4"/>
    <w:p w:rsidR="00095AEE" w:rsidRDefault="00095AEE">
      <w:pPr>
        <w:pStyle w:val="Paragraph"/>
      </w:pPr>
      <w:r>
        <w:t>(a)</w:t>
      </w:r>
      <w:r>
        <w:tab/>
        <w:t>raw meat ingredients used to make a UCFM; and</w:t>
      </w:r>
    </w:p>
    <w:p w:rsidR="00095AEE" w:rsidRDefault="00095AEE">
      <w:pPr>
        <w:pStyle w:val="Paragraph"/>
      </w:pPr>
      <w:r>
        <w:t>(b)</w:t>
      </w:r>
      <w:r>
        <w:tab/>
        <w:t>product after fermentation and any subsequent process.</w:t>
      </w:r>
    </w:p>
    <w:p w:rsidR="00095AEE" w:rsidRDefault="00095AEE"/>
    <w:p w:rsidR="00095AEE" w:rsidRDefault="00095AEE">
      <w:pPr>
        <w:pStyle w:val="Subclause"/>
      </w:pPr>
      <w:r>
        <w:t>(6)</w:t>
      </w:r>
      <w:r>
        <w:tab/>
        <w:t>During UCFM production the following matters must be monitored and recorded at suitable frequencies –</w:t>
      </w:r>
    </w:p>
    <w:p w:rsidR="00095AEE" w:rsidRDefault="00095AEE"/>
    <w:p w:rsidR="00095AEE" w:rsidRDefault="00095AEE">
      <w:pPr>
        <w:pStyle w:val="Paragraph"/>
      </w:pPr>
      <w:r>
        <w:t>(a)</w:t>
      </w:r>
      <w:r>
        <w:tab/>
        <w:t>the pH of a fermenting UCFM; and</w:t>
      </w:r>
    </w:p>
    <w:p w:rsidR="00095AEE" w:rsidRDefault="00095AEE">
      <w:pPr>
        <w:pStyle w:val="Paragraph"/>
      </w:pPr>
      <w:r>
        <w:t>(b)</w:t>
      </w:r>
      <w:r>
        <w:tab/>
        <w:t>the temperature and time of fermentation of UCFM; and</w:t>
      </w:r>
    </w:p>
    <w:p w:rsidR="00095AEE" w:rsidRDefault="00095AEE">
      <w:pPr>
        <w:pStyle w:val="Paragraph"/>
      </w:pPr>
      <w:r>
        <w:t>(c)</w:t>
      </w:r>
      <w:r>
        <w:tab/>
        <w:t>the temperature and time of maturation/drying of UCFM; and</w:t>
      </w:r>
    </w:p>
    <w:p w:rsidR="00095AEE" w:rsidRDefault="00095AEE">
      <w:pPr>
        <w:pStyle w:val="Paragraph"/>
      </w:pPr>
      <w:r>
        <w:t>(d)</w:t>
      </w:r>
      <w:r>
        <w:tab/>
        <w:t>the temperature and time of smoking of UCFM; and</w:t>
      </w:r>
    </w:p>
    <w:p w:rsidR="00095AEE" w:rsidRDefault="00095AEE">
      <w:pPr>
        <w:pStyle w:val="Paragraph"/>
      </w:pPr>
      <w:r>
        <w:t>(e)</w:t>
      </w:r>
      <w:r>
        <w:tab/>
        <w:t>the weight loss or water activity.</w:t>
      </w:r>
    </w:p>
    <w:p w:rsidR="00095AEE" w:rsidRDefault="00095AEE" w:rsidP="00A353C4"/>
    <w:p w:rsidR="00095AEE" w:rsidRDefault="00095AEE">
      <w:pPr>
        <w:pStyle w:val="Subclause"/>
      </w:pPr>
      <w:r>
        <w:t>(7)</w:t>
      </w:r>
      <w:r>
        <w:tab/>
        <w:t>The measurements recorded under subclauses (5) and (6) must be kept for 12 months after the use-by date or best-before date of a UCFM.</w:t>
      </w:r>
    </w:p>
    <w:p w:rsidR="00095AEE" w:rsidRDefault="00095AEE" w:rsidP="00A353C4"/>
    <w:p w:rsidR="00095AEE" w:rsidRDefault="00095AEE">
      <w:pPr>
        <w:pStyle w:val="Subclause"/>
      </w:pPr>
      <w:r>
        <w:t>(8)</w:t>
      </w:r>
      <w:r>
        <w:tab/>
        <w:t>The fermentation of a UCFM must be initiated through the use of a starter culture.</w:t>
      </w:r>
    </w:p>
    <w:p w:rsidR="00095AEE" w:rsidRPr="00A353C4" w:rsidRDefault="00095AEE" w:rsidP="00A353C4">
      <w:pPr>
        <w:pStyle w:val="Subclause"/>
      </w:pPr>
    </w:p>
    <w:p w:rsidR="00095AEE" w:rsidRDefault="00095AEE" w:rsidP="00A353C4">
      <w:pPr>
        <w:pStyle w:val="Subclause"/>
      </w:pPr>
      <w:r>
        <w:t>(9)</w:t>
      </w:r>
      <w:r>
        <w:tab/>
        <w:t>A previously fermented or fermenting meat must not be used as –</w:t>
      </w:r>
    </w:p>
    <w:p w:rsidR="00095AEE" w:rsidRDefault="00095AEE" w:rsidP="00A353C4"/>
    <w:p w:rsidR="00095AEE" w:rsidRDefault="00095AEE">
      <w:pPr>
        <w:pStyle w:val="Paragraph"/>
      </w:pPr>
      <w:r>
        <w:t>(a)</w:t>
      </w:r>
      <w:r>
        <w:tab/>
        <w:t>a starter culture; or</w:t>
      </w:r>
    </w:p>
    <w:p w:rsidR="00095AEE" w:rsidRDefault="00095AEE">
      <w:pPr>
        <w:pStyle w:val="Paragraph"/>
      </w:pPr>
      <w:r>
        <w:t>(b)</w:t>
      </w:r>
      <w:r>
        <w:tab/>
        <w:t>an ingredient in a UCFM.</w:t>
      </w:r>
    </w:p>
    <w:p w:rsidR="00095AEE" w:rsidRDefault="00095AEE" w:rsidP="00A353C4"/>
    <w:p w:rsidR="00095AEE" w:rsidRDefault="00095AEE">
      <w:pPr>
        <w:pStyle w:val="Subclause"/>
      </w:pPr>
      <w:r>
        <w:t>(10)</w:t>
      </w:r>
      <w:r>
        <w:tab/>
        <w:t>Meat and batter mix used in the preparation of a UCFM must, if stored by the manufacturer, be stored at 5</w:t>
      </w:r>
      <w:r>
        <w:sym w:font="Symbol" w:char="F0B0"/>
      </w:r>
      <w:r>
        <w:t>C or below prior to fermentation.</w:t>
      </w:r>
    </w:p>
    <w:p w:rsidR="00095AEE" w:rsidRDefault="00095AEE">
      <w:pPr>
        <w:pStyle w:val="Subclause"/>
      </w:pPr>
    </w:p>
    <w:p w:rsidR="00A353C4" w:rsidRDefault="00095AEE" w:rsidP="00A353C4">
      <w:pPr>
        <w:pStyle w:val="Subclause"/>
      </w:pPr>
      <w:r>
        <w:t>(11)</w:t>
      </w:r>
      <w:r>
        <w:tab/>
        <w:t>The pH of a fermenting UCFM must be measured in accordance with Method 1 in the Schedule.</w:t>
      </w:r>
    </w:p>
    <w:p w:rsidR="00095AEE" w:rsidRDefault="00A353C4" w:rsidP="00A353C4">
      <w:pPr>
        <w:pStyle w:val="EditorialNoteLine1"/>
      </w:pPr>
      <w:r>
        <w:br w:type="page"/>
      </w:r>
      <w:r w:rsidR="00095AEE">
        <w:lastRenderedPageBreak/>
        <w:t>Editorial note:</w:t>
      </w:r>
    </w:p>
    <w:p w:rsidR="00095AEE" w:rsidRDefault="00095AEE">
      <w:pPr>
        <w:pStyle w:val="EditorialNotetext"/>
      </w:pPr>
    </w:p>
    <w:p w:rsidR="00095AEE" w:rsidRDefault="00095AEE">
      <w:pPr>
        <w:pStyle w:val="EditorialNotetext"/>
      </w:pPr>
      <w:r>
        <w:t>UCFM food businesses should note the skills and knowledge requirements in clause 3 of Standard 3.2.2.</w:t>
      </w:r>
    </w:p>
    <w:p w:rsidR="00095AEE" w:rsidRDefault="00095AEE">
      <w:pPr>
        <w:pStyle w:val="Clause"/>
      </w:pPr>
    </w:p>
    <w:p w:rsidR="00095AEE" w:rsidRDefault="00095AEE">
      <w:pPr>
        <w:pStyle w:val="EditorialNoteLine1"/>
      </w:pPr>
      <w:r>
        <w:t xml:space="preserve">Editorial note for </w:t>
      </w:r>
      <w:smartTag w:uri="urn:schemas-microsoft-com:office:smarttags" w:element="country-region">
        <w:smartTag w:uri="urn:schemas-microsoft-com:office:smarttags" w:element="place">
          <w:r>
            <w:t>New Zealand</w:t>
          </w:r>
        </w:smartTag>
      </w:smartTag>
      <w:r>
        <w:t>:</w:t>
      </w:r>
    </w:p>
    <w:p w:rsidR="00095AEE" w:rsidRDefault="00095AEE">
      <w:pPr>
        <w:pStyle w:val="EditorialNotetext"/>
      </w:pPr>
    </w:p>
    <w:p w:rsidR="00095AEE" w:rsidRPr="00424ACD" w:rsidRDefault="00424ACD">
      <w:pPr>
        <w:pStyle w:val="EditorialNotetext"/>
      </w:pPr>
      <w:r w:rsidRPr="00B47F87">
        <w:t xml:space="preserve">For </w:t>
      </w:r>
      <w:smartTag w:uri="urn:schemas-microsoft-com:office:smarttags" w:element="country-region">
        <w:smartTag w:uri="urn:schemas-microsoft-com:office:smarttags" w:element="place">
          <w:r w:rsidRPr="00B47F87">
            <w:t>New Zealand</w:t>
          </w:r>
        </w:smartTag>
      </w:smartTag>
      <w:r w:rsidRPr="00B47F87">
        <w:t xml:space="preserve"> the processing of UCFM is regulated under the </w:t>
      </w:r>
      <w:r w:rsidRPr="00B47F87">
        <w:rPr>
          <w:i/>
        </w:rPr>
        <w:t>Animal Products Act 1999</w:t>
      </w:r>
      <w:r w:rsidRPr="00B47F87">
        <w:t xml:space="preserve"> and the </w:t>
      </w:r>
      <w:r w:rsidRPr="00B47F87">
        <w:rPr>
          <w:i/>
        </w:rPr>
        <w:t>Food Act 1981</w:t>
      </w:r>
      <w:r w:rsidR="00095AEE">
        <w:rPr>
          <w:i/>
          <w:iCs/>
        </w:rPr>
        <w:t>.</w:t>
      </w:r>
    </w:p>
    <w:p w:rsidR="00095AEE" w:rsidRDefault="00A353C4">
      <w:pPr>
        <w:pStyle w:val="ScheduleHeading"/>
      </w:pPr>
      <w:r>
        <w:br w:type="page"/>
      </w:r>
      <w:r w:rsidR="00095AEE">
        <w:lastRenderedPageBreak/>
        <w:t>SCHEDULE</w:t>
      </w:r>
    </w:p>
    <w:p w:rsidR="00095AEE" w:rsidRDefault="00095AEE" w:rsidP="00A353C4"/>
    <w:p w:rsidR="002732F4" w:rsidRPr="007E7630" w:rsidRDefault="002732F4" w:rsidP="00A353C4">
      <w:pPr>
        <w:pStyle w:val="TableHeading"/>
      </w:pPr>
      <w:r>
        <w:t>Method for measuring pH</w:t>
      </w:r>
    </w:p>
    <w:p w:rsidR="00095AEE" w:rsidRDefault="00095AEE" w:rsidP="00A353C4"/>
    <w:p w:rsidR="00095AEE" w:rsidRDefault="00095AEE">
      <w:r>
        <w:t>1</w:t>
      </w:r>
      <w:r>
        <w:tab/>
        <w:t>Meat</w:t>
      </w:r>
      <w:r>
        <w:tab/>
        <w:t>Determination of pH.</w:t>
      </w:r>
    </w:p>
    <w:p w:rsidR="00095AEE" w:rsidRDefault="00095AEE" w:rsidP="00A353C4"/>
    <w:p w:rsidR="00095AEE" w:rsidRDefault="00095AEE">
      <w:pPr>
        <w:tabs>
          <w:tab w:val="left" w:pos="851"/>
        </w:tabs>
      </w:pPr>
      <w:r>
        <w:t>Mince a representative portion of the sample of the UCFM and place that portion in a stoppered bottle with twice its weight of water.  Shake at five-minute intervals for 30 minutes and determine the pH value of the liquid electrometrically at 20°C.</w:t>
      </w:r>
    </w:p>
    <w:p w:rsidR="00095AEE" w:rsidRDefault="00095AEE">
      <w:pPr>
        <w:tabs>
          <w:tab w:val="left" w:pos="851"/>
        </w:tabs>
      </w:pPr>
    </w:p>
    <w:p w:rsidR="00095AEE" w:rsidRDefault="00095AEE">
      <w:r>
        <w:t>Alternatively, the pH can be determined through the use of calibrated, direct-contact pH probes or meters.</w:t>
      </w:r>
    </w:p>
    <w:p w:rsidR="00095AEE" w:rsidRDefault="00095AEE"/>
    <w:p w:rsidR="00095AEE" w:rsidRDefault="00095AEE">
      <w:r>
        <w:br w:type="page"/>
      </w:r>
    </w:p>
    <w:p w:rsidR="00550752" w:rsidRDefault="00550752"/>
    <w:p w:rsidR="00095AEE" w:rsidRDefault="00095AEE">
      <w:pPr>
        <w:pStyle w:val="BlankPage"/>
      </w:pPr>
      <w:r>
        <w:t>{THIS PAGE INTE</w:t>
      </w:r>
      <w:bookmarkStart w:id="0" w:name="_GoBack"/>
      <w:bookmarkEnd w:id="0"/>
      <w:r>
        <w:t>NTIONALLY LEFT BLANK}</w:t>
      </w:r>
    </w:p>
    <w:p w:rsidR="00095AEE" w:rsidRDefault="00095AEE">
      <w:pPr>
        <w:pStyle w:val="Clauseheading"/>
      </w:pPr>
    </w:p>
    <w:sectPr w:rsidR="00095AE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D4D" w:rsidRDefault="00343D4D">
      <w:r>
        <w:separator/>
      </w:r>
    </w:p>
  </w:endnote>
  <w:endnote w:type="continuationSeparator" w:id="0">
    <w:p w:rsidR="00343D4D" w:rsidRDefault="00343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B0" w:rsidRDefault="005D19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3F6" w:rsidRDefault="00E72E7E" w:rsidP="005D19B0">
    <w:pPr>
      <w:pStyle w:val="FSCfooter"/>
    </w:pPr>
    <w:r>
      <w:t>I</w:t>
    </w:r>
    <w:r w:rsidR="00A353C4">
      <w:t>ssue 124</w:t>
    </w:r>
    <w:r w:rsidR="00E023F6">
      <w:tab/>
    </w:r>
    <w:r w:rsidR="00E023F6">
      <w:rPr>
        <w:rStyle w:val="PageNumber"/>
      </w:rPr>
      <w:fldChar w:fldCharType="begin"/>
    </w:r>
    <w:r w:rsidR="00E023F6">
      <w:rPr>
        <w:rStyle w:val="PageNumber"/>
      </w:rPr>
      <w:instrText xml:space="preserve"> PAGE </w:instrText>
    </w:r>
    <w:r w:rsidR="00E023F6">
      <w:rPr>
        <w:rStyle w:val="PageNumber"/>
      </w:rPr>
      <w:fldChar w:fldCharType="separate"/>
    </w:r>
    <w:r w:rsidR="00550752">
      <w:rPr>
        <w:rStyle w:val="PageNumber"/>
        <w:noProof/>
      </w:rPr>
      <w:t>6</w:t>
    </w:r>
    <w:r w:rsidR="00E023F6">
      <w:rPr>
        <w:rStyle w:val="PageNumber"/>
      </w:rPr>
      <w:fldChar w:fldCharType="end"/>
    </w:r>
    <w:r w:rsidR="00E023F6">
      <w:tab/>
      <w:t>Standard 4.2.3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B0" w:rsidRDefault="005D19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D4D" w:rsidRDefault="00343D4D">
      <w:r>
        <w:separator/>
      </w:r>
    </w:p>
  </w:footnote>
  <w:footnote w:type="continuationSeparator" w:id="0">
    <w:p w:rsidR="00343D4D" w:rsidRDefault="00343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B0" w:rsidRDefault="005D19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B0" w:rsidRDefault="005D19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B0" w:rsidRDefault="005D19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3F6"/>
    <w:rsid w:val="00095AEE"/>
    <w:rsid w:val="002732F4"/>
    <w:rsid w:val="00343D4D"/>
    <w:rsid w:val="00347101"/>
    <w:rsid w:val="00424ACD"/>
    <w:rsid w:val="004E0F84"/>
    <w:rsid w:val="0051417F"/>
    <w:rsid w:val="00550752"/>
    <w:rsid w:val="005D19B0"/>
    <w:rsid w:val="00A353C4"/>
    <w:rsid w:val="00AC7145"/>
    <w:rsid w:val="00BE2E8C"/>
    <w:rsid w:val="00C0117E"/>
    <w:rsid w:val="00C72156"/>
    <w:rsid w:val="00CB767F"/>
    <w:rsid w:val="00D3142E"/>
    <w:rsid w:val="00E023F6"/>
    <w:rsid w:val="00E72E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353C4"/>
    <w:rPr>
      <w:rFonts w:ascii="Arial" w:hAnsi="Arial"/>
      <w:szCs w:val="24"/>
      <w:lang w:eastAsia="en-US"/>
    </w:rPr>
  </w:style>
  <w:style w:type="paragraph" w:styleId="Heading3">
    <w:name w:val="heading 3"/>
    <w:basedOn w:val="Normal"/>
    <w:next w:val="Normal"/>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List">
    <w:name w:val="Clause List"/>
    <w:basedOn w:val="Normal"/>
    <w:next w:val="Normal"/>
    <w:pPr>
      <w:widowControl w:val="0"/>
      <w:tabs>
        <w:tab w:val="left" w:pos="851"/>
      </w:tabs>
    </w:pPr>
    <w:rPr>
      <w:szCs w:val="20"/>
    </w:rPr>
  </w:style>
  <w:style w:type="paragraph" w:customStyle="1" w:styleId="Definition">
    <w:name w:val="Definition"/>
    <w:basedOn w:val="Normal"/>
    <w:next w:val="Normal"/>
    <w:pPr>
      <w:widowControl w:val="0"/>
      <w:tabs>
        <w:tab w:val="left" w:pos="851"/>
      </w:tabs>
      <w:ind w:left="1701" w:hanging="851"/>
    </w:pPr>
    <w:rPr>
      <w:szCs w:val="20"/>
    </w:rPr>
  </w:style>
  <w:style w:type="paragraph" w:customStyle="1" w:styleId="EditorialNoteLine1">
    <w:name w:val="Editorial Note Line 1"/>
    <w:basedOn w:val="Normal"/>
    <w:next w:val="Normal"/>
    <w:pPr>
      <w:widowControl w:val="0"/>
      <w:pBdr>
        <w:top w:val="single" w:sz="6" w:space="0" w:color="auto"/>
        <w:left w:val="single" w:sz="6" w:space="0" w:color="auto"/>
        <w:bottom w:val="single" w:sz="6" w:space="0" w:color="auto"/>
        <w:right w:val="single" w:sz="6" w:space="0" w:color="auto"/>
      </w:pBdr>
      <w:tabs>
        <w:tab w:val="left" w:pos="851"/>
      </w:tabs>
    </w:pPr>
    <w:rPr>
      <w:b/>
      <w:szCs w:val="20"/>
    </w:rPr>
  </w:style>
  <w:style w:type="paragraph" w:customStyle="1" w:styleId="EditorialNotetext">
    <w:name w:val="Editorial Note text"/>
    <w:basedOn w:val="EditorialNoteLine1"/>
    <w:link w:val="EditorialNotetextChar"/>
    <w:rPr>
      <w:b w:val="0"/>
    </w:rPr>
  </w:style>
  <w:style w:type="paragraph" w:styleId="Header">
    <w:name w:val="header"/>
    <w:basedOn w:val="Normal"/>
    <w:pPr>
      <w:tabs>
        <w:tab w:val="center" w:pos="4153"/>
        <w:tab w:val="right" w:pos="8306"/>
      </w:tabs>
    </w:pPr>
  </w:style>
  <w:style w:type="paragraph" w:customStyle="1" w:styleId="MiscellaneousHeading">
    <w:name w:val="Miscellaneous Heading"/>
    <w:basedOn w:val="Normal"/>
    <w:next w:val="Normal"/>
    <w:pPr>
      <w:widowControl w:val="0"/>
      <w:tabs>
        <w:tab w:val="left" w:pos="851"/>
      </w:tabs>
    </w:pPr>
    <w:rPr>
      <w:b/>
      <w:szCs w:val="20"/>
      <w:lang w:val="en-GB"/>
    </w:rPr>
  </w:style>
  <w:style w:type="character" w:styleId="PageNumber">
    <w:name w:val="page number"/>
    <w:basedOn w:val="DefaultParagraphFont"/>
  </w:style>
  <w:style w:type="paragraph" w:customStyle="1" w:styleId="Paragraph">
    <w:name w:val="Paragraph"/>
    <w:basedOn w:val="Normal"/>
    <w:next w:val="Normal"/>
    <w:pPr>
      <w:widowControl w:val="0"/>
      <w:ind w:left="1702" w:hanging="851"/>
    </w:pPr>
    <w:rPr>
      <w:szCs w:val="20"/>
      <w:lang w:val="en-GB"/>
    </w:rPr>
  </w:style>
  <w:style w:type="paragraph" w:customStyle="1" w:styleId="Standardtitle">
    <w:name w:val="Standard title"/>
    <w:basedOn w:val="Normal"/>
    <w:pPr>
      <w:widowControl w:val="0"/>
      <w:tabs>
        <w:tab w:val="left" w:pos="851"/>
      </w:tabs>
      <w:jc w:val="center"/>
    </w:pPr>
    <w:rPr>
      <w:b/>
      <w:i/>
      <w:iCs/>
      <w:caps/>
      <w:sz w:val="28"/>
      <w:szCs w:val="20"/>
      <w:lang w:val="en-GB"/>
    </w:rPr>
  </w:style>
  <w:style w:type="paragraph" w:customStyle="1" w:styleId="Subclause">
    <w:name w:val="Subclause"/>
    <w:basedOn w:val="Normal"/>
    <w:pPr>
      <w:tabs>
        <w:tab w:val="left" w:pos="851"/>
      </w:tabs>
    </w:pPr>
    <w:rPr>
      <w:szCs w:val="20"/>
      <w:lang w:val="en-GB"/>
    </w:rPr>
  </w:style>
  <w:style w:type="paragraph" w:customStyle="1" w:styleId="Subparagraph">
    <w:name w:val="Subparagraph"/>
    <w:basedOn w:val="Paragraph"/>
    <w:pPr>
      <w:widowControl/>
      <w:ind w:left="2553"/>
    </w:pPr>
  </w:style>
  <w:style w:type="paragraph" w:customStyle="1" w:styleId="Table1">
    <w:name w:val="Table 1"/>
    <w:basedOn w:val="Normal"/>
    <w:rsid w:val="00A353C4"/>
    <w:pPr>
      <w:widowControl w:val="0"/>
      <w:spacing w:after="120"/>
      <w:jc w:val="center"/>
    </w:pPr>
    <w:rPr>
      <w:b/>
      <w:bCs/>
      <w:sz w:val="18"/>
      <w:szCs w:val="20"/>
      <w:lang w:val="en-GB"/>
    </w:rPr>
  </w:style>
  <w:style w:type="paragraph" w:customStyle="1" w:styleId="Table2">
    <w:name w:val="Table 2"/>
    <w:basedOn w:val="Normal"/>
    <w:rsid w:val="00A353C4"/>
    <w:pPr>
      <w:widowControl w:val="0"/>
      <w:ind w:left="142" w:hanging="142"/>
    </w:pPr>
    <w:rPr>
      <w:bCs/>
      <w:sz w:val="18"/>
      <w:szCs w:val="20"/>
      <w:lang w:val="en-GB"/>
    </w:rPr>
  </w:style>
  <w:style w:type="paragraph" w:customStyle="1" w:styleId="TableHeading">
    <w:name w:val="Table Heading"/>
    <w:basedOn w:val="Normal"/>
    <w:next w:val="Normal"/>
    <w:pPr>
      <w:widowControl w:val="0"/>
      <w:tabs>
        <w:tab w:val="left" w:pos="851"/>
      </w:tabs>
      <w:jc w:val="center"/>
    </w:pPr>
    <w:rPr>
      <w:b/>
      <w:szCs w:val="20"/>
      <w:lang w:val="en-GB"/>
    </w:rPr>
  </w:style>
  <w:style w:type="paragraph" w:customStyle="1" w:styleId="TitleBorder">
    <w:name w:val="TitleBorder"/>
    <w:basedOn w:val="Normal"/>
    <w:rsid w:val="00A353C4"/>
    <w:pPr>
      <w:widowControl w:val="0"/>
      <w:pBdr>
        <w:bottom w:val="double" w:sz="6" w:space="0" w:color="auto"/>
      </w:pBdr>
      <w:tabs>
        <w:tab w:val="left" w:pos="851"/>
      </w:tabs>
    </w:pPr>
    <w:rPr>
      <w:szCs w:val="20"/>
      <w:lang w:val="en-GB"/>
    </w:rPr>
  </w:style>
  <w:style w:type="paragraph" w:customStyle="1" w:styleId="Clauseheading">
    <w:name w:val="Clause heading"/>
    <w:basedOn w:val="Normal"/>
    <w:next w:val="Normal"/>
    <w:pPr>
      <w:widowControl w:val="0"/>
      <w:tabs>
        <w:tab w:val="left" w:pos="851"/>
      </w:tabs>
    </w:pPr>
    <w:rPr>
      <w:b/>
      <w:szCs w:val="20"/>
      <w:lang w:val="en-GB"/>
    </w:rPr>
  </w:style>
  <w:style w:type="paragraph" w:customStyle="1" w:styleId="Clause">
    <w:name w:val="Clause"/>
    <w:basedOn w:val="Normal"/>
    <w:next w:val="Normal"/>
    <w:link w:val="ClauseChar"/>
    <w:pPr>
      <w:widowControl w:val="0"/>
      <w:tabs>
        <w:tab w:val="left" w:pos="851"/>
      </w:tabs>
    </w:pPr>
    <w:rPr>
      <w:szCs w:val="20"/>
      <w:lang w:val="en-GB"/>
    </w:rPr>
  </w:style>
  <w:style w:type="paragraph" w:customStyle="1" w:styleId="DivisionHeading">
    <w:name w:val="Division Heading"/>
    <w:basedOn w:val="Normal"/>
    <w:next w:val="Normal"/>
    <w:pPr>
      <w:widowControl w:val="0"/>
      <w:tabs>
        <w:tab w:val="left" w:pos="851"/>
      </w:tabs>
      <w:jc w:val="center"/>
    </w:pPr>
    <w:rPr>
      <w:b/>
      <w:sz w:val="28"/>
      <w:szCs w:val="20"/>
      <w:lang w:val="en-GB"/>
    </w:rPr>
  </w:style>
  <w:style w:type="character" w:customStyle="1" w:styleId="ClauseChar">
    <w:name w:val="Clause Char"/>
    <w:link w:val="Clause"/>
    <w:rsid w:val="00E023F6"/>
    <w:rPr>
      <w:sz w:val="24"/>
      <w:lang w:val="en-GB" w:eastAsia="en-US" w:bidi="ar-SA"/>
    </w:rPr>
  </w:style>
  <w:style w:type="paragraph" w:customStyle="1" w:styleId="ScheduleHeading">
    <w:name w:val="Schedule Heading"/>
    <w:basedOn w:val="Normal"/>
    <w:next w:val="Normal"/>
    <w:pPr>
      <w:widowControl w:val="0"/>
      <w:tabs>
        <w:tab w:val="left" w:pos="851"/>
      </w:tabs>
      <w:jc w:val="center"/>
    </w:pPr>
    <w:rPr>
      <w:b/>
      <w:caps/>
      <w:szCs w:val="20"/>
      <w:lang w:val="en-GB"/>
    </w:rPr>
  </w:style>
  <w:style w:type="character" w:customStyle="1" w:styleId="EditorialNotetextChar">
    <w:name w:val="Editorial Note text Char"/>
    <w:link w:val="EditorialNotetext"/>
    <w:rsid w:val="00424ACD"/>
    <w:rPr>
      <w:sz w:val="24"/>
      <w:lang w:val="en-AU" w:eastAsia="en-US" w:bidi="ar-SA"/>
    </w:rPr>
  </w:style>
  <w:style w:type="paragraph" w:styleId="BalloonText">
    <w:name w:val="Balloon Text"/>
    <w:basedOn w:val="Normal"/>
    <w:link w:val="BalloonTextChar"/>
    <w:rsid w:val="00A353C4"/>
    <w:rPr>
      <w:rFonts w:ascii="Tahoma" w:hAnsi="Tahoma" w:cs="Tahoma"/>
      <w:sz w:val="16"/>
      <w:szCs w:val="16"/>
    </w:rPr>
  </w:style>
  <w:style w:type="paragraph" w:customStyle="1" w:styleId="BlankPage">
    <w:name w:val="Blank Page"/>
    <w:basedOn w:val="Normal"/>
    <w:next w:val="Normal"/>
    <w:pPr>
      <w:tabs>
        <w:tab w:val="left" w:pos="851"/>
      </w:tabs>
      <w:spacing w:before="6000"/>
      <w:jc w:val="center"/>
    </w:pPr>
    <w:rPr>
      <w:szCs w:val="20"/>
      <w:lang w:val="en-GB"/>
    </w:rPr>
  </w:style>
  <w:style w:type="paragraph" w:customStyle="1" w:styleId="subsubparagraph">
    <w:name w:val="subsubparagraph"/>
    <w:basedOn w:val="Normal"/>
    <w:pPr>
      <w:tabs>
        <w:tab w:val="left" w:pos="851"/>
      </w:tabs>
      <w:ind w:left="3402" w:hanging="851"/>
    </w:pPr>
    <w:rPr>
      <w:szCs w:val="20"/>
      <w:lang w:val="en-GB"/>
    </w:rPr>
  </w:style>
  <w:style w:type="character" w:customStyle="1" w:styleId="BalloonTextChar">
    <w:name w:val="Balloon Text Char"/>
    <w:link w:val="BalloonText"/>
    <w:rsid w:val="00A353C4"/>
    <w:rPr>
      <w:rFonts w:ascii="Tahoma" w:hAnsi="Tahoma" w:cs="Tahoma"/>
      <w:sz w:val="16"/>
      <w:szCs w:val="16"/>
      <w:lang w:eastAsia="en-US"/>
    </w:rPr>
  </w:style>
  <w:style w:type="paragraph" w:customStyle="1" w:styleId="FSCfooter">
    <w:name w:val="FSCfooter"/>
    <w:basedOn w:val="Normal"/>
    <w:rsid w:val="005D19B0"/>
    <w:pPr>
      <w:tabs>
        <w:tab w:val="center" w:pos="4536"/>
        <w:tab w:val="right" w:pos="9072"/>
      </w:tabs>
    </w:pPr>
    <w:rPr>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353C4"/>
    <w:rPr>
      <w:rFonts w:ascii="Arial" w:hAnsi="Arial"/>
      <w:szCs w:val="24"/>
      <w:lang w:eastAsia="en-US"/>
    </w:rPr>
  </w:style>
  <w:style w:type="paragraph" w:styleId="Heading3">
    <w:name w:val="heading 3"/>
    <w:basedOn w:val="Normal"/>
    <w:next w:val="Normal"/>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List">
    <w:name w:val="Clause List"/>
    <w:basedOn w:val="Normal"/>
    <w:next w:val="Normal"/>
    <w:pPr>
      <w:widowControl w:val="0"/>
      <w:tabs>
        <w:tab w:val="left" w:pos="851"/>
      </w:tabs>
    </w:pPr>
    <w:rPr>
      <w:szCs w:val="20"/>
    </w:rPr>
  </w:style>
  <w:style w:type="paragraph" w:customStyle="1" w:styleId="Definition">
    <w:name w:val="Definition"/>
    <w:basedOn w:val="Normal"/>
    <w:next w:val="Normal"/>
    <w:pPr>
      <w:widowControl w:val="0"/>
      <w:tabs>
        <w:tab w:val="left" w:pos="851"/>
      </w:tabs>
      <w:ind w:left="1701" w:hanging="851"/>
    </w:pPr>
    <w:rPr>
      <w:szCs w:val="20"/>
    </w:rPr>
  </w:style>
  <w:style w:type="paragraph" w:customStyle="1" w:styleId="EditorialNoteLine1">
    <w:name w:val="Editorial Note Line 1"/>
    <w:basedOn w:val="Normal"/>
    <w:next w:val="Normal"/>
    <w:pPr>
      <w:widowControl w:val="0"/>
      <w:pBdr>
        <w:top w:val="single" w:sz="6" w:space="0" w:color="auto"/>
        <w:left w:val="single" w:sz="6" w:space="0" w:color="auto"/>
        <w:bottom w:val="single" w:sz="6" w:space="0" w:color="auto"/>
        <w:right w:val="single" w:sz="6" w:space="0" w:color="auto"/>
      </w:pBdr>
      <w:tabs>
        <w:tab w:val="left" w:pos="851"/>
      </w:tabs>
    </w:pPr>
    <w:rPr>
      <w:b/>
      <w:szCs w:val="20"/>
    </w:rPr>
  </w:style>
  <w:style w:type="paragraph" w:customStyle="1" w:styleId="EditorialNotetext">
    <w:name w:val="Editorial Note text"/>
    <w:basedOn w:val="EditorialNoteLine1"/>
    <w:link w:val="EditorialNotetextChar"/>
    <w:rPr>
      <w:b w:val="0"/>
    </w:rPr>
  </w:style>
  <w:style w:type="paragraph" w:styleId="Header">
    <w:name w:val="header"/>
    <w:basedOn w:val="Normal"/>
    <w:pPr>
      <w:tabs>
        <w:tab w:val="center" w:pos="4153"/>
        <w:tab w:val="right" w:pos="8306"/>
      </w:tabs>
    </w:pPr>
  </w:style>
  <w:style w:type="paragraph" w:customStyle="1" w:styleId="MiscellaneousHeading">
    <w:name w:val="Miscellaneous Heading"/>
    <w:basedOn w:val="Normal"/>
    <w:next w:val="Normal"/>
    <w:pPr>
      <w:widowControl w:val="0"/>
      <w:tabs>
        <w:tab w:val="left" w:pos="851"/>
      </w:tabs>
    </w:pPr>
    <w:rPr>
      <w:b/>
      <w:szCs w:val="20"/>
      <w:lang w:val="en-GB"/>
    </w:rPr>
  </w:style>
  <w:style w:type="character" w:styleId="PageNumber">
    <w:name w:val="page number"/>
    <w:basedOn w:val="DefaultParagraphFont"/>
  </w:style>
  <w:style w:type="paragraph" w:customStyle="1" w:styleId="Paragraph">
    <w:name w:val="Paragraph"/>
    <w:basedOn w:val="Normal"/>
    <w:next w:val="Normal"/>
    <w:pPr>
      <w:widowControl w:val="0"/>
      <w:ind w:left="1702" w:hanging="851"/>
    </w:pPr>
    <w:rPr>
      <w:szCs w:val="20"/>
      <w:lang w:val="en-GB"/>
    </w:rPr>
  </w:style>
  <w:style w:type="paragraph" w:customStyle="1" w:styleId="Standardtitle">
    <w:name w:val="Standard title"/>
    <w:basedOn w:val="Normal"/>
    <w:pPr>
      <w:widowControl w:val="0"/>
      <w:tabs>
        <w:tab w:val="left" w:pos="851"/>
      </w:tabs>
      <w:jc w:val="center"/>
    </w:pPr>
    <w:rPr>
      <w:b/>
      <w:i/>
      <w:iCs/>
      <w:caps/>
      <w:sz w:val="28"/>
      <w:szCs w:val="20"/>
      <w:lang w:val="en-GB"/>
    </w:rPr>
  </w:style>
  <w:style w:type="paragraph" w:customStyle="1" w:styleId="Subclause">
    <w:name w:val="Subclause"/>
    <w:basedOn w:val="Normal"/>
    <w:pPr>
      <w:tabs>
        <w:tab w:val="left" w:pos="851"/>
      </w:tabs>
    </w:pPr>
    <w:rPr>
      <w:szCs w:val="20"/>
      <w:lang w:val="en-GB"/>
    </w:rPr>
  </w:style>
  <w:style w:type="paragraph" w:customStyle="1" w:styleId="Subparagraph">
    <w:name w:val="Subparagraph"/>
    <w:basedOn w:val="Paragraph"/>
    <w:pPr>
      <w:widowControl/>
      <w:ind w:left="2553"/>
    </w:pPr>
  </w:style>
  <w:style w:type="paragraph" w:customStyle="1" w:styleId="Table1">
    <w:name w:val="Table 1"/>
    <w:basedOn w:val="Normal"/>
    <w:rsid w:val="00A353C4"/>
    <w:pPr>
      <w:widowControl w:val="0"/>
      <w:spacing w:after="120"/>
      <w:jc w:val="center"/>
    </w:pPr>
    <w:rPr>
      <w:b/>
      <w:bCs/>
      <w:sz w:val="18"/>
      <w:szCs w:val="20"/>
      <w:lang w:val="en-GB"/>
    </w:rPr>
  </w:style>
  <w:style w:type="paragraph" w:customStyle="1" w:styleId="Table2">
    <w:name w:val="Table 2"/>
    <w:basedOn w:val="Normal"/>
    <w:rsid w:val="00A353C4"/>
    <w:pPr>
      <w:widowControl w:val="0"/>
      <w:ind w:left="142" w:hanging="142"/>
    </w:pPr>
    <w:rPr>
      <w:bCs/>
      <w:sz w:val="18"/>
      <w:szCs w:val="20"/>
      <w:lang w:val="en-GB"/>
    </w:rPr>
  </w:style>
  <w:style w:type="paragraph" w:customStyle="1" w:styleId="TableHeading">
    <w:name w:val="Table Heading"/>
    <w:basedOn w:val="Normal"/>
    <w:next w:val="Normal"/>
    <w:pPr>
      <w:widowControl w:val="0"/>
      <w:tabs>
        <w:tab w:val="left" w:pos="851"/>
      </w:tabs>
      <w:jc w:val="center"/>
    </w:pPr>
    <w:rPr>
      <w:b/>
      <w:szCs w:val="20"/>
      <w:lang w:val="en-GB"/>
    </w:rPr>
  </w:style>
  <w:style w:type="paragraph" w:customStyle="1" w:styleId="TitleBorder">
    <w:name w:val="TitleBorder"/>
    <w:basedOn w:val="Normal"/>
    <w:rsid w:val="00A353C4"/>
    <w:pPr>
      <w:widowControl w:val="0"/>
      <w:pBdr>
        <w:bottom w:val="double" w:sz="6" w:space="0" w:color="auto"/>
      </w:pBdr>
      <w:tabs>
        <w:tab w:val="left" w:pos="851"/>
      </w:tabs>
    </w:pPr>
    <w:rPr>
      <w:szCs w:val="20"/>
      <w:lang w:val="en-GB"/>
    </w:rPr>
  </w:style>
  <w:style w:type="paragraph" w:customStyle="1" w:styleId="Clauseheading">
    <w:name w:val="Clause heading"/>
    <w:basedOn w:val="Normal"/>
    <w:next w:val="Normal"/>
    <w:pPr>
      <w:widowControl w:val="0"/>
      <w:tabs>
        <w:tab w:val="left" w:pos="851"/>
      </w:tabs>
    </w:pPr>
    <w:rPr>
      <w:b/>
      <w:szCs w:val="20"/>
      <w:lang w:val="en-GB"/>
    </w:rPr>
  </w:style>
  <w:style w:type="paragraph" w:customStyle="1" w:styleId="Clause">
    <w:name w:val="Clause"/>
    <w:basedOn w:val="Normal"/>
    <w:next w:val="Normal"/>
    <w:link w:val="ClauseChar"/>
    <w:pPr>
      <w:widowControl w:val="0"/>
      <w:tabs>
        <w:tab w:val="left" w:pos="851"/>
      </w:tabs>
    </w:pPr>
    <w:rPr>
      <w:szCs w:val="20"/>
      <w:lang w:val="en-GB"/>
    </w:rPr>
  </w:style>
  <w:style w:type="paragraph" w:customStyle="1" w:styleId="DivisionHeading">
    <w:name w:val="Division Heading"/>
    <w:basedOn w:val="Normal"/>
    <w:next w:val="Normal"/>
    <w:pPr>
      <w:widowControl w:val="0"/>
      <w:tabs>
        <w:tab w:val="left" w:pos="851"/>
      </w:tabs>
      <w:jc w:val="center"/>
    </w:pPr>
    <w:rPr>
      <w:b/>
      <w:sz w:val="28"/>
      <w:szCs w:val="20"/>
      <w:lang w:val="en-GB"/>
    </w:rPr>
  </w:style>
  <w:style w:type="character" w:customStyle="1" w:styleId="ClauseChar">
    <w:name w:val="Clause Char"/>
    <w:link w:val="Clause"/>
    <w:rsid w:val="00E023F6"/>
    <w:rPr>
      <w:sz w:val="24"/>
      <w:lang w:val="en-GB" w:eastAsia="en-US" w:bidi="ar-SA"/>
    </w:rPr>
  </w:style>
  <w:style w:type="paragraph" w:customStyle="1" w:styleId="ScheduleHeading">
    <w:name w:val="Schedule Heading"/>
    <w:basedOn w:val="Normal"/>
    <w:next w:val="Normal"/>
    <w:pPr>
      <w:widowControl w:val="0"/>
      <w:tabs>
        <w:tab w:val="left" w:pos="851"/>
      </w:tabs>
      <w:jc w:val="center"/>
    </w:pPr>
    <w:rPr>
      <w:b/>
      <w:caps/>
      <w:szCs w:val="20"/>
      <w:lang w:val="en-GB"/>
    </w:rPr>
  </w:style>
  <w:style w:type="character" w:customStyle="1" w:styleId="EditorialNotetextChar">
    <w:name w:val="Editorial Note text Char"/>
    <w:link w:val="EditorialNotetext"/>
    <w:rsid w:val="00424ACD"/>
    <w:rPr>
      <w:sz w:val="24"/>
      <w:lang w:val="en-AU" w:eastAsia="en-US" w:bidi="ar-SA"/>
    </w:rPr>
  </w:style>
  <w:style w:type="paragraph" w:styleId="BalloonText">
    <w:name w:val="Balloon Text"/>
    <w:basedOn w:val="Normal"/>
    <w:link w:val="BalloonTextChar"/>
    <w:rsid w:val="00A353C4"/>
    <w:rPr>
      <w:rFonts w:ascii="Tahoma" w:hAnsi="Tahoma" w:cs="Tahoma"/>
      <w:sz w:val="16"/>
      <w:szCs w:val="16"/>
    </w:rPr>
  </w:style>
  <w:style w:type="paragraph" w:customStyle="1" w:styleId="BlankPage">
    <w:name w:val="Blank Page"/>
    <w:basedOn w:val="Normal"/>
    <w:next w:val="Normal"/>
    <w:pPr>
      <w:tabs>
        <w:tab w:val="left" w:pos="851"/>
      </w:tabs>
      <w:spacing w:before="6000"/>
      <w:jc w:val="center"/>
    </w:pPr>
    <w:rPr>
      <w:szCs w:val="20"/>
      <w:lang w:val="en-GB"/>
    </w:rPr>
  </w:style>
  <w:style w:type="paragraph" w:customStyle="1" w:styleId="subsubparagraph">
    <w:name w:val="subsubparagraph"/>
    <w:basedOn w:val="Normal"/>
    <w:pPr>
      <w:tabs>
        <w:tab w:val="left" w:pos="851"/>
      </w:tabs>
      <w:ind w:left="3402" w:hanging="851"/>
    </w:pPr>
    <w:rPr>
      <w:szCs w:val="20"/>
      <w:lang w:val="en-GB"/>
    </w:rPr>
  </w:style>
  <w:style w:type="character" w:customStyle="1" w:styleId="BalloonTextChar">
    <w:name w:val="Balloon Text Char"/>
    <w:link w:val="BalloonText"/>
    <w:rsid w:val="00A353C4"/>
    <w:rPr>
      <w:rFonts w:ascii="Tahoma" w:hAnsi="Tahoma" w:cs="Tahoma"/>
      <w:sz w:val="16"/>
      <w:szCs w:val="16"/>
      <w:lang w:eastAsia="en-US"/>
    </w:rPr>
  </w:style>
  <w:style w:type="paragraph" w:customStyle="1" w:styleId="FSCfooter">
    <w:name w:val="FSCfooter"/>
    <w:basedOn w:val="Normal"/>
    <w:rsid w:val="005D19B0"/>
    <w:pPr>
      <w:tabs>
        <w:tab w:val="center" w:pos="4536"/>
        <w:tab w:val="right" w:pos="9072"/>
      </w:tabs>
    </w:pPr>
    <w:rPr>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1098</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Foodstandards Australia New Zealand</Company>
  <LinksUpToDate>false</LinksUpToDate>
  <CharactersWithSpaces>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Humphries, Cathie</cp:lastModifiedBy>
  <cp:revision>4</cp:revision>
  <cp:lastPrinted>2011-06-01T08:01:00Z</cp:lastPrinted>
  <dcterms:created xsi:type="dcterms:W3CDTF">2011-06-01T07:41:00Z</dcterms:created>
  <dcterms:modified xsi:type="dcterms:W3CDTF">2011-06-01T08:01:00Z</dcterms:modified>
</cp:coreProperties>
</file>