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D4" w:rsidRPr="00503E44" w:rsidRDefault="00F109D4" w:rsidP="00A12209">
      <w:pPr>
        <w:pStyle w:val="Heading1"/>
      </w:pPr>
      <w:bookmarkStart w:id="0" w:name="_GoBack"/>
      <w:bookmarkEnd w:id="0"/>
      <w:r w:rsidRPr="00503E44">
        <w:t>EXPLANATORY STATEMENT</w:t>
      </w:r>
    </w:p>
    <w:p w:rsidR="00F109D4" w:rsidRPr="00942793" w:rsidRDefault="00F109D4" w:rsidP="00942793">
      <w:pPr>
        <w:pStyle w:val="Heading2"/>
        <w:jc w:val="center"/>
        <w:rPr>
          <w:b w:val="0"/>
          <w:u w:val="none"/>
        </w:rPr>
      </w:pPr>
      <w:r w:rsidRPr="00942793">
        <w:rPr>
          <w:b w:val="0"/>
          <w:u w:val="none"/>
        </w:rPr>
        <w:t xml:space="preserve">Issued by authority of the </w:t>
      </w:r>
      <w:r w:rsidR="005833BE" w:rsidRPr="00942793">
        <w:rPr>
          <w:b w:val="0"/>
          <w:u w:val="none"/>
        </w:rPr>
        <w:t>Treasurer</w:t>
      </w:r>
    </w:p>
    <w:p w:rsidR="00F109D4" w:rsidRPr="00503E44" w:rsidRDefault="00285AB6">
      <w:pPr>
        <w:jc w:val="center"/>
        <w:rPr>
          <w:i/>
        </w:rPr>
      </w:pPr>
      <w:r>
        <w:rPr>
          <w:i/>
        </w:rPr>
        <w:t>Parliamentary Service Amendment (Parliame</w:t>
      </w:r>
      <w:r w:rsidR="006B0D77">
        <w:rPr>
          <w:i/>
        </w:rPr>
        <w:t>ntary Budget Officer) Act 2011</w:t>
      </w:r>
    </w:p>
    <w:p w:rsidR="00F109D4" w:rsidRPr="00503E44" w:rsidRDefault="002F6A37">
      <w:pPr>
        <w:tabs>
          <w:tab w:val="left" w:pos="1418"/>
        </w:tabs>
        <w:spacing w:after="240"/>
        <w:jc w:val="center"/>
        <w:rPr>
          <w:i/>
        </w:rPr>
      </w:pPr>
      <w:r>
        <w:rPr>
          <w:i/>
        </w:rPr>
        <w:t>Proclamation</w:t>
      </w:r>
    </w:p>
    <w:p w:rsidR="00B01312" w:rsidRDefault="00B01312" w:rsidP="00B01312">
      <w:r>
        <w:t>Section 2(1)</w:t>
      </w:r>
      <w:r w:rsidRPr="00503E44">
        <w:t xml:space="preserve"> of the </w:t>
      </w:r>
      <w:r>
        <w:rPr>
          <w:i/>
        </w:rPr>
        <w:t xml:space="preserve">Parliamentary Service Amendment (Parliamentary Budget Officer) Act 2011 </w:t>
      </w:r>
      <w:r w:rsidRPr="00503E44">
        <w:t xml:space="preserve">(the Act) provides that </w:t>
      </w:r>
      <w:r w:rsidRPr="00E2377D">
        <w:t xml:space="preserve">Schedules 1, 2 and 3 to the Act commence on a </w:t>
      </w:r>
      <w:r>
        <w:t>single day</w:t>
      </w:r>
      <w:r w:rsidRPr="00E2377D">
        <w:t xml:space="preserve"> to be fixed by proclamation.  However, if the provisions do not commence within a period of </w:t>
      </w:r>
      <w:r w:rsidR="0038686F">
        <w:t>6</w:t>
      </w:r>
      <w:r w:rsidRPr="00E2377D">
        <w:t xml:space="preserve"> months of t</w:t>
      </w:r>
      <w:r w:rsidR="00D4269E">
        <w:t>he date after the Act receives Royal A</w:t>
      </w:r>
      <w:r w:rsidRPr="00E2377D">
        <w:t xml:space="preserve">ssent, then those provisions commence on the day after the end of </w:t>
      </w:r>
      <w:r w:rsidR="00D4269E">
        <w:t>that period.  The Act received Royal A</w:t>
      </w:r>
      <w:r w:rsidRPr="00E2377D">
        <w:t>ssent on 4 December 2011.</w:t>
      </w:r>
    </w:p>
    <w:p w:rsidR="00086DF9" w:rsidRPr="00D15A70" w:rsidRDefault="00086DF9" w:rsidP="00086DF9">
      <w:pPr>
        <w:ind w:right="91"/>
        <w:rPr>
          <w:color w:val="8DB3E2" w:themeColor="text2" w:themeTint="66"/>
        </w:rPr>
      </w:pPr>
      <w:r w:rsidRPr="00562D2A">
        <w:t xml:space="preserve">The </w:t>
      </w:r>
      <w:r w:rsidRPr="001F01F6">
        <w:t>Proclamation fixed</w:t>
      </w:r>
      <w:r w:rsidRPr="001F01F6">
        <w:rPr>
          <w:color w:val="8DB3E2" w:themeColor="text2" w:themeTint="66"/>
        </w:rPr>
        <w:t xml:space="preserve"> </w:t>
      </w:r>
      <w:r w:rsidR="001F01F6" w:rsidRPr="001F01F6">
        <w:t>15</w:t>
      </w:r>
      <w:r w:rsidRPr="001F01F6">
        <w:t xml:space="preserve"> February 2012</w:t>
      </w:r>
      <w:r w:rsidRPr="001F01F6">
        <w:rPr>
          <w:color w:val="8DB3E2" w:themeColor="text2" w:themeTint="66"/>
        </w:rPr>
        <w:t xml:space="preserve"> </w:t>
      </w:r>
      <w:r w:rsidRPr="001F01F6">
        <w:t>as the day</w:t>
      </w:r>
      <w:r w:rsidRPr="00562D2A">
        <w:t xml:space="preserve"> on which Schedules 1</w:t>
      </w:r>
      <w:r>
        <w:t xml:space="preserve">, </w:t>
      </w:r>
      <w:r w:rsidRPr="00562D2A">
        <w:t xml:space="preserve">2 </w:t>
      </w:r>
      <w:r>
        <w:t xml:space="preserve">and 3 </w:t>
      </w:r>
      <w:r w:rsidRPr="00562D2A">
        <w:t>to the Act commence.</w:t>
      </w:r>
    </w:p>
    <w:p w:rsidR="00630B61" w:rsidRPr="00E50E74" w:rsidRDefault="00630B61" w:rsidP="00630B61">
      <w:pPr>
        <w:ind w:right="91"/>
      </w:pPr>
      <w:r w:rsidRPr="00E50E74">
        <w:t xml:space="preserve">The Act amends five Acts to establish the position of the Parliamentary Budget Officer </w:t>
      </w:r>
      <w:r>
        <w:t xml:space="preserve">(the Officer) </w:t>
      </w:r>
      <w:r w:rsidRPr="00E50E74">
        <w:t>and the Parliamentary Budget Office</w:t>
      </w:r>
      <w:r>
        <w:t xml:space="preserve"> (PBO)</w:t>
      </w:r>
      <w:r w:rsidRPr="00E50E74">
        <w:t xml:space="preserve">, and expands and clarifies arrangements for election policy </w:t>
      </w:r>
      <w:proofErr w:type="spellStart"/>
      <w:r w:rsidRPr="00E50E74">
        <w:t>costings</w:t>
      </w:r>
      <w:proofErr w:type="spellEnd"/>
      <w:r w:rsidRPr="00E50E74">
        <w:t xml:space="preserve">. </w:t>
      </w:r>
    </w:p>
    <w:p w:rsidR="00630B61" w:rsidRPr="00E50E74" w:rsidRDefault="00630B61" w:rsidP="00630B61">
      <w:pPr>
        <w:ind w:right="91"/>
      </w:pPr>
      <w:r w:rsidRPr="00E50E74">
        <w:t xml:space="preserve">Schedule 1 to the Act amends the </w:t>
      </w:r>
      <w:r w:rsidRPr="002A2DFA">
        <w:rPr>
          <w:i/>
        </w:rPr>
        <w:t>Parliamentary Service Act 1999</w:t>
      </w:r>
      <w:r w:rsidRPr="00E50E74">
        <w:t xml:space="preserve"> to </w:t>
      </w:r>
      <w:r>
        <w:t xml:space="preserve">provide for the appointment and functions of the Officer and the </w:t>
      </w:r>
      <w:r w:rsidRPr="00E50E74">
        <w:t>establish</w:t>
      </w:r>
      <w:r>
        <w:t>ment of a PBO</w:t>
      </w:r>
      <w:r w:rsidRPr="00E50E74">
        <w:t xml:space="preserve">. </w:t>
      </w:r>
    </w:p>
    <w:p w:rsidR="00630B61" w:rsidRPr="00E50E74" w:rsidRDefault="00630B61" w:rsidP="00630B61">
      <w:pPr>
        <w:ind w:right="91"/>
      </w:pPr>
      <w:r w:rsidRPr="00E50E74">
        <w:t xml:space="preserve">Schedule 2 to the Act amends the </w:t>
      </w:r>
      <w:r w:rsidRPr="002A78B5">
        <w:rPr>
          <w:i/>
        </w:rPr>
        <w:t>Charter of Budget Honesty Act 1998</w:t>
      </w:r>
      <w:r w:rsidRPr="00E50E74">
        <w:t xml:space="preserve"> (the Charter) to </w:t>
      </w:r>
      <w:r>
        <w:t xml:space="preserve">allow </w:t>
      </w:r>
      <w:r w:rsidRPr="00E50E74">
        <w:t>a leader of a Parliame</w:t>
      </w:r>
      <w:r w:rsidR="00AA49DE">
        <w:t xml:space="preserve">ntary party with at least </w:t>
      </w:r>
      <w:r w:rsidR="0038686F">
        <w:t>5</w:t>
      </w:r>
      <w:r>
        <w:t xml:space="preserve"> mem</w:t>
      </w:r>
      <w:r w:rsidRPr="00E50E74">
        <w:t xml:space="preserve">bers to access the election </w:t>
      </w:r>
      <w:proofErr w:type="spellStart"/>
      <w:r w:rsidRPr="00E50E74">
        <w:t>costings</w:t>
      </w:r>
      <w:proofErr w:type="spellEnd"/>
      <w:r w:rsidRPr="00E50E74">
        <w:t xml:space="preserve"> provisions of the Charter and to explicitly allow for the costing of election policies where the caretaker period for a general election continues beyond polling day.  Schedule 2 also clarifies the definition of caretaker period to make it consistent with the definition provided in the Act and clarifies the responsibilities of the Secretaries of the </w:t>
      </w:r>
      <w:r w:rsidR="00491FA0">
        <w:t xml:space="preserve">Departments of the </w:t>
      </w:r>
      <w:r w:rsidRPr="00E50E74">
        <w:t xml:space="preserve">Treasury and Finance and </w:t>
      </w:r>
      <w:r w:rsidR="00AF29F1">
        <w:t>Deregulation</w:t>
      </w:r>
      <w:r w:rsidRPr="00E50E74">
        <w:t>.</w:t>
      </w:r>
    </w:p>
    <w:p w:rsidR="00F109D4" w:rsidRPr="00C53930" w:rsidRDefault="00630B61" w:rsidP="00630B61">
      <w:r w:rsidRPr="00E50E74">
        <w:t xml:space="preserve">Schedule 3 to the Act makes consequential amendments to the </w:t>
      </w:r>
      <w:r w:rsidRPr="002A2DFA">
        <w:rPr>
          <w:i/>
        </w:rPr>
        <w:t>Freedom of Information Act 1982</w:t>
      </w:r>
      <w:r w:rsidRPr="00E50E74">
        <w:t xml:space="preserve">, the </w:t>
      </w:r>
      <w:r w:rsidRPr="003D1344">
        <w:rPr>
          <w:i/>
        </w:rPr>
        <w:t>Long Service Leave (Commonwealth</w:t>
      </w:r>
      <w:r w:rsidRPr="002A2DFA">
        <w:rPr>
          <w:i/>
        </w:rPr>
        <w:t xml:space="preserve"> Employees</w:t>
      </w:r>
      <w:r w:rsidR="00B874C5">
        <w:rPr>
          <w:i/>
        </w:rPr>
        <w:t>)</w:t>
      </w:r>
      <w:r w:rsidRPr="002A2DFA">
        <w:rPr>
          <w:i/>
        </w:rPr>
        <w:t xml:space="preserve"> Act 1976 </w:t>
      </w:r>
      <w:r w:rsidRPr="00C53930">
        <w:t>and the</w:t>
      </w:r>
      <w:r w:rsidRPr="00C53930">
        <w:rPr>
          <w:i/>
        </w:rPr>
        <w:t xml:space="preserve"> Remuneration Tribunal Act 1973</w:t>
      </w:r>
      <w:r w:rsidRPr="00C53930">
        <w:t xml:space="preserve"> to encompass the position of the Officer.</w:t>
      </w:r>
    </w:p>
    <w:p w:rsidR="00086DF9" w:rsidRPr="006C5E94" w:rsidRDefault="00086DF9" w:rsidP="00086DF9">
      <w:r w:rsidRPr="00C53930">
        <w:t xml:space="preserve">All Departments of State and agencies under the </w:t>
      </w:r>
      <w:r w:rsidRPr="00C53930">
        <w:rPr>
          <w:i/>
        </w:rPr>
        <w:t>Financial Management and Accountability Act 1997</w:t>
      </w:r>
      <w:r w:rsidRPr="00C53930">
        <w:t xml:space="preserve"> have been informed of the commencement date.</w:t>
      </w:r>
    </w:p>
    <w:sectPr w:rsidR="00086DF9" w:rsidRPr="006C5E94" w:rsidSect="00392BB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52C0"/>
    <w:multiLevelType w:val="singleLevel"/>
    <w:tmpl w:val="BBF66F10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>
    <w:nsid w:val="67A43C0B"/>
    <w:multiLevelType w:val="multilevel"/>
    <w:tmpl w:val="045CA2A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noTabHangInd/>
    <w:noColumnBalance/>
    <w:suppressBottomSpacing/>
    <w:suppressTopSpacing/>
    <w:suppressSpBfAfterPgBrk/>
    <w:noSpaceRaiseLower/>
    <w:doNotUseHTMLParagraphAutoSpacing/>
    <w:growAutofit/>
  </w:compat>
  <w:rsids>
    <w:rsidRoot w:val="00DE1619"/>
    <w:rsid w:val="00016EA2"/>
    <w:rsid w:val="00086DF9"/>
    <w:rsid w:val="00095211"/>
    <w:rsid w:val="000C10DF"/>
    <w:rsid w:val="000E791F"/>
    <w:rsid w:val="00113B45"/>
    <w:rsid w:val="00194584"/>
    <w:rsid w:val="001E6A74"/>
    <w:rsid w:val="001F01F6"/>
    <w:rsid w:val="001F41D0"/>
    <w:rsid w:val="00220F16"/>
    <w:rsid w:val="002438E3"/>
    <w:rsid w:val="00254C5B"/>
    <w:rsid w:val="00285AB6"/>
    <w:rsid w:val="002A78B5"/>
    <w:rsid w:val="002F6A37"/>
    <w:rsid w:val="003342CD"/>
    <w:rsid w:val="00335042"/>
    <w:rsid w:val="0038686F"/>
    <w:rsid w:val="00392BBA"/>
    <w:rsid w:val="004052FC"/>
    <w:rsid w:val="00491FA0"/>
    <w:rsid w:val="004E39E1"/>
    <w:rsid w:val="00503E44"/>
    <w:rsid w:val="00515283"/>
    <w:rsid w:val="00530E12"/>
    <w:rsid w:val="0055675D"/>
    <w:rsid w:val="005833BE"/>
    <w:rsid w:val="005D7353"/>
    <w:rsid w:val="005D7D5A"/>
    <w:rsid w:val="00630B61"/>
    <w:rsid w:val="0064129F"/>
    <w:rsid w:val="006B0D77"/>
    <w:rsid w:val="007338AD"/>
    <w:rsid w:val="007612E3"/>
    <w:rsid w:val="007E018D"/>
    <w:rsid w:val="00807E7D"/>
    <w:rsid w:val="00831675"/>
    <w:rsid w:val="00832A91"/>
    <w:rsid w:val="0088467C"/>
    <w:rsid w:val="008918D9"/>
    <w:rsid w:val="008D16F7"/>
    <w:rsid w:val="00921B03"/>
    <w:rsid w:val="00942793"/>
    <w:rsid w:val="009E2F86"/>
    <w:rsid w:val="00A12209"/>
    <w:rsid w:val="00A36DF3"/>
    <w:rsid w:val="00A42195"/>
    <w:rsid w:val="00A532DD"/>
    <w:rsid w:val="00A64B6A"/>
    <w:rsid w:val="00A80BCF"/>
    <w:rsid w:val="00AA49DE"/>
    <w:rsid w:val="00AF29F1"/>
    <w:rsid w:val="00B01312"/>
    <w:rsid w:val="00B07B0C"/>
    <w:rsid w:val="00B874C5"/>
    <w:rsid w:val="00BD61A2"/>
    <w:rsid w:val="00BE484D"/>
    <w:rsid w:val="00C37E05"/>
    <w:rsid w:val="00C53930"/>
    <w:rsid w:val="00C55D29"/>
    <w:rsid w:val="00D34626"/>
    <w:rsid w:val="00D4257A"/>
    <w:rsid w:val="00D4269E"/>
    <w:rsid w:val="00DC0CDE"/>
    <w:rsid w:val="00DE1619"/>
    <w:rsid w:val="00DE2E72"/>
    <w:rsid w:val="00E0624D"/>
    <w:rsid w:val="00E2377D"/>
    <w:rsid w:val="00EB7E71"/>
    <w:rsid w:val="00F109D4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BA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A12209"/>
    <w:pPr>
      <w:keepNext/>
      <w:spacing w:before="240" w:after="60"/>
      <w:jc w:val="center"/>
      <w:outlineLvl w:val="0"/>
    </w:pPr>
    <w:rPr>
      <w:rFonts w:ascii="Arial Bold" w:hAnsi="Arial Bold"/>
      <w:b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2209"/>
    <w:pPr>
      <w:keepNext/>
      <w:spacing w:before="240" w:after="60"/>
      <w:outlineLvl w:val="1"/>
    </w:pPr>
    <w:rPr>
      <w:b/>
      <w:sz w:val="28"/>
      <w:u w:val="single"/>
    </w:rPr>
  </w:style>
  <w:style w:type="paragraph" w:styleId="Heading3">
    <w:name w:val="heading 3"/>
    <w:basedOn w:val="Heading2"/>
    <w:next w:val="base-text-paragraph"/>
    <w:qFormat/>
    <w:rsid w:val="00392BBA"/>
    <w:pPr>
      <w:tabs>
        <w:tab w:val="left" w:pos="1987"/>
      </w:tabs>
      <w:spacing w:after="120"/>
      <w:outlineLvl w:val="2"/>
    </w:pPr>
    <w:rPr>
      <w:rFonts w:ascii="Helvetica" w:hAnsi="Helvetica"/>
      <w:kern w:val="28"/>
      <w:sz w:val="24"/>
      <w:u w:val="none"/>
    </w:rPr>
  </w:style>
  <w:style w:type="paragraph" w:styleId="Heading4">
    <w:name w:val="heading 4"/>
    <w:basedOn w:val="Heading3"/>
    <w:next w:val="base-text-paragraph"/>
    <w:qFormat/>
    <w:rsid w:val="00392BBA"/>
    <w:pPr>
      <w:spacing w:before="120"/>
      <w:ind w:left="1140"/>
      <w:outlineLvl w:val="3"/>
    </w:pPr>
    <w:rPr>
      <w:rFonts w:ascii="Times New Roman" w:hAnsi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2BBA"/>
    <w:pPr>
      <w:jc w:val="center"/>
    </w:pPr>
    <w:rPr>
      <w:b/>
    </w:rPr>
  </w:style>
  <w:style w:type="paragraph" w:styleId="BodyText">
    <w:name w:val="Body Text"/>
    <w:basedOn w:val="Normal"/>
    <w:rsid w:val="00392BBA"/>
  </w:style>
  <w:style w:type="paragraph" w:styleId="BodyText2">
    <w:name w:val="Body Text 2"/>
    <w:basedOn w:val="Normal"/>
    <w:rsid w:val="00392BBA"/>
    <w:rPr>
      <w:u w:val="single"/>
    </w:rPr>
  </w:style>
  <w:style w:type="paragraph" w:customStyle="1" w:styleId="Dotpoint">
    <w:name w:val="Dot point"/>
    <w:basedOn w:val="Normal"/>
    <w:rsid w:val="00392BBA"/>
    <w:pPr>
      <w:numPr>
        <w:numId w:val="1"/>
      </w:numPr>
      <w:tabs>
        <w:tab w:val="clear" w:pos="360"/>
        <w:tab w:val="num" w:pos="709"/>
        <w:tab w:val="left" w:pos="851"/>
      </w:tabs>
      <w:ind w:left="709" w:hanging="283"/>
    </w:pPr>
  </w:style>
  <w:style w:type="paragraph" w:styleId="TableofAuthorities">
    <w:name w:val="table of authorities"/>
    <w:basedOn w:val="Normal"/>
    <w:next w:val="Normal"/>
    <w:semiHidden/>
    <w:rsid w:val="00392BBA"/>
    <w:pPr>
      <w:ind w:left="200" w:hanging="200"/>
    </w:pPr>
  </w:style>
  <w:style w:type="paragraph" w:customStyle="1" w:styleId="base-text-paragraph">
    <w:name w:val="base-text-paragraph"/>
    <w:rsid w:val="00392BBA"/>
    <w:pPr>
      <w:tabs>
        <w:tab w:val="left" w:pos="1987"/>
      </w:tabs>
      <w:spacing w:before="120" w:after="120"/>
      <w:ind w:left="1140"/>
    </w:pPr>
    <w:rPr>
      <w:sz w:val="24"/>
    </w:rPr>
  </w:style>
  <w:style w:type="paragraph" w:customStyle="1" w:styleId="Default">
    <w:name w:val="Default"/>
    <w:link w:val="DefaultChar"/>
    <w:rsid w:val="005833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2DD"/>
    <w:rPr>
      <w:color w:val="0000FF" w:themeColor="hyperlink"/>
      <w:u w:val="single"/>
    </w:rPr>
  </w:style>
  <w:style w:type="paragraph" w:customStyle="1" w:styleId="Bullet">
    <w:name w:val="Bullet"/>
    <w:basedOn w:val="Normal"/>
    <w:link w:val="BulletChar"/>
    <w:rsid w:val="00E0624D"/>
    <w:pPr>
      <w:numPr>
        <w:numId w:val="2"/>
      </w:numPr>
      <w:spacing w:before="240"/>
    </w:pPr>
    <w:rPr>
      <w:szCs w:val="23"/>
    </w:rPr>
  </w:style>
  <w:style w:type="character" w:customStyle="1" w:styleId="DefaultChar">
    <w:name w:val="Default Char"/>
    <w:basedOn w:val="DefaultParagraphFont"/>
    <w:link w:val="Default"/>
    <w:rsid w:val="00E0624D"/>
    <w:rPr>
      <w:color w:val="000000"/>
      <w:sz w:val="24"/>
      <w:szCs w:val="24"/>
    </w:rPr>
  </w:style>
  <w:style w:type="character" w:customStyle="1" w:styleId="BulletChar">
    <w:name w:val="Bullet Char"/>
    <w:basedOn w:val="DefaultChar"/>
    <w:link w:val="Bullet"/>
    <w:rsid w:val="00E0624D"/>
    <w:rPr>
      <w:color w:val="000000"/>
      <w:sz w:val="24"/>
      <w:szCs w:val="23"/>
    </w:rPr>
  </w:style>
  <w:style w:type="paragraph" w:customStyle="1" w:styleId="Dash">
    <w:name w:val="Dash"/>
    <w:basedOn w:val="Normal"/>
    <w:link w:val="DashChar"/>
    <w:rsid w:val="00E0624D"/>
    <w:pPr>
      <w:numPr>
        <w:ilvl w:val="1"/>
        <w:numId w:val="2"/>
      </w:numPr>
      <w:spacing w:before="240"/>
    </w:pPr>
    <w:rPr>
      <w:szCs w:val="23"/>
    </w:rPr>
  </w:style>
  <w:style w:type="character" w:customStyle="1" w:styleId="DashChar">
    <w:name w:val="Dash Char"/>
    <w:basedOn w:val="DefaultChar"/>
    <w:link w:val="Dash"/>
    <w:rsid w:val="00E0624D"/>
    <w:rPr>
      <w:color w:val="000000"/>
      <w:sz w:val="24"/>
      <w:szCs w:val="23"/>
    </w:rPr>
  </w:style>
  <w:style w:type="paragraph" w:customStyle="1" w:styleId="DoubleDot">
    <w:name w:val="Double Dot"/>
    <w:basedOn w:val="Normal"/>
    <w:link w:val="DoubleDotChar"/>
    <w:rsid w:val="00E0624D"/>
    <w:pPr>
      <w:numPr>
        <w:ilvl w:val="2"/>
        <w:numId w:val="2"/>
      </w:numPr>
      <w:spacing w:before="240"/>
    </w:pPr>
    <w:rPr>
      <w:szCs w:val="23"/>
    </w:rPr>
  </w:style>
  <w:style w:type="character" w:customStyle="1" w:styleId="DoubleDotChar">
    <w:name w:val="Double Dot Char"/>
    <w:basedOn w:val="DefaultChar"/>
    <w:link w:val="DoubleDot"/>
    <w:rsid w:val="00E0624D"/>
    <w:rPr>
      <w:color w:val="000000"/>
      <w:sz w:val="24"/>
      <w:szCs w:val="23"/>
    </w:rPr>
  </w:style>
  <w:style w:type="character" w:styleId="PlaceholderText">
    <w:name w:val="Placeholder Text"/>
    <w:basedOn w:val="DefaultParagraphFont"/>
    <w:uiPriority w:val="99"/>
    <w:semiHidden/>
    <w:rsid w:val="00A122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Parliamentary\Xco%20Explanatory%20Stat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E4A8B-5276-426C-A7FC-8504BEDA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Xco Explanatory Statement</Template>
  <TotalTime>3</TotalTime>
  <Pages>1</Pages>
  <Words>326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EXPLANATORY MEMORANDUM</vt:lpstr>
    </vt:vector>
  </TitlesOfParts>
  <Company>ATO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MEMORANDUM</dc:title>
  <dc:creator>Quillinan, Matthew</dc:creator>
  <cp:lastModifiedBy>hilhma</cp:lastModifiedBy>
  <cp:revision>2</cp:revision>
  <cp:lastPrinted>2012-01-19T03:57:00Z</cp:lastPrinted>
  <dcterms:created xsi:type="dcterms:W3CDTF">2012-02-07T00:58:00Z</dcterms:created>
  <dcterms:modified xsi:type="dcterms:W3CDTF">2012-02-07T00:58:00Z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-2119910230</vt:i4>
  </property>
  <property fmtid="{D5CDD505-2E9C-101B-9397-08002B2CF9AE}" pid="3" name="_NewReviewCycle">
    <vt:lpwstr/>
  </property>
  <property fmtid="{D5CDD505-2E9C-101B-9397-08002B2CF9AE}" pid="4" name="_EmailSubject">
    <vt:lpwstr>ExCo Explanatory Statement Template</vt:lpwstr>
  </property>
  <property fmtid="{D5CDD505-2E9C-101B-9397-08002B2CF9AE}" pid="5" name="_AuthorEmail">
    <vt:lpwstr>Paul.Atkinson@TREASURY.GOV.AU</vt:lpwstr>
  </property>
  <property fmtid="{D5CDD505-2E9C-101B-9397-08002B2CF9AE}" pid="6" name="_AuthorEmailDisplayName">
    <vt:lpwstr>Atkinson, Paul</vt:lpwstr>
  </property>
  <property fmtid="{D5CDD505-2E9C-101B-9397-08002B2CF9AE}" pid="7" name="_ReviewingToolsShownOnce">
    <vt:lpwstr/>
  </property>
</Properties>
</file>