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494" w:rsidRPr="00725173" w:rsidRDefault="00A50494" w:rsidP="00A50494">
      <w:pPr>
        <w:spacing w:before="100" w:beforeAutospacing="1" w:after="100" w:afterAutospacing="1"/>
        <w:jc w:val="center"/>
        <w:rPr>
          <w:rFonts w:ascii="Times New Roman" w:eastAsia="Times New Roman" w:hAnsi="Times New Roman" w:cs="Times New Roman"/>
          <w:sz w:val="24"/>
          <w:szCs w:val="24"/>
          <w:lang w:eastAsia="en-AU"/>
        </w:rPr>
      </w:pPr>
      <w:r w:rsidRPr="00725173">
        <w:rPr>
          <w:rFonts w:ascii="Times New Roman" w:eastAsia="Times New Roman" w:hAnsi="Times New Roman" w:cs="Times New Roman"/>
          <w:b/>
          <w:bCs/>
          <w:sz w:val="24"/>
          <w:szCs w:val="24"/>
          <w:lang w:eastAsia="en-AU"/>
        </w:rPr>
        <w:t>EXPLANATORY STATEMENT</w:t>
      </w:r>
    </w:p>
    <w:p w:rsidR="00A50494" w:rsidRPr="00214063" w:rsidRDefault="00A50494" w:rsidP="00A50494">
      <w:pPr>
        <w:spacing w:before="100" w:beforeAutospacing="1" w:after="100" w:afterAutospacing="1"/>
        <w:jc w:val="center"/>
        <w:rPr>
          <w:rFonts w:ascii="Times New Roman" w:eastAsia="Times New Roman" w:hAnsi="Times New Roman" w:cs="Times New Roman"/>
          <w:sz w:val="24"/>
          <w:szCs w:val="24"/>
          <w:lang w:eastAsia="en-AU"/>
        </w:rPr>
      </w:pPr>
      <w:r w:rsidRPr="00214063">
        <w:rPr>
          <w:rFonts w:ascii="Times New Roman" w:eastAsia="Times New Roman" w:hAnsi="Times New Roman" w:cs="Times New Roman"/>
          <w:bCs/>
          <w:i/>
          <w:iCs/>
          <w:sz w:val="24"/>
          <w:szCs w:val="24"/>
          <w:lang w:eastAsia="en-AU"/>
        </w:rPr>
        <w:t>Radiocommunications Act 1992</w:t>
      </w:r>
    </w:p>
    <w:p w:rsidR="005116A7" w:rsidRDefault="00AA58A3" w:rsidP="005116A7">
      <w:pPr>
        <w:spacing w:before="100" w:beforeAutospacing="1" w:after="100" w:afterAutospacing="1"/>
        <w:jc w:val="center"/>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Radiocommunications (Spectrum Licence Limits) Direction No</w:t>
      </w:r>
      <w:r w:rsidR="00F143FE">
        <w:rPr>
          <w:rFonts w:ascii="Times New Roman" w:eastAsia="Times New Roman" w:hAnsi="Times New Roman" w:cs="Times New Roman"/>
          <w:b/>
          <w:bCs/>
          <w:sz w:val="24"/>
          <w:szCs w:val="24"/>
          <w:lang w:eastAsia="en-AU"/>
        </w:rPr>
        <w:t>.</w:t>
      </w:r>
      <w:r>
        <w:rPr>
          <w:rFonts w:ascii="Times New Roman" w:eastAsia="Times New Roman" w:hAnsi="Times New Roman" w:cs="Times New Roman"/>
          <w:b/>
          <w:bCs/>
          <w:sz w:val="24"/>
          <w:szCs w:val="24"/>
          <w:lang w:eastAsia="en-AU"/>
        </w:rPr>
        <w:t xml:space="preserve"> 2 of 201</w:t>
      </w:r>
      <w:r w:rsidR="004A144F">
        <w:rPr>
          <w:rFonts w:ascii="Times New Roman" w:eastAsia="Times New Roman" w:hAnsi="Times New Roman" w:cs="Times New Roman"/>
          <w:b/>
          <w:bCs/>
          <w:sz w:val="24"/>
          <w:szCs w:val="24"/>
          <w:lang w:eastAsia="en-AU"/>
        </w:rPr>
        <w:t>2</w:t>
      </w:r>
    </w:p>
    <w:p w:rsidR="00A50494" w:rsidRPr="00725173" w:rsidRDefault="00A50494" w:rsidP="00D514E3">
      <w:pPr>
        <w:spacing w:before="100" w:beforeAutospacing="1" w:after="100" w:afterAutospacing="1"/>
        <w:jc w:val="center"/>
        <w:rPr>
          <w:rFonts w:ascii="Times New Roman" w:eastAsia="Times New Roman" w:hAnsi="Times New Roman" w:cs="Times New Roman"/>
          <w:sz w:val="24"/>
          <w:szCs w:val="24"/>
          <w:lang w:eastAsia="en-AU"/>
        </w:rPr>
      </w:pPr>
      <w:r w:rsidRPr="00725173">
        <w:rPr>
          <w:rFonts w:ascii="Times New Roman" w:eastAsia="Times New Roman" w:hAnsi="Times New Roman" w:cs="Times New Roman"/>
          <w:sz w:val="24"/>
          <w:szCs w:val="24"/>
          <w:lang w:eastAsia="en-AU"/>
        </w:rPr>
        <w:t xml:space="preserve">Issued by the authority of the Minister for </w:t>
      </w:r>
      <w:r>
        <w:rPr>
          <w:rFonts w:ascii="Times New Roman" w:eastAsia="Times New Roman" w:hAnsi="Times New Roman" w:cs="Times New Roman"/>
          <w:sz w:val="24"/>
          <w:szCs w:val="24"/>
          <w:lang w:eastAsia="en-AU"/>
        </w:rPr>
        <w:t>Broadband, Communi</w:t>
      </w:r>
      <w:r w:rsidR="00652D28">
        <w:rPr>
          <w:rFonts w:ascii="Times New Roman" w:eastAsia="Times New Roman" w:hAnsi="Times New Roman" w:cs="Times New Roman"/>
          <w:sz w:val="24"/>
          <w:szCs w:val="24"/>
          <w:lang w:eastAsia="en-AU"/>
        </w:rPr>
        <w:t>cations and the Digital Economy</w:t>
      </w:r>
    </w:p>
    <w:p w:rsidR="00111074" w:rsidRDefault="00652D28" w:rsidP="00111074">
      <w:pPr>
        <w:pStyle w:val="NormalWeb"/>
        <w:spacing w:before="0" w:beforeAutospacing="0" w:after="0" w:afterAutospacing="0"/>
        <w:rPr>
          <w:b/>
        </w:rPr>
      </w:pPr>
      <w:r>
        <w:rPr>
          <w:b/>
        </w:rPr>
        <w:t>Background</w:t>
      </w:r>
    </w:p>
    <w:p w:rsidR="003A1BE4" w:rsidRDefault="003A1BE4" w:rsidP="003A1BE4">
      <w:pPr>
        <w:spacing w:after="0"/>
        <w:rPr>
          <w:rFonts w:ascii="Times New Roman" w:eastAsia="Times New Roman" w:hAnsi="Times New Roman" w:cs="Times New Roman"/>
          <w:sz w:val="24"/>
          <w:szCs w:val="24"/>
          <w:lang w:eastAsia="en-AU"/>
        </w:rPr>
      </w:pPr>
    </w:p>
    <w:p w:rsidR="006C0CE6" w:rsidRDefault="006C0CE6" w:rsidP="006C0CE6">
      <w:pPr>
        <w:spacing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Under section 60 of the </w:t>
      </w:r>
      <w:r w:rsidRPr="00591852">
        <w:rPr>
          <w:rFonts w:ascii="Times New Roman" w:eastAsia="Times New Roman" w:hAnsi="Times New Roman" w:cs="Times New Roman"/>
          <w:i/>
          <w:sz w:val="24"/>
          <w:szCs w:val="24"/>
          <w:lang w:eastAsia="en-AU"/>
        </w:rPr>
        <w:t>Radiocommunications Act 1992</w:t>
      </w:r>
      <w:r>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w:t>
      </w:r>
      <w:r w:rsidR="00E23E0F">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Act), the Australian Communications and Media Authority (</w:t>
      </w:r>
      <w:r w:rsidR="00E23E0F">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ACMA) is required to determine procedures to be applied in</w:t>
      </w:r>
      <w:r w:rsidR="00A776F9">
        <w:rPr>
          <w:rFonts w:ascii="Times New Roman" w:eastAsia="Times New Roman" w:hAnsi="Times New Roman" w:cs="Times New Roman"/>
          <w:sz w:val="24"/>
          <w:szCs w:val="24"/>
          <w:lang w:eastAsia="en-AU"/>
        </w:rPr>
        <w:t xml:space="preserve"> allocating spectrum licences. </w:t>
      </w:r>
      <w:r>
        <w:rPr>
          <w:rFonts w:ascii="Times New Roman" w:eastAsia="Times New Roman" w:hAnsi="Times New Roman" w:cs="Times New Roman"/>
          <w:sz w:val="24"/>
          <w:szCs w:val="24"/>
          <w:lang w:eastAsia="en-AU"/>
        </w:rPr>
        <w:t xml:space="preserve">It is necessary for the ACMA to apply </w:t>
      </w:r>
      <w:r w:rsidR="003E21BB">
        <w:rPr>
          <w:rFonts w:ascii="Times New Roman" w:eastAsia="Times New Roman" w:hAnsi="Times New Roman" w:cs="Times New Roman"/>
          <w:sz w:val="24"/>
          <w:szCs w:val="24"/>
          <w:lang w:eastAsia="en-AU"/>
        </w:rPr>
        <w:t>such</w:t>
      </w:r>
      <w:r>
        <w:rPr>
          <w:rFonts w:ascii="Times New Roman" w:eastAsia="Times New Roman" w:hAnsi="Times New Roman" w:cs="Times New Roman"/>
          <w:sz w:val="24"/>
          <w:szCs w:val="24"/>
          <w:lang w:eastAsia="en-AU"/>
        </w:rPr>
        <w:t xml:space="preserve"> procedures in circumstances where:</w:t>
      </w:r>
    </w:p>
    <w:p w:rsidR="006C0CE6" w:rsidRDefault="006C0CE6" w:rsidP="006C0CE6">
      <w:pPr>
        <w:pStyle w:val="ListParagraph"/>
        <w:numPr>
          <w:ilvl w:val="0"/>
          <w:numId w:val="8"/>
        </w:numPr>
        <w:spacing w:after="120"/>
        <w:rPr>
          <w:rFonts w:ascii="Times New Roman" w:hAnsi="Times New Roman"/>
          <w:sz w:val="24"/>
        </w:rPr>
      </w:pPr>
      <w:r>
        <w:rPr>
          <w:rFonts w:ascii="Times New Roman" w:hAnsi="Times New Roman"/>
          <w:sz w:val="24"/>
        </w:rPr>
        <w:t>a re-allocation declaration has been made by the Minister under section 153B of the Act, which initiates the process for re-allocating spectrum in the frequency bands named in such a declaration</w:t>
      </w:r>
      <w:r w:rsidR="00B67D0D">
        <w:rPr>
          <w:rFonts w:ascii="Times New Roman" w:hAnsi="Times New Roman"/>
          <w:sz w:val="24"/>
        </w:rPr>
        <w:t>, and that declaration states that the spectrum should be re-allocated by means of issuing spectrum licences (section 153L refers)</w:t>
      </w:r>
      <w:r>
        <w:rPr>
          <w:rFonts w:ascii="Times New Roman" w:hAnsi="Times New Roman"/>
          <w:sz w:val="24"/>
        </w:rPr>
        <w:t>;</w:t>
      </w:r>
    </w:p>
    <w:p w:rsidR="006C0CE6" w:rsidRDefault="006C0CE6" w:rsidP="006C0CE6">
      <w:pPr>
        <w:pStyle w:val="ListParagraph"/>
        <w:numPr>
          <w:ilvl w:val="0"/>
          <w:numId w:val="8"/>
        </w:numPr>
        <w:spacing w:after="120"/>
        <w:rPr>
          <w:rFonts w:ascii="Times New Roman" w:hAnsi="Times New Roman"/>
          <w:sz w:val="24"/>
        </w:rPr>
      </w:pPr>
      <w:r>
        <w:rPr>
          <w:rFonts w:ascii="Times New Roman" w:hAnsi="Times New Roman"/>
          <w:sz w:val="24"/>
        </w:rPr>
        <w:t xml:space="preserve">a designation notice has been issued by the Minister under section 36 of the Act and a part or parts of the spectrum identified in the notice are considered to be unencumbered, necessitating the preparation of a marketing plan under </w:t>
      </w:r>
      <w:r w:rsidR="00BE4822">
        <w:rPr>
          <w:rFonts w:ascii="Times New Roman" w:hAnsi="Times New Roman"/>
          <w:sz w:val="24"/>
        </w:rPr>
        <w:t xml:space="preserve">section </w:t>
      </w:r>
      <w:r>
        <w:rPr>
          <w:rFonts w:ascii="Times New Roman" w:hAnsi="Times New Roman"/>
          <w:sz w:val="24"/>
        </w:rPr>
        <w:t xml:space="preserve">39 </w:t>
      </w:r>
      <w:r w:rsidR="00BE4822">
        <w:rPr>
          <w:rFonts w:ascii="Times New Roman" w:hAnsi="Times New Roman"/>
          <w:sz w:val="24"/>
        </w:rPr>
        <w:t xml:space="preserve">of the </w:t>
      </w:r>
      <w:r>
        <w:rPr>
          <w:rFonts w:ascii="Times New Roman" w:hAnsi="Times New Roman"/>
          <w:sz w:val="24"/>
        </w:rPr>
        <w:t>Act; or</w:t>
      </w:r>
    </w:p>
    <w:p w:rsidR="006C0CE6" w:rsidRPr="00D16524" w:rsidRDefault="006C0CE6" w:rsidP="006C0CE6">
      <w:pPr>
        <w:pStyle w:val="ListParagraph"/>
        <w:numPr>
          <w:ilvl w:val="0"/>
          <w:numId w:val="8"/>
        </w:numPr>
        <w:spacing w:after="120"/>
        <w:rPr>
          <w:rFonts w:ascii="Times New Roman" w:hAnsi="Times New Roman"/>
          <w:sz w:val="24"/>
        </w:rPr>
      </w:pPr>
      <w:proofErr w:type="gramStart"/>
      <w:r>
        <w:rPr>
          <w:rFonts w:ascii="Times New Roman" w:hAnsi="Times New Roman"/>
          <w:sz w:val="24"/>
        </w:rPr>
        <w:t>one</w:t>
      </w:r>
      <w:proofErr w:type="gramEnd"/>
      <w:r>
        <w:rPr>
          <w:rFonts w:ascii="Times New Roman" w:hAnsi="Times New Roman"/>
          <w:sz w:val="24"/>
        </w:rPr>
        <w:t xml:space="preserve"> or more spectrum licences are to be re-issued under Division 4 of Part 3.2 of the Act, other than re-issue to the same licensee</w:t>
      </w:r>
      <w:r w:rsidR="00A776F9">
        <w:rPr>
          <w:rFonts w:ascii="Times New Roman" w:hAnsi="Times New Roman"/>
          <w:sz w:val="24"/>
        </w:rPr>
        <w:t xml:space="preserve"> under section 82 of the Act.</w:t>
      </w:r>
    </w:p>
    <w:p w:rsidR="006C0CE6" w:rsidRDefault="006C0CE6" w:rsidP="006C0CE6">
      <w:pPr>
        <w:spacing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Under subsection 60(5) of the Act, the ACMA is authorised to determine procedures under subsection 60(1) that impose limits on the aggregate </w:t>
      </w:r>
      <w:r w:rsidR="00046A69">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sz w:val="24"/>
          <w:szCs w:val="24"/>
          <w:lang w:eastAsia="en-AU"/>
        </w:rPr>
        <w:t>parts of the spectrum that may be used by any one person or specified person, or members of a specified group of persons, as a result of</w:t>
      </w:r>
      <w:r w:rsidR="00AA58A3">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allocation of </w:t>
      </w:r>
      <w:r w:rsidR="00245352">
        <w:rPr>
          <w:rFonts w:ascii="Times New Roman" w:eastAsia="Times New Roman" w:hAnsi="Times New Roman" w:cs="Times New Roman"/>
          <w:sz w:val="24"/>
          <w:szCs w:val="24"/>
          <w:lang w:eastAsia="en-AU"/>
        </w:rPr>
        <w:t xml:space="preserve">spectrum </w:t>
      </w:r>
      <w:r>
        <w:rPr>
          <w:rFonts w:ascii="Times New Roman" w:eastAsia="Times New Roman" w:hAnsi="Times New Roman" w:cs="Times New Roman"/>
          <w:sz w:val="24"/>
          <w:szCs w:val="24"/>
          <w:lang w:eastAsia="en-AU"/>
        </w:rPr>
        <w:t>licences under Subdivision B</w:t>
      </w:r>
      <w:r w:rsidR="00046A69">
        <w:rPr>
          <w:rFonts w:ascii="Times New Roman" w:eastAsia="Times New Roman" w:hAnsi="Times New Roman" w:cs="Times New Roman"/>
          <w:sz w:val="24"/>
          <w:szCs w:val="24"/>
          <w:lang w:eastAsia="en-AU"/>
        </w:rPr>
        <w:t xml:space="preserve"> of Part 3.2 of the Act</w:t>
      </w:r>
      <w:r>
        <w:rPr>
          <w:rFonts w:ascii="Times New Roman" w:eastAsia="Times New Roman" w:hAnsi="Times New Roman" w:cs="Times New Roman"/>
          <w:sz w:val="24"/>
          <w:szCs w:val="24"/>
          <w:lang w:eastAsia="en-AU"/>
        </w:rPr>
        <w:t>.</w:t>
      </w:r>
      <w:r w:rsidR="0095787F">
        <w:rPr>
          <w:rFonts w:ascii="Times New Roman" w:eastAsia="Times New Roman" w:hAnsi="Times New Roman" w:cs="Times New Roman"/>
          <w:sz w:val="24"/>
          <w:szCs w:val="24"/>
          <w:lang w:eastAsia="en-AU"/>
        </w:rPr>
        <w:t xml:space="preserve">  However, subsection 60(9) of the Act provides that this power to determine limits may only be exercised if the ACMA is directed to do so by the Minister under subsection 60(10) of the Act.</w:t>
      </w:r>
    </w:p>
    <w:p w:rsidR="00AA58A3" w:rsidRDefault="00AA58A3" w:rsidP="00AA58A3">
      <w:pPr>
        <w:spacing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60(10) of the Act allows the Minister to give written directions to the ACMA in relation to the exercise of its power to determine procedures imposing a limit mentioned in subsection 60(5) of the Act.</w:t>
      </w:r>
    </w:p>
    <w:p w:rsidR="00AA58A3" w:rsidRDefault="00AA58A3" w:rsidP="00AA58A3">
      <w:pPr>
        <w:spacing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60(6) of the Act sets out the manner in which limits imposed under subsection 60(5) of the Act may be expressed to apply, including by reference to a specified part of the spectrum, area or population reach.</w:t>
      </w:r>
    </w:p>
    <w:p w:rsidR="004A144F" w:rsidRDefault="004A144F" w:rsidP="004A144F">
      <w:pPr>
        <w:spacing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Where the Minister gives the ACMA a written direction under subsection 60(10) of the Act in relation to its power to impose limits under subsection 60(5) of the Act, the instrument will not be subject to disallowance under section 42 of the</w:t>
      </w:r>
      <w:r w:rsidRPr="00E072C1">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i/>
          <w:sz w:val="24"/>
          <w:szCs w:val="24"/>
          <w:lang w:eastAsia="en-AU"/>
        </w:rPr>
        <w:t>Legislative Instruments Act 2003</w:t>
      </w:r>
      <w:r>
        <w:rPr>
          <w:rFonts w:ascii="Times New Roman" w:eastAsia="Times New Roman" w:hAnsi="Times New Roman" w:cs="Times New Roman"/>
          <w:sz w:val="24"/>
          <w:szCs w:val="24"/>
          <w:lang w:eastAsia="en-AU"/>
        </w:rPr>
        <w:t xml:space="preserve">. This is because item 41 in subsection 44(2) of the </w:t>
      </w:r>
      <w:r>
        <w:rPr>
          <w:rFonts w:ascii="Times New Roman" w:eastAsia="Times New Roman" w:hAnsi="Times New Roman" w:cs="Times New Roman"/>
          <w:i/>
          <w:sz w:val="24"/>
          <w:szCs w:val="24"/>
          <w:lang w:eastAsia="en-AU"/>
        </w:rPr>
        <w:t xml:space="preserve">Legislative Instruments Act 2003 </w:t>
      </w:r>
      <w:r>
        <w:rPr>
          <w:rFonts w:ascii="Times New Roman" w:eastAsia="Times New Roman" w:hAnsi="Times New Roman" w:cs="Times New Roman"/>
          <w:sz w:val="24"/>
          <w:szCs w:val="24"/>
          <w:lang w:eastAsia="en-AU"/>
        </w:rPr>
        <w:t xml:space="preserve">provides that ministerial directions to any person or body will not be subject to disallowance unless the instrument is subject to disallowance under its enabling legislation. The </w:t>
      </w:r>
      <w:r w:rsidRPr="00E072C1">
        <w:rPr>
          <w:rFonts w:ascii="Times New Roman" w:eastAsia="Times New Roman" w:hAnsi="Times New Roman" w:cs="Times New Roman"/>
          <w:i/>
          <w:sz w:val="24"/>
          <w:szCs w:val="24"/>
          <w:lang w:eastAsia="en-AU"/>
        </w:rPr>
        <w:t>Radiocommunications Act 1992</w:t>
      </w:r>
      <w:r>
        <w:rPr>
          <w:rFonts w:ascii="Times New Roman" w:eastAsia="Times New Roman" w:hAnsi="Times New Roman" w:cs="Times New Roman"/>
          <w:sz w:val="24"/>
          <w:szCs w:val="24"/>
          <w:lang w:eastAsia="en-AU"/>
        </w:rPr>
        <w:t xml:space="preserve"> does not provide for a direction given by the Minister under subsection 60(10) to be subject to disallowance.</w:t>
      </w:r>
    </w:p>
    <w:p w:rsidR="004A144F" w:rsidRDefault="004A144F" w:rsidP="00111074">
      <w:pPr>
        <w:pStyle w:val="NormalWeb"/>
        <w:spacing w:after="0" w:afterAutospacing="0"/>
        <w:rPr>
          <w:b/>
        </w:rPr>
      </w:pPr>
    </w:p>
    <w:p w:rsidR="00111074" w:rsidRDefault="00652D28" w:rsidP="00111074">
      <w:pPr>
        <w:pStyle w:val="NormalWeb"/>
        <w:spacing w:after="0" w:afterAutospacing="0"/>
        <w:rPr>
          <w:b/>
        </w:rPr>
      </w:pPr>
      <w:r w:rsidRPr="00E36505">
        <w:rPr>
          <w:b/>
        </w:rPr>
        <w:lastRenderedPageBreak/>
        <w:t>Purpose</w:t>
      </w:r>
    </w:p>
    <w:p w:rsidR="003A1BE4" w:rsidRDefault="003A1BE4" w:rsidP="003A1BE4">
      <w:pPr>
        <w:pStyle w:val="CABBackGround"/>
        <w:spacing w:line="240" w:lineRule="auto"/>
        <w:rPr>
          <w:rFonts w:ascii="Times New Roman" w:eastAsia="Times New Roman" w:hAnsi="Times New Roman" w:cs="Times New Roman"/>
          <w:szCs w:val="24"/>
        </w:rPr>
      </w:pPr>
    </w:p>
    <w:p w:rsidR="006C0CE6" w:rsidRPr="00F05452" w:rsidRDefault="006C0CE6" w:rsidP="006C0CE6">
      <w:pPr>
        <w:spacing w:after="120"/>
        <w:rPr>
          <w:rFonts w:ascii="Times New Roman" w:eastAsia="Times New Roman" w:hAnsi="Times New Roman" w:cs="Times New Roman"/>
          <w:sz w:val="24"/>
          <w:szCs w:val="24"/>
          <w:lang w:eastAsia="en-AU"/>
        </w:rPr>
      </w:pPr>
      <w:r w:rsidRPr="00B623BA">
        <w:rPr>
          <w:rFonts w:ascii="Times New Roman" w:eastAsia="Times New Roman" w:hAnsi="Times New Roman" w:cs="Times New Roman"/>
          <w:sz w:val="24"/>
          <w:szCs w:val="24"/>
          <w:lang w:eastAsia="en-AU"/>
        </w:rPr>
        <w:t xml:space="preserve">The Government has committed to auctioning the </w:t>
      </w:r>
      <w:r w:rsidR="002C2F0B">
        <w:rPr>
          <w:rFonts w:ascii="Times New Roman" w:eastAsia="Times New Roman" w:hAnsi="Times New Roman" w:cs="Times New Roman"/>
          <w:sz w:val="24"/>
          <w:szCs w:val="24"/>
          <w:lang w:eastAsia="en-AU"/>
        </w:rPr>
        <w:t>2.5</w:t>
      </w:r>
      <w:r w:rsidRPr="00B623BA">
        <w:rPr>
          <w:rFonts w:ascii="Times New Roman" w:eastAsia="Times New Roman" w:hAnsi="Times New Roman" w:cs="Times New Roman"/>
          <w:sz w:val="24"/>
          <w:szCs w:val="24"/>
          <w:lang w:eastAsia="en-AU"/>
        </w:rPr>
        <w:t>GHz band, currently used for television outside broadcasting, during 2012-13. An auction is being planned to sell spectrum from the 2.5GHz band along with spectrum from the digital dividend (700MHz) band through a single process at the end of 2012.</w:t>
      </w:r>
    </w:p>
    <w:p w:rsidR="006C0CE6" w:rsidRPr="00F05452" w:rsidRDefault="006C0CE6" w:rsidP="006C0CE6">
      <w:pPr>
        <w:spacing w:after="120"/>
        <w:rPr>
          <w:rFonts w:ascii="Times New Roman" w:eastAsia="Times New Roman" w:hAnsi="Times New Roman" w:cs="Times New Roman"/>
          <w:sz w:val="24"/>
          <w:szCs w:val="24"/>
          <w:lang w:eastAsia="en-AU"/>
        </w:rPr>
      </w:pPr>
      <w:r w:rsidRPr="00F05452">
        <w:rPr>
          <w:rFonts w:ascii="Times New Roman" w:eastAsia="Times New Roman" w:hAnsi="Times New Roman" w:cs="Times New Roman"/>
          <w:sz w:val="24"/>
          <w:szCs w:val="24"/>
          <w:lang w:eastAsia="en-AU"/>
        </w:rPr>
        <w:t>On 1 November 2011 the Minister for Broadband, Communications and the Digital Economy</w:t>
      </w:r>
      <w:r w:rsidR="008036BF">
        <w:rPr>
          <w:rFonts w:ascii="Times New Roman" w:eastAsia="Times New Roman" w:hAnsi="Times New Roman" w:cs="Times New Roman"/>
          <w:sz w:val="24"/>
          <w:szCs w:val="24"/>
          <w:lang w:eastAsia="en-AU"/>
        </w:rPr>
        <w:t xml:space="preserve"> (Minister)</w:t>
      </w:r>
      <w:r w:rsidRPr="00F05452">
        <w:rPr>
          <w:rFonts w:ascii="Times New Roman" w:eastAsia="Times New Roman" w:hAnsi="Times New Roman" w:cs="Times New Roman"/>
          <w:sz w:val="24"/>
          <w:szCs w:val="24"/>
          <w:lang w:eastAsia="en-AU"/>
        </w:rPr>
        <w:t xml:space="preserve"> formally initiated the process for re-allocating spectrum in the </w:t>
      </w:r>
      <w:r>
        <w:rPr>
          <w:rFonts w:ascii="Times New Roman" w:eastAsia="Times New Roman" w:hAnsi="Times New Roman" w:cs="Times New Roman"/>
          <w:sz w:val="24"/>
          <w:szCs w:val="24"/>
          <w:lang w:eastAsia="en-AU"/>
        </w:rPr>
        <w:t>700MHz</w:t>
      </w:r>
      <w:r w:rsidRPr="00F05452">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and 2.5GHz </w:t>
      </w:r>
      <w:r w:rsidRPr="00F05452">
        <w:rPr>
          <w:rFonts w:ascii="Times New Roman" w:eastAsia="Times New Roman" w:hAnsi="Times New Roman" w:cs="Times New Roman"/>
          <w:sz w:val="24"/>
          <w:szCs w:val="24"/>
          <w:lang w:eastAsia="en-AU"/>
        </w:rPr>
        <w:t>band</w:t>
      </w:r>
      <w:r>
        <w:rPr>
          <w:rFonts w:ascii="Times New Roman" w:eastAsia="Times New Roman" w:hAnsi="Times New Roman" w:cs="Times New Roman"/>
          <w:sz w:val="24"/>
          <w:szCs w:val="24"/>
          <w:lang w:eastAsia="en-AU"/>
        </w:rPr>
        <w:t>s</w:t>
      </w:r>
      <w:r w:rsidR="00384C04">
        <w:rPr>
          <w:rFonts w:ascii="Times New Roman" w:eastAsia="Times New Roman" w:hAnsi="Times New Roman" w:cs="Times New Roman"/>
          <w:sz w:val="24"/>
          <w:szCs w:val="24"/>
          <w:lang w:eastAsia="en-AU"/>
        </w:rPr>
        <w:t xml:space="preserve"> </w:t>
      </w:r>
      <w:r w:rsidR="007A7337" w:rsidRPr="00F01BE3">
        <w:rPr>
          <w:rFonts w:ascii="Times New Roman" w:eastAsia="Times New Roman" w:hAnsi="Times New Roman" w:cs="Times New Roman"/>
          <w:sz w:val="24"/>
          <w:szCs w:val="24"/>
          <w:lang w:eastAsia="en-AU"/>
        </w:rPr>
        <w:t>to allow for new uses beyond broadcasting</w:t>
      </w:r>
      <w:r w:rsidR="000533A7" w:rsidRPr="00F01BE3">
        <w:rPr>
          <w:rFonts w:ascii="Times New Roman" w:eastAsia="Times New Roman" w:hAnsi="Times New Roman" w:cs="Times New Roman"/>
          <w:sz w:val="24"/>
          <w:szCs w:val="24"/>
          <w:lang w:eastAsia="en-AU"/>
        </w:rPr>
        <w:t>,</w:t>
      </w:r>
      <w:r w:rsidR="007A7337" w:rsidRPr="00F01BE3">
        <w:rPr>
          <w:rFonts w:ascii="Times New Roman" w:eastAsia="Times New Roman" w:hAnsi="Times New Roman" w:cs="Times New Roman"/>
          <w:sz w:val="24"/>
          <w:szCs w:val="24"/>
          <w:lang w:eastAsia="en-AU"/>
        </w:rPr>
        <w:t xml:space="preserve"> </w:t>
      </w:r>
      <w:r w:rsidRPr="00F05452">
        <w:rPr>
          <w:rFonts w:ascii="Times New Roman" w:eastAsia="Times New Roman" w:hAnsi="Times New Roman" w:cs="Times New Roman"/>
          <w:sz w:val="24"/>
          <w:szCs w:val="24"/>
          <w:lang w:eastAsia="en-AU"/>
        </w:rPr>
        <w:t xml:space="preserve">by making the </w:t>
      </w:r>
      <w:r w:rsidRPr="00F05452">
        <w:rPr>
          <w:rFonts w:ascii="Times New Roman" w:eastAsia="Times New Roman" w:hAnsi="Times New Roman" w:cs="Times New Roman"/>
          <w:i/>
          <w:sz w:val="24"/>
          <w:szCs w:val="24"/>
          <w:lang w:eastAsia="en-AU"/>
        </w:rPr>
        <w:t xml:space="preserve">Radiocommunications (Spectrum Re-allocation) Declaration No. </w:t>
      </w:r>
      <w:r>
        <w:rPr>
          <w:rFonts w:ascii="Times New Roman" w:eastAsia="Times New Roman" w:hAnsi="Times New Roman" w:cs="Times New Roman"/>
          <w:i/>
          <w:sz w:val="24"/>
          <w:szCs w:val="24"/>
          <w:lang w:eastAsia="en-AU"/>
        </w:rPr>
        <w:t>1</w:t>
      </w:r>
      <w:r w:rsidRPr="00F05452">
        <w:rPr>
          <w:rFonts w:ascii="Times New Roman" w:eastAsia="Times New Roman" w:hAnsi="Times New Roman" w:cs="Times New Roman"/>
          <w:i/>
          <w:sz w:val="24"/>
          <w:szCs w:val="24"/>
          <w:lang w:eastAsia="en-AU"/>
        </w:rPr>
        <w:t xml:space="preserve"> of 2011</w:t>
      </w:r>
      <w:r w:rsidRPr="00F05452">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and the </w:t>
      </w:r>
      <w:r w:rsidRPr="00F05452">
        <w:rPr>
          <w:rFonts w:ascii="Times New Roman" w:eastAsia="Times New Roman" w:hAnsi="Times New Roman" w:cs="Times New Roman"/>
          <w:i/>
          <w:sz w:val="24"/>
          <w:szCs w:val="24"/>
          <w:lang w:eastAsia="en-AU"/>
        </w:rPr>
        <w:t xml:space="preserve">Radiocommunications (Spectrum Re-allocation) Declaration No. </w:t>
      </w:r>
      <w:r>
        <w:rPr>
          <w:rFonts w:ascii="Times New Roman" w:eastAsia="Times New Roman" w:hAnsi="Times New Roman" w:cs="Times New Roman"/>
          <w:i/>
          <w:sz w:val="24"/>
          <w:szCs w:val="24"/>
          <w:lang w:eastAsia="en-AU"/>
        </w:rPr>
        <w:t>2</w:t>
      </w:r>
      <w:r w:rsidRPr="00F05452">
        <w:rPr>
          <w:rFonts w:ascii="Times New Roman" w:eastAsia="Times New Roman" w:hAnsi="Times New Roman" w:cs="Times New Roman"/>
          <w:i/>
          <w:sz w:val="24"/>
          <w:szCs w:val="24"/>
          <w:lang w:eastAsia="en-AU"/>
        </w:rPr>
        <w:t xml:space="preserve"> of 2011</w:t>
      </w:r>
      <w:r w:rsidRPr="00F05452">
        <w:rPr>
          <w:rFonts w:ascii="Times New Roman" w:eastAsia="Times New Roman" w:hAnsi="Times New Roman" w:cs="Times New Roman"/>
          <w:sz w:val="24"/>
          <w:szCs w:val="24"/>
          <w:lang w:eastAsia="en-AU"/>
        </w:rPr>
        <w:t xml:space="preserve"> under section 153B of the Act. Th</w:t>
      </w:r>
      <w:r>
        <w:rPr>
          <w:rFonts w:ascii="Times New Roman" w:eastAsia="Times New Roman" w:hAnsi="Times New Roman" w:cs="Times New Roman"/>
          <w:sz w:val="24"/>
          <w:szCs w:val="24"/>
          <w:lang w:eastAsia="en-AU"/>
        </w:rPr>
        <w:t>ese</w:t>
      </w:r>
      <w:r w:rsidRPr="00F05452">
        <w:rPr>
          <w:rFonts w:ascii="Times New Roman" w:eastAsia="Times New Roman" w:hAnsi="Times New Roman" w:cs="Times New Roman"/>
          <w:sz w:val="24"/>
          <w:szCs w:val="24"/>
          <w:lang w:eastAsia="en-AU"/>
        </w:rPr>
        <w:t xml:space="preserve"> instrument</w:t>
      </w:r>
      <w:r>
        <w:rPr>
          <w:rFonts w:ascii="Times New Roman" w:eastAsia="Times New Roman" w:hAnsi="Times New Roman" w:cs="Times New Roman"/>
          <w:sz w:val="24"/>
          <w:szCs w:val="24"/>
          <w:lang w:eastAsia="en-AU"/>
        </w:rPr>
        <w:t>s declare</w:t>
      </w:r>
      <w:r w:rsidRPr="00F05452">
        <w:rPr>
          <w:rFonts w:ascii="Times New Roman" w:eastAsia="Times New Roman" w:hAnsi="Times New Roman" w:cs="Times New Roman"/>
          <w:sz w:val="24"/>
          <w:szCs w:val="24"/>
          <w:lang w:eastAsia="en-AU"/>
        </w:rPr>
        <w:t xml:space="preserve"> spectrum in the </w:t>
      </w:r>
      <w:r>
        <w:rPr>
          <w:rFonts w:ascii="Times New Roman" w:eastAsia="Times New Roman" w:hAnsi="Times New Roman" w:cs="Times New Roman"/>
          <w:sz w:val="24"/>
          <w:szCs w:val="24"/>
          <w:lang w:eastAsia="en-AU"/>
        </w:rPr>
        <w:t xml:space="preserve">700MHz and </w:t>
      </w:r>
      <w:r w:rsidRPr="00F05452">
        <w:rPr>
          <w:rFonts w:ascii="Times New Roman" w:eastAsia="Times New Roman" w:hAnsi="Times New Roman" w:cs="Times New Roman"/>
          <w:sz w:val="24"/>
          <w:szCs w:val="24"/>
          <w:lang w:eastAsia="en-AU"/>
        </w:rPr>
        <w:t>2.5GHz band</w:t>
      </w:r>
      <w:r>
        <w:rPr>
          <w:rFonts w:ascii="Times New Roman" w:eastAsia="Times New Roman" w:hAnsi="Times New Roman" w:cs="Times New Roman"/>
          <w:sz w:val="24"/>
          <w:szCs w:val="24"/>
          <w:lang w:eastAsia="en-AU"/>
        </w:rPr>
        <w:t>s</w:t>
      </w:r>
      <w:r w:rsidRPr="00F05452">
        <w:rPr>
          <w:rFonts w:ascii="Times New Roman" w:eastAsia="Times New Roman" w:hAnsi="Times New Roman" w:cs="Times New Roman"/>
          <w:sz w:val="24"/>
          <w:szCs w:val="24"/>
          <w:lang w:eastAsia="en-AU"/>
        </w:rPr>
        <w:t xml:space="preserve"> subject to re-allocation by issuing spectrum licences.</w:t>
      </w:r>
    </w:p>
    <w:p w:rsidR="00B97954" w:rsidRDefault="00B97954" w:rsidP="00B97954">
      <w:pPr>
        <w:pStyle w:val="CABBackGround"/>
        <w:spacing w:after="120" w:line="240" w:lineRule="auto"/>
        <w:rPr>
          <w:rFonts w:ascii="Times New Roman" w:eastAsia="Times New Roman" w:hAnsi="Times New Roman" w:cs="Times New Roman"/>
          <w:szCs w:val="24"/>
        </w:rPr>
      </w:pPr>
      <w:r>
        <w:rPr>
          <w:rFonts w:ascii="Times New Roman" w:eastAsia="Times New Roman" w:hAnsi="Times New Roman" w:cs="Times New Roman"/>
          <w:szCs w:val="24"/>
        </w:rPr>
        <w:t>The 700MHz and 2.5GHz bands are important for the evolution of mobile networks in Australia. These bands have been harmonised internationally for use for Long Term Evolution (LTE) technology – the next generation of mobile communications services. LTE technology combined with larger blocks of spectrum (2x20MHz blocks are optimal) are expected to offer greater efficiencies and cost savings for operators, and deliver higher data carrying capacity and faster service speeds. Telstra, Optus and Vodafone Hutchison Australia (VHA) have indicated their intention to upgrade their networks to LTE.</w:t>
      </w:r>
    </w:p>
    <w:p w:rsidR="00DC4EB8" w:rsidRPr="00F05452" w:rsidRDefault="00AA58A3" w:rsidP="00DC4EB8">
      <w:pPr>
        <w:pStyle w:val="CABBackGround"/>
        <w:spacing w:after="12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There is increasing demand for </w:t>
      </w:r>
      <w:r w:rsidR="00DC4EB8" w:rsidRPr="00F05452">
        <w:rPr>
          <w:rFonts w:ascii="Times New Roman" w:eastAsia="Times New Roman" w:hAnsi="Times New Roman" w:cs="Times New Roman"/>
          <w:szCs w:val="24"/>
        </w:rPr>
        <w:t>new spectrum</w:t>
      </w:r>
      <w:r w:rsidR="00DC4EB8">
        <w:rPr>
          <w:rFonts w:ascii="Times New Roman" w:eastAsia="Times New Roman" w:hAnsi="Times New Roman" w:cs="Times New Roman"/>
          <w:szCs w:val="24"/>
        </w:rPr>
        <w:t xml:space="preserve"> in order to roll-out LTE networks and gain access to the larger bandwidths necessary to </w:t>
      </w:r>
      <w:r w:rsidR="00DC4EB8" w:rsidRPr="00F05452">
        <w:rPr>
          <w:rFonts w:ascii="Times New Roman" w:eastAsia="Times New Roman" w:hAnsi="Times New Roman" w:cs="Times New Roman"/>
          <w:szCs w:val="24"/>
        </w:rPr>
        <w:t>meet the ever increasing demand for mobile data services</w:t>
      </w:r>
      <w:r w:rsidR="00DC4EB8">
        <w:rPr>
          <w:rFonts w:ascii="Times New Roman" w:eastAsia="Times New Roman" w:hAnsi="Times New Roman" w:cs="Times New Roman"/>
          <w:szCs w:val="24"/>
        </w:rPr>
        <w:t xml:space="preserve">. This increasing demand is the </w:t>
      </w:r>
      <w:r w:rsidR="00DC4EB8" w:rsidRPr="00F05452">
        <w:rPr>
          <w:rFonts w:ascii="Times New Roman" w:eastAsia="Times New Roman" w:hAnsi="Times New Roman" w:cs="Times New Roman"/>
          <w:szCs w:val="24"/>
        </w:rPr>
        <w:t>result of</w:t>
      </w:r>
      <w:r w:rsidR="00DC4EB8">
        <w:rPr>
          <w:rFonts w:ascii="Times New Roman" w:eastAsia="Times New Roman" w:hAnsi="Times New Roman" w:cs="Times New Roman"/>
          <w:szCs w:val="24"/>
        </w:rPr>
        <w:t xml:space="preserve"> </w:t>
      </w:r>
      <w:r w:rsidR="00DC4EB8" w:rsidRPr="00F05452">
        <w:rPr>
          <w:rFonts w:ascii="Times New Roman" w:eastAsia="Times New Roman" w:hAnsi="Times New Roman" w:cs="Times New Roman"/>
          <w:szCs w:val="24"/>
        </w:rPr>
        <w:t xml:space="preserve">increasing use of mobile consumer devices with internet connectivity </w:t>
      </w:r>
      <w:r w:rsidR="00E07382">
        <w:rPr>
          <w:rFonts w:ascii="Times New Roman" w:eastAsia="Times New Roman" w:hAnsi="Times New Roman" w:cs="Times New Roman"/>
          <w:szCs w:val="24"/>
        </w:rPr>
        <w:t>(</w:t>
      </w:r>
      <w:r w:rsidR="00DC4EB8" w:rsidRPr="00F05452">
        <w:rPr>
          <w:rFonts w:ascii="Times New Roman" w:eastAsia="Times New Roman" w:hAnsi="Times New Roman" w:cs="Times New Roman"/>
          <w:szCs w:val="24"/>
        </w:rPr>
        <w:t>such as smart phones, tablets and laptops</w:t>
      </w:r>
      <w:r w:rsidR="00E07382">
        <w:rPr>
          <w:rFonts w:ascii="Times New Roman" w:eastAsia="Times New Roman" w:hAnsi="Times New Roman" w:cs="Times New Roman"/>
          <w:szCs w:val="24"/>
        </w:rPr>
        <w:t>)</w:t>
      </w:r>
      <w:r w:rsidR="00DC4EB8" w:rsidRPr="00F05452">
        <w:rPr>
          <w:rFonts w:ascii="Times New Roman" w:eastAsia="Times New Roman" w:hAnsi="Times New Roman" w:cs="Times New Roman"/>
          <w:szCs w:val="24"/>
        </w:rPr>
        <w:t>. The 700MHz and 2.5GHz spectrum will be central to meeting this demand</w:t>
      </w:r>
      <w:r w:rsidR="00DC4EB8">
        <w:rPr>
          <w:rFonts w:ascii="Times New Roman" w:eastAsia="Times New Roman" w:hAnsi="Times New Roman" w:cs="Times New Roman"/>
          <w:szCs w:val="24"/>
        </w:rPr>
        <w:t xml:space="preserve"> going forward</w:t>
      </w:r>
      <w:r w:rsidR="00DC4EB8" w:rsidRPr="00F05452">
        <w:rPr>
          <w:rFonts w:ascii="Times New Roman" w:eastAsia="Times New Roman" w:hAnsi="Times New Roman" w:cs="Times New Roman"/>
          <w:szCs w:val="24"/>
        </w:rPr>
        <w:t xml:space="preserve">. </w:t>
      </w:r>
    </w:p>
    <w:p w:rsidR="00DC4EB8" w:rsidRPr="00F05452" w:rsidRDefault="00DC4EB8" w:rsidP="00DC4EB8">
      <w:pPr>
        <w:pStyle w:val="CABBackGround"/>
        <w:spacing w:after="120" w:line="240" w:lineRule="auto"/>
        <w:rPr>
          <w:rFonts w:ascii="Times New Roman" w:eastAsia="Times New Roman" w:hAnsi="Times New Roman" w:cs="Times New Roman"/>
          <w:szCs w:val="24"/>
        </w:rPr>
      </w:pPr>
      <w:r w:rsidRPr="00F05452">
        <w:rPr>
          <w:rFonts w:ascii="Times New Roman" w:eastAsia="Times New Roman" w:hAnsi="Times New Roman" w:cs="Times New Roman"/>
          <w:szCs w:val="24"/>
        </w:rPr>
        <w:t xml:space="preserve">Mobile broadband networks operate best using a combination of high band spectrum for additional capacity and low </w:t>
      </w:r>
      <w:r>
        <w:rPr>
          <w:rFonts w:ascii="Times New Roman" w:eastAsia="Times New Roman" w:hAnsi="Times New Roman" w:cs="Times New Roman"/>
          <w:szCs w:val="24"/>
        </w:rPr>
        <w:t xml:space="preserve">band spectrum for coverage. The existing </w:t>
      </w:r>
      <w:r w:rsidRPr="00F05452">
        <w:rPr>
          <w:rFonts w:ascii="Times New Roman" w:eastAsia="Times New Roman" w:hAnsi="Times New Roman" w:cs="Times New Roman"/>
          <w:szCs w:val="24"/>
        </w:rPr>
        <w:t xml:space="preserve">mobile network operators and any potential new market entrant are likely to seek spectrum from both the 700MHz and 2.5GHz bands in the upcoming auction in order to best design their new networks. </w:t>
      </w:r>
    </w:p>
    <w:p w:rsidR="00DC4EB8" w:rsidRDefault="00DC4EB8" w:rsidP="00DC4EB8">
      <w:pPr>
        <w:pStyle w:val="CABBackGround"/>
        <w:spacing w:after="12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Competition limits </w:t>
      </w:r>
      <w:r w:rsidR="008E2485">
        <w:rPr>
          <w:rFonts w:ascii="Times New Roman" w:eastAsia="Times New Roman" w:hAnsi="Times New Roman" w:cs="Times New Roman"/>
          <w:szCs w:val="24"/>
        </w:rPr>
        <w:t xml:space="preserve">are being </w:t>
      </w:r>
      <w:r>
        <w:rPr>
          <w:rFonts w:ascii="Times New Roman" w:eastAsia="Times New Roman" w:hAnsi="Times New Roman" w:cs="Times New Roman"/>
          <w:szCs w:val="24"/>
        </w:rPr>
        <w:t xml:space="preserve">imposed on spectrum in both the </w:t>
      </w:r>
      <w:r w:rsidRPr="00F05452">
        <w:rPr>
          <w:rFonts w:ascii="Times New Roman" w:eastAsia="Times New Roman" w:hAnsi="Times New Roman" w:cs="Times New Roman"/>
          <w:szCs w:val="24"/>
        </w:rPr>
        <w:t>700MHz and 2.5GHz bands</w:t>
      </w:r>
      <w:r>
        <w:rPr>
          <w:rFonts w:ascii="Times New Roman" w:eastAsia="Times New Roman" w:hAnsi="Times New Roman" w:cs="Times New Roman"/>
          <w:szCs w:val="24"/>
        </w:rPr>
        <w:t xml:space="preserve"> to prevent </w:t>
      </w:r>
      <w:r w:rsidR="00AA58A3">
        <w:rPr>
          <w:rFonts w:ascii="Times New Roman" w:eastAsia="Times New Roman" w:hAnsi="Times New Roman" w:cs="Times New Roman"/>
          <w:szCs w:val="24"/>
        </w:rPr>
        <w:t xml:space="preserve">either band being monopolised.  A monopoly will cause the </w:t>
      </w:r>
      <w:r w:rsidRPr="00F05452">
        <w:rPr>
          <w:rFonts w:ascii="Times New Roman" w:eastAsia="Times New Roman" w:hAnsi="Times New Roman" w:cs="Times New Roman"/>
          <w:szCs w:val="24"/>
        </w:rPr>
        <w:t xml:space="preserve">network architecture </w:t>
      </w:r>
      <w:r w:rsidR="00AA58A3">
        <w:rPr>
          <w:rFonts w:ascii="Times New Roman" w:eastAsia="Times New Roman" w:hAnsi="Times New Roman" w:cs="Times New Roman"/>
          <w:szCs w:val="24"/>
        </w:rPr>
        <w:t>to be inefficient</w:t>
      </w:r>
      <w:r w:rsidR="00A65136">
        <w:rPr>
          <w:rFonts w:ascii="Times New Roman" w:eastAsia="Times New Roman" w:hAnsi="Times New Roman" w:cs="Times New Roman"/>
          <w:szCs w:val="24"/>
        </w:rPr>
        <w:t>,</w:t>
      </w:r>
      <w:r w:rsidR="00AA58A3">
        <w:rPr>
          <w:rFonts w:ascii="Times New Roman" w:eastAsia="Times New Roman" w:hAnsi="Times New Roman" w:cs="Times New Roman"/>
          <w:szCs w:val="24"/>
        </w:rPr>
        <w:t xml:space="preserve"> with </w:t>
      </w:r>
      <w:r w:rsidRPr="00F05452">
        <w:rPr>
          <w:rFonts w:ascii="Times New Roman" w:eastAsia="Times New Roman" w:hAnsi="Times New Roman" w:cs="Times New Roman"/>
          <w:szCs w:val="24"/>
        </w:rPr>
        <w:t>subsequent negative impact on consumers in terms of service availability, quality and pricing.</w:t>
      </w:r>
    </w:p>
    <w:p w:rsidR="00DC4EB8" w:rsidRDefault="00DC4EB8" w:rsidP="00DC4EB8">
      <w:pPr>
        <w:pStyle w:val="NormalWeb"/>
        <w:spacing w:before="0" w:beforeAutospacing="0" w:after="120" w:afterAutospacing="0"/>
        <w:rPr>
          <w:iCs/>
        </w:rPr>
      </w:pPr>
      <w:r>
        <w:t xml:space="preserve">The competition limits have been </w:t>
      </w:r>
      <w:r w:rsidRPr="00F05452">
        <w:rPr>
          <w:iCs/>
        </w:rPr>
        <w:t xml:space="preserve">structured to </w:t>
      </w:r>
      <w:r>
        <w:rPr>
          <w:iCs/>
        </w:rPr>
        <w:t>provide</w:t>
      </w:r>
      <w:r w:rsidRPr="00F05452">
        <w:rPr>
          <w:iCs/>
        </w:rPr>
        <w:t xml:space="preserve"> a level playing field for the three bidders most likely to participate in the auction</w:t>
      </w:r>
      <w:r>
        <w:rPr>
          <w:iCs/>
        </w:rPr>
        <w:t>, while not precluding a new entrant</w:t>
      </w:r>
      <w:r w:rsidRPr="00F05452">
        <w:rPr>
          <w:iCs/>
        </w:rPr>
        <w:t>.</w:t>
      </w:r>
    </w:p>
    <w:p w:rsidR="008A4B74" w:rsidRDefault="00DC4EB8" w:rsidP="008A4B74">
      <w:pPr>
        <w:pStyle w:val="NormalWeb"/>
        <w:spacing w:before="0" w:beforeAutospacing="0" w:after="120" w:afterAutospacing="0"/>
      </w:pPr>
      <w:r w:rsidRPr="00F05452">
        <w:t xml:space="preserve">The limits have been </w:t>
      </w:r>
      <w:r>
        <w:t xml:space="preserve">set bearing in mind the characteristics of the technology most likely to be deployed (LTE), particularly the optimal spectrum block size of 2x20MHz. </w:t>
      </w:r>
    </w:p>
    <w:p w:rsidR="008A4B74" w:rsidRDefault="008A4B74" w:rsidP="008A4B74">
      <w:pPr>
        <w:pStyle w:val="NormalWeb"/>
        <w:spacing w:before="0" w:beforeAutospacing="0" w:after="120" w:afterAutospacing="0"/>
        <w:rPr>
          <w:iCs/>
        </w:rPr>
      </w:pPr>
      <w:r>
        <w:rPr>
          <w:iCs/>
        </w:rPr>
        <w:t>The Minister sought advice from the A</w:t>
      </w:r>
      <w:r w:rsidR="00ED5E8B">
        <w:rPr>
          <w:iCs/>
        </w:rPr>
        <w:t xml:space="preserve">ustralian </w:t>
      </w:r>
      <w:r>
        <w:rPr>
          <w:iCs/>
        </w:rPr>
        <w:t>C</w:t>
      </w:r>
      <w:r w:rsidR="00ED5E8B">
        <w:rPr>
          <w:iCs/>
        </w:rPr>
        <w:t xml:space="preserve">ompetition and </w:t>
      </w:r>
      <w:r>
        <w:rPr>
          <w:iCs/>
        </w:rPr>
        <w:t>C</w:t>
      </w:r>
      <w:r w:rsidR="00ED5E8B">
        <w:rPr>
          <w:iCs/>
        </w:rPr>
        <w:t xml:space="preserve">onsumer </w:t>
      </w:r>
      <w:r>
        <w:rPr>
          <w:iCs/>
        </w:rPr>
        <w:t>C</w:t>
      </w:r>
      <w:r w:rsidR="00ED5E8B">
        <w:rPr>
          <w:iCs/>
        </w:rPr>
        <w:t>ommission (</w:t>
      </w:r>
      <w:r w:rsidR="00E23E0F">
        <w:rPr>
          <w:iCs/>
        </w:rPr>
        <w:t xml:space="preserve">the </w:t>
      </w:r>
      <w:r w:rsidR="00ED5E8B">
        <w:rPr>
          <w:iCs/>
        </w:rPr>
        <w:t>ACCC)</w:t>
      </w:r>
      <w:r>
        <w:rPr>
          <w:iCs/>
        </w:rPr>
        <w:t xml:space="preserve"> on the need for, and impact of, competition limits for the 700MHz and the 2.5GHz radiofrequency spectrum auctions</w:t>
      </w:r>
      <w:r w:rsidR="00A776F9">
        <w:rPr>
          <w:iCs/>
        </w:rPr>
        <w:t xml:space="preserve">, by letter dated 2 June 2011. </w:t>
      </w:r>
      <w:r>
        <w:rPr>
          <w:iCs/>
        </w:rPr>
        <w:t xml:space="preserve">The ACCC, after liaising with the ACMA in relation to the Minister’s request, provided advice to the Minister on </w:t>
      </w:r>
      <w:r w:rsidR="00A66D0A">
        <w:rPr>
          <w:iCs/>
        </w:rPr>
        <w:t xml:space="preserve">27 July </w:t>
      </w:r>
      <w:r>
        <w:rPr>
          <w:iCs/>
        </w:rPr>
        <w:t>2011.</w:t>
      </w:r>
    </w:p>
    <w:p w:rsidR="00DC4EB8" w:rsidRDefault="008A4B74" w:rsidP="008A4B74">
      <w:pPr>
        <w:pStyle w:val="NormalWeb"/>
        <w:spacing w:before="0" w:beforeAutospacing="0" w:after="120" w:afterAutospacing="0"/>
        <w:rPr>
          <w:iCs/>
        </w:rPr>
      </w:pPr>
      <w:r>
        <w:rPr>
          <w:iCs/>
        </w:rPr>
        <w:t>The limits that are being set take into account, and are consistent with, the advice provided by the ACCC</w:t>
      </w:r>
      <w:r w:rsidR="00AA58A3">
        <w:rPr>
          <w:iCs/>
        </w:rPr>
        <w:t>, in consultation with the ACMA</w:t>
      </w:r>
      <w:r>
        <w:rPr>
          <w:iCs/>
        </w:rPr>
        <w:t>.</w:t>
      </w:r>
    </w:p>
    <w:p w:rsidR="00A50494" w:rsidRPr="000463AD" w:rsidRDefault="00A50494" w:rsidP="00CC6182">
      <w:pPr>
        <w:pStyle w:val="NormalWeb"/>
        <w:keepNext/>
        <w:rPr>
          <w:b/>
        </w:rPr>
      </w:pPr>
      <w:r w:rsidRPr="004C38D8">
        <w:rPr>
          <w:b/>
        </w:rPr>
        <w:lastRenderedPageBreak/>
        <w:t xml:space="preserve">Notes on </w:t>
      </w:r>
      <w:r w:rsidR="004C38D8" w:rsidRPr="004C38D8">
        <w:rPr>
          <w:b/>
        </w:rPr>
        <w:t>Clauses</w:t>
      </w:r>
    </w:p>
    <w:p w:rsidR="00A50494" w:rsidRPr="006772BC" w:rsidRDefault="00A50494" w:rsidP="004C38D8">
      <w:pPr>
        <w:pStyle w:val="BodyText"/>
        <w:keepNext/>
        <w:rPr>
          <w:b/>
        </w:rPr>
      </w:pPr>
      <w:r w:rsidRPr="006772BC">
        <w:rPr>
          <w:b/>
        </w:rPr>
        <w:t>Clause 1</w:t>
      </w:r>
    </w:p>
    <w:p w:rsidR="00A50494" w:rsidRPr="006772BC" w:rsidRDefault="00A50494" w:rsidP="00A50494">
      <w:pPr>
        <w:pStyle w:val="BodyText"/>
      </w:pPr>
    </w:p>
    <w:p w:rsidR="00A50494" w:rsidRPr="006772BC" w:rsidRDefault="00A50494" w:rsidP="00A50494">
      <w:pPr>
        <w:pStyle w:val="BodyText"/>
      </w:pPr>
      <w:r w:rsidRPr="006772BC">
        <w:t>Clause 1 provides for the citation of the D</w:t>
      </w:r>
      <w:r w:rsidR="004A144F">
        <w:t>irect</w:t>
      </w:r>
      <w:r w:rsidRPr="006772BC">
        <w:t xml:space="preserve">ion as the </w:t>
      </w:r>
      <w:r w:rsidRPr="006772BC">
        <w:rPr>
          <w:i/>
        </w:rPr>
        <w:t xml:space="preserve">Radiocommunications (Spectrum </w:t>
      </w:r>
      <w:r w:rsidR="005116A7">
        <w:rPr>
          <w:i/>
        </w:rPr>
        <w:t>Licence Limits)</w:t>
      </w:r>
      <w:r w:rsidR="000463AD">
        <w:rPr>
          <w:i/>
        </w:rPr>
        <w:t xml:space="preserve"> </w:t>
      </w:r>
      <w:r w:rsidR="005116A7">
        <w:rPr>
          <w:i/>
        </w:rPr>
        <w:t>Direction</w:t>
      </w:r>
      <w:r>
        <w:rPr>
          <w:i/>
        </w:rPr>
        <w:t xml:space="preserve"> No. </w:t>
      </w:r>
      <w:r w:rsidR="000463AD">
        <w:rPr>
          <w:i/>
        </w:rPr>
        <w:t>2</w:t>
      </w:r>
      <w:r w:rsidRPr="006772BC">
        <w:rPr>
          <w:i/>
        </w:rPr>
        <w:t xml:space="preserve"> of 201</w:t>
      </w:r>
      <w:r w:rsidR="004A144F">
        <w:rPr>
          <w:i/>
        </w:rPr>
        <w:t>2</w:t>
      </w:r>
      <w:r w:rsidRPr="006772BC">
        <w:t>.</w:t>
      </w:r>
    </w:p>
    <w:p w:rsidR="00A50494" w:rsidRPr="006772BC" w:rsidRDefault="00A50494" w:rsidP="00A50494">
      <w:pPr>
        <w:pStyle w:val="BodyText"/>
        <w:rPr>
          <w:b/>
        </w:rPr>
      </w:pPr>
    </w:p>
    <w:p w:rsidR="00A50494" w:rsidRPr="006772BC" w:rsidRDefault="00A50494" w:rsidP="004C38D8">
      <w:pPr>
        <w:keepNext/>
        <w:rPr>
          <w:rFonts w:ascii="Times New Roman" w:hAnsi="Times New Roman" w:cs="Times New Roman"/>
          <w:b/>
          <w:sz w:val="24"/>
          <w:szCs w:val="24"/>
        </w:rPr>
      </w:pPr>
      <w:r w:rsidRPr="006772BC">
        <w:rPr>
          <w:rFonts w:ascii="Times New Roman" w:hAnsi="Times New Roman" w:cs="Times New Roman"/>
          <w:b/>
          <w:sz w:val="24"/>
          <w:szCs w:val="24"/>
        </w:rPr>
        <w:t>Clause 2</w:t>
      </w:r>
    </w:p>
    <w:p w:rsidR="00A50494" w:rsidRPr="006772BC" w:rsidRDefault="00A50494" w:rsidP="00A50494">
      <w:pPr>
        <w:rPr>
          <w:rFonts w:ascii="Times New Roman" w:hAnsi="Times New Roman" w:cs="Times New Roman"/>
          <w:sz w:val="24"/>
          <w:szCs w:val="24"/>
        </w:rPr>
      </w:pPr>
      <w:r w:rsidRPr="006772BC">
        <w:rPr>
          <w:rFonts w:ascii="Times New Roman" w:hAnsi="Times New Roman" w:cs="Times New Roman"/>
          <w:sz w:val="24"/>
          <w:szCs w:val="24"/>
        </w:rPr>
        <w:t xml:space="preserve">Clause 2 provides that the </w:t>
      </w:r>
      <w:r w:rsidR="005116A7">
        <w:rPr>
          <w:rFonts w:ascii="Times New Roman" w:hAnsi="Times New Roman" w:cs="Times New Roman"/>
          <w:sz w:val="24"/>
          <w:szCs w:val="24"/>
        </w:rPr>
        <w:t xml:space="preserve">Direction </w:t>
      </w:r>
      <w:r w:rsidRPr="006772BC">
        <w:rPr>
          <w:rFonts w:ascii="Times New Roman" w:hAnsi="Times New Roman" w:cs="Times New Roman"/>
          <w:sz w:val="24"/>
          <w:szCs w:val="24"/>
        </w:rPr>
        <w:t>will commence on the day</w:t>
      </w:r>
      <w:r>
        <w:rPr>
          <w:rFonts w:ascii="Times New Roman" w:hAnsi="Times New Roman" w:cs="Times New Roman"/>
          <w:sz w:val="24"/>
          <w:szCs w:val="24"/>
        </w:rPr>
        <w:t xml:space="preserve"> after</w:t>
      </w:r>
      <w:r w:rsidRPr="006772BC">
        <w:rPr>
          <w:rFonts w:ascii="Times New Roman" w:hAnsi="Times New Roman" w:cs="Times New Roman"/>
          <w:sz w:val="24"/>
          <w:szCs w:val="24"/>
        </w:rPr>
        <w:t xml:space="preserve"> it is registered on the Federal Register of Legislative Instruments.</w:t>
      </w:r>
    </w:p>
    <w:p w:rsidR="00A50494" w:rsidRPr="006772BC" w:rsidRDefault="00A50494" w:rsidP="004C38D8">
      <w:pPr>
        <w:keepNext/>
        <w:rPr>
          <w:rFonts w:ascii="Times New Roman" w:hAnsi="Times New Roman" w:cs="Times New Roman"/>
          <w:b/>
          <w:sz w:val="24"/>
          <w:szCs w:val="24"/>
        </w:rPr>
      </w:pPr>
      <w:r w:rsidRPr="006772BC">
        <w:rPr>
          <w:rFonts w:ascii="Times New Roman" w:hAnsi="Times New Roman" w:cs="Times New Roman"/>
          <w:b/>
          <w:sz w:val="24"/>
          <w:szCs w:val="24"/>
        </w:rPr>
        <w:t>Clause 3</w:t>
      </w:r>
    </w:p>
    <w:p w:rsidR="00A50494" w:rsidRPr="006772BC" w:rsidRDefault="003D2D19" w:rsidP="00A50494">
      <w:pPr>
        <w:rPr>
          <w:rFonts w:ascii="Times New Roman" w:hAnsi="Times New Roman" w:cs="Times New Roman"/>
          <w:sz w:val="24"/>
          <w:szCs w:val="24"/>
        </w:rPr>
      </w:pPr>
      <w:r>
        <w:rPr>
          <w:rFonts w:ascii="Times New Roman" w:hAnsi="Times New Roman" w:cs="Times New Roman"/>
          <w:sz w:val="24"/>
          <w:szCs w:val="24"/>
        </w:rPr>
        <w:t>Subc</w:t>
      </w:r>
      <w:r w:rsidR="00A50494" w:rsidRPr="006772BC">
        <w:rPr>
          <w:rFonts w:ascii="Times New Roman" w:hAnsi="Times New Roman" w:cs="Times New Roman"/>
          <w:sz w:val="24"/>
          <w:szCs w:val="24"/>
        </w:rPr>
        <w:t>lause 3</w:t>
      </w:r>
      <w:r>
        <w:rPr>
          <w:rFonts w:ascii="Times New Roman" w:hAnsi="Times New Roman" w:cs="Times New Roman"/>
          <w:sz w:val="24"/>
          <w:szCs w:val="24"/>
        </w:rPr>
        <w:t>(1)</w:t>
      </w:r>
      <w:r w:rsidR="00A50494" w:rsidRPr="006772BC">
        <w:rPr>
          <w:rFonts w:ascii="Times New Roman" w:hAnsi="Times New Roman" w:cs="Times New Roman"/>
          <w:sz w:val="24"/>
          <w:szCs w:val="24"/>
        </w:rPr>
        <w:t xml:space="preserve"> sets out a number of definitions for the purpose of the </w:t>
      </w:r>
      <w:r w:rsidR="005116A7">
        <w:rPr>
          <w:rFonts w:ascii="Times New Roman" w:hAnsi="Times New Roman" w:cs="Times New Roman"/>
          <w:sz w:val="24"/>
          <w:szCs w:val="24"/>
        </w:rPr>
        <w:t>Direction</w:t>
      </w:r>
      <w:r w:rsidR="00A50494" w:rsidRPr="006772BC">
        <w:rPr>
          <w:rFonts w:ascii="Times New Roman" w:hAnsi="Times New Roman" w:cs="Times New Roman"/>
          <w:sz w:val="24"/>
          <w:szCs w:val="24"/>
        </w:rPr>
        <w:t>.</w:t>
      </w:r>
      <w:r w:rsidR="00A776F9">
        <w:rPr>
          <w:rFonts w:ascii="Times New Roman" w:hAnsi="Times New Roman" w:cs="Times New Roman"/>
          <w:sz w:val="24"/>
          <w:szCs w:val="24"/>
        </w:rPr>
        <w:t xml:space="preserve"> </w:t>
      </w:r>
      <w:r w:rsidR="00B623BA">
        <w:rPr>
          <w:rFonts w:ascii="Times New Roman" w:hAnsi="Times New Roman" w:cs="Times New Roman"/>
          <w:sz w:val="24"/>
          <w:szCs w:val="24"/>
        </w:rPr>
        <w:t>Some definitions are self-explanatory</w:t>
      </w:r>
      <w:r w:rsidR="00AB3B62">
        <w:rPr>
          <w:rFonts w:ascii="Times New Roman" w:hAnsi="Times New Roman" w:cs="Times New Roman"/>
          <w:sz w:val="24"/>
          <w:szCs w:val="24"/>
        </w:rPr>
        <w:t xml:space="preserve"> and those </w:t>
      </w:r>
      <w:r w:rsidR="00B623BA">
        <w:rPr>
          <w:rFonts w:ascii="Times New Roman" w:hAnsi="Times New Roman" w:cs="Times New Roman"/>
          <w:sz w:val="24"/>
          <w:szCs w:val="24"/>
        </w:rPr>
        <w:t>that are not are noted below.</w:t>
      </w:r>
    </w:p>
    <w:p w:rsidR="009B29C7" w:rsidRPr="00C95858" w:rsidRDefault="000876B0" w:rsidP="000876B0">
      <w:pPr>
        <w:rPr>
          <w:rFonts w:ascii="Times New Roman" w:hAnsi="Times New Roman"/>
          <w:sz w:val="24"/>
        </w:rPr>
      </w:pPr>
      <w:r w:rsidRPr="000876B0">
        <w:rPr>
          <w:rFonts w:ascii="Times New Roman" w:hAnsi="Times New Roman"/>
          <w:sz w:val="24"/>
        </w:rPr>
        <w:t>The intention of the Direction is to prevent any one person or specified groups of persons acquiring spectrum at the forthcoming allocation</w:t>
      </w:r>
      <w:r w:rsidR="009B29C7">
        <w:rPr>
          <w:rFonts w:ascii="Times New Roman" w:hAnsi="Times New Roman"/>
          <w:sz w:val="24"/>
        </w:rPr>
        <w:t xml:space="preserve"> of spectrum licences in the 2.5GHz </w:t>
      </w:r>
      <w:r w:rsidR="00ED5E8B">
        <w:rPr>
          <w:rFonts w:ascii="Times New Roman" w:hAnsi="Times New Roman"/>
          <w:sz w:val="24"/>
        </w:rPr>
        <w:t xml:space="preserve">frequency </w:t>
      </w:r>
      <w:r w:rsidR="009B29C7">
        <w:rPr>
          <w:rFonts w:ascii="Times New Roman" w:hAnsi="Times New Roman"/>
          <w:sz w:val="24"/>
        </w:rPr>
        <w:t>band</w:t>
      </w:r>
      <w:r w:rsidRPr="000876B0">
        <w:rPr>
          <w:rFonts w:ascii="Times New Roman" w:hAnsi="Times New Roman"/>
          <w:sz w:val="24"/>
        </w:rPr>
        <w:t xml:space="preserve"> so that, as a result of that allocation, they hold</w:t>
      </w:r>
      <w:r w:rsidR="009B29C7">
        <w:rPr>
          <w:rFonts w:ascii="Times New Roman" w:hAnsi="Times New Roman"/>
          <w:sz w:val="24"/>
        </w:rPr>
        <w:t xml:space="preserve"> no</w:t>
      </w:r>
      <w:r w:rsidR="002C2F0B">
        <w:rPr>
          <w:rFonts w:ascii="Times New Roman" w:hAnsi="Times New Roman"/>
          <w:sz w:val="24"/>
        </w:rPr>
        <w:t xml:space="preserve"> more than 2x</w:t>
      </w:r>
      <w:r>
        <w:rPr>
          <w:rFonts w:ascii="Times New Roman" w:hAnsi="Times New Roman"/>
          <w:sz w:val="24"/>
        </w:rPr>
        <w:t>4</w:t>
      </w:r>
      <w:r w:rsidR="002C2F0B">
        <w:rPr>
          <w:rFonts w:ascii="Times New Roman" w:hAnsi="Times New Roman"/>
          <w:sz w:val="24"/>
        </w:rPr>
        <w:t>0MHz of the total 2x</w:t>
      </w:r>
      <w:r>
        <w:rPr>
          <w:rFonts w:ascii="Times New Roman" w:hAnsi="Times New Roman"/>
          <w:sz w:val="24"/>
        </w:rPr>
        <w:t>70</w:t>
      </w:r>
      <w:r w:rsidRPr="000876B0">
        <w:rPr>
          <w:rFonts w:ascii="Times New Roman" w:hAnsi="Times New Roman"/>
          <w:sz w:val="24"/>
        </w:rPr>
        <w:t>MHz</w:t>
      </w:r>
      <w:r w:rsidR="009B29C7">
        <w:rPr>
          <w:rFonts w:ascii="Times New Roman" w:hAnsi="Times New Roman"/>
          <w:sz w:val="24"/>
        </w:rPr>
        <w:t xml:space="preserve"> that is being made available for allocation</w:t>
      </w:r>
      <w:r w:rsidRPr="000876B0">
        <w:rPr>
          <w:rFonts w:ascii="Times New Roman" w:hAnsi="Times New Roman"/>
          <w:sz w:val="24"/>
        </w:rPr>
        <w:t xml:space="preserve">. To ensure this objective is met and not circumvented by persons acting on behalf of others, the Direction imposes the limits on </w:t>
      </w:r>
      <w:r w:rsidRPr="00C95858">
        <w:rPr>
          <w:rFonts w:ascii="Times New Roman" w:hAnsi="Times New Roman"/>
          <w:sz w:val="24"/>
        </w:rPr>
        <w:t>both persons a</w:t>
      </w:r>
      <w:r w:rsidR="00E12AAB" w:rsidRPr="00C95858">
        <w:rPr>
          <w:rFonts w:ascii="Times New Roman" w:hAnsi="Times New Roman"/>
          <w:sz w:val="24"/>
        </w:rPr>
        <w:t>nd specified groups of persons.</w:t>
      </w:r>
    </w:p>
    <w:p w:rsidR="00523E86" w:rsidRPr="00C95858" w:rsidRDefault="00523E86" w:rsidP="00523E86">
      <w:pPr>
        <w:rPr>
          <w:rFonts w:ascii="Times New Roman" w:hAnsi="Times New Roman"/>
          <w:sz w:val="24"/>
        </w:rPr>
      </w:pPr>
      <w:r w:rsidRPr="00C95858">
        <w:rPr>
          <w:rFonts w:ascii="Times New Roman" w:hAnsi="Times New Roman"/>
          <w:sz w:val="24"/>
        </w:rPr>
        <w:t xml:space="preserve">‘Specified group of persons’ is defined as an applicant for a spectrum licence and all associates of the applicant. ‘Associate’ is defined for the purposes of the ‘specified group of persons’ definition and includes persons who have specified relationships with the applicant, </w:t>
      </w:r>
      <w:r w:rsidR="00E23E0F" w:rsidRPr="00C95858">
        <w:rPr>
          <w:rFonts w:ascii="Times New Roman" w:hAnsi="Times New Roman"/>
          <w:sz w:val="24"/>
        </w:rPr>
        <w:t xml:space="preserve">including where the people are parties </w:t>
      </w:r>
      <w:r w:rsidRPr="00C95858">
        <w:rPr>
          <w:rFonts w:ascii="Times New Roman" w:hAnsi="Times New Roman"/>
          <w:sz w:val="24"/>
        </w:rPr>
        <w:t xml:space="preserve">to a ‘relevant agreement’ of the type described in paragraph </w:t>
      </w:r>
      <w:r w:rsidR="00E23E0F" w:rsidRPr="00C95858">
        <w:rPr>
          <w:rFonts w:ascii="Times New Roman" w:hAnsi="Times New Roman"/>
          <w:sz w:val="24"/>
        </w:rPr>
        <w:t>(c) of the associate definition</w:t>
      </w:r>
      <w:r w:rsidRPr="00C95858">
        <w:rPr>
          <w:rFonts w:ascii="Times New Roman" w:hAnsi="Times New Roman"/>
          <w:sz w:val="24"/>
        </w:rPr>
        <w:t>.</w:t>
      </w:r>
    </w:p>
    <w:p w:rsidR="00523E86" w:rsidRPr="00C95858" w:rsidRDefault="00523E86" w:rsidP="00523E86">
      <w:pPr>
        <w:rPr>
          <w:rFonts w:ascii="Times New Roman" w:hAnsi="Times New Roman"/>
          <w:sz w:val="24"/>
        </w:rPr>
      </w:pPr>
      <w:r w:rsidRPr="00C95858">
        <w:rPr>
          <w:rFonts w:ascii="Times New Roman" w:hAnsi="Times New Roman"/>
          <w:sz w:val="24"/>
        </w:rPr>
        <w:t>‘Relevant agreement’ is defined for the purposes of the ‘associate’ definition and captures agreements, arrangements or understandings irrespective of their level</w:t>
      </w:r>
      <w:r w:rsidR="00A776F9">
        <w:rPr>
          <w:rFonts w:ascii="Times New Roman" w:hAnsi="Times New Roman"/>
          <w:sz w:val="24"/>
        </w:rPr>
        <w:t xml:space="preserve"> of formality or legal effect. </w:t>
      </w:r>
      <w:r w:rsidRPr="00C95858">
        <w:rPr>
          <w:rFonts w:ascii="Times New Roman" w:hAnsi="Times New Roman"/>
          <w:sz w:val="24"/>
        </w:rPr>
        <w:t>Persons will be associates if they are parties to a relevant agreement of a particular type, as described in paragraph (c</w:t>
      </w:r>
      <w:r w:rsidR="00A776F9">
        <w:rPr>
          <w:rFonts w:ascii="Times New Roman" w:hAnsi="Times New Roman"/>
          <w:sz w:val="24"/>
        </w:rPr>
        <w:t xml:space="preserve">) of the associate definition. </w:t>
      </w:r>
      <w:r w:rsidRPr="00C95858">
        <w:rPr>
          <w:rFonts w:ascii="Times New Roman" w:hAnsi="Times New Roman"/>
          <w:sz w:val="24"/>
        </w:rPr>
        <w:t xml:space="preserve">The types of relevant agreements captured by paragraph (c) of the associate definition are those which relate to the use by </w:t>
      </w:r>
      <w:r w:rsidR="00BD22E1">
        <w:rPr>
          <w:rFonts w:ascii="Times New Roman" w:hAnsi="Times New Roman"/>
          <w:sz w:val="24"/>
        </w:rPr>
        <w:t>a party</w:t>
      </w:r>
      <w:r w:rsidRPr="00C95858">
        <w:rPr>
          <w:rFonts w:ascii="Times New Roman" w:hAnsi="Times New Roman"/>
          <w:sz w:val="24"/>
        </w:rPr>
        <w:t xml:space="preserve"> to the agreement of a</w:t>
      </w:r>
      <w:r w:rsidR="00E23E0F" w:rsidRPr="00C95858">
        <w:rPr>
          <w:rFonts w:ascii="Times New Roman" w:hAnsi="Times New Roman"/>
          <w:sz w:val="24"/>
        </w:rPr>
        <w:t>ny</w:t>
      </w:r>
      <w:r w:rsidRPr="00C95858">
        <w:rPr>
          <w:rFonts w:ascii="Times New Roman" w:hAnsi="Times New Roman"/>
          <w:sz w:val="24"/>
        </w:rPr>
        <w:t xml:space="preserve"> part of the spectrum </w:t>
      </w:r>
      <w:r w:rsidR="00E23E0F" w:rsidRPr="00C95858">
        <w:rPr>
          <w:rFonts w:ascii="Times New Roman" w:hAnsi="Times New Roman"/>
          <w:sz w:val="24"/>
        </w:rPr>
        <w:t xml:space="preserve">covered by the </w:t>
      </w:r>
      <w:r w:rsidR="00E23E0F" w:rsidRPr="00C95858">
        <w:rPr>
          <w:rFonts w:ascii="Times New Roman" w:hAnsi="Times New Roman"/>
          <w:i/>
          <w:sz w:val="24"/>
        </w:rPr>
        <w:t xml:space="preserve">Radiocommunications (Spectrum Re-allocation) Declaration No. 2 of 2011 </w:t>
      </w:r>
      <w:r w:rsidR="00E23E0F" w:rsidRPr="00C95858">
        <w:rPr>
          <w:rFonts w:ascii="Times New Roman" w:hAnsi="Times New Roman"/>
          <w:sz w:val="24"/>
        </w:rPr>
        <w:t>(the re-allocation declaration)</w:t>
      </w:r>
      <w:r w:rsidR="00AB3B62">
        <w:rPr>
          <w:rFonts w:ascii="Times New Roman" w:hAnsi="Times New Roman"/>
          <w:sz w:val="24"/>
        </w:rPr>
        <w:t>,</w:t>
      </w:r>
      <w:r w:rsidRPr="00C95858">
        <w:rPr>
          <w:rFonts w:ascii="Times New Roman" w:hAnsi="Times New Roman"/>
          <w:sz w:val="24"/>
        </w:rPr>
        <w:t xml:space="preserve"> or that relate</w:t>
      </w:r>
      <w:r w:rsidR="00E23E0F" w:rsidRPr="00C95858">
        <w:rPr>
          <w:rFonts w:ascii="Times New Roman" w:hAnsi="Times New Roman"/>
          <w:sz w:val="24"/>
        </w:rPr>
        <w:t>s</w:t>
      </w:r>
      <w:r w:rsidRPr="00C95858">
        <w:rPr>
          <w:rFonts w:ascii="Times New Roman" w:hAnsi="Times New Roman"/>
          <w:sz w:val="24"/>
        </w:rPr>
        <w:t xml:space="preserve"> to the acquisition of a spectrum licence for a</w:t>
      </w:r>
      <w:r w:rsidR="00E23E0F" w:rsidRPr="00C95858">
        <w:rPr>
          <w:rFonts w:ascii="Times New Roman" w:hAnsi="Times New Roman"/>
          <w:sz w:val="24"/>
        </w:rPr>
        <w:t>ny</w:t>
      </w:r>
      <w:r w:rsidRPr="00C95858">
        <w:rPr>
          <w:rFonts w:ascii="Times New Roman" w:hAnsi="Times New Roman"/>
          <w:sz w:val="24"/>
        </w:rPr>
        <w:t xml:space="preserve"> part of the spectrum to which the re-allocation declaration applies.</w:t>
      </w:r>
    </w:p>
    <w:p w:rsidR="00523E86" w:rsidRPr="00C95858" w:rsidRDefault="00523E86" w:rsidP="00523E86">
      <w:pPr>
        <w:rPr>
          <w:rFonts w:ascii="Times New Roman" w:hAnsi="Times New Roman"/>
          <w:sz w:val="24"/>
        </w:rPr>
      </w:pPr>
      <w:r w:rsidRPr="00C95858">
        <w:rPr>
          <w:rFonts w:ascii="Times New Roman" w:hAnsi="Times New Roman"/>
          <w:sz w:val="24"/>
        </w:rPr>
        <w:t xml:space="preserve">The concept of persons being associates </w:t>
      </w:r>
      <w:r w:rsidR="00E23E0F" w:rsidRPr="00C95858">
        <w:rPr>
          <w:rFonts w:ascii="Times New Roman" w:hAnsi="Times New Roman"/>
          <w:sz w:val="24"/>
        </w:rPr>
        <w:t xml:space="preserve">through </w:t>
      </w:r>
      <w:r w:rsidRPr="00C95858">
        <w:rPr>
          <w:rFonts w:ascii="Times New Roman" w:hAnsi="Times New Roman"/>
          <w:sz w:val="24"/>
        </w:rPr>
        <w:t xml:space="preserve">a relevant agreement of a particular type is designed to cover situations where there may otherwise be no formal associate relationship between them but a person (the first person) has </w:t>
      </w:r>
      <w:r w:rsidR="00E23E0F" w:rsidRPr="00C95858">
        <w:rPr>
          <w:rFonts w:ascii="Times New Roman" w:hAnsi="Times New Roman"/>
          <w:sz w:val="24"/>
        </w:rPr>
        <w:t xml:space="preserve">agreed that </w:t>
      </w:r>
      <w:r w:rsidRPr="00C95858">
        <w:rPr>
          <w:rFonts w:ascii="Times New Roman" w:hAnsi="Times New Roman"/>
          <w:sz w:val="24"/>
        </w:rPr>
        <w:t xml:space="preserve">another person </w:t>
      </w:r>
      <w:r w:rsidR="00E23E0F" w:rsidRPr="00C95858">
        <w:rPr>
          <w:rFonts w:ascii="Times New Roman" w:hAnsi="Times New Roman"/>
          <w:sz w:val="24"/>
        </w:rPr>
        <w:t xml:space="preserve">would </w:t>
      </w:r>
      <w:r w:rsidRPr="00C95858">
        <w:rPr>
          <w:rFonts w:ascii="Times New Roman" w:hAnsi="Times New Roman"/>
          <w:sz w:val="24"/>
        </w:rPr>
        <w:t xml:space="preserve">acquire spectrum ostensibly in their own right, but in actuality the acquisition </w:t>
      </w:r>
      <w:r w:rsidR="00E23E0F" w:rsidRPr="00C95858">
        <w:rPr>
          <w:rFonts w:ascii="Times New Roman" w:hAnsi="Times New Roman"/>
          <w:sz w:val="24"/>
        </w:rPr>
        <w:t xml:space="preserve">would be for the benefit of </w:t>
      </w:r>
      <w:r w:rsidRPr="00C95858">
        <w:rPr>
          <w:rFonts w:ascii="Times New Roman" w:hAnsi="Times New Roman"/>
          <w:sz w:val="24"/>
        </w:rPr>
        <w:t>the first person.</w:t>
      </w:r>
    </w:p>
    <w:p w:rsidR="00E23E0F" w:rsidRDefault="00E23E0F" w:rsidP="00523E86">
      <w:pPr>
        <w:rPr>
          <w:rFonts w:ascii="Times New Roman" w:hAnsi="Times New Roman"/>
          <w:sz w:val="24"/>
        </w:rPr>
      </w:pPr>
      <w:r w:rsidRPr="00C95858">
        <w:rPr>
          <w:rFonts w:ascii="Times New Roman" w:hAnsi="Times New Roman"/>
          <w:sz w:val="24"/>
        </w:rPr>
        <w:t>A relevant agreement may include an agreement where:</w:t>
      </w:r>
    </w:p>
    <w:p w:rsidR="00E23E0F" w:rsidRDefault="00E23E0F" w:rsidP="00E23E0F">
      <w:pPr>
        <w:pStyle w:val="ListParagraph"/>
        <w:numPr>
          <w:ilvl w:val="0"/>
          <w:numId w:val="10"/>
        </w:numPr>
        <w:rPr>
          <w:rFonts w:ascii="Times New Roman" w:hAnsi="Times New Roman"/>
          <w:sz w:val="24"/>
        </w:rPr>
      </w:pPr>
      <w:r>
        <w:rPr>
          <w:rFonts w:ascii="Times New Roman" w:hAnsi="Times New Roman"/>
          <w:sz w:val="24"/>
        </w:rPr>
        <w:t>one party to the agreement would acquire a spectrum licence and then use it in a particular way or allow the other party to use that spectrum; or</w:t>
      </w:r>
    </w:p>
    <w:p w:rsidR="00E23E0F" w:rsidRDefault="00E23E0F" w:rsidP="00E23E0F">
      <w:pPr>
        <w:pStyle w:val="ListParagraph"/>
        <w:numPr>
          <w:ilvl w:val="0"/>
          <w:numId w:val="10"/>
        </w:numPr>
        <w:rPr>
          <w:rFonts w:ascii="Times New Roman" w:hAnsi="Times New Roman"/>
          <w:sz w:val="24"/>
        </w:rPr>
      </w:pPr>
      <w:r>
        <w:rPr>
          <w:rFonts w:ascii="Times New Roman" w:hAnsi="Times New Roman"/>
          <w:sz w:val="24"/>
        </w:rPr>
        <w:lastRenderedPageBreak/>
        <w:t>one party would acquire a spectrum licence but agree to not use that spectrum or not allow any other person to use that spectrum; or</w:t>
      </w:r>
    </w:p>
    <w:p w:rsidR="00E23E0F" w:rsidRPr="00E23E0F" w:rsidRDefault="00E23E0F" w:rsidP="00E23E0F">
      <w:pPr>
        <w:pStyle w:val="ListParagraph"/>
        <w:numPr>
          <w:ilvl w:val="0"/>
          <w:numId w:val="10"/>
        </w:numPr>
        <w:rPr>
          <w:rFonts w:ascii="Times New Roman" w:hAnsi="Times New Roman"/>
          <w:sz w:val="24"/>
        </w:rPr>
      </w:pPr>
      <w:proofErr w:type="gramStart"/>
      <w:r>
        <w:rPr>
          <w:rFonts w:ascii="Times New Roman" w:hAnsi="Times New Roman"/>
          <w:sz w:val="24"/>
        </w:rPr>
        <w:t>one</w:t>
      </w:r>
      <w:proofErr w:type="gramEnd"/>
      <w:r>
        <w:rPr>
          <w:rFonts w:ascii="Times New Roman" w:hAnsi="Times New Roman"/>
          <w:sz w:val="24"/>
        </w:rPr>
        <w:t xml:space="preserve"> party would acquire a spectrum licence and agree </w:t>
      </w:r>
      <w:r w:rsidR="00C95858">
        <w:rPr>
          <w:rFonts w:ascii="Times New Roman" w:hAnsi="Times New Roman"/>
          <w:sz w:val="24"/>
        </w:rPr>
        <w:t>to allow the other party to later acquire that spectrum licence, or alternatively to not allow anyone else to acquire the licence.</w:t>
      </w:r>
    </w:p>
    <w:p w:rsidR="005D2C14" w:rsidRPr="005D2C14" w:rsidRDefault="005D2C14" w:rsidP="005D2C14">
      <w:pPr>
        <w:rPr>
          <w:rFonts w:ascii="Times New Roman" w:hAnsi="Times New Roman"/>
          <w:sz w:val="24"/>
        </w:rPr>
      </w:pPr>
      <w:r w:rsidRPr="005D2C14">
        <w:rPr>
          <w:rFonts w:ascii="Times New Roman" w:hAnsi="Times New Roman"/>
          <w:sz w:val="24"/>
        </w:rPr>
        <w:t>As explained in the notes on clause 4 below, the Direction only applies to the allocation of the identified spectrum. Once the ACMA has allocated the relevant spectrum, the direction will cease to have effect.  Therefore, a person will only be considered an ‘associate’ by virtue of a relevan</w:t>
      </w:r>
      <w:r>
        <w:rPr>
          <w:rFonts w:ascii="Times New Roman" w:hAnsi="Times New Roman"/>
          <w:sz w:val="24"/>
        </w:rPr>
        <w:t xml:space="preserve">t agreement if that agreement </w:t>
      </w:r>
      <w:r w:rsidRPr="005D2C14">
        <w:rPr>
          <w:rFonts w:ascii="Times New Roman" w:hAnsi="Times New Roman"/>
          <w:sz w:val="24"/>
        </w:rPr>
        <w:t>is in existence at the time of the allocation of spectrum (i.e. at the time of the auction).</w:t>
      </w:r>
    </w:p>
    <w:p w:rsidR="00523E86" w:rsidRPr="00216427" w:rsidRDefault="00523E86" w:rsidP="00523E86">
      <w:pPr>
        <w:rPr>
          <w:rFonts w:ascii="Times New Roman" w:hAnsi="Times New Roman" w:cs="Times New Roman"/>
          <w:sz w:val="24"/>
          <w:szCs w:val="24"/>
        </w:rPr>
      </w:pPr>
      <w:r w:rsidRPr="00C95858">
        <w:rPr>
          <w:rFonts w:ascii="Times New Roman" w:hAnsi="Times New Roman" w:cs="Times New Roman"/>
          <w:sz w:val="24"/>
          <w:szCs w:val="24"/>
        </w:rPr>
        <w:t xml:space="preserve">The Direction </w:t>
      </w:r>
      <w:r w:rsidR="00C95858" w:rsidRPr="00C95858">
        <w:rPr>
          <w:rFonts w:ascii="Times New Roman" w:hAnsi="Times New Roman" w:cs="Times New Roman"/>
          <w:sz w:val="24"/>
          <w:szCs w:val="24"/>
        </w:rPr>
        <w:t xml:space="preserve">would </w:t>
      </w:r>
      <w:r w:rsidRPr="00C95858">
        <w:rPr>
          <w:rFonts w:ascii="Times New Roman" w:hAnsi="Times New Roman" w:cs="Times New Roman"/>
          <w:sz w:val="24"/>
          <w:szCs w:val="24"/>
        </w:rPr>
        <w:t xml:space="preserve">not restrict future trading in spectrum </w:t>
      </w:r>
      <w:r w:rsidR="00C95858" w:rsidRPr="00C95858">
        <w:rPr>
          <w:rFonts w:ascii="Times New Roman" w:hAnsi="Times New Roman" w:cs="Times New Roman"/>
          <w:sz w:val="24"/>
          <w:szCs w:val="24"/>
        </w:rPr>
        <w:t xml:space="preserve">by a spectrum licensee pursuant to any </w:t>
      </w:r>
      <w:r w:rsidRPr="00C95858">
        <w:rPr>
          <w:rFonts w:ascii="Times New Roman" w:hAnsi="Times New Roman" w:cs="Times New Roman"/>
          <w:sz w:val="24"/>
          <w:szCs w:val="24"/>
        </w:rPr>
        <w:t xml:space="preserve">other agreement entered into after the spectrum has been allocated, although such trading will be subject to the acquisition provisions of the </w:t>
      </w:r>
      <w:r w:rsidRPr="00C95858">
        <w:rPr>
          <w:rFonts w:ascii="Times New Roman" w:hAnsi="Times New Roman" w:cs="Times New Roman"/>
          <w:i/>
          <w:sz w:val="24"/>
          <w:szCs w:val="24"/>
        </w:rPr>
        <w:t xml:space="preserve">Competition and Consumer Act 2010 </w:t>
      </w:r>
      <w:r w:rsidRPr="00C95858">
        <w:rPr>
          <w:rFonts w:ascii="Times New Roman" w:hAnsi="Times New Roman" w:cs="Times New Roman"/>
          <w:sz w:val="24"/>
          <w:szCs w:val="24"/>
        </w:rPr>
        <w:t>(section 50</w:t>
      </w:r>
      <w:r w:rsidR="00C95858" w:rsidRPr="00C95858">
        <w:rPr>
          <w:rFonts w:ascii="Times New Roman" w:hAnsi="Times New Roman" w:cs="Times New Roman"/>
          <w:sz w:val="24"/>
          <w:szCs w:val="24"/>
        </w:rPr>
        <w:t xml:space="preserve"> refers</w:t>
      </w:r>
      <w:r w:rsidR="00A776F9">
        <w:rPr>
          <w:rFonts w:ascii="Times New Roman" w:hAnsi="Times New Roman" w:cs="Times New Roman"/>
          <w:sz w:val="24"/>
          <w:szCs w:val="24"/>
        </w:rPr>
        <w:t>).</w:t>
      </w:r>
    </w:p>
    <w:p w:rsidR="003A7C54" w:rsidRPr="00E36FDB" w:rsidRDefault="008A4B74" w:rsidP="000876B0">
      <w:pPr>
        <w:rPr>
          <w:rFonts w:ascii="Times New Roman" w:hAnsi="Times New Roman"/>
          <w:sz w:val="24"/>
        </w:rPr>
      </w:pPr>
      <w:r>
        <w:rPr>
          <w:rFonts w:ascii="Times New Roman" w:hAnsi="Times New Roman"/>
          <w:sz w:val="24"/>
        </w:rPr>
        <w:t>A</w:t>
      </w:r>
      <w:r w:rsidRPr="008A4B74">
        <w:rPr>
          <w:rFonts w:ascii="Times New Roman" w:hAnsi="Times New Roman"/>
          <w:sz w:val="24"/>
        </w:rPr>
        <w:t xml:space="preserve">greements between carriers provided for by or under the </w:t>
      </w:r>
      <w:r w:rsidRPr="008A4B74">
        <w:rPr>
          <w:rFonts w:ascii="Times New Roman" w:hAnsi="Times New Roman"/>
          <w:i/>
          <w:sz w:val="24"/>
        </w:rPr>
        <w:t>Telecommunications Act 1997</w:t>
      </w:r>
      <w:r w:rsidRPr="008A4B74">
        <w:rPr>
          <w:rFonts w:ascii="Times New Roman" w:hAnsi="Times New Roman"/>
          <w:sz w:val="24"/>
        </w:rPr>
        <w:t xml:space="preserve"> or Part XIC of the </w:t>
      </w:r>
      <w:r w:rsidRPr="008A4B74">
        <w:rPr>
          <w:rFonts w:ascii="Times New Roman" w:hAnsi="Times New Roman"/>
          <w:i/>
          <w:sz w:val="24"/>
        </w:rPr>
        <w:t>Competition and Consumer Act 2010</w:t>
      </w:r>
      <w:r w:rsidRPr="008A4B74">
        <w:rPr>
          <w:rFonts w:ascii="Times New Roman" w:hAnsi="Times New Roman"/>
          <w:sz w:val="24"/>
        </w:rPr>
        <w:t xml:space="preserve"> are excluded from the concept of a relevant agreement</w:t>
      </w:r>
      <w:r w:rsidR="00CC6182">
        <w:rPr>
          <w:rFonts w:ascii="Times New Roman" w:hAnsi="Times New Roman"/>
          <w:sz w:val="24"/>
        </w:rPr>
        <w:t xml:space="preserve">, so that a person who is party to an </w:t>
      </w:r>
      <w:r w:rsidR="0027217B">
        <w:rPr>
          <w:rFonts w:ascii="Times New Roman" w:hAnsi="Times New Roman"/>
          <w:sz w:val="24"/>
        </w:rPr>
        <w:t xml:space="preserve">access </w:t>
      </w:r>
      <w:r w:rsidR="00CC6182">
        <w:rPr>
          <w:rFonts w:ascii="Times New Roman" w:hAnsi="Times New Roman"/>
          <w:sz w:val="24"/>
        </w:rPr>
        <w:t xml:space="preserve">agreement </w:t>
      </w:r>
      <w:r w:rsidR="0027217B">
        <w:rPr>
          <w:rFonts w:ascii="Times New Roman" w:hAnsi="Times New Roman"/>
          <w:sz w:val="24"/>
        </w:rPr>
        <w:t xml:space="preserve">under these legislative frameworks </w:t>
      </w:r>
      <w:r w:rsidR="00CC6182">
        <w:rPr>
          <w:rFonts w:ascii="Times New Roman" w:hAnsi="Times New Roman"/>
          <w:sz w:val="24"/>
        </w:rPr>
        <w:t xml:space="preserve">would not be considered an associate on the basis of that agreement </w:t>
      </w:r>
      <w:r w:rsidR="00CC6182" w:rsidRPr="00E36FDB">
        <w:rPr>
          <w:rFonts w:ascii="Times New Roman" w:hAnsi="Times New Roman"/>
          <w:sz w:val="24"/>
        </w:rPr>
        <w:t>alone</w:t>
      </w:r>
      <w:r w:rsidRPr="00E36FDB">
        <w:rPr>
          <w:rFonts w:ascii="Times New Roman" w:hAnsi="Times New Roman"/>
          <w:sz w:val="24"/>
        </w:rPr>
        <w:t>.</w:t>
      </w:r>
    </w:p>
    <w:p w:rsidR="00E36FDB" w:rsidRPr="00E36FDB" w:rsidRDefault="000876B0" w:rsidP="00A7565B">
      <w:pPr>
        <w:keepNext/>
        <w:rPr>
          <w:rFonts w:ascii="Times New Roman" w:hAnsi="Times New Roman" w:cs="Times New Roman"/>
          <w:sz w:val="24"/>
          <w:szCs w:val="24"/>
        </w:rPr>
      </w:pPr>
      <w:r w:rsidRPr="00E36FDB">
        <w:rPr>
          <w:rFonts w:ascii="Times New Roman" w:hAnsi="Times New Roman" w:cs="Times New Roman"/>
          <w:sz w:val="24"/>
          <w:szCs w:val="24"/>
        </w:rPr>
        <w:t xml:space="preserve">‘Designated </w:t>
      </w:r>
      <w:r w:rsidR="00C95858" w:rsidRPr="00E36FDB">
        <w:rPr>
          <w:rFonts w:ascii="Times New Roman" w:hAnsi="Times New Roman" w:cs="Times New Roman"/>
          <w:sz w:val="24"/>
          <w:szCs w:val="24"/>
        </w:rPr>
        <w:t>areas’ means the specified area</w:t>
      </w:r>
      <w:r w:rsidR="00D22173">
        <w:rPr>
          <w:rFonts w:ascii="Times New Roman" w:hAnsi="Times New Roman" w:cs="Times New Roman"/>
          <w:sz w:val="24"/>
          <w:szCs w:val="24"/>
        </w:rPr>
        <w:t>s</w:t>
      </w:r>
      <w:r w:rsidR="00C95858" w:rsidRPr="00E36FDB">
        <w:rPr>
          <w:rFonts w:ascii="Times New Roman" w:hAnsi="Times New Roman" w:cs="Times New Roman"/>
          <w:sz w:val="24"/>
          <w:szCs w:val="24"/>
        </w:rPr>
        <w:t xml:space="preserve"> described in subclause 4(2) of </w:t>
      </w:r>
      <w:r w:rsidRPr="00E36FDB">
        <w:rPr>
          <w:rFonts w:ascii="Times New Roman" w:hAnsi="Times New Roman" w:cs="Times New Roman"/>
          <w:sz w:val="24"/>
          <w:szCs w:val="24"/>
        </w:rPr>
        <w:t xml:space="preserve">the </w:t>
      </w:r>
      <w:r w:rsidR="00B623BA" w:rsidRPr="00E36FDB">
        <w:rPr>
          <w:rFonts w:ascii="Times New Roman" w:hAnsi="Times New Roman" w:cs="Times New Roman"/>
          <w:i/>
          <w:sz w:val="24"/>
          <w:szCs w:val="24"/>
        </w:rPr>
        <w:t>Radiocommunications (Spectrum Re-allocation) Declaration No. 2 of 2011</w:t>
      </w:r>
      <w:r w:rsidR="00C95858" w:rsidRPr="00E36FDB">
        <w:rPr>
          <w:rFonts w:ascii="Times New Roman" w:hAnsi="Times New Roman" w:cs="Times New Roman"/>
          <w:i/>
          <w:sz w:val="24"/>
          <w:szCs w:val="24"/>
        </w:rPr>
        <w:t xml:space="preserve">, </w:t>
      </w:r>
      <w:r w:rsidR="00C95858" w:rsidRPr="00E36FDB">
        <w:rPr>
          <w:rFonts w:ascii="Times New Roman" w:hAnsi="Times New Roman" w:cs="Times New Roman"/>
          <w:sz w:val="24"/>
          <w:szCs w:val="24"/>
        </w:rPr>
        <w:t>being</w:t>
      </w:r>
      <w:r w:rsidR="00E36FDB" w:rsidRPr="00E36FDB">
        <w:rPr>
          <w:rFonts w:ascii="Times New Roman" w:hAnsi="Times New Roman" w:cs="Times New Roman"/>
          <w:sz w:val="24"/>
          <w:szCs w:val="24"/>
        </w:rPr>
        <w:t>:</w:t>
      </w:r>
    </w:p>
    <w:p w:rsidR="00E36FDB" w:rsidRPr="00E36FDB" w:rsidRDefault="00D22173" w:rsidP="00E36FDB">
      <w:pPr>
        <w:pStyle w:val="ListParagraph"/>
        <w:keepNext/>
        <w:numPr>
          <w:ilvl w:val="0"/>
          <w:numId w:val="11"/>
        </w:numPr>
        <w:rPr>
          <w:rFonts w:ascii="Times New Roman" w:hAnsi="Times New Roman"/>
          <w:sz w:val="24"/>
        </w:rPr>
      </w:pPr>
      <w:r>
        <w:rPr>
          <w:rFonts w:ascii="Times New Roman" w:hAnsi="Times New Roman"/>
          <w:sz w:val="24"/>
        </w:rPr>
        <w:t xml:space="preserve">the </w:t>
      </w:r>
      <w:r w:rsidR="00C95858" w:rsidRPr="00E36FDB">
        <w:rPr>
          <w:rFonts w:ascii="Times New Roman" w:hAnsi="Times New Roman"/>
          <w:sz w:val="24"/>
        </w:rPr>
        <w:t xml:space="preserve">National Area (as defined in the declaration) </w:t>
      </w:r>
      <w:r w:rsidR="00E36FDB" w:rsidRPr="00E36FDB">
        <w:rPr>
          <w:rFonts w:ascii="Times New Roman" w:hAnsi="Times New Roman"/>
          <w:sz w:val="24"/>
        </w:rPr>
        <w:t>but excluding the Perth Area (as defined in the declaration)</w:t>
      </w:r>
      <w:r w:rsidR="00E36FDB">
        <w:rPr>
          <w:rFonts w:ascii="Times New Roman" w:hAnsi="Times New Roman"/>
          <w:sz w:val="24"/>
        </w:rPr>
        <w:t xml:space="preserve"> and </w:t>
      </w:r>
      <w:r w:rsidR="00E36FDB" w:rsidRPr="00E36FDB">
        <w:rPr>
          <w:rFonts w:ascii="Times New Roman" w:hAnsi="Times New Roman"/>
          <w:sz w:val="24"/>
        </w:rPr>
        <w:t>the Mid West Radio Quiet Zone (as defined in the declaration); and</w:t>
      </w:r>
    </w:p>
    <w:p w:rsidR="00C95858" w:rsidRPr="00E36FDB" w:rsidRDefault="00C95858" w:rsidP="00E36FDB">
      <w:pPr>
        <w:pStyle w:val="ListParagraph"/>
        <w:keepNext/>
        <w:numPr>
          <w:ilvl w:val="0"/>
          <w:numId w:val="11"/>
        </w:numPr>
        <w:rPr>
          <w:rFonts w:ascii="Times New Roman" w:hAnsi="Times New Roman"/>
          <w:sz w:val="24"/>
        </w:rPr>
      </w:pPr>
      <w:proofErr w:type="gramStart"/>
      <w:r w:rsidRPr="00E36FDB">
        <w:rPr>
          <w:rFonts w:ascii="Times New Roman" w:hAnsi="Times New Roman"/>
          <w:sz w:val="24"/>
        </w:rPr>
        <w:t>the</w:t>
      </w:r>
      <w:proofErr w:type="gramEnd"/>
      <w:r w:rsidRPr="00E36FDB">
        <w:rPr>
          <w:rFonts w:ascii="Times New Roman" w:hAnsi="Times New Roman"/>
          <w:sz w:val="24"/>
        </w:rPr>
        <w:t xml:space="preserve"> Perth Area (as defined in the declaration).</w:t>
      </w:r>
    </w:p>
    <w:p w:rsidR="003D2D19" w:rsidRDefault="000876B0" w:rsidP="00A50494">
      <w:pPr>
        <w:rPr>
          <w:rFonts w:ascii="Times New Roman" w:hAnsi="Times New Roman" w:cs="Times New Roman"/>
          <w:sz w:val="24"/>
          <w:szCs w:val="24"/>
        </w:rPr>
      </w:pPr>
      <w:r w:rsidRPr="00E36FDB">
        <w:rPr>
          <w:rFonts w:ascii="Times New Roman" w:eastAsia="Times New Roman" w:hAnsi="Times New Roman" w:cs="Times New Roman"/>
          <w:sz w:val="24"/>
          <w:szCs w:val="24"/>
          <w:lang w:eastAsia="en-AU"/>
        </w:rPr>
        <w:t>S</w:t>
      </w:r>
      <w:r w:rsidR="003D2D19" w:rsidRPr="00E36FDB">
        <w:rPr>
          <w:rFonts w:ascii="Times New Roman" w:eastAsia="Times New Roman" w:hAnsi="Times New Roman" w:cs="Times New Roman"/>
          <w:sz w:val="24"/>
          <w:szCs w:val="24"/>
          <w:lang w:eastAsia="en-AU"/>
        </w:rPr>
        <w:t xml:space="preserve">ubclause 3(2) contains a provision which clarifies the end-points of the frequency ranges specified for each frequency band identified in </w:t>
      </w:r>
      <w:r w:rsidRPr="00E36FDB">
        <w:rPr>
          <w:rFonts w:ascii="Times New Roman" w:eastAsia="Times New Roman" w:hAnsi="Times New Roman" w:cs="Times New Roman"/>
          <w:sz w:val="24"/>
          <w:szCs w:val="24"/>
          <w:lang w:eastAsia="en-AU"/>
        </w:rPr>
        <w:t>subparagraphs 4(1)(a) and (b)</w:t>
      </w:r>
      <w:r w:rsidR="00245352" w:rsidRPr="00E36FDB">
        <w:rPr>
          <w:rFonts w:ascii="Times New Roman" w:eastAsia="Times New Roman" w:hAnsi="Times New Roman" w:cs="Times New Roman"/>
          <w:sz w:val="24"/>
          <w:szCs w:val="24"/>
          <w:lang w:eastAsia="en-AU"/>
        </w:rPr>
        <w:t xml:space="preserve"> of the</w:t>
      </w:r>
      <w:r w:rsidR="00245352">
        <w:rPr>
          <w:rFonts w:ascii="Times New Roman" w:eastAsia="Times New Roman" w:hAnsi="Times New Roman" w:cs="Times New Roman"/>
          <w:sz w:val="24"/>
          <w:szCs w:val="24"/>
          <w:lang w:eastAsia="en-AU"/>
        </w:rPr>
        <w:t xml:space="preserve"> Direction</w:t>
      </w:r>
      <w:r>
        <w:rPr>
          <w:rFonts w:ascii="Times New Roman" w:eastAsia="Times New Roman" w:hAnsi="Times New Roman" w:cs="Times New Roman"/>
          <w:sz w:val="24"/>
          <w:szCs w:val="24"/>
          <w:lang w:eastAsia="en-AU"/>
        </w:rPr>
        <w:t>.</w:t>
      </w:r>
      <w:r w:rsidR="00245352">
        <w:rPr>
          <w:rFonts w:ascii="Times New Roman" w:eastAsia="Times New Roman" w:hAnsi="Times New Roman" w:cs="Times New Roman"/>
          <w:sz w:val="24"/>
          <w:szCs w:val="24"/>
          <w:lang w:eastAsia="en-AU"/>
        </w:rPr>
        <w:t xml:space="preserve"> </w:t>
      </w:r>
      <w:r w:rsidR="003D2D19">
        <w:rPr>
          <w:rFonts w:ascii="Times New Roman" w:eastAsia="Times New Roman" w:hAnsi="Times New Roman" w:cs="Times New Roman"/>
          <w:sz w:val="24"/>
          <w:szCs w:val="24"/>
          <w:lang w:eastAsia="en-AU"/>
        </w:rPr>
        <w:t>Subclause 3(2</w:t>
      </w:r>
      <w:r w:rsidR="003D2D19" w:rsidRPr="006772BC">
        <w:rPr>
          <w:rFonts w:ascii="Times New Roman" w:eastAsia="Times New Roman" w:hAnsi="Times New Roman" w:cs="Times New Roman"/>
          <w:sz w:val="24"/>
          <w:szCs w:val="24"/>
          <w:lang w:eastAsia="en-AU"/>
        </w:rPr>
        <w:t>) confirms that each frequency band includes all frequencies that are greater than the lower frequency, up to and including the higher frequency</w:t>
      </w:r>
      <w:r w:rsidR="003D2D19" w:rsidRPr="003C1121">
        <w:rPr>
          <w:rFonts w:ascii="Times New Roman" w:eastAsia="Times New Roman" w:hAnsi="Times New Roman" w:cs="Times New Roman"/>
          <w:sz w:val="24"/>
          <w:szCs w:val="24"/>
          <w:lang w:eastAsia="en-AU"/>
        </w:rPr>
        <w:t xml:space="preserve">. </w:t>
      </w:r>
      <w:r w:rsidR="003D2D19" w:rsidRPr="003C1121">
        <w:rPr>
          <w:rFonts w:ascii="Times New Roman" w:hAnsi="Times New Roman" w:cs="Times New Roman"/>
          <w:sz w:val="24"/>
          <w:szCs w:val="24"/>
        </w:rPr>
        <w:t>The practice of including the higher, but not the lower number, when identifying a range of frequencies is used to prevent cases of frequency band overlap.</w:t>
      </w:r>
    </w:p>
    <w:p w:rsidR="00CC6182" w:rsidRPr="002E527D" w:rsidRDefault="00F745C2" w:rsidP="007357E5">
      <w:pPr>
        <w:rPr>
          <w:rFonts w:ascii="Times New Roman" w:hAnsi="Times New Roman" w:cs="Times New Roman"/>
          <w:sz w:val="24"/>
          <w:szCs w:val="24"/>
        </w:rPr>
      </w:pPr>
      <w:r w:rsidRPr="002E527D">
        <w:rPr>
          <w:rFonts w:ascii="Times New Roman" w:hAnsi="Times New Roman" w:cs="Times New Roman"/>
          <w:sz w:val="24"/>
          <w:szCs w:val="24"/>
        </w:rPr>
        <w:t>Subclause 3(3) provides that where 2 or more specified group</w:t>
      </w:r>
      <w:r w:rsidR="00B623BA" w:rsidRPr="002E527D">
        <w:rPr>
          <w:rFonts w:ascii="Times New Roman" w:hAnsi="Times New Roman" w:cs="Times New Roman"/>
          <w:sz w:val="24"/>
          <w:szCs w:val="24"/>
        </w:rPr>
        <w:t>s</w:t>
      </w:r>
      <w:r w:rsidRPr="002E527D">
        <w:rPr>
          <w:rFonts w:ascii="Times New Roman" w:hAnsi="Times New Roman" w:cs="Times New Roman"/>
          <w:sz w:val="24"/>
          <w:szCs w:val="24"/>
        </w:rPr>
        <w:t xml:space="preserve"> of persons have 1 member in common, they will be taken to be 1 specified group of persons for the purposes of the Direction.</w:t>
      </w:r>
      <w:r w:rsidR="00CC6182" w:rsidRPr="002E527D">
        <w:rPr>
          <w:rFonts w:ascii="Times New Roman" w:hAnsi="Times New Roman" w:cs="Times New Roman"/>
          <w:sz w:val="24"/>
          <w:szCs w:val="24"/>
        </w:rPr>
        <w:t xml:space="preserve"> </w:t>
      </w:r>
      <w:r w:rsidR="00B623BA" w:rsidRPr="002E527D">
        <w:rPr>
          <w:rFonts w:ascii="Times New Roman" w:hAnsi="Times New Roman" w:cs="Times New Roman"/>
          <w:sz w:val="24"/>
          <w:szCs w:val="24"/>
        </w:rPr>
        <w:t>This means if an applicant or an associate is a member of 2 or more specified groups, those groups are taken to be 1 specified group of persons.</w:t>
      </w:r>
    </w:p>
    <w:p w:rsidR="007357E5" w:rsidRPr="00973508" w:rsidRDefault="00B623BA" w:rsidP="007357E5">
      <w:pPr>
        <w:rPr>
          <w:rFonts w:ascii="Times New Roman" w:hAnsi="Times New Roman" w:cs="Times New Roman"/>
          <w:sz w:val="24"/>
          <w:szCs w:val="24"/>
        </w:rPr>
      </w:pPr>
      <w:r>
        <w:rPr>
          <w:rFonts w:ascii="Times New Roman" w:hAnsi="Times New Roman" w:cs="Times New Roman"/>
          <w:sz w:val="24"/>
          <w:szCs w:val="24"/>
        </w:rPr>
        <w:t>A</w:t>
      </w:r>
      <w:r w:rsidR="007A7337" w:rsidRPr="003A7C54">
        <w:rPr>
          <w:rFonts w:ascii="Times New Roman" w:hAnsi="Times New Roman" w:cs="Times New Roman"/>
          <w:sz w:val="24"/>
          <w:szCs w:val="24"/>
        </w:rPr>
        <w:t xml:space="preserve"> person </w:t>
      </w:r>
      <w:r>
        <w:rPr>
          <w:rFonts w:ascii="Times New Roman" w:hAnsi="Times New Roman" w:cs="Times New Roman"/>
          <w:sz w:val="24"/>
          <w:szCs w:val="24"/>
        </w:rPr>
        <w:t xml:space="preserve">who </w:t>
      </w:r>
      <w:r w:rsidR="007A7337" w:rsidRPr="003A7C54">
        <w:rPr>
          <w:rFonts w:ascii="Times New Roman" w:hAnsi="Times New Roman" w:cs="Times New Roman"/>
          <w:sz w:val="24"/>
          <w:szCs w:val="24"/>
        </w:rPr>
        <w:t xml:space="preserve">is an associate of </w:t>
      </w:r>
      <w:r w:rsidR="006B760B" w:rsidRPr="003A7C54">
        <w:rPr>
          <w:rFonts w:ascii="Times New Roman" w:hAnsi="Times New Roman" w:cs="Times New Roman"/>
          <w:sz w:val="24"/>
          <w:szCs w:val="24"/>
        </w:rPr>
        <w:t xml:space="preserve">an </w:t>
      </w:r>
      <w:r w:rsidR="007A7337" w:rsidRPr="003A7C54">
        <w:rPr>
          <w:rFonts w:ascii="Times New Roman" w:hAnsi="Times New Roman" w:cs="Times New Roman"/>
          <w:sz w:val="24"/>
          <w:szCs w:val="24"/>
        </w:rPr>
        <w:t xml:space="preserve">applicant for a spectrum licence, </w:t>
      </w:r>
      <w:r w:rsidR="00245352">
        <w:rPr>
          <w:rFonts w:ascii="Times New Roman" w:hAnsi="Times New Roman" w:cs="Times New Roman"/>
          <w:sz w:val="24"/>
          <w:szCs w:val="24"/>
        </w:rPr>
        <w:t xml:space="preserve">and </w:t>
      </w:r>
      <w:r>
        <w:rPr>
          <w:rFonts w:ascii="Times New Roman" w:hAnsi="Times New Roman" w:cs="Times New Roman"/>
          <w:sz w:val="24"/>
          <w:szCs w:val="24"/>
        </w:rPr>
        <w:t xml:space="preserve">who is </w:t>
      </w:r>
      <w:r w:rsidR="007A7337" w:rsidRPr="003A7C54">
        <w:rPr>
          <w:rFonts w:ascii="Times New Roman" w:hAnsi="Times New Roman" w:cs="Times New Roman"/>
          <w:sz w:val="24"/>
          <w:szCs w:val="24"/>
        </w:rPr>
        <w:t>also an associate of one or more other applicants for a spectrum licence</w:t>
      </w:r>
      <w:r w:rsidR="00BC21AF">
        <w:rPr>
          <w:rFonts w:ascii="Times New Roman" w:hAnsi="Times New Roman" w:cs="Times New Roman"/>
          <w:sz w:val="24"/>
          <w:szCs w:val="24"/>
        </w:rPr>
        <w:t>,</w:t>
      </w:r>
      <w:r>
        <w:rPr>
          <w:rFonts w:ascii="Times New Roman" w:hAnsi="Times New Roman" w:cs="Times New Roman"/>
          <w:sz w:val="24"/>
          <w:szCs w:val="24"/>
        </w:rPr>
        <w:t xml:space="preserve"> is a member in common for 2 specified groups of persons</w:t>
      </w:r>
      <w:r w:rsidR="00A776F9">
        <w:rPr>
          <w:rFonts w:ascii="Times New Roman" w:hAnsi="Times New Roman" w:cs="Times New Roman"/>
          <w:sz w:val="24"/>
          <w:szCs w:val="24"/>
        </w:rPr>
        <w:t xml:space="preserve">. </w:t>
      </w:r>
      <w:r w:rsidR="007A7337" w:rsidRPr="003A7C54">
        <w:rPr>
          <w:rFonts w:ascii="Times New Roman" w:hAnsi="Times New Roman" w:cs="Times New Roman"/>
          <w:sz w:val="24"/>
          <w:szCs w:val="24"/>
        </w:rPr>
        <w:t>For example, if a person was a director of one applicant for a spectrum licence, whilst also being a director of another applicant for a spectrum licence,</w:t>
      </w:r>
      <w:r>
        <w:rPr>
          <w:rFonts w:ascii="Times New Roman" w:hAnsi="Times New Roman" w:cs="Times New Roman"/>
          <w:sz w:val="24"/>
          <w:szCs w:val="24"/>
        </w:rPr>
        <w:t xml:space="preserve"> </w:t>
      </w:r>
      <w:r w:rsidR="007A7337" w:rsidRPr="003A7C54">
        <w:rPr>
          <w:rFonts w:ascii="Times New Roman" w:hAnsi="Times New Roman" w:cs="Times New Roman"/>
          <w:sz w:val="24"/>
          <w:szCs w:val="24"/>
        </w:rPr>
        <w:t>both the applicants i</w:t>
      </w:r>
      <w:r w:rsidR="007A7337" w:rsidRPr="005D306F">
        <w:rPr>
          <w:rFonts w:ascii="Times New Roman" w:hAnsi="Times New Roman" w:cs="Times New Roman"/>
          <w:sz w:val="24"/>
          <w:szCs w:val="24"/>
        </w:rPr>
        <w:t xml:space="preserve">n question and all of their associates </w:t>
      </w:r>
      <w:r w:rsidR="004A59E3" w:rsidRPr="005D306F">
        <w:rPr>
          <w:rFonts w:ascii="Times New Roman" w:hAnsi="Times New Roman" w:cs="Times New Roman"/>
          <w:sz w:val="24"/>
          <w:szCs w:val="24"/>
        </w:rPr>
        <w:t>would</w:t>
      </w:r>
      <w:r w:rsidR="007A7337" w:rsidRPr="005D306F">
        <w:rPr>
          <w:rFonts w:ascii="Times New Roman" w:hAnsi="Times New Roman" w:cs="Times New Roman"/>
          <w:sz w:val="24"/>
          <w:szCs w:val="24"/>
        </w:rPr>
        <w:t xml:space="preserve"> be taken to be 1 specified group of persons</w:t>
      </w:r>
      <w:r w:rsidR="00A776F9">
        <w:rPr>
          <w:rFonts w:ascii="Times New Roman" w:hAnsi="Times New Roman" w:cs="Times New Roman"/>
          <w:sz w:val="24"/>
          <w:szCs w:val="24"/>
        </w:rPr>
        <w:t xml:space="preserve">. </w:t>
      </w:r>
      <w:r w:rsidRPr="005D306F">
        <w:rPr>
          <w:rFonts w:ascii="Times New Roman" w:hAnsi="Times New Roman" w:cs="Times New Roman"/>
          <w:sz w:val="24"/>
          <w:szCs w:val="24"/>
        </w:rPr>
        <w:t xml:space="preserve">The </w:t>
      </w:r>
      <w:r w:rsidR="007A7337" w:rsidRPr="005D306F">
        <w:rPr>
          <w:rFonts w:ascii="Times New Roman" w:hAnsi="Times New Roman" w:cs="Times New Roman"/>
          <w:sz w:val="24"/>
          <w:szCs w:val="24"/>
        </w:rPr>
        <w:t xml:space="preserve">limits set out in clause 4 </w:t>
      </w:r>
      <w:r w:rsidR="004A59E3" w:rsidRPr="005D306F">
        <w:rPr>
          <w:rFonts w:ascii="Times New Roman" w:hAnsi="Times New Roman" w:cs="Times New Roman"/>
          <w:sz w:val="24"/>
          <w:szCs w:val="24"/>
        </w:rPr>
        <w:t>would</w:t>
      </w:r>
      <w:r w:rsidR="007A7337" w:rsidRPr="005D306F">
        <w:rPr>
          <w:rFonts w:ascii="Times New Roman" w:hAnsi="Times New Roman" w:cs="Times New Roman"/>
          <w:sz w:val="24"/>
          <w:szCs w:val="24"/>
        </w:rPr>
        <w:t xml:space="preserve"> apply</w:t>
      </w:r>
      <w:r w:rsidRPr="005D306F">
        <w:rPr>
          <w:rFonts w:ascii="Times New Roman" w:hAnsi="Times New Roman" w:cs="Times New Roman"/>
          <w:sz w:val="24"/>
          <w:szCs w:val="24"/>
        </w:rPr>
        <w:t xml:space="preserve"> to all such persons</w:t>
      </w:r>
      <w:r w:rsidR="00A776F9">
        <w:rPr>
          <w:rFonts w:ascii="Times New Roman" w:hAnsi="Times New Roman" w:cs="Times New Roman"/>
          <w:sz w:val="24"/>
          <w:szCs w:val="24"/>
        </w:rPr>
        <w:t xml:space="preserve">. </w:t>
      </w:r>
      <w:r w:rsidR="007357E5" w:rsidRPr="005D306F">
        <w:rPr>
          <w:rFonts w:ascii="Times New Roman" w:hAnsi="Times New Roman" w:cs="Times New Roman"/>
          <w:sz w:val="24"/>
          <w:szCs w:val="24"/>
        </w:rPr>
        <w:t xml:space="preserve">For example, companies subject to a dual-listed company arrangement (as defined in </w:t>
      </w:r>
      <w:r w:rsidR="005D306F" w:rsidRPr="005D306F">
        <w:rPr>
          <w:rFonts w:ascii="Times New Roman" w:hAnsi="Times New Roman" w:cs="Times New Roman"/>
          <w:sz w:val="24"/>
          <w:szCs w:val="24"/>
        </w:rPr>
        <w:t>section 125</w:t>
      </w:r>
      <w:r w:rsidR="005D306F" w:rsidRPr="005D306F">
        <w:rPr>
          <w:rFonts w:ascii="Times New Roman" w:hAnsi="Times New Roman" w:cs="Times New Roman"/>
          <w:sz w:val="24"/>
          <w:szCs w:val="24"/>
        </w:rPr>
        <w:noBreakHyphen/>
        <w:t xml:space="preserve">60 </w:t>
      </w:r>
      <w:r w:rsidR="007357E5" w:rsidRPr="005D306F">
        <w:rPr>
          <w:rFonts w:ascii="Times New Roman" w:hAnsi="Times New Roman" w:cs="Times New Roman"/>
          <w:sz w:val="24"/>
          <w:szCs w:val="24"/>
        </w:rPr>
        <w:t xml:space="preserve">of the </w:t>
      </w:r>
      <w:r w:rsidR="007357E5" w:rsidRPr="005D306F">
        <w:rPr>
          <w:rFonts w:ascii="Times New Roman" w:hAnsi="Times New Roman" w:cs="Times New Roman"/>
          <w:i/>
          <w:sz w:val="24"/>
          <w:szCs w:val="24"/>
        </w:rPr>
        <w:t>Income Tax Assessment Act 1997</w:t>
      </w:r>
      <w:r w:rsidR="007357E5" w:rsidRPr="005D306F">
        <w:rPr>
          <w:rFonts w:ascii="Times New Roman" w:hAnsi="Times New Roman" w:cs="Times New Roman"/>
          <w:sz w:val="24"/>
          <w:szCs w:val="24"/>
        </w:rPr>
        <w:t xml:space="preserve">) would typically have </w:t>
      </w:r>
      <w:r w:rsidR="00A776F9">
        <w:rPr>
          <w:rFonts w:ascii="Times New Roman" w:hAnsi="Times New Roman" w:cs="Times New Roman"/>
          <w:sz w:val="24"/>
          <w:szCs w:val="24"/>
        </w:rPr>
        <w:t xml:space="preserve">1 or more directors in common. </w:t>
      </w:r>
      <w:r w:rsidR="007357E5" w:rsidRPr="005D306F">
        <w:rPr>
          <w:rFonts w:ascii="Times New Roman" w:hAnsi="Times New Roman" w:cs="Times New Roman"/>
          <w:sz w:val="24"/>
          <w:szCs w:val="24"/>
        </w:rPr>
        <w:lastRenderedPageBreak/>
        <w:t>Whe</w:t>
      </w:r>
      <w:r w:rsidR="007357E5" w:rsidRPr="00973508">
        <w:rPr>
          <w:rFonts w:ascii="Times New Roman" w:hAnsi="Times New Roman" w:cs="Times New Roman"/>
          <w:sz w:val="24"/>
          <w:szCs w:val="24"/>
        </w:rPr>
        <w:t xml:space="preserve">re </w:t>
      </w:r>
      <w:r w:rsidR="004A59E3">
        <w:rPr>
          <w:rFonts w:ascii="Times New Roman" w:hAnsi="Times New Roman" w:cs="Times New Roman"/>
          <w:sz w:val="24"/>
          <w:szCs w:val="24"/>
        </w:rPr>
        <w:t xml:space="preserve">applicant </w:t>
      </w:r>
      <w:r w:rsidR="007357E5" w:rsidRPr="00973508">
        <w:rPr>
          <w:rFonts w:ascii="Times New Roman" w:hAnsi="Times New Roman" w:cs="Times New Roman"/>
          <w:sz w:val="24"/>
          <w:szCs w:val="24"/>
        </w:rPr>
        <w:t xml:space="preserve">companies subject to a dual-listed company arrangement do have directors in common, those directors would be members in common </w:t>
      </w:r>
      <w:r w:rsidR="00BC21AF">
        <w:rPr>
          <w:rFonts w:ascii="Times New Roman" w:hAnsi="Times New Roman" w:cs="Times New Roman"/>
          <w:sz w:val="24"/>
          <w:szCs w:val="24"/>
        </w:rPr>
        <w:t xml:space="preserve">of each specified group </w:t>
      </w:r>
      <w:r w:rsidR="00CC6182">
        <w:rPr>
          <w:rFonts w:ascii="Times New Roman" w:hAnsi="Times New Roman" w:cs="Times New Roman"/>
          <w:sz w:val="24"/>
          <w:szCs w:val="24"/>
        </w:rPr>
        <w:t xml:space="preserve">under </w:t>
      </w:r>
      <w:r w:rsidR="007357E5" w:rsidRPr="00973508">
        <w:rPr>
          <w:rFonts w:ascii="Times New Roman" w:hAnsi="Times New Roman" w:cs="Times New Roman"/>
          <w:sz w:val="24"/>
          <w:szCs w:val="24"/>
        </w:rPr>
        <w:t>subclause 3(3) of the Direction, and those companies and their associates would be taken to be 1 specified group of persons</w:t>
      </w:r>
      <w:r w:rsidR="00CC6182">
        <w:rPr>
          <w:rFonts w:ascii="Times New Roman" w:hAnsi="Times New Roman" w:cs="Times New Roman"/>
          <w:sz w:val="24"/>
          <w:szCs w:val="24"/>
        </w:rPr>
        <w:t xml:space="preserve"> for the purposes of the Direction</w:t>
      </w:r>
      <w:r w:rsidR="007357E5" w:rsidRPr="00973508">
        <w:rPr>
          <w:rFonts w:ascii="Times New Roman" w:hAnsi="Times New Roman" w:cs="Times New Roman"/>
          <w:sz w:val="24"/>
          <w:szCs w:val="24"/>
        </w:rPr>
        <w:t>.</w:t>
      </w:r>
    </w:p>
    <w:p w:rsidR="00BA18A7" w:rsidRDefault="00AB3B62" w:rsidP="00CC6182">
      <w:pPr>
        <w:rPr>
          <w:rFonts w:ascii="Times New Roman" w:hAnsi="Times New Roman" w:cs="Times New Roman"/>
          <w:sz w:val="24"/>
          <w:szCs w:val="24"/>
        </w:rPr>
      </w:pPr>
      <w:r>
        <w:rPr>
          <w:rFonts w:ascii="Times New Roman" w:hAnsi="Times New Roman" w:cs="Times New Roman"/>
          <w:sz w:val="24"/>
          <w:szCs w:val="24"/>
        </w:rPr>
        <w:t>Persons that are connected in some way, but not through a relationship of a type described in the associate definition, would not by virtue of that connection alone be associates of each other for the purposes of the Direction. Similarly, w</w:t>
      </w:r>
      <w:r w:rsidRPr="00973508">
        <w:rPr>
          <w:rFonts w:ascii="Times New Roman" w:hAnsi="Times New Roman" w:cs="Times New Roman"/>
          <w:sz w:val="24"/>
          <w:szCs w:val="24"/>
        </w:rPr>
        <w:t xml:space="preserve">here a person has a connection </w:t>
      </w:r>
      <w:r>
        <w:rPr>
          <w:rFonts w:ascii="Times New Roman" w:hAnsi="Times New Roman" w:cs="Times New Roman"/>
          <w:sz w:val="24"/>
          <w:szCs w:val="24"/>
        </w:rPr>
        <w:t>with 2 or more applicants for spectrum licences, but is not an associate as defined by the Direction, that person would not be a member in common for the 2 specified groups of persons. For example, where 2 applicants have the same person acting as a consultant or adviser for them in respect of the allocation of spectrum licences, the person acting as consultant or adviser will only be an associate, and therefore a member in common, if the person has a relationship with each applicant of a type described in the definition of ‘associate’.</w:t>
      </w:r>
    </w:p>
    <w:p w:rsidR="00A50494" w:rsidRPr="006772BC" w:rsidRDefault="00A50494" w:rsidP="004C38D8">
      <w:pPr>
        <w:keepNext/>
        <w:rPr>
          <w:rFonts w:ascii="Times New Roman" w:hAnsi="Times New Roman" w:cs="Times New Roman"/>
          <w:b/>
          <w:sz w:val="24"/>
          <w:szCs w:val="24"/>
        </w:rPr>
      </w:pPr>
      <w:r w:rsidRPr="006772BC">
        <w:rPr>
          <w:rFonts w:ascii="Times New Roman" w:hAnsi="Times New Roman" w:cs="Times New Roman"/>
          <w:b/>
          <w:sz w:val="24"/>
          <w:szCs w:val="24"/>
        </w:rPr>
        <w:t>Clause 4</w:t>
      </w:r>
    </w:p>
    <w:p w:rsidR="00725946" w:rsidRDefault="00A50494" w:rsidP="00A50494">
      <w:pPr>
        <w:rPr>
          <w:rFonts w:ascii="Times New Roman" w:hAnsi="Times New Roman" w:cs="Times New Roman"/>
          <w:sz w:val="24"/>
          <w:szCs w:val="24"/>
        </w:rPr>
      </w:pPr>
      <w:r w:rsidRPr="006772BC">
        <w:rPr>
          <w:rFonts w:ascii="Times New Roman" w:hAnsi="Times New Roman" w:cs="Times New Roman"/>
          <w:sz w:val="24"/>
          <w:szCs w:val="24"/>
        </w:rPr>
        <w:t xml:space="preserve">Clause 4 </w:t>
      </w:r>
      <w:r w:rsidR="00B623BA">
        <w:rPr>
          <w:rFonts w:ascii="Times New Roman" w:hAnsi="Times New Roman" w:cs="Times New Roman"/>
          <w:sz w:val="24"/>
          <w:szCs w:val="24"/>
        </w:rPr>
        <w:t>sets out the quantum limits that are to be included in the spectrum allocation procedures</w:t>
      </w:r>
      <w:r w:rsidR="00E12AAB">
        <w:rPr>
          <w:rFonts w:ascii="Times New Roman" w:hAnsi="Times New Roman" w:cs="Times New Roman"/>
          <w:sz w:val="24"/>
          <w:szCs w:val="24"/>
        </w:rPr>
        <w:t>.</w:t>
      </w:r>
    </w:p>
    <w:p w:rsidR="00EE48A6" w:rsidRDefault="003D2D19" w:rsidP="00A50494">
      <w:pPr>
        <w:rPr>
          <w:rFonts w:ascii="Times New Roman" w:hAnsi="Times New Roman" w:cs="Times New Roman"/>
          <w:sz w:val="24"/>
          <w:szCs w:val="24"/>
        </w:rPr>
      </w:pPr>
      <w:r>
        <w:rPr>
          <w:rFonts w:ascii="Times New Roman" w:hAnsi="Times New Roman" w:cs="Times New Roman"/>
          <w:sz w:val="24"/>
          <w:szCs w:val="24"/>
        </w:rPr>
        <w:t xml:space="preserve">This </w:t>
      </w:r>
      <w:r w:rsidR="00451182">
        <w:rPr>
          <w:rFonts w:ascii="Times New Roman" w:hAnsi="Times New Roman" w:cs="Times New Roman"/>
          <w:sz w:val="24"/>
          <w:szCs w:val="24"/>
        </w:rPr>
        <w:t>clause</w:t>
      </w:r>
      <w:r>
        <w:rPr>
          <w:rFonts w:ascii="Times New Roman" w:hAnsi="Times New Roman" w:cs="Times New Roman"/>
          <w:sz w:val="24"/>
          <w:szCs w:val="24"/>
        </w:rPr>
        <w:t xml:space="preserve"> </w:t>
      </w:r>
      <w:r w:rsidR="00AA58A3">
        <w:rPr>
          <w:rFonts w:ascii="Times New Roman" w:hAnsi="Times New Roman" w:cs="Times New Roman"/>
          <w:sz w:val="24"/>
          <w:szCs w:val="24"/>
        </w:rPr>
        <w:t>directs</w:t>
      </w:r>
      <w:r>
        <w:rPr>
          <w:rFonts w:ascii="Times New Roman" w:hAnsi="Times New Roman" w:cs="Times New Roman"/>
          <w:sz w:val="24"/>
          <w:szCs w:val="24"/>
        </w:rPr>
        <w:t xml:space="preserve"> the ACMA to determine procedures under subsection 60(1) of the Act that impose limits to ensure that, as a result of the allocation of </w:t>
      </w:r>
      <w:r w:rsidR="002C2F0B">
        <w:rPr>
          <w:rFonts w:ascii="Times New Roman" w:hAnsi="Times New Roman" w:cs="Times New Roman"/>
          <w:sz w:val="24"/>
          <w:szCs w:val="24"/>
        </w:rPr>
        <w:t>the 2x</w:t>
      </w:r>
      <w:r w:rsidR="00E8213F">
        <w:rPr>
          <w:rFonts w:ascii="Times New Roman" w:hAnsi="Times New Roman" w:cs="Times New Roman"/>
          <w:sz w:val="24"/>
          <w:szCs w:val="24"/>
        </w:rPr>
        <w:t>70</w:t>
      </w:r>
      <w:r w:rsidR="00EE48A6">
        <w:rPr>
          <w:rFonts w:ascii="Times New Roman" w:hAnsi="Times New Roman" w:cs="Times New Roman"/>
          <w:sz w:val="24"/>
          <w:szCs w:val="24"/>
        </w:rPr>
        <w:t xml:space="preserve">MHz </w:t>
      </w:r>
      <w:r w:rsidR="00C95858">
        <w:rPr>
          <w:rFonts w:ascii="Times New Roman" w:hAnsi="Times New Roman" w:cs="Times New Roman"/>
          <w:sz w:val="24"/>
          <w:szCs w:val="24"/>
        </w:rPr>
        <w:t xml:space="preserve">parts </w:t>
      </w:r>
      <w:r w:rsidR="00EE48A6">
        <w:rPr>
          <w:rFonts w:ascii="Times New Roman" w:hAnsi="Times New Roman" w:cs="Times New Roman"/>
          <w:sz w:val="24"/>
          <w:szCs w:val="24"/>
        </w:rPr>
        <w:t xml:space="preserve">of the </w:t>
      </w:r>
      <w:r w:rsidR="002C2F0B">
        <w:rPr>
          <w:rFonts w:ascii="Times New Roman" w:hAnsi="Times New Roman" w:cs="Times New Roman"/>
          <w:sz w:val="24"/>
          <w:szCs w:val="24"/>
        </w:rPr>
        <w:t>2.5</w:t>
      </w:r>
      <w:r w:rsidR="000463AD">
        <w:rPr>
          <w:rFonts w:ascii="Times New Roman" w:hAnsi="Times New Roman" w:cs="Times New Roman"/>
          <w:sz w:val="24"/>
          <w:szCs w:val="24"/>
        </w:rPr>
        <w:t>GHz</w:t>
      </w:r>
      <w:r w:rsidR="00EE48A6">
        <w:rPr>
          <w:rFonts w:ascii="Times New Roman" w:hAnsi="Times New Roman" w:cs="Times New Roman"/>
          <w:sz w:val="24"/>
          <w:szCs w:val="24"/>
        </w:rPr>
        <w:t xml:space="preserve"> </w:t>
      </w:r>
      <w:r w:rsidR="00C95858">
        <w:rPr>
          <w:rFonts w:ascii="Times New Roman" w:hAnsi="Times New Roman" w:cs="Times New Roman"/>
          <w:sz w:val="24"/>
          <w:szCs w:val="24"/>
        </w:rPr>
        <w:t xml:space="preserve">frequency </w:t>
      </w:r>
      <w:r w:rsidR="00EE48A6">
        <w:rPr>
          <w:rFonts w:ascii="Times New Roman" w:hAnsi="Times New Roman" w:cs="Times New Roman"/>
          <w:sz w:val="24"/>
          <w:szCs w:val="24"/>
        </w:rPr>
        <w:t xml:space="preserve">band provided for in the </w:t>
      </w:r>
      <w:r w:rsidR="00E139F5" w:rsidRPr="00B623BA">
        <w:rPr>
          <w:rFonts w:ascii="Times New Roman" w:hAnsi="Times New Roman" w:cs="Times New Roman"/>
          <w:i/>
          <w:sz w:val="24"/>
          <w:szCs w:val="24"/>
        </w:rPr>
        <w:t>Radiocommunications (Spectrum Re-allocation) Declaration No. 2 of 2011</w:t>
      </w:r>
      <w:r w:rsidR="00EE48A6">
        <w:rPr>
          <w:rFonts w:ascii="Times New Roman" w:hAnsi="Times New Roman" w:cs="Times New Roman"/>
          <w:sz w:val="24"/>
          <w:szCs w:val="24"/>
        </w:rPr>
        <w:t xml:space="preserve">, no person </w:t>
      </w:r>
      <w:r w:rsidR="00F745C2">
        <w:rPr>
          <w:rFonts w:ascii="Times New Roman" w:hAnsi="Times New Roman" w:cs="Times New Roman"/>
          <w:sz w:val="24"/>
          <w:szCs w:val="24"/>
        </w:rPr>
        <w:t xml:space="preserve">or specified group of persons </w:t>
      </w:r>
      <w:r w:rsidR="00EE48A6">
        <w:rPr>
          <w:rFonts w:ascii="Times New Roman" w:hAnsi="Times New Roman" w:cs="Times New Roman"/>
          <w:sz w:val="24"/>
          <w:szCs w:val="24"/>
        </w:rPr>
        <w:t>may use more than:</w:t>
      </w:r>
    </w:p>
    <w:p w:rsidR="00EE48A6" w:rsidRDefault="000463AD" w:rsidP="00EE48A6">
      <w:pPr>
        <w:pStyle w:val="ListParagraph"/>
        <w:numPr>
          <w:ilvl w:val="0"/>
          <w:numId w:val="4"/>
        </w:numPr>
        <w:rPr>
          <w:rFonts w:ascii="Times New Roman" w:hAnsi="Times New Roman"/>
          <w:sz w:val="24"/>
        </w:rPr>
      </w:pPr>
      <w:r>
        <w:rPr>
          <w:rFonts w:ascii="Times New Roman" w:hAnsi="Times New Roman"/>
          <w:sz w:val="24"/>
        </w:rPr>
        <w:t>4</w:t>
      </w:r>
      <w:r w:rsidR="002C2F0B">
        <w:rPr>
          <w:rFonts w:ascii="Times New Roman" w:hAnsi="Times New Roman"/>
          <w:sz w:val="24"/>
        </w:rPr>
        <w:t>0</w:t>
      </w:r>
      <w:r w:rsidR="00EE48A6">
        <w:rPr>
          <w:rFonts w:ascii="Times New Roman" w:hAnsi="Times New Roman"/>
          <w:sz w:val="24"/>
        </w:rPr>
        <w:t xml:space="preserve">MHz of the spectrum available in the designated areas in the frequency band </w:t>
      </w:r>
      <w:r w:rsidR="002C2F0B">
        <w:rPr>
          <w:rFonts w:ascii="Times New Roman" w:hAnsi="Times New Roman"/>
          <w:sz w:val="24"/>
        </w:rPr>
        <w:t>2500MHz to 2570</w:t>
      </w:r>
      <w:r w:rsidR="00EE48A6">
        <w:rPr>
          <w:rFonts w:ascii="Times New Roman" w:hAnsi="Times New Roman"/>
          <w:sz w:val="24"/>
        </w:rPr>
        <w:t>MHz; and</w:t>
      </w:r>
    </w:p>
    <w:p w:rsidR="00EE48A6" w:rsidRPr="00EE48A6" w:rsidRDefault="000463AD" w:rsidP="00EE48A6">
      <w:pPr>
        <w:pStyle w:val="ListParagraph"/>
        <w:numPr>
          <w:ilvl w:val="0"/>
          <w:numId w:val="4"/>
        </w:numPr>
        <w:rPr>
          <w:rFonts w:ascii="Times New Roman" w:hAnsi="Times New Roman"/>
          <w:sz w:val="24"/>
        </w:rPr>
      </w:pPr>
      <w:r>
        <w:rPr>
          <w:rFonts w:ascii="Times New Roman" w:hAnsi="Times New Roman"/>
          <w:sz w:val="24"/>
        </w:rPr>
        <w:t>4</w:t>
      </w:r>
      <w:r w:rsidR="002C2F0B">
        <w:rPr>
          <w:rFonts w:ascii="Times New Roman" w:hAnsi="Times New Roman"/>
          <w:sz w:val="24"/>
        </w:rPr>
        <w:t>0</w:t>
      </w:r>
      <w:r w:rsidR="00EE48A6">
        <w:rPr>
          <w:rFonts w:ascii="Times New Roman" w:hAnsi="Times New Roman"/>
          <w:sz w:val="24"/>
        </w:rPr>
        <w:t xml:space="preserve">MHz of the spectrum available in the designated areas in the frequency band </w:t>
      </w:r>
      <w:r w:rsidR="002C2F0B">
        <w:rPr>
          <w:rFonts w:ascii="Times New Roman" w:hAnsi="Times New Roman"/>
          <w:sz w:val="24"/>
        </w:rPr>
        <w:t>2620MHz to 2690</w:t>
      </w:r>
      <w:r w:rsidR="00EE48A6">
        <w:rPr>
          <w:rFonts w:ascii="Times New Roman" w:hAnsi="Times New Roman"/>
          <w:sz w:val="24"/>
        </w:rPr>
        <w:t>MHz.</w:t>
      </w:r>
    </w:p>
    <w:p w:rsidR="002005B2" w:rsidRPr="00C95858" w:rsidRDefault="00725946" w:rsidP="00A50494">
      <w:pPr>
        <w:rPr>
          <w:rFonts w:ascii="Times New Roman" w:hAnsi="Times New Roman" w:cs="Times New Roman"/>
          <w:sz w:val="24"/>
          <w:szCs w:val="24"/>
        </w:rPr>
      </w:pPr>
      <w:r>
        <w:rPr>
          <w:rFonts w:ascii="Times New Roman" w:hAnsi="Times New Roman" w:cs="Times New Roman"/>
          <w:sz w:val="24"/>
          <w:szCs w:val="24"/>
        </w:rPr>
        <w:t xml:space="preserve">The limits, as described above, fit within the parameters of the types of limits that may be </w:t>
      </w:r>
      <w:r w:rsidRPr="00C95858">
        <w:rPr>
          <w:rFonts w:ascii="Times New Roman" w:hAnsi="Times New Roman" w:cs="Times New Roman"/>
          <w:sz w:val="24"/>
          <w:szCs w:val="24"/>
        </w:rPr>
        <w:t>imposed in accordance with subsections 60(5) and 60(6) of the Act.</w:t>
      </w:r>
    </w:p>
    <w:p w:rsidR="00E36AAB" w:rsidRDefault="004903DB" w:rsidP="00A50494">
      <w:pPr>
        <w:rPr>
          <w:rFonts w:ascii="Times New Roman" w:hAnsi="Times New Roman" w:cs="Times New Roman"/>
          <w:sz w:val="24"/>
          <w:szCs w:val="24"/>
        </w:rPr>
      </w:pPr>
      <w:r w:rsidRPr="00C95858">
        <w:rPr>
          <w:rFonts w:ascii="Times New Roman" w:hAnsi="Times New Roman" w:cs="Times New Roman"/>
          <w:sz w:val="24"/>
          <w:szCs w:val="24"/>
        </w:rPr>
        <w:t>This</w:t>
      </w:r>
      <w:r w:rsidR="002005B2" w:rsidRPr="00C95858">
        <w:rPr>
          <w:rFonts w:ascii="Times New Roman" w:hAnsi="Times New Roman" w:cs="Times New Roman"/>
          <w:sz w:val="24"/>
          <w:szCs w:val="24"/>
        </w:rPr>
        <w:t xml:space="preserve"> Direction only applies in relation to</w:t>
      </w:r>
      <w:r w:rsidR="002C2F0B" w:rsidRPr="00C95858">
        <w:rPr>
          <w:rFonts w:ascii="Times New Roman" w:hAnsi="Times New Roman" w:cs="Times New Roman"/>
          <w:sz w:val="24"/>
          <w:szCs w:val="24"/>
        </w:rPr>
        <w:t xml:space="preserve"> the ACMA’s allocation of the 2x70MHz</w:t>
      </w:r>
      <w:r w:rsidR="00C95858" w:rsidRPr="00C95858">
        <w:rPr>
          <w:rFonts w:ascii="Times New Roman" w:hAnsi="Times New Roman" w:cs="Times New Roman"/>
          <w:sz w:val="24"/>
          <w:szCs w:val="24"/>
        </w:rPr>
        <w:t xml:space="preserve"> parts</w:t>
      </w:r>
      <w:r w:rsidR="002C2F0B" w:rsidRPr="00C95858">
        <w:rPr>
          <w:rFonts w:ascii="Times New Roman" w:hAnsi="Times New Roman" w:cs="Times New Roman"/>
          <w:sz w:val="24"/>
          <w:szCs w:val="24"/>
        </w:rPr>
        <w:t xml:space="preserve"> of </w:t>
      </w:r>
      <w:r w:rsidR="00C95858" w:rsidRPr="00C95858">
        <w:rPr>
          <w:rFonts w:ascii="Times New Roman" w:hAnsi="Times New Roman" w:cs="Times New Roman"/>
          <w:sz w:val="24"/>
          <w:szCs w:val="24"/>
        </w:rPr>
        <w:t xml:space="preserve">the </w:t>
      </w:r>
      <w:r w:rsidR="002C2F0B" w:rsidRPr="00C95858">
        <w:rPr>
          <w:rFonts w:ascii="Times New Roman" w:hAnsi="Times New Roman" w:cs="Times New Roman"/>
          <w:sz w:val="24"/>
          <w:szCs w:val="24"/>
        </w:rPr>
        <w:t>2.5</w:t>
      </w:r>
      <w:r w:rsidR="002005B2" w:rsidRPr="00C95858">
        <w:rPr>
          <w:rFonts w:ascii="Times New Roman" w:hAnsi="Times New Roman" w:cs="Times New Roman"/>
          <w:sz w:val="24"/>
          <w:szCs w:val="24"/>
        </w:rPr>
        <w:t xml:space="preserve">GHz spectrum </w:t>
      </w:r>
      <w:r w:rsidR="00C95858" w:rsidRPr="00C95858">
        <w:rPr>
          <w:rFonts w:ascii="Times New Roman" w:hAnsi="Times New Roman" w:cs="Times New Roman"/>
          <w:sz w:val="24"/>
          <w:szCs w:val="24"/>
        </w:rPr>
        <w:t xml:space="preserve">bands specified </w:t>
      </w:r>
      <w:r w:rsidR="002005B2" w:rsidRPr="00C95858">
        <w:rPr>
          <w:rFonts w:ascii="Times New Roman" w:hAnsi="Times New Roman" w:cs="Times New Roman"/>
          <w:sz w:val="24"/>
          <w:szCs w:val="24"/>
        </w:rPr>
        <w:t xml:space="preserve">in the </w:t>
      </w:r>
      <w:r w:rsidR="002005B2" w:rsidRPr="00C95858">
        <w:rPr>
          <w:rFonts w:ascii="Times New Roman" w:hAnsi="Times New Roman" w:cs="Times New Roman"/>
          <w:i/>
          <w:sz w:val="24"/>
          <w:szCs w:val="24"/>
        </w:rPr>
        <w:t>Radiocommunications (Spectrum Re-allocation) Declaration No. 2 of 2011</w:t>
      </w:r>
      <w:r w:rsidR="00A776F9">
        <w:rPr>
          <w:rFonts w:ascii="Times New Roman" w:hAnsi="Times New Roman" w:cs="Times New Roman"/>
          <w:sz w:val="24"/>
          <w:szCs w:val="24"/>
        </w:rPr>
        <w:t xml:space="preserve">. </w:t>
      </w:r>
      <w:r w:rsidR="002005B2" w:rsidRPr="00C95858">
        <w:rPr>
          <w:rFonts w:ascii="Times New Roman" w:hAnsi="Times New Roman" w:cs="Times New Roman"/>
          <w:sz w:val="24"/>
          <w:szCs w:val="24"/>
        </w:rPr>
        <w:t>Once the spectrum is allocated</w:t>
      </w:r>
      <w:r w:rsidR="00C95858" w:rsidRPr="00C95858">
        <w:rPr>
          <w:rFonts w:ascii="Times New Roman" w:hAnsi="Times New Roman" w:cs="Times New Roman"/>
          <w:sz w:val="24"/>
          <w:szCs w:val="24"/>
        </w:rPr>
        <w:t xml:space="preserve"> by the ACMA</w:t>
      </w:r>
      <w:r w:rsidR="002005B2" w:rsidRPr="00C95858">
        <w:rPr>
          <w:rFonts w:ascii="Times New Roman" w:hAnsi="Times New Roman" w:cs="Times New Roman"/>
          <w:sz w:val="24"/>
          <w:szCs w:val="24"/>
        </w:rPr>
        <w:t>, the Direction will be spent.</w:t>
      </w:r>
    </w:p>
    <w:sectPr w:rsidR="00E36AAB" w:rsidSect="00652D2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06F" w:rsidRDefault="005D306F" w:rsidP="00D514E3">
      <w:pPr>
        <w:spacing w:after="0"/>
      </w:pPr>
      <w:r>
        <w:separator/>
      </w:r>
    </w:p>
  </w:endnote>
  <w:endnote w:type="continuationSeparator" w:id="0">
    <w:p w:rsidR="005D306F" w:rsidRDefault="005D306F" w:rsidP="00D514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HelveticaNeueLT Std Lt">
    <w:altName w:val="Verdan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06F" w:rsidRDefault="005D306F" w:rsidP="00D514E3">
      <w:pPr>
        <w:spacing w:after="0"/>
      </w:pPr>
      <w:r>
        <w:separator/>
      </w:r>
    </w:p>
  </w:footnote>
  <w:footnote w:type="continuationSeparator" w:id="0">
    <w:p w:rsidR="005D306F" w:rsidRDefault="005D306F" w:rsidP="00D514E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53BF"/>
    <w:multiLevelType w:val="hybridMultilevel"/>
    <w:tmpl w:val="F22E578E"/>
    <w:lvl w:ilvl="0" w:tplc="E7EE2D76">
      <w:start w:val="1"/>
      <w:numFmt w:val="lowerRoman"/>
      <w:lvlText w:val="(%1)"/>
      <w:lvlJc w:val="right"/>
      <w:pPr>
        <w:ind w:left="2547" w:hanging="360"/>
      </w:pPr>
      <w:rPr>
        <w:rFonts w:ascii="Times" w:eastAsia="Times New Roman" w:hAnsi="Times" w:cs="Times New Roman"/>
      </w:rPr>
    </w:lvl>
    <w:lvl w:ilvl="1" w:tplc="0C090019" w:tentative="1">
      <w:start w:val="1"/>
      <w:numFmt w:val="lowerLetter"/>
      <w:lvlText w:val="%2."/>
      <w:lvlJc w:val="left"/>
      <w:pPr>
        <w:ind w:left="3267" w:hanging="360"/>
      </w:pPr>
    </w:lvl>
    <w:lvl w:ilvl="2" w:tplc="0C09001B" w:tentative="1">
      <w:start w:val="1"/>
      <w:numFmt w:val="lowerRoman"/>
      <w:lvlText w:val="%3."/>
      <w:lvlJc w:val="right"/>
      <w:pPr>
        <w:ind w:left="3987" w:hanging="180"/>
      </w:pPr>
    </w:lvl>
    <w:lvl w:ilvl="3" w:tplc="0C09000F" w:tentative="1">
      <w:start w:val="1"/>
      <w:numFmt w:val="decimal"/>
      <w:lvlText w:val="%4."/>
      <w:lvlJc w:val="left"/>
      <w:pPr>
        <w:ind w:left="4707" w:hanging="360"/>
      </w:pPr>
    </w:lvl>
    <w:lvl w:ilvl="4" w:tplc="0C090019" w:tentative="1">
      <w:start w:val="1"/>
      <w:numFmt w:val="lowerLetter"/>
      <w:lvlText w:val="%5."/>
      <w:lvlJc w:val="left"/>
      <w:pPr>
        <w:ind w:left="5427" w:hanging="360"/>
      </w:pPr>
    </w:lvl>
    <w:lvl w:ilvl="5" w:tplc="0C09001B" w:tentative="1">
      <w:start w:val="1"/>
      <w:numFmt w:val="lowerRoman"/>
      <w:lvlText w:val="%6."/>
      <w:lvlJc w:val="right"/>
      <w:pPr>
        <w:ind w:left="6147" w:hanging="180"/>
      </w:pPr>
    </w:lvl>
    <w:lvl w:ilvl="6" w:tplc="0C09000F" w:tentative="1">
      <w:start w:val="1"/>
      <w:numFmt w:val="decimal"/>
      <w:lvlText w:val="%7."/>
      <w:lvlJc w:val="left"/>
      <w:pPr>
        <w:ind w:left="6867" w:hanging="360"/>
      </w:pPr>
    </w:lvl>
    <w:lvl w:ilvl="7" w:tplc="0C090019" w:tentative="1">
      <w:start w:val="1"/>
      <w:numFmt w:val="lowerLetter"/>
      <w:lvlText w:val="%8."/>
      <w:lvlJc w:val="left"/>
      <w:pPr>
        <w:ind w:left="7587" w:hanging="360"/>
      </w:pPr>
    </w:lvl>
    <w:lvl w:ilvl="8" w:tplc="0C09001B" w:tentative="1">
      <w:start w:val="1"/>
      <w:numFmt w:val="lowerRoman"/>
      <w:lvlText w:val="%9."/>
      <w:lvlJc w:val="right"/>
      <w:pPr>
        <w:ind w:left="8307" w:hanging="180"/>
      </w:pPr>
    </w:lvl>
  </w:abstractNum>
  <w:abstractNum w:abstractNumId="1">
    <w:nsid w:val="18576825"/>
    <w:multiLevelType w:val="hybridMultilevel"/>
    <w:tmpl w:val="591A9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0467D4"/>
    <w:multiLevelType w:val="hybridMultilevel"/>
    <w:tmpl w:val="17C0A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1724D6"/>
    <w:multiLevelType w:val="hybridMultilevel"/>
    <w:tmpl w:val="DC7C1D4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
    <w:nsid w:val="28EA5C5F"/>
    <w:multiLevelType w:val="hybridMultilevel"/>
    <w:tmpl w:val="F84C31D8"/>
    <w:lvl w:ilvl="0" w:tplc="8228D82E">
      <w:start w:val="703"/>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39E70331"/>
    <w:multiLevelType w:val="hybridMultilevel"/>
    <w:tmpl w:val="605294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nsid w:val="46D92AEF"/>
    <w:multiLevelType w:val="hybridMultilevel"/>
    <w:tmpl w:val="84181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D701917"/>
    <w:multiLevelType w:val="hybridMultilevel"/>
    <w:tmpl w:val="7E589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C910E4B"/>
    <w:multiLevelType w:val="hybridMultilevel"/>
    <w:tmpl w:val="08D0824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nsid w:val="7DD76978"/>
    <w:multiLevelType w:val="hybridMultilevel"/>
    <w:tmpl w:val="582E7604"/>
    <w:lvl w:ilvl="0" w:tplc="D6422A4C">
      <w:start w:val="1"/>
      <w:numFmt w:val="lowerLetter"/>
      <w:lvlText w:val="(%1)"/>
      <w:lvlJc w:val="left"/>
      <w:pPr>
        <w:ind w:left="1854" w:hanging="360"/>
      </w:pPr>
      <w:rPr>
        <w:rFonts w:hint="default"/>
      </w:rPr>
    </w:lvl>
    <w:lvl w:ilvl="1" w:tplc="0F94F04C">
      <w:start w:val="1"/>
      <w:numFmt w:val="lowerRoman"/>
      <w:lvlText w:val="(%2)"/>
      <w:lvlJc w:val="right"/>
      <w:pPr>
        <w:ind w:left="2574" w:hanging="36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0">
    <w:nsid w:val="7F955CAF"/>
    <w:multiLevelType w:val="hybridMultilevel"/>
    <w:tmpl w:val="FEA0C3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9"/>
  </w:num>
  <w:num w:numId="6">
    <w:abstractNumId w:val="5"/>
  </w:num>
  <w:num w:numId="7">
    <w:abstractNumId w:val="10"/>
  </w:num>
  <w:num w:numId="8">
    <w:abstractNumId w:val="3"/>
  </w:num>
  <w:num w:numId="9">
    <w:abstractNumId w:val="0"/>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rsids>
    <w:rsidRoot w:val="00A50494"/>
    <w:rsid w:val="000137D4"/>
    <w:rsid w:val="00013D28"/>
    <w:rsid w:val="00033476"/>
    <w:rsid w:val="00042B5E"/>
    <w:rsid w:val="000463AD"/>
    <w:rsid w:val="00046A69"/>
    <w:rsid w:val="00046C56"/>
    <w:rsid w:val="0004738E"/>
    <w:rsid w:val="00050451"/>
    <w:rsid w:val="00052998"/>
    <w:rsid w:val="000533A7"/>
    <w:rsid w:val="00054F7B"/>
    <w:rsid w:val="000557BB"/>
    <w:rsid w:val="00061EF4"/>
    <w:rsid w:val="00065B37"/>
    <w:rsid w:val="00067459"/>
    <w:rsid w:val="000717BF"/>
    <w:rsid w:val="00076662"/>
    <w:rsid w:val="000876B0"/>
    <w:rsid w:val="00091BBC"/>
    <w:rsid w:val="000A1827"/>
    <w:rsid w:val="000A6A48"/>
    <w:rsid w:val="000B6F09"/>
    <w:rsid w:val="000C7C46"/>
    <w:rsid w:val="000D7116"/>
    <w:rsid w:val="000E4B8D"/>
    <w:rsid w:val="000F0AD6"/>
    <w:rsid w:val="000F131A"/>
    <w:rsid w:val="00101FC0"/>
    <w:rsid w:val="00111074"/>
    <w:rsid w:val="00113C1C"/>
    <w:rsid w:val="00123C86"/>
    <w:rsid w:val="0013063A"/>
    <w:rsid w:val="00152082"/>
    <w:rsid w:val="001523B2"/>
    <w:rsid w:val="00155498"/>
    <w:rsid w:val="00157B8B"/>
    <w:rsid w:val="001624A9"/>
    <w:rsid w:val="00170CCB"/>
    <w:rsid w:val="00171B7A"/>
    <w:rsid w:val="001928B4"/>
    <w:rsid w:val="001976D5"/>
    <w:rsid w:val="001A6BD0"/>
    <w:rsid w:val="001B3119"/>
    <w:rsid w:val="001B4C87"/>
    <w:rsid w:val="001B64F0"/>
    <w:rsid w:val="001E5BBB"/>
    <w:rsid w:val="001F3EAD"/>
    <w:rsid w:val="002005B2"/>
    <w:rsid w:val="0020362C"/>
    <w:rsid w:val="00204817"/>
    <w:rsid w:val="00210116"/>
    <w:rsid w:val="002123CC"/>
    <w:rsid w:val="00212F26"/>
    <w:rsid w:val="00214063"/>
    <w:rsid w:val="00216373"/>
    <w:rsid w:val="00216427"/>
    <w:rsid w:val="0022741F"/>
    <w:rsid w:val="002328FF"/>
    <w:rsid w:val="0023481E"/>
    <w:rsid w:val="00234CAE"/>
    <w:rsid w:val="002421BC"/>
    <w:rsid w:val="00242F07"/>
    <w:rsid w:val="00245352"/>
    <w:rsid w:val="00251C98"/>
    <w:rsid w:val="00271EBE"/>
    <w:rsid w:val="0027217B"/>
    <w:rsid w:val="002733F1"/>
    <w:rsid w:val="0027738D"/>
    <w:rsid w:val="002927B8"/>
    <w:rsid w:val="00297948"/>
    <w:rsid w:val="002B6F1F"/>
    <w:rsid w:val="002B6F7B"/>
    <w:rsid w:val="002C2F0B"/>
    <w:rsid w:val="002C76DD"/>
    <w:rsid w:val="002D1ADA"/>
    <w:rsid w:val="002E0047"/>
    <w:rsid w:val="002E150A"/>
    <w:rsid w:val="002E527D"/>
    <w:rsid w:val="002F3BE3"/>
    <w:rsid w:val="00302FBA"/>
    <w:rsid w:val="00310463"/>
    <w:rsid w:val="003110F3"/>
    <w:rsid w:val="0034291B"/>
    <w:rsid w:val="00342B27"/>
    <w:rsid w:val="0035587B"/>
    <w:rsid w:val="003572DB"/>
    <w:rsid w:val="0038178C"/>
    <w:rsid w:val="00384C04"/>
    <w:rsid w:val="00385FBA"/>
    <w:rsid w:val="00390693"/>
    <w:rsid w:val="003A1BE4"/>
    <w:rsid w:val="003A7C54"/>
    <w:rsid w:val="003B10B0"/>
    <w:rsid w:val="003C1121"/>
    <w:rsid w:val="003C7202"/>
    <w:rsid w:val="003D02B7"/>
    <w:rsid w:val="003D1DDC"/>
    <w:rsid w:val="003D2D19"/>
    <w:rsid w:val="003D61AB"/>
    <w:rsid w:val="003E1C61"/>
    <w:rsid w:val="003E21BB"/>
    <w:rsid w:val="003E7645"/>
    <w:rsid w:val="003F2E77"/>
    <w:rsid w:val="003F306A"/>
    <w:rsid w:val="003F5981"/>
    <w:rsid w:val="00400CA9"/>
    <w:rsid w:val="004052CF"/>
    <w:rsid w:val="00406DD5"/>
    <w:rsid w:val="0041467E"/>
    <w:rsid w:val="00425284"/>
    <w:rsid w:val="00427211"/>
    <w:rsid w:val="0042749E"/>
    <w:rsid w:val="00430CBA"/>
    <w:rsid w:val="00436FA1"/>
    <w:rsid w:val="00440E6B"/>
    <w:rsid w:val="004438DF"/>
    <w:rsid w:val="00451182"/>
    <w:rsid w:val="004561E3"/>
    <w:rsid w:val="00457395"/>
    <w:rsid w:val="004602D5"/>
    <w:rsid w:val="00465130"/>
    <w:rsid w:val="004854D3"/>
    <w:rsid w:val="00486765"/>
    <w:rsid w:val="004903DB"/>
    <w:rsid w:val="004951DE"/>
    <w:rsid w:val="004A144F"/>
    <w:rsid w:val="004A278E"/>
    <w:rsid w:val="004A59B8"/>
    <w:rsid w:val="004A59E3"/>
    <w:rsid w:val="004C38D8"/>
    <w:rsid w:val="004C5E12"/>
    <w:rsid w:val="004D2216"/>
    <w:rsid w:val="004D3669"/>
    <w:rsid w:val="004D6C32"/>
    <w:rsid w:val="004E286A"/>
    <w:rsid w:val="004E3E14"/>
    <w:rsid w:val="004E6A72"/>
    <w:rsid w:val="004F4943"/>
    <w:rsid w:val="0050613D"/>
    <w:rsid w:val="005116A7"/>
    <w:rsid w:val="00520C26"/>
    <w:rsid w:val="00523E86"/>
    <w:rsid w:val="00527C65"/>
    <w:rsid w:val="005334E7"/>
    <w:rsid w:val="00535290"/>
    <w:rsid w:val="0054317C"/>
    <w:rsid w:val="00564C12"/>
    <w:rsid w:val="00567E4F"/>
    <w:rsid w:val="005718B4"/>
    <w:rsid w:val="00585C06"/>
    <w:rsid w:val="00593709"/>
    <w:rsid w:val="005B694F"/>
    <w:rsid w:val="005C2BA4"/>
    <w:rsid w:val="005C610D"/>
    <w:rsid w:val="005D2C14"/>
    <w:rsid w:val="005D306F"/>
    <w:rsid w:val="005D3D75"/>
    <w:rsid w:val="005D68F6"/>
    <w:rsid w:val="005E1D2E"/>
    <w:rsid w:val="005E6BFA"/>
    <w:rsid w:val="005F3C93"/>
    <w:rsid w:val="00604BC5"/>
    <w:rsid w:val="00605159"/>
    <w:rsid w:val="00607F4A"/>
    <w:rsid w:val="0061768B"/>
    <w:rsid w:val="00620B2D"/>
    <w:rsid w:val="0062159C"/>
    <w:rsid w:val="0062408A"/>
    <w:rsid w:val="006258A2"/>
    <w:rsid w:val="006379E8"/>
    <w:rsid w:val="00647CA0"/>
    <w:rsid w:val="0065053C"/>
    <w:rsid w:val="00652D28"/>
    <w:rsid w:val="00660E7D"/>
    <w:rsid w:val="00671C11"/>
    <w:rsid w:val="00672C3E"/>
    <w:rsid w:val="00677536"/>
    <w:rsid w:val="00682D56"/>
    <w:rsid w:val="006939FE"/>
    <w:rsid w:val="00694710"/>
    <w:rsid w:val="00696279"/>
    <w:rsid w:val="006B3059"/>
    <w:rsid w:val="006B6AE2"/>
    <w:rsid w:val="006B760B"/>
    <w:rsid w:val="006C0CE6"/>
    <w:rsid w:val="006C2105"/>
    <w:rsid w:val="006C29CA"/>
    <w:rsid w:val="006C5549"/>
    <w:rsid w:val="006C6DAD"/>
    <w:rsid w:val="006F0354"/>
    <w:rsid w:val="006F4773"/>
    <w:rsid w:val="007046C4"/>
    <w:rsid w:val="00725946"/>
    <w:rsid w:val="00726791"/>
    <w:rsid w:val="00730219"/>
    <w:rsid w:val="007357E5"/>
    <w:rsid w:val="00743559"/>
    <w:rsid w:val="00750DCD"/>
    <w:rsid w:val="00755FDF"/>
    <w:rsid w:val="0076135A"/>
    <w:rsid w:val="00764993"/>
    <w:rsid w:val="007A0705"/>
    <w:rsid w:val="007A2639"/>
    <w:rsid w:val="007A5771"/>
    <w:rsid w:val="007A6404"/>
    <w:rsid w:val="007A7337"/>
    <w:rsid w:val="007D6C86"/>
    <w:rsid w:val="007F7E63"/>
    <w:rsid w:val="0080362E"/>
    <w:rsid w:val="008036BF"/>
    <w:rsid w:val="008045EC"/>
    <w:rsid w:val="00810AAF"/>
    <w:rsid w:val="00827C2F"/>
    <w:rsid w:val="008313EC"/>
    <w:rsid w:val="008709AB"/>
    <w:rsid w:val="00872D6E"/>
    <w:rsid w:val="008748AE"/>
    <w:rsid w:val="0087777A"/>
    <w:rsid w:val="00882210"/>
    <w:rsid w:val="00897D2E"/>
    <w:rsid w:val="008A3716"/>
    <w:rsid w:val="008A4B74"/>
    <w:rsid w:val="008A53FE"/>
    <w:rsid w:val="008E2485"/>
    <w:rsid w:val="008F1C31"/>
    <w:rsid w:val="008F3188"/>
    <w:rsid w:val="008F688B"/>
    <w:rsid w:val="00901056"/>
    <w:rsid w:val="00904296"/>
    <w:rsid w:val="00904453"/>
    <w:rsid w:val="0090460C"/>
    <w:rsid w:val="00910649"/>
    <w:rsid w:val="00927319"/>
    <w:rsid w:val="00927474"/>
    <w:rsid w:val="00933D65"/>
    <w:rsid w:val="009405AD"/>
    <w:rsid w:val="009419C3"/>
    <w:rsid w:val="00941B12"/>
    <w:rsid w:val="0094212B"/>
    <w:rsid w:val="009425F3"/>
    <w:rsid w:val="009427FF"/>
    <w:rsid w:val="00955524"/>
    <w:rsid w:val="0095787F"/>
    <w:rsid w:val="0096597D"/>
    <w:rsid w:val="00966481"/>
    <w:rsid w:val="0097488A"/>
    <w:rsid w:val="00975E4D"/>
    <w:rsid w:val="009817D7"/>
    <w:rsid w:val="009A1D2B"/>
    <w:rsid w:val="009B235D"/>
    <w:rsid w:val="009B29C7"/>
    <w:rsid w:val="009C6550"/>
    <w:rsid w:val="009F134E"/>
    <w:rsid w:val="009F77C8"/>
    <w:rsid w:val="00A00A21"/>
    <w:rsid w:val="00A13C4E"/>
    <w:rsid w:val="00A27D76"/>
    <w:rsid w:val="00A379BD"/>
    <w:rsid w:val="00A41224"/>
    <w:rsid w:val="00A418C4"/>
    <w:rsid w:val="00A41979"/>
    <w:rsid w:val="00A44947"/>
    <w:rsid w:val="00A50494"/>
    <w:rsid w:val="00A50824"/>
    <w:rsid w:val="00A65136"/>
    <w:rsid w:val="00A66D0A"/>
    <w:rsid w:val="00A7565B"/>
    <w:rsid w:val="00A77111"/>
    <w:rsid w:val="00A776F9"/>
    <w:rsid w:val="00A8065A"/>
    <w:rsid w:val="00A80A29"/>
    <w:rsid w:val="00A82DFE"/>
    <w:rsid w:val="00A84E61"/>
    <w:rsid w:val="00A86DF7"/>
    <w:rsid w:val="00A91089"/>
    <w:rsid w:val="00A94F95"/>
    <w:rsid w:val="00AA39A0"/>
    <w:rsid w:val="00AA58A3"/>
    <w:rsid w:val="00AB1405"/>
    <w:rsid w:val="00AB3B62"/>
    <w:rsid w:val="00AC3124"/>
    <w:rsid w:val="00AC443C"/>
    <w:rsid w:val="00AC48CC"/>
    <w:rsid w:val="00AC5DB6"/>
    <w:rsid w:val="00AC600A"/>
    <w:rsid w:val="00AD4921"/>
    <w:rsid w:val="00AD60F1"/>
    <w:rsid w:val="00AD67DE"/>
    <w:rsid w:val="00AE040F"/>
    <w:rsid w:val="00AE0F56"/>
    <w:rsid w:val="00AF58D4"/>
    <w:rsid w:val="00AF68BC"/>
    <w:rsid w:val="00B073AE"/>
    <w:rsid w:val="00B11740"/>
    <w:rsid w:val="00B24629"/>
    <w:rsid w:val="00B33C4E"/>
    <w:rsid w:val="00B346AD"/>
    <w:rsid w:val="00B4630D"/>
    <w:rsid w:val="00B53F56"/>
    <w:rsid w:val="00B623BA"/>
    <w:rsid w:val="00B67D0D"/>
    <w:rsid w:val="00B707E4"/>
    <w:rsid w:val="00B7341E"/>
    <w:rsid w:val="00B80742"/>
    <w:rsid w:val="00B90A28"/>
    <w:rsid w:val="00B97954"/>
    <w:rsid w:val="00BA18A7"/>
    <w:rsid w:val="00BA4862"/>
    <w:rsid w:val="00BB7D68"/>
    <w:rsid w:val="00BC21AF"/>
    <w:rsid w:val="00BC2C98"/>
    <w:rsid w:val="00BC5DAF"/>
    <w:rsid w:val="00BD22E1"/>
    <w:rsid w:val="00BE1BEC"/>
    <w:rsid w:val="00BE4822"/>
    <w:rsid w:val="00BE4A7C"/>
    <w:rsid w:val="00BE5448"/>
    <w:rsid w:val="00BF37A8"/>
    <w:rsid w:val="00BF3DE7"/>
    <w:rsid w:val="00BF5512"/>
    <w:rsid w:val="00BF6327"/>
    <w:rsid w:val="00BF6787"/>
    <w:rsid w:val="00C03A96"/>
    <w:rsid w:val="00C123CF"/>
    <w:rsid w:val="00C23D74"/>
    <w:rsid w:val="00C40BBB"/>
    <w:rsid w:val="00C5403A"/>
    <w:rsid w:val="00C55FFC"/>
    <w:rsid w:val="00C64A31"/>
    <w:rsid w:val="00C75067"/>
    <w:rsid w:val="00C75B03"/>
    <w:rsid w:val="00C77AE9"/>
    <w:rsid w:val="00C86402"/>
    <w:rsid w:val="00C933D1"/>
    <w:rsid w:val="00C95513"/>
    <w:rsid w:val="00C95858"/>
    <w:rsid w:val="00CB5941"/>
    <w:rsid w:val="00CB5F6F"/>
    <w:rsid w:val="00CC5491"/>
    <w:rsid w:val="00CC6182"/>
    <w:rsid w:val="00CE5AEC"/>
    <w:rsid w:val="00CE74E4"/>
    <w:rsid w:val="00CE78AB"/>
    <w:rsid w:val="00CE7E59"/>
    <w:rsid w:val="00CF2BB2"/>
    <w:rsid w:val="00D01563"/>
    <w:rsid w:val="00D22173"/>
    <w:rsid w:val="00D514E3"/>
    <w:rsid w:val="00D85466"/>
    <w:rsid w:val="00D873DD"/>
    <w:rsid w:val="00D91DC9"/>
    <w:rsid w:val="00D92ABC"/>
    <w:rsid w:val="00D9737E"/>
    <w:rsid w:val="00DA4B89"/>
    <w:rsid w:val="00DB6DAE"/>
    <w:rsid w:val="00DB6DD0"/>
    <w:rsid w:val="00DC1BEC"/>
    <w:rsid w:val="00DC4EB8"/>
    <w:rsid w:val="00DC7416"/>
    <w:rsid w:val="00DE2776"/>
    <w:rsid w:val="00DE2F3B"/>
    <w:rsid w:val="00DF11AE"/>
    <w:rsid w:val="00DF1EDD"/>
    <w:rsid w:val="00DF331E"/>
    <w:rsid w:val="00E05011"/>
    <w:rsid w:val="00E07382"/>
    <w:rsid w:val="00E12AAB"/>
    <w:rsid w:val="00E139F5"/>
    <w:rsid w:val="00E1585A"/>
    <w:rsid w:val="00E20CA9"/>
    <w:rsid w:val="00E23E0F"/>
    <w:rsid w:val="00E25A5E"/>
    <w:rsid w:val="00E268E1"/>
    <w:rsid w:val="00E27007"/>
    <w:rsid w:val="00E27123"/>
    <w:rsid w:val="00E318A2"/>
    <w:rsid w:val="00E36AAB"/>
    <w:rsid w:val="00E36FDB"/>
    <w:rsid w:val="00E37B94"/>
    <w:rsid w:val="00E5317F"/>
    <w:rsid w:val="00E665A8"/>
    <w:rsid w:val="00E6779C"/>
    <w:rsid w:val="00E71908"/>
    <w:rsid w:val="00E75B8D"/>
    <w:rsid w:val="00E76DF2"/>
    <w:rsid w:val="00E8213F"/>
    <w:rsid w:val="00E84FF1"/>
    <w:rsid w:val="00E8590D"/>
    <w:rsid w:val="00E878E7"/>
    <w:rsid w:val="00E91FB4"/>
    <w:rsid w:val="00EB2B0C"/>
    <w:rsid w:val="00EC0E26"/>
    <w:rsid w:val="00EC6B97"/>
    <w:rsid w:val="00ED20C7"/>
    <w:rsid w:val="00ED5E8B"/>
    <w:rsid w:val="00EE48A6"/>
    <w:rsid w:val="00EE6C96"/>
    <w:rsid w:val="00EF1222"/>
    <w:rsid w:val="00F005B2"/>
    <w:rsid w:val="00F01BE3"/>
    <w:rsid w:val="00F05452"/>
    <w:rsid w:val="00F12B1E"/>
    <w:rsid w:val="00F143FE"/>
    <w:rsid w:val="00F20214"/>
    <w:rsid w:val="00F204E8"/>
    <w:rsid w:val="00F211C0"/>
    <w:rsid w:val="00F21986"/>
    <w:rsid w:val="00F27F52"/>
    <w:rsid w:val="00F326CF"/>
    <w:rsid w:val="00F3450F"/>
    <w:rsid w:val="00F459D7"/>
    <w:rsid w:val="00F745C2"/>
    <w:rsid w:val="00F81E28"/>
    <w:rsid w:val="00F87319"/>
    <w:rsid w:val="00F91537"/>
    <w:rsid w:val="00FA194F"/>
    <w:rsid w:val="00FC4C78"/>
    <w:rsid w:val="00FD2E2E"/>
    <w:rsid w:val="00FE3B5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494"/>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0494"/>
    <w:pPr>
      <w:spacing w:after="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5049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50494"/>
    <w:rPr>
      <w:sz w:val="16"/>
      <w:szCs w:val="16"/>
    </w:rPr>
  </w:style>
  <w:style w:type="paragraph" w:styleId="CommentText">
    <w:name w:val="annotation text"/>
    <w:basedOn w:val="Normal"/>
    <w:link w:val="CommentTextChar"/>
    <w:uiPriority w:val="99"/>
    <w:semiHidden/>
    <w:unhideWhenUsed/>
    <w:rsid w:val="00A50494"/>
    <w:rPr>
      <w:sz w:val="20"/>
      <w:szCs w:val="20"/>
    </w:rPr>
  </w:style>
  <w:style w:type="character" w:customStyle="1" w:styleId="CommentTextChar">
    <w:name w:val="Comment Text Char"/>
    <w:basedOn w:val="DefaultParagraphFont"/>
    <w:link w:val="CommentText"/>
    <w:uiPriority w:val="99"/>
    <w:semiHidden/>
    <w:rsid w:val="00A50494"/>
    <w:rPr>
      <w:sz w:val="20"/>
      <w:szCs w:val="20"/>
    </w:rPr>
  </w:style>
  <w:style w:type="paragraph" w:styleId="BalloonText">
    <w:name w:val="Balloon Text"/>
    <w:basedOn w:val="Normal"/>
    <w:link w:val="BalloonTextChar"/>
    <w:uiPriority w:val="99"/>
    <w:semiHidden/>
    <w:unhideWhenUsed/>
    <w:rsid w:val="00A504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494"/>
    <w:rPr>
      <w:rFonts w:ascii="Tahoma" w:hAnsi="Tahoma" w:cs="Tahoma"/>
      <w:sz w:val="16"/>
      <w:szCs w:val="16"/>
    </w:rPr>
  </w:style>
  <w:style w:type="paragraph" w:styleId="NormalWeb">
    <w:name w:val="Normal (Web)"/>
    <w:basedOn w:val="Normal"/>
    <w:uiPriority w:val="99"/>
    <w:unhideWhenUsed/>
    <w:rsid w:val="00652D28"/>
    <w:pPr>
      <w:spacing w:before="100" w:beforeAutospacing="1" w:after="100" w:afterAutospacing="1"/>
    </w:pPr>
    <w:rPr>
      <w:rFonts w:ascii="Times New Roman" w:eastAsia="Times New Roman" w:hAnsi="Times New Roman" w:cs="Times New Roman"/>
      <w:sz w:val="24"/>
      <w:szCs w:val="24"/>
      <w:lang w:eastAsia="en-AU"/>
    </w:rPr>
  </w:style>
  <w:style w:type="paragraph" w:styleId="Header">
    <w:name w:val="header"/>
    <w:basedOn w:val="Normal"/>
    <w:link w:val="HeaderChar"/>
    <w:uiPriority w:val="99"/>
    <w:semiHidden/>
    <w:unhideWhenUsed/>
    <w:rsid w:val="00D514E3"/>
    <w:pPr>
      <w:tabs>
        <w:tab w:val="center" w:pos="4513"/>
        <w:tab w:val="right" w:pos="9026"/>
      </w:tabs>
      <w:spacing w:after="0"/>
    </w:pPr>
  </w:style>
  <w:style w:type="character" w:customStyle="1" w:styleId="HeaderChar">
    <w:name w:val="Header Char"/>
    <w:basedOn w:val="DefaultParagraphFont"/>
    <w:link w:val="Header"/>
    <w:uiPriority w:val="99"/>
    <w:semiHidden/>
    <w:rsid w:val="00D514E3"/>
  </w:style>
  <w:style w:type="paragraph" w:styleId="Footer">
    <w:name w:val="footer"/>
    <w:basedOn w:val="Normal"/>
    <w:link w:val="FooterChar"/>
    <w:uiPriority w:val="99"/>
    <w:semiHidden/>
    <w:unhideWhenUsed/>
    <w:rsid w:val="00D514E3"/>
    <w:pPr>
      <w:tabs>
        <w:tab w:val="center" w:pos="4513"/>
        <w:tab w:val="right" w:pos="9026"/>
      </w:tabs>
      <w:spacing w:after="0"/>
    </w:pPr>
  </w:style>
  <w:style w:type="character" w:customStyle="1" w:styleId="FooterChar">
    <w:name w:val="Footer Char"/>
    <w:basedOn w:val="DefaultParagraphFont"/>
    <w:link w:val="Footer"/>
    <w:uiPriority w:val="99"/>
    <w:semiHidden/>
    <w:rsid w:val="00D514E3"/>
  </w:style>
  <w:style w:type="paragraph" w:styleId="ListParagraph">
    <w:name w:val="List Paragraph"/>
    <w:basedOn w:val="Normal"/>
    <w:uiPriority w:val="34"/>
    <w:qFormat/>
    <w:rsid w:val="00DF331E"/>
    <w:pPr>
      <w:spacing w:after="284" w:line="240" w:lineRule="atLeast"/>
      <w:ind w:left="720"/>
      <w:contextualSpacing/>
    </w:pPr>
    <w:rPr>
      <w:rFonts w:ascii="Arial" w:eastAsia="Times New Roman" w:hAnsi="Arial" w:cs="Times New Roman"/>
      <w:color w:val="000000"/>
      <w:sz w:val="19"/>
      <w:szCs w:val="24"/>
      <w:lang w:eastAsia="en-AU"/>
    </w:rPr>
  </w:style>
  <w:style w:type="paragraph" w:customStyle="1" w:styleId="ReportTitle">
    <w:name w:val="Report Title"/>
    <w:basedOn w:val="Normal"/>
    <w:rsid w:val="008F688B"/>
    <w:pPr>
      <w:spacing w:after="0" w:line="560" w:lineRule="exact"/>
    </w:pPr>
    <w:rPr>
      <w:rFonts w:ascii="HelveticaNeueLT Std Med" w:eastAsia="Times New Roman" w:hAnsi="HelveticaNeueLT Std Med" w:cs="Times New Roman"/>
      <w:b/>
      <w:color w:val="4D4D4F"/>
      <w:spacing w:val="-28"/>
      <w:sz w:val="53"/>
      <w:szCs w:val="24"/>
      <w:lang w:eastAsia="en-AU"/>
    </w:rPr>
  </w:style>
  <w:style w:type="character" w:styleId="Hyperlink">
    <w:name w:val="Hyperlink"/>
    <w:basedOn w:val="DefaultParagraphFont"/>
    <w:uiPriority w:val="99"/>
    <w:unhideWhenUsed/>
    <w:rsid w:val="008F688B"/>
    <w:rPr>
      <w:color w:val="0000FF" w:themeColor="hyperlink"/>
      <w:u w:val="single"/>
    </w:rPr>
  </w:style>
  <w:style w:type="character" w:styleId="FootnoteReference">
    <w:name w:val="footnote reference"/>
    <w:aliases w:val="Appel note de bas de p,Appel note de bas de p + 11 pt,Italic,Footnote,Appel note de bas de p1,Appel note de bas de p2,Appel note de bas de p3,Footnote Reference/"/>
    <w:basedOn w:val="DefaultParagraphFont"/>
    <w:uiPriority w:val="99"/>
    <w:rsid w:val="00AC600A"/>
    <w:rPr>
      <w:rFonts w:ascii="Arial" w:hAnsi="Arial"/>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
    <w:basedOn w:val="Normal"/>
    <w:link w:val="FootnoteTextChar"/>
    <w:uiPriority w:val="99"/>
    <w:rsid w:val="00AC600A"/>
    <w:pPr>
      <w:spacing w:after="120" w:line="240" w:lineRule="atLeast"/>
    </w:pPr>
    <w:rPr>
      <w:rFonts w:ascii="HelveticaNeueLT Std Lt" w:eastAsia="Times New Roman" w:hAnsi="HelveticaNeueLT Std Lt" w:cs="Times New Roman"/>
      <w:sz w:val="16"/>
      <w:szCs w:val="16"/>
      <w:lang w:eastAsia="en-AU"/>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
    <w:basedOn w:val="DefaultParagraphFont"/>
    <w:link w:val="FootnoteText"/>
    <w:uiPriority w:val="99"/>
    <w:rsid w:val="00AC600A"/>
    <w:rPr>
      <w:rFonts w:ascii="HelveticaNeueLT Std Lt" w:eastAsia="Times New Roman" w:hAnsi="HelveticaNeueLT Std Lt" w:cs="Times New Roman"/>
      <w:sz w:val="16"/>
      <w:szCs w:val="16"/>
      <w:lang w:eastAsia="en-AU"/>
    </w:rPr>
  </w:style>
  <w:style w:type="paragraph" w:styleId="CommentSubject">
    <w:name w:val="annotation subject"/>
    <w:basedOn w:val="CommentText"/>
    <w:next w:val="CommentText"/>
    <w:link w:val="CommentSubjectChar"/>
    <w:uiPriority w:val="99"/>
    <w:semiHidden/>
    <w:unhideWhenUsed/>
    <w:rsid w:val="00BF6327"/>
    <w:rPr>
      <w:b/>
      <w:bCs/>
    </w:rPr>
  </w:style>
  <w:style w:type="character" w:customStyle="1" w:styleId="CommentSubjectChar">
    <w:name w:val="Comment Subject Char"/>
    <w:basedOn w:val="CommentTextChar"/>
    <w:link w:val="CommentSubject"/>
    <w:uiPriority w:val="99"/>
    <w:semiHidden/>
    <w:rsid w:val="00BF6327"/>
    <w:rPr>
      <w:b/>
      <w:bCs/>
    </w:rPr>
  </w:style>
  <w:style w:type="character" w:styleId="FollowedHyperlink">
    <w:name w:val="FollowedHyperlink"/>
    <w:basedOn w:val="DefaultParagraphFont"/>
    <w:uiPriority w:val="99"/>
    <w:semiHidden/>
    <w:unhideWhenUsed/>
    <w:rsid w:val="00DA4B89"/>
    <w:rPr>
      <w:color w:val="800080" w:themeColor="followedHyperlink"/>
      <w:u w:val="single"/>
    </w:rPr>
  </w:style>
  <w:style w:type="paragraph" w:customStyle="1" w:styleId="R1">
    <w:name w:val="R1"/>
    <w:aliases w:val="1. or 1.(1)"/>
    <w:basedOn w:val="Normal"/>
    <w:next w:val="Normal"/>
    <w:rsid w:val="00EE48A6"/>
    <w:pPr>
      <w:tabs>
        <w:tab w:val="right" w:pos="1080"/>
        <w:tab w:val="left" w:pos="1260"/>
        <w:tab w:val="left" w:pos="1800"/>
      </w:tabs>
      <w:spacing w:before="120" w:after="0"/>
      <w:jc w:val="both"/>
    </w:pPr>
    <w:rPr>
      <w:rFonts w:ascii="Times" w:eastAsia="Times New Roman" w:hAnsi="Times" w:cs="Times New Roman"/>
      <w:sz w:val="26"/>
      <w:szCs w:val="20"/>
      <w:lang w:eastAsia="en-AU"/>
    </w:rPr>
  </w:style>
  <w:style w:type="paragraph" w:customStyle="1" w:styleId="definition">
    <w:name w:val="definition"/>
    <w:basedOn w:val="Normal"/>
    <w:rsid w:val="000463AD"/>
    <w:pPr>
      <w:tabs>
        <w:tab w:val="right" w:pos="1080"/>
        <w:tab w:val="left" w:pos="1260"/>
        <w:tab w:val="left" w:pos="1800"/>
      </w:tabs>
      <w:spacing w:before="40" w:after="0"/>
      <w:jc w:val="both"/>
    </w:pPr>
    <w:rPr>
      <w:rFonts w:ascii="Times" w:eastAsia="Times New Roman" w:hAnsi="Times" w:cs="Times New Roman"/>
      <w:sz w:val="26"/>
      <w:szCs w:val="20"/>
      <w:lang w:eastAsia="en-AU"/>
    </w:rPr>
  </w:style>
  <w:style w:type="paragraph" w:customStyle="1" w:styleId="R2">
    <w:name w:val="R2"/>
    <w:aliases w:val="(2)"/>
    <w:basedOn w:val="R1"/>
    <w:next w:val="Normal"/>
    <w:rsid w:val="000463AD"/>
    <w:pPr>
      <w:spacing w:before="240"/>
    </w:pPr>
  </w:style>
  <w:style w:type="character" w:customStyle="1" w:styleId="CABBackGroundChar1">
    <w:name w:val="CABBackGround Char1"/>
    <w:basedOn w:val="DefaultParagraphFont"/>
    <w:link w:val="CABBackGround"/>
    <w:rsid w:val="00013D28"/>
    <w:rPr>
      <w:sz w:val="24"/>
      <w:lang w:eastAsia="en-AU"/>
    </w:rPr>
  </w:style>
  <w:style w:type="paragraph" w:customStyle="1" w:styleId="CABBackGround">
    <w:name w:val="CABBackGround"/>
    <w:basedOn w:val="Normal"/>
    <w:link w:val="CABBackGroundChar1"/>
    <w:rsid w:val="00013D28"/>
    <w:pPr>
      <w:spacing w:after="0" w:line="360" w:lineRule="auto"/>
    </w:pPr>
    <w:rPr>
      <w:sz w:val="24"/>
      <w:lang w:eastAsia="en-AU"/>
    </w:rPr>
  </w:style>
</w:styles>
</file>

<file path=word/webSettings.xml><?xml version="1.0" encoding="utf-8"?>
<w:webSettings xmlns:r="http://schemas.openxmlformats.org/officeDocument/2006/relationships" xmlns:w="http://schemas.openxmlformats.org/wordprocessingml/2006/main">
  <w:divs>
    <w:div w:id="84500822">
      <w:bodyDiv w:val="1"/>
      <w:marLeft w:val="0"/>
      <w:marRight w:val="0"/>
      <w:marTop w:val="0"/>
      <w:marBottom w:val="0"/>
      <w:divBdr>
        <w:top w:val="none" w:sz="0" w:space="0" w:color="auto"/>
        <w:left w:val="none" w:sz="0" w:space="0" w:color="auto"/>
        <w:bottom w:val="none" w:sz="0" w:space="0" w:color="auto"/>
        <w:right w:val="none" w:sz="0" w:space="0" w:color="auto"/>
      </w:divBdr>
    </w:div>
    <w:div w:id="155343822">
      <w:bodyDiv w:val="1"/>
      <w:marLeft w:val="0"/>
      <w:marRight w:val="0"/>
      <w:marTop w:val="0"/>
      <w:marBottom w:val="0"/>
      <w:divBdr>
        <w:top w:val="none" w:sz="0" w:space="0" w:color="auto"/>
        <w:left w:val="none" w:sz="0" w:space="0" w:color="auto"/>
        <w:bottom w:val="none" w:sz="0" w:space="0" w:color="auto"/>
        <w:right w:val="none" w:sz="0" w:space="0" w:color="auto"/>
      </w:divBdr>
    </w:div>
    <w:div w:id="195895340">
      <w:bodyDiv w:val="1"/>
      <w:marLeft w:val="0"/>
      <w:marRight w:val="0"/>
      <w:marTop w:val="0"/>
      <w:marBottom w:val="0"/>
      <w:divBdr>
        <w:top w:val="none" w:sz="0" w:space="0" w:color="auto"/>
        <w:left w:val="none" w:sz="0" w:space="0" w:color="auto"/>
        <w:bottom w:val="none" w:sz="0" w:space="0" w:color="auto"/>
        <w:right w:val="none" w:sz="0" w:space="0" w:color="auto"/>
      </w:divBdr>
    </w:div>
    <w:div w:id="1054695102">
      <w:bodyDiv w:val="1"/>
      <w:marLeft w:val="0"/>
      <w:marRight w:val="0"/>
      <w:marTop w:val="0"/>
      <w:marBottom w:val="0"/>
      <w:divBdr>
        <w:top w:val="none" w:sz="0" w:space="0" w:color="auto"/>
        <w:left w:val="none" w:sz="0" w:space="0" w:color="auto"/>
        <w:bottom w:val="none" w:sz="0" w:space="0" w:color="auto"/>
        <w:right w:val="none" w:sz="0" w:space="0" w:color="auto"/>
      </w:divBdr>
    </w:div>
    <w:div w:id="1181891913">
      <w:bodyDiv w:val="1"/>
      <w:marLeft w:val="0"/>
      <w:marRight w:val="0"/>
      <w:marTop w:val="0"/>
      <w:marBottom w:val="0"/>
      <w:divBdr>
        <w:top w:val="none" w:sz="0" w:space="0" w:color="auto"/>
        <w:left w:val="none" w:sz="0" w:space="0" w:color="auto"/>
        <w:bottom w:val="none" w:sz="0" w:space="0" w:color="auto"/>
        <w:right w:val="none" w:sz="0" w:space="0" w:color="auto"/>
      </w:divBdr>
      <w:divsChild>
        <w:div w:id="411657989">
          <w:marLeft w:val="0"/>
          <w:marRight w:val="0"/>
          <w:marTop w:val="0"/>
          <w:marBottom w:val="0"/>
          <w:divBdr>
            <w:top w:val="none" w:sz="0" w:space="0" w:color="auto"/>
            <w:left w:val="none" w:sz="0" w:space="0" w:color="auto"/>
            <w:bottom w:val="none" w:sz="0" w:space="0" w:color="auto"/>
            <w:right w:val="none" w:sz="0" w:space="0" w:color="auto"/>
          </w:divBdr>
          <w:divsChild>
            <w:div w:id="1482650706">
              <w:marLeft w:val="0"/>
              <w:marRight w:val="0"/>
              <w:marTop w:val="0"/>
              <w:marBottom w:val="0"/>
              <w:divBdr>
                <w:top w:val="none" w:sz="0" w:space="0" w:color="auto"/>
                <w:left w:val="none" w:sz="0" w:space="0" w:color="auto"/>
                <w:bottom w:val="none" w:sz="0" w:space="0" w:color="auto"/>
                <w:right w:val="none" w:sz="0" w:space="0" w:color="auto"/>
              </w:divBdr>
              <w:divsChild>
                <w:div w:id="317391594">
                  <w:marLeft w:val="0"/>
                  <w:marRight w:val="0"/>
                  <w:marTop w:val="0"/>
                  <w:marBottom w:val="0"/>
                  <w:divBdr>
                    <w:top w:val="none" w:sz="0" w:space="0" w:color="auto"/>
                    <w:left w:val="none" w:sz="0" w:space="0" w:color="auto"/>
                    <w:bottom w:val="none" w:sz="0" w:space="0" w:color="auto"/>
                    <w:right w:val="none" w:sz="0" w:space="0" w:color="auto"/>
                  </w:divBdr>
                  <w:divsChild>
                    <w:div w:id="21367759">
                      <w:marLeft w:val="0"/>
                      <w:marRight w:val="0"/>
                      <w:marTop w:val="0"/>
                      <w:marBottom w:val="0"/>
                      <w:divBdr>
                        <w:top w:val="none" w:sz="0" w:space="0" w:color="auto"/>
                        <w:left w:val="none" w:sz="0" w:space="0" w:color="auto"/>
                        <w:bottom w:val="none" w:sz="0" w:space="0" w:color="auto"/>
                        <w:right w:val="none" w:sz="0" w:space="0" w:color="auto"/>
                      </w:divBdr>
                      <w:divsChild>
                        <w:div w:id="19560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2922">
      <w:bodyDiv w:val="1"/>
      <w:marLeft w:val="0"/>
      <w:marRight w:val="0"/>
      <w:marTop w:val="0"/>
      <w:marBottom w:val="0"/>
      <w:divBdr>
        <w:top w:val="none" w:sz="0" w:space="0" w:color="auto"/>
        <w:left w:val="none" w:sz="0" w:space="0" w:color="auto"/>
        <w:bottom w:val="none" w:sz="0" w:space="0" w:color="auto"/>
        <w:right w:val="none" w:sz="0" w:space="0" w:color="auto"/>
      </w:divBdr>
    </w:div>
    <w:div w:id="1933855940">
      <w:bodyDiv w:val="1"/>
      <w:marLeft w:val="0"/>
      <w:marRight w:val="0"/>
      <w:marTop w:val="0"/>
      <w:marBottom w:val="0"/>
      <w:divBdr>
        <w:top w:val="none" w:sz="0" w:space="0" w:color="auto"/>
        <w:left w:val="none" w:sz="0" w:space="0" w:color="auto"/>
        <w:bottom w:val="none" w:sz="0" w:space="0" w:color="auto"/>
        <w:right w:val="none" w:sz="0" w:space="0" w:color="auto"/>
      </w:divBdr>
    </w:div>
    <w:div w:id="211015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PDocumentType xmlns="0d6bab15-32b2-482f-9d32-d1d4c802fe8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egalPoint Blank Document" ma:contentTypeID="0x0101007F14BAF55DFB4E6381D4178E259E3EA40066E86025BF6FA0499C3F8E86C8E63468" ma:contentTypeVersion="1" ma:contentTypeDescription="Create a blank document" ma:contentTypeScope="" ma:versionID="1eedaeec2ff7e50ad9016196a92a1b49">
  <xsd:schema xmlns:xsd="http://www.w3.org/2001/XMLSchema" xmlns:xs="http://www.w3.org/2001/XMLSchema" xmlns:p="http://schemas.microsoft.com/office/2006/metadata/properties" xmlns:ns2="0d6bab15-32b2-482f-9d32-d1d4c802fe8a" targetNamespace="http://schemas.microsoft.com/office/2006/metadata/properties" ma:root="true" ma:fieldsID="d3364a9c063e77621f74a6736c9ed1ab" ns2:_="">
    <xsd:import namespace="0d6bab15-32b2-482f-9d32-d1d4c802fe8a"/>
    <xsd:element name="properties">
      <xsd:complexType>
        <xsd:sequence>
          <xsd:element name="documentManagement">
            <xsd:complexType>
              <xsd:all>
                <xsd:element ref="ns2:LPDocu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bab15-32b2-482f-9d32-d1d4c802fe8a" elementFormDefault="qualified">
    <xsd:import namespace="http://schemas.microsoft.com/office/2006/documentManagement/types"/>
    <xsd:import namespace="http://schemas.microsoft.com/office/infopath/2007/PartnerControls"/>
    <xsd:element name="LPDocumentType" ma:index="8" ma:displayName="Document Type" ma:list="{D1E78D4B-6B05-4362-8385-84435DC237BC}" ma:internalName="LPDocumentType" ma:showField="Title" ma:web="0d6bab15-32b2-482f-9d32-d1d4c802fe8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D509F-0228-4361-8988-57F1DD303DDF}">
  <ds:schemaRefs>
    <ds:schemaRef ds:uri="http://schemas.microsoft.com/office/2006/metadata/properties"/>
    <ds:schemaRef ds:uri="0d6bab15-32b2-482f-9d32-d1d4c802fe8a"/>
  </ds:schemaRefs>
</ds:datastoreItem>
</file>

<file path=customXml/itemProps2.xml><?xml version="1.0" encoding="utf-8"?>
<ds:datastoreItem xmlns:ds="http://schemas.openxmlformats.org/officeDocument/2006/customXml" ds:itemID="{60AC2E48-C6E6-43D0-ACFB-4541809D0D78}">
  <ds:schemaRefs>
    <ds:schemaRef ds:uri="http://schemas.microsoft.com/sharepoint/v3/contenttype/forms"/>
  </ds:schemaRefs>
</ds:datastoreItem>
</file>

<file path=customXml/itemProps3.xml><?xml version="1.0" encoding="utf-8"?>
<ds:datastoreItem xmlns:ds="http://schemas.openxmlformats.org/officeDocument/2006/customXml" ds:itemID="{FB0A8CB6-516A-49E5-9CF5-CFDF4497B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bab15-32b2-482f-9d32-d1d4c802f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C80A30-0C80-4DAA-9AF6-654F7044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2184</Words>
  <Characters>12450</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ES - Spectrum re-allocation declaration - 700MHz</vt:lpstr>
    </vt:vector>
  </TitlesOfParts>
  <Company>DBCDE</Company>
  <LinksUpToDate>false</LinksUpToDate>
  <CharactersWithSpaces>14605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Spectrum re-allocation declaration - 700MHz</dc:title>
  <dc:creator>bmetschke</dc:creator>
  <cp:lastModifiedBy>bmetschke</cp:lastModifiedBy>
  <cp:revision>2</cp:revision>
  <cp:lastPrinted>2011-12-05T03:59:00Z</cp:lastPrinted>
  <dcterms:created xsi:type="dcterms:W3CDTF">2012-02-06T00:03:00Z</dcterms:created>
  <dcterms:modified xsi:type="dcterms:W3CDTF">2012-02-06T00:03:00Z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0x0101007F14BAF55DFB4E6381D4178E259E3EA40066E86025BF6FA0499C3F8E86C8E63468</vt:lpwstr>
  </property>
</Properties>
</file>