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63" w:rsidRDefault="008E3363">
      <w:pPr>
        <w:spacing w:after="240"/>
        <w:jc w:val="center"/>
        <w:rPr>
          <w:b/>
        </w:rPr>
      </w:pPr>
      <w:bookmarkStart w:id="0" w:name="_GoBack"/>
      <w:bookmarkEnd w:id="0"/>
      <w:r>
        <w:rPr>
          <w:b/>
        </w:rPr>
        <w:t>CIVIL AVIATION ACT 1988</w:t>
      </w:r>
    </w:p>
    <w:p w:rsidR="008E3363" w:rsidRDefault="008E3363">
      <w:pPr>
        <w:spacing w:after="240"/>
        <w:jc w:val="center"/>
        <w:rPr>
          <w:b/>
        </w:rPr>
      </w:pPr>
      <w:r>
        <w:rPr>
          <w:b/>
        </w:rPr>
        <w:t xml:space="preserve">CIVIL AVIATION </w:t>
      </w:r>
      <w:r w:rsidR="00C056AF">
        <w:rPr>
          <w:b/>
        </w:rPr>
        <w:t xml:space="preserve">SAFETY </w:t>
      </w:r>
      <w:r>
        <w:rPr>
          <w:b/>
        </w:rPr>
        <w:t>REGULATIONS 1998</w:t>
      </w:r>
    </w:p>
    <w:p w:rsidR="008E3363" w:rsidRDefault="008E3363">
      <w:pPr>
        <w:spacing w:after="240"/>
        <w:jc w:val="center"/>
        <w:rPr>
          <w:b/>
        </w:rPr>
      </w:pPr>
      <w:r>
        <w:rPr>
          <w:b/>
        </w:rPr>
        <w:t>ISSUE OF AIRWORTHINESS DIRECTIVE</w:t>
      </w:r>
    </w:p>
    <w:p w:rsidR="008E3363" w:rsidRDefault="008E3363">
      <w:pPr>
        <w:autoSpaceDE w:val="0"/>
        <w:autoSpaceDN w:val="0"/>
        <w:adjustRightInd w:val="0"/>
        <w:spacing w:after="240"/>
      </w:pPr>
      <w:r>
        <w:t xml:space="preserve">Under section 98 of the </w:t>
      </w:r>
      <w:r>
        <w:rPr>
          <w:i/>
          <w:iCs/>
        </w:rPr>
        <w:t>Civil Aviation Act 1988</w:t>
      </w:r>
      <w:r>
        <w:t xml:space="preserve">, the Governor-General may make regulations for the purposes of the Act and in the interests of the safety of air navigation.  Under regulation 39.001 of the </w:t>
      </w:r>
      <w:r>
        <w:rPr>
          <w:i/>
          <w:iCs/>
        </w:rPr>
        <w:t>Civil Aviation Safety Regulations 1998</w:t>
      </w:r>
      <w:r>
        <w:t xml:space="preserve">, CASA may issue airworthiness directives (ADs) for kinds of aircraft or aeronautical products.  </w:t>
      </w:r>
      <w:r>
        <w:rPr>
          <w:szCs w:val="20"/>
        </w:rPr>
        <w:t>Subregulation 39.001(5) of the</w:t>
      </w:r>
      <w:r>
        <w:rPr>
          <w:i/>
          <w:iCs/>
          <w:szCs w:val="20"/>
        </w:rPr>
        <w:t xml:space="preserve"> Civil Aviation Safety Regulations 1998</w:t>
      </w:r>
      <w:r>
        <w:rPr>
          <w:szCs w:val="20"/>
        </w:rPr>
        <w:t xml:space="preserve"> provides that an AD is a disallowable instrument for the purposes of section 46A of the Acts Interpretation Act 1901. Therefore, in accordance with section 6 of the Legislative Instruments Act 2003, an AD is a legislative instrument.</w:t>
      </w:r>
    </w:p>
    <w:p w:rsidR="008E3363" w:rsidRDefault="008E3363">
      <w:pPr>
        <w:autoSpaceDE w:val="0"/>
        <w:autoSpaceDN w:val="0"/>
        <w:adjustRightInd w:val="0"/>
        <w:spacing w:after="240"/>
      </w:pPr>
      <w:r>
        <w:t>Under Annex 8 to the Convention on International Civil Aviation, the State of Design has overall responsibility for continuing airworthiness of an aircraft type, and must provide any information necessary to ensure the continuing airworthiness of a type to appropriate States of Registry.  ADs (and their equivalents) are the most common form of continuing airworthiness information, and are issued by most ICAO Contracting States.</w:t>
      </w:r>
    </w:p>
    <w:p w:rsidR="008E3363" w:rsidRDefault="008E3363">
      <w:pPr>
        <w:autoSpaceDE w:val="0"/>
        <w:autoSpaceDN w:val="0"/>
        <w:adjustRightInd w:val="0"/>
        <w:spacing w:after="240"/>
      </w:pPr>
      <w:r>
        <w:t>The State of Registry of an individual aircraft is responsible for its continuing airworthiness.  Under Annex 8, the State of Registry must develop or adopt requirements to ensure the continuing airworthiness of aircraft.  When a State of Design issues an AD against a type of aircraft on the Australian Register, CASA, as Australia’s national airworthiness authority, must assess that information and, if appropriate, issue an Australian AD to mandate the requirements of the State of Design.</w:t>
      </w:r>
    </w:p>
    <w:p w:rsidR="008E3363" w:rsidRPr="0058309E" w:rsidRDefault="008E3363">
      <w:pPr>
        <w:spacing w:after="240"/>
      </w:pPr>
      <w:r w:rsidRPr="0058309E">
        <w:t xml:space="preserve">The </w:t>
      </w:r>
      <w:r w:rsidR="0058309E" w:rsidRPr="0058309E">
        <w:t>United States FAA</w:t>
      </w:r>
      <w:r w:rsidRPr="0058309E">
        <w:t xml:space="preserve"> has issued AD</w:t>
      </w:r>
      <w:r w:rsidRPr="0058309E">
        <w:rPr>
          <w:bCs/>
        </w:rPr>
        <w:t xml:space="preserve"> </w:t>
      </w:r>
      <w:r w:rsidR="0058309E" w:rsidRPr="0058309E">
        <w:rPr>
          <w:bCs/>
        </w:rPr>
        <w:t>2011-26-04</w:t>
      </w:r>
      <w:r w:rsidRPr="0058309E">
        <w:rPr>
          <w:bCs/>
        </w:rPr>
        <w:t xml:space="preserve"> </w:t>
      </w:r>
      <w:r w:rsidRPr="0058309E">
        <w:t xml:space="preserve">affecting </w:t>
      </w:r>
      <w:r w:rsidR="00191872">
        <w:t>Teledyne Continental Motors</w:t>
      </w:r>
      <w:r w:rsidR="0058309E" w:rsidRPr="0058309E">
        <w:t xml:space="preserve"> fuel injected horizontally opposed piston engines</w:t>
      </w:r>
      <w:r w:rsidRPr="0058309E">
        <w:t xml:space="preserve">.  </w:t>
      </w:r>
      <w:r w:rsidR="0058309E" w:rsidRPr="0058309E">
        <w:t>The United States</w:t>
      </w:r>
      <w:r w:rsidRPr="0058309E">
        <w:t xml:space="preserve"> is the State of Design for </w:t>
      </w:r>
      <w:r w:rsidRPr="0058309E">
        <w:rPr>
          <w:bCs/>
        </w:rPr>
        <w:t xml:space="preserve">these </w:t>
      </w:r>
      <w:r w:rsidR="0058309E" w:rsidRPr="0058309E">
        <w:rPr>
          <w:bCs/>
        </w:rPr>
        <w:t>engin</w:t>
      </w:r>
      <w:r w:rsidRPr="0058309E">
        <w:rPr>
          <w:bCs/>
        </w:rPr>
        <w:t>es</w:t>
      </w:r>
      <w:r w:rsidRPr="0058309E">
        <w:t>.  CASA has assessed this AD and has issued Australian AD/</w:t>
      </w:r>
      <w:r w:rsidR="00191872">
        <w:t>CON/6</w:t>
      </w:r>
      <w:r w:rsidR="0058309E" w:rsidRPr="0058309E">
        <w:rPr>
          <w:bCs/>
        </w:rPr>
        <w:t>0</w:t>
      </w:r>
      <w:r w:rsidRPr="0058309E">
        <w:rPr>
          <w:bCs/>
        </w:rPr>
        <w:t xml:space="preserve">, Amendment </w:t>
      </w:r>
      <w:r w:rsidR="00191872">
        <w:rPr>
          <w:bCs/>
        </w:rPr>
        <w:t>3</w:t>
      </w:r>
      <w:r w:rsidRPr="0058309E">
        <w:t xml:space="preserve">, which will become effective on </w:t>
      </w:r>
      <w:r w:rsidR="0058309E" w:rsidRPr="0058309E">
        <w:t>25 January 2012</w:t>
      </w:r>
      <w:r w:rsidRPr="0058309E">
        <w:t xml:space="preserve">.  </w:t>
      </w:r>
      <w:r w:rsidRPr="0058309E">
        <w:rPr>
          <w:bCs/>
        </w:rPr>
        <w:t>This AD cancels and replaces the previous issue.</w:t>
      </w:r>
    </w:p>
    <w:p w:rsidR="008E3363" w:rsidRPr="00D867ED" w:rsidRDefault="00936DCA">
      <w:pPr>
        <w:spacing w:after="240"/>
        <w:rPr>
          <w:color w:val="000000"/>
        </w:rPr>
      </w:pPr>
      <w:r w:rsidRPr="00D867ED">
        <w:rPr>
          <w:color w:val="000000"/>
        </w:rPr>
        <w:t>This AD is issued because CASA considers it appropriate to do so in view of Australia’s obligations under the Convention on International Civil Aviation.  No consultation of the Australian public has taken place because it is issued in response to an AD raised by the relevant State of Design.  The Office of Regulatory Review has determined that ADs do not require a Regulatory Impact Statement.</w:t>
      </w:r>
    </w:p>
    <w:p w:rsidR="005C0300" w:rsidRDefault="005C0300" w:rsidP="005C0300">
      <w:pPr>
        <w:tabs>
          <w:tab w:val="left" w:pos="720"/>
        </w:tabs>
        <w:rPr>
          <w:b/>
          <w:iCs/>
        </w:rPr>
      </w:pPr>
      <w:r>
        <w:rPr>
          <w:b/>
          <w:iCs/>
        </w:rPr>
        <w:t>Compatibility with human rights and freedoms</w:t>
      </w:r>
    </w:p>
    <w:p w:rsidR="005C0300" w:rsidRDefault="005C0300" w:rsidP="00A60AA6">
      <w:pPr>
        <w:spacing w:after="240"/>
      </w:pPr>
      <w:r>
        <w:t xml:space="preserve">This instrument is compatible with the human rights and freedoms recognised or declared in the international instruments listed in section 3 of the </w:t>
      </w:r>
      <w:r>
        <w:rPr>
          <w:i/>
        </w:rPr>
        <w:t>Human Rights (Parliamentary Scrutiny) Act 2011</w:t>
      </w:r>
      <w:r>
        <w:t>.</w:t>
      </w:r>
    </w:p>
    <w:p w:rsidR="005C0300" w:rsidRDefault="005C0300" w:rsidP="005C0300">
      <w:pPr>
        <w:tabs>
          <w:tab w:val="left" w:pos="720"/>
        </w:tabs>
        <w:rPr>
          <w:b/>
          <w:iCs/>
        </w:rPr>
      </w:pPr>
      <w:r>
        <w:rPr>
          <w:b/>
          <w:iCs/>
        </w:rPr>
        <w:t>Human Rights Implications</w:t>
      </w:r>
    </w:p>
    <w:p w:rsidR="005C0300" w:rsidRDefault="005C0300" w:rsidP="00A60AA6">
      <w:pPr>
        <w:spacing w:after="240"/>
      </w:pPr>
      <w:r>
        <w:t>The instrument sets out technical requirements as detailed above.  The instrument does not engage any of the applicable rights or freedoms.</w:t>
      </w:r>
    </w:p>
    <w:p w:rsidR="005C0300" w:rsidRDefault="005C0300" w:rsidP="005C0300">
      <w:pPr>
        <w:tabs>
          <w:tab w:val="left" w:pos="720"/>
        </w:tabs>
        <w:rPr>
          <w:b/>
          <w:iCs/>
        </w:rPr>
      </w:pPr>
      <w:r>
        <w:rPr>
          <w:b/>
          <w:iCs/>
        </w:rPr>
        <w:lastRenderedPageBreak/>
        <w:t>Conclusion</w:t>
      </w:r>
    </w:p>
    <w:p w:rsidR="005C0300" w:rsidRDefault="005C0300" w:rsidP="00A60AA6">
      <w:pPr>
        <w:spacing w:after="240"/>
      </w:pPr>
      <w:r>
        <w:t>The instrument is compatible with human rights and freedoms.</w:t>
      </w:r>
    </w:p>
    <w:p w:rsidR="008E3363" w:rsidRDefault="008E3363">
      <w:pPr>
        <w:spacing w:after="240"/>
      </w:pPr>
      <w:r w:rsidRPr="0058309E">
        <w:t xml:space="preserve">The AD has been made by the </w:t>
      </w:r>
      <w:r w:rsidR="00652E84" w:rsidRPr="0058309E">
        <w:t xml:space="preserve">Manager, </w:t>
      </w:r>
      <w:r w:rsidR="0058309E" w:rsidRPr="0058309E">
        <w:t xml:space="preserve">Continuing </w:t>
      </w:r>
      <w:r w:rsidR="002137B8" w:rsidRPr="0058309E">
        <w:rPr>
          <w:bCs/>
        </w:rPr>
        <w:t>Airworthiness</w:t>
      </w:r>
      <w:r w:rsidRPr="0058309E">
        <w:t xml:space="preserve">, </w:t>
      </w:r>
      <w:r w:rsidR="00652E84" w:rsidRPr="0058309E">
        <w:t>in the</w:t>
      </w:r>
      <w:r w:rsidR="00652E84">
        <w:t xml:space="preserve"> </w:t>
      </w:r>
      <w:r w:rsidR="00222AA3">
        <w:t xml:space="preserve">Airworthiness </w:t>
      </w:r>
      <w:r w:rsidR="002137B8">
        <w:t xml:space="preserve">and </w:t>
      </w:r>
      <w:r w:rsidR="00222AA3">
        <w:t>Engineering Branch</w:t>
      </w:r>
      <w:r w:rsidR="00652E84">
        <w:t>,</w:t>
      </w:r>
      <w:r>
        <w:t xml:space="preserve"> on behalf of CASA, in accordance with subsection </w:t>
      </w:r>
      <w:r w:rsidR="00671E88">
        <w:t>94</w:t>
      </w:r>
      <w:r>
        <w:t> (</w:t>
      </w:r>
      <w:r w:rsidR="00671E88">
        <w:t>1</w:t>
      </w:r>
      <w:r>
        <w:t>) of the Act.</w:t>
      </w:r>
    </w:p>
    <w:sectPr w:rsidR="008E336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9E"/>
    <w:rsid w:val="00191872"/>
    <w:rsid w:val="002137B8"/>
    <w:rsid w:val="00222AA3"/>
    <w:rsid w:val="0058309E"/>
    <w:rsid w:val="005C0300"/>
    <w:rsid w:val="00652E84"/>
    <w:rsid w:val="00671E88"/>
    <w:rsid w:val="008E3363"/>
    <w:rsid w:val="00936DCA"/>
    <w:rsid w:val="009A751F"/>
    <w:rsid w:val="009B6097"/>
    <w:rsid w:val="00A60AA6"/>
    <w:rsid w:val="00AB3C4F"/>
    <w:rsid w:val="00AB7ADB"/>
    <w:rsid w:val="00C056AF"/>
    <w:rsid w:val="00D867ED"/>
    <w:rsid w:val="00E10F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left"/>
    </w:pPr>
    <w:rPr>
      <w:i/>
      <w:iCs/>
    </w:rPr>
  </w:style>
  <w:style w:type="paragraph" w:styleId="Title">
    <w:name w:val="Title"/>
    <w:basedOn w:val="Normal"/>
    <w:qFormat/>
    <w:pPr>
      <w:jc w:val="center"/>
    </w:pPr>
    <w:rPr>
      <w:b/>
      <w:sz w:val="32"/>
    </w:rPr>
  </w:style>
  <w:style w:type="paragraph" w:customStyle="1" w:styleId="R1">
    <w:name w:val="R1"/>
    <w:aliases w:val="1. or 1.(1)"/>
    <w:basedOn w:val="Normal"/>
    <w:next w:val="Normal"/>
    <w:pPr>
      <w:tabs>
        <w:tab w:val="left" w:pos="794"/>
      </w:tabs>
      <w:overflowPunct w:val="0"/>
      <w:autoSpaceDE w:val="0"/>
      <w:autoSpaceDN w:val="0"/>
      <w:adjustRightInd w:val="0"/>
      <w:spacing w:before="120" w:line="240" w:lineRule="atLeast"/>
      <w:ind w:left="794" w:hanging="794"/>
      <w:textAlignment w:val="baseline"/>
    </w:pPr>
    <w:rPr>
      <w:sz w:val="26"/>
      <w:szCs w:val="20"/>
    </w:rPr>
  </w:style>
  <w:style w:type="paragraph" w:styleId="BodyText2">
    <w:name w:val="Body Text 2"/>
    <w:basedOn w:val="Normal"/>
    <w:pPr>
      <w:ind w:right="-1"/>
      <w:jc w:val="left"/>
    </w:pPr>
  </w:style>
  <w:style w:type="paragraph" w:styleId="BodyText3">
    <w:name w:val="Body Text 3"/>
    <w:basedOn w:val="Normal"/>
    <w:rPr>
      <w:sz w:val="26"/>
    </w:rPr>
  </w:style>
  <w:style w:type="paragraph" w:customStyle="1" w:styleId="A1S">
    <w:name w:val="A1S"/>
    <w:aliases w:val="1.Schedule Amendment"/>
    <w:basedOn w:val="Normal"/>
    <w:pPr>
      <w:keepNext/>
      <w:tabs>
        <w:tab w:val="left" w:pos="794"/>
      </w:tabs>
      <w:overflowPunct w:val="0"/>
      <w:autoSpaceDE w:val="0"/>
      <w:autoSpaceDN w:val="0"/>
      <w:adjustRightInd w:val="0"/>
      <w:spacing w:before="480" w:line="240" w:lineRule="atLeast"/>
      <w:ind w:left="794" w:hanging="794"/>
      <w:textAlignment w:val="baseline"/>
    </w:pPr>
    <w:rPr>
      <w:rFonts w:ascii="Helvetica" w:hAnsi="Helvetica"/>
      <w:b/>
      <w:szCs w:val="20"/>
    </w:rPr>
  </w:style>
  <w:style w:type="paragraph" w:customStyle="1" w:styleId="LDBodytext">
    <w:name w:val="LDBody text"/>
    <w:rsid w:val="005C030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left"/>
    </w:pPr>
    <w:rPr>
      <w:i/>
      <w:iCs/>
    </w:rPr>
  </w:style>
  <w:style w:type="paragraph" w:styleId="Title">
    <w:name w:val="Title"/>
    <w:basedOn w:val="Normal"/>
    <w:qFormat/>
    <w:pPr>
      <w:jc w:val="center"/>
    </w:pPr>
    <w:rPr>
      <w:b/>
      <w:sz w:val="32"/>
    </w:rPr>
  </w:style>
  <w:style w:type="paragraph" w:customStyle="1" w:styleId="R1">
    <w:name w:val="R1"/>
    <w:aliases w:val="1. or 1.(1)"/>
    <w:basedOn w:val="Normal"/>
    <w:next w:val="Normal"/>
    <w:pPr>
      <w:tabs>
        <w:tab w:val="left" w:pos="794"/>
      </w:tabs>
      <w:overflowPunct w:val="0"/>
      <w:autoSpaceDE w:val="0"/>
      <w:autoSpaceDN w:val="0"/>
      <w:adjustRightInd w:val="0"/>
      <w:spacing w:before="120" w:line="240" w:lineRule="atLeast"/>
      <w:ind w:left="794" w:hanging="794"/>
      <w:textAlignment w:val="baseline"/>
    </w:pPr>
    <w:rPr>
      <w:sz w:val="26"/>
      <w:szCs w:val="20"/>
    </w:rPr>
  </w:style>
  <w:style w:type="paragraph" w:styleId="BodyText2">
    <w:name w:val="Body Text 2"/>
    <w:basedOn w:val="Normal"/>
    <w:pPr>
      <w:ind w:right="-1"/>
      <w:jc w:val="left"/>
    </w:pPr>
  </w:style>
  <w:style w:type="paragraph" w:styleId="BodyText3">
    <w:name w:val="Body Text 3"/>
    <w:basedOn w:val="Normal"/>
    <w:rPr>
      <w:sz w:val="26"/>
    </w:rPr>
  </w:style>
  <w:style w:type="paragraph" w:customStyle="1" w:styleId="A1S">
    <w:name w:val="A1S"/>
    <w:aliases w:val="1.Schedule Amendment"/>
    <w:basedOn w:val="Normal"/>
    <w:pPr>
      <w:keepNext/>
      <w:tabs>
        <w:tab w:val="left" w:pos="794"/>
      </w:tabs>
      <w:overflowPunct w:val="0"/>
      <w:autoSpaceDE w:val="0"/>
      <w:autoSpaceDN w:val="0"/>
      <w:adjustRightInd w:val="0"/>
      <w:spacing w:before="480" w:line="240" w:lineRule="atLeast"/>
      <w:ind w:left="794" w:hanging="794"/>
      <w:textAlignment w:val="baseline"/>
    </w:pPr>
    <w:rPr>
      <w:rFonts w:ascii="Helvetica" w:hAnsi="Helvetica"/>
      <w:b/>
      <w:szCs w:val="20"/>
    </w:rPr>
  </w:style>
  <w:style w:type="paragraph" w:customStyle="1" w:styleId="LDBodytext">
    <w:name w:val="LDBody text"/>
    <w:rsid w:val="005C030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3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Q:\AD%20Templates\ES%20Templates\New%20SoD%20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SoD AD</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CIVIL AVIATION REGULATIONS</vt:lpstr>
    </vt:vector>
  </TitlesOfParts>
  <Company>Agency</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REGULATIONS</dc:title>
  <dc:creator>ERNST, OLIVER</dc:creator>
  <cp:lastModifiedBy>ERNST, OLIVER</cp:lastModifiedBy>
  <cp:revision>2</cp:revision>
  <cp:lastPrinted>2004-11-25T03:30:00Z</cp:lastPrinted>
  <dcterms:created xsi:type="dcterms:W3CDTF">2012-01-12T01:47:00Z</dcterms:created>
  <dcterms:modified xsi:type="dcterms:W3CDTF">2012-01-12T01:47:00Z</dcterms:modified>
</cp:coreProperties>
</file>