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474" w:rsidRDefault="00E30474">
      <w:pPr>
        <w:pStyle w:val="Title"/>
        <w:rPr>
          <w:b/>
          <w:bCs/>
        </w:rPr>
      </w:pPr>
      <w:r>
        <w:rPr>
          <w:b/>
          <w:bCs/>
        </w:rPr>
        <w:t>EXPLANATORY STATEMENT</w:t>
      </w:r>
    </w:p>
    <w:p w:rsidR="00E30474" w:rsidRDefault="00E30474">
      <w:pPr>
        <w:tabs>
          <w:tab w:val="left" w:pos="567"/>
          <w:tab w:val="left" w:pos="1134"/>
          <w:tab w:val="left" w:pos="1701"/>
          <w:tab w:val="left" w:pos="2268"/>
          <w:tab w:val="left" w:pos="2835"/>
          <w:tab w:val="left" w:pos="3402"/>
          <w:tab w:val="left" w:pos="3969"/>
        </w:tabs>
      </w:pPr>
    </w:p>
    <w:p w:rsidR="00E30474" w:rsidRDefault="00E30474">
      <w:pPr>
        <w:tabs>
          <w:tab w:val="left" w:pos="567"/>
          <w:tab w:val="left" w:pos="1134"/>
          <w:tab w:val="left" w:pos="1701"/>
          <w:tab w:val="left" w:pos="2268"/>
          <w:tab w:val="left" w:pos="2835"/>
          <w:tab w:val="left" w:pos="3402"/>
          <w:tab w:val="left" w:pos="3969"/>
        </w:tabs>
        <w:jc w:val="center"/>
        <w:rPr>
          <w:u w:val="single"/>
        </w:rPr>
      </w:pPr>
      <w:r>
        <w:rPr>
          <w:u w:val="single"/>
        </w:rPr>
        <w:t>Issued by the Parliamentary Secretary for Agriculture, Fisheries and Forestry</w:t>
      </w:r>
    </w:p>
    <w:p w:rsidR="00E30474" w:rsidRDefault="00E30474">
      <w:pPr>
        <w:tabs>
          <w:tab w:val="left" w:pos="567"/>
          <w:tab w:val="left" w:pos="1134"/>
          <w:tab w:val="left" w:pos="1701"/>
          <w:tab w:val="left" w:pos="2268"/>
          <w:tab w:val="left" w:pos="2835"/>
          <w:tab w:val="left" w:pos="3402"/>
          <w:tab w:val="left" w:pos="3969"/>
        </w:tabs>
        <w:jc w:val="center"/>
      </w:pPr>
    </w:p>
    <w:p w:rsidR="00E30474" w:rsidRDefault="00E30474">
      <w:pPr>
        <w:tabs>
          <w:tab w:val="left" w:pos="567"/>
          <w:tab w:val="left" w:pos="1134"/>
          <w:tab w:val="left" w:pos="1701"/>
          <w:tab w:val="left" w:pos="2268"/>
          <w:tab w:val="left" w:pos="2835"/>
          <w:tab w:val="left" w:pos="3402"/>
          <w:tab w:val="left" w:pos="3969"/>
        </w:tabs>
        <w:jc w:val="center"/>
        <w:rPr>
          <w:i/>
        </w:rPr>
      </w:pPr>
      <w:r>
        <w:rPr>
          <w:i/>
        </w:rPr>
        <w:t>Export Control (Fees) Amendment Orders 2011 (No.</w:t>
      </w:r>
      <w:r w:rsidR="00334FF6">
        <w:rPr>
          <w:i/>
        </w:rPr>
        <w:t xml:space="preserve"> 2</w:t>
      </w:r>
      <w:r>
        <w:rPr>
          <w:i/>
        </w:rPr>
        <w:t>)</w:t>
      </w:r>
    </w:p>
    <w:p w:rsidR="00E30474" w:rsidRDefault="00E30474">
      <w:pPr>
        <w:tabs>
          <w:tab w:val="left" w:pos="567"/>
          <w:tab w:val="left" w:pos="1134"/>
          <w:tab w:val="left" w:pos="1701"/>
          <w:tab w:val="left" w:pos="2268"/>
          <w:tab w:val="left" w:pos="2835"/>
          <w:tab w:val="left" w:pos="3402"/>
          <w:tab w:val="left" w:pos="3969"/>
        </w:tabs>
        <w:jc w:val="center"/>
      </w:pPr>
    </w:p>
    <w:p w:rsidR="00E30474" w:rsidRDefault="00E30474">
      <w:pPr>
        <w:tabs>
          <w:tab w:val="left" w:pos="567"/>
          <w:tab w:val="left" w:pos="1134"/>
          <w:tab w:val="left" w:pos="1701"/>
          <w:tab w:val="left" w:pos="2268"/>
          <w:tab w:val="left" w:pos="2835"/>
          <w:tab w:val="left" w:pos="3402"/>
          <w:tab w:val="left" w:pos="3969"/>
        </w:tabs>
        <w:jc w:val="center"/>
        <w:rPr>
          <w:i/>
        </w:rPr>
      </w:pPr>
      <w:r>
        <w:t xml:space="preserve">made under the </w:t>
      </w:r>
      <w:r>
        <w:rPr>
          <w:i/>
        </w:rPr>
        <w:t xml:space="preserve">Export Control (Orders) Regulations 1982 </w:t>
      </w:r>
      <w:r>
        <w:t xml:space="preserve">and </w:t>
      </w:r>
      <w:r>
        <w:rPr>
          <w:i/>
        </w:rPr>
        <w:t>Export Control Act 1982</w:t>
      </w:r>
    </w:p>
    <w:p w:rsidR="00E30474" w:rsidRDefault="00E30474">
      <w:pPr>
        <w:tabs>
          <w:tab w:val="left" w:pos="567"/>
          <w:tab w:val="left" w:pos="1134"/>
          <w:tab w:val="left" w:pos="1701"/>
          <w:tab w:val="left" w:pos="2268"/>
          <w:tab w:val="left" w:pos="2835"/>
          <w:tab w:val="left" w:pos="3402"/>
          <w:tab w:val="left" w:pos="3969"/>
        </w:tabs>
        <w:rPr>
          <w:color w:val="0070C0"/>
        </w:rPr>
      </w:pPr>
    </w:p>
    <w:p w:rsidR="00E30474" w:rsidRDefault="00E30474">
      <w:pPr>
        <w:rPr>
          <w:b/>
        </w:rPr>
      </w:pPr>
      <w:r>
        <w:rPr>
          <w:b/>
        </w:rPr>
        <w:t>Legislative Authority</w:t>
      </w:r>
    </w:p>
    <w:p w:rsidR="00E30474" w:rsidRDefault="00E30474"/>
    <w:p w:rsidR="00E30474" w:rsidRDefault="00E30474">
      <w:pPr>
        <w:rPr>
          <w:szCs w:val="24"/>
          <w:lang w:eastAsia="en-AU"/>
        </w:rPr>
      </w:pPr>
      <w:r>
        <w:t xml:space="preserve">Pursuant to section 25 of the </w:t>
      </w:r>
      <w:r>
        <w:rPr>
          <w:i/>
        </w:rPr>
        <w:t xml:space="preserve">Export Control Act 1982 </w:t>
      </w:r>
      <w:r>
        <w:t xml:space="preserve">(Act) and regulation 3 of the </w:t>
      </w:r>
      <w:r>
        <w:rPr>
          <w:i/>
        </w:rPr>
        <w:t xml:space="preserve">Export Control (Orders) Regulations 1982 </w:t>
      </w:r>
      <w:r>
        <w:t xml:space="preserve">(Regulations), the </w:t>
      </w:r>
      <w:r>
        <w:rPr>
          <w:i/>
        </w:rPr>
        <w:t xml:space="preserve">Export Control (Fees) Orders 2001 </w:t>
      </w:r>
      <w:r>
        <w:t xml:space="preserve">(Principal Orders) impose fees in connection with the performance of services by the Secretary, delegates of the Secretary and authorised officers </w:t>
      </w:r>
      <w:r>
        <w:rPr>
          <w:szCs w:val="24"/>
          <w:lang w:eastAsia="en-AU"/>
        </w:rPr>
        <w:t xml:space="preserve">in connection with the provision of export certification. The fees are applied to a number of commodities, including grains, plants and plant products. </w:t>
      </w:r>
    </w:p>
    <w:p w:rsidR="00E30474" w:rsidRDefault="00E30474"/>
    <w:p w:rsidR="00E30474" w:rsidRDefault="00E30474">
      <w:r>
        <w:rPr>
          <w:b/>
        </w:rPr>
        <w:t>Purpose</w:t>
      </w:r>
    </w:p>
    <w:p w:rsidR="00E30474" w:rsidRDefault="00E30474"/>
    <w:p w:rsidR="00E30474" w:rsidRDefault="00E30474">
      <w:pPr>
        <w:tabs>
          <w:tab w:val="left" w:pos="567"/>
          <w:tab w:val="left" w:pos="1134"/>
          <w:tab w:val="left" w:pos="1701"/>
          <w:tab w:val="left" w:pos="2268"/>
          <w:tab w:val="left" w:pos="2835"/>
          <w:tab w:val="left" w:pos="3402"/>
          <w:tab w:val="left" w:pos="3969"/>
        </w:tabs>
        <w:rPr>
          <w:szCs w:val="24"/>
          <w:lang w:eastAsia="en-AU"/>
        </w:rPr>
      </w:pPr>
      <w:r>
        <w:t xml:space="preserve">The purpose of the </w:t>
      </w:r>
      <w:r>
        <w:rPr>
          <w:i/>
        </w:rPr>
        <w:t>Export Control (Fees) Amendment Orders 2011 (No.</w:t>
      </w:r>
      <w:r w:rsidR="00115AB9">
        <w:rPr>
          <w:i/>
        </w:rPr>
        <w:t xml:space="preserve"> </w:t>
      </w:r>
      <w:r>
        <w:rPr>
          <w:i/>
        </w:rPr>
        <w:t xml:space="preserve">2) </w:t>
      </w:r>
      <w:r>
        <w:t xml:space="preserve">(Amendment Orders) is to implement a revised charging regime for the export of </w:t>
      </w:r>
      <w:r>
        <w:rPr>
          <w:szCs w:val="24"/>
          <w:lang w:eastAsia="en-AU"/>
        </w:rPr>
        <w:t>grains, plants and plant products. The new regime is based on a new service delivery arrangement. The proposed Amendment Order amends the Principal Orders to:</w:t>
      </w:r>
    </w:p>
    <w:p w:rsidR="00E30474" w:rsidRDefault="00E30474">
      <w:pPr>
        <w:tabs>
          <w:tab w:val="left" w:pos="567"/>
          <w:tab w:val="left" w:pos="1134"/>
          <w:tab w:val="left" w:pos="1701"/>
          <w:tab w:val="left" w:pos="2268"/>
          <w:tab w:val="left" w:pos="2835"/>
          <w:tab w:val="left" w:pos="3402"/>
          <w:tab w:val="left" w:pos="3969"/>
        </w:tabs>
        <w:rPr>
          <w:szCs w:val="24"/>
          <w:lang w:eastAsia="en-AU"/>
        </w:rPr>
      </w:pPr>
    </w:p>
    <w:p w:rsidR="00E30474" w:rsidRDefault="00E30474">
      <w:pPr>
        <w:numPr>
          <w:ilvl w:val="0"/>
          <w:numId w:val="20"/>
        </w:numPr>
        <w:rPr>
          <w:szCs w:val="24"/>
        </w:rPr>
      </w:pPr>
      <w:r>
        <w:rPr>
          <w:szCs w:val="24"/>
        </w:rPr>
        <w:t>insert new rates of fees for inspection services;</w:t>
      </w:r>
    </w:p>
    <w:p w:rsidR="00E30474" w:rsidRDefault="00E30474">
      <w:pPr>
        <w:numPr>
          <w:ilvl w:val="0"/>
          <w:numId w:val="20"/>
        </w:numPr>
        <w:rPr>
          <w:szCs w:val="24"/>
        </w:rPr>
      </w:pPr>
      <w:r>
        <w:rPr>
          <w:szCs w:val="24"/>
        </w:rPr>
        <w:t>provide for the collection of amended overtime fees; and</w:t>
      </w:r>
    </w:p>
    <w:p w:rsidR="00E30474" w:rsidRDefault="00E30474">
      <w:pPr>
        <w:numPr>
          <w:ilvl w:val="0"/>
          <w:numId w:val="20"/>
        </w:numPr>
        <w:rPr>
          <w:b/>
        </w:rPr>
      </w:pPr>
      <w:r>
        <w:rPr>
          <w:szCs w:val="24"/>
        </w:rPr>
        <w:t>provide for the collection of amended fees for the issue and replacement of phytosanitary certificates, export permits and any other certificates.</w:t>
      </w:r>
    </w:p>
    <w:p w:rsidR="00E30474" w:rsidRDefault="00E30474">
      <w:pPr>
        <w:ind w:left="720"/>
        <w:rPr>
          <w:b/>
        </w:rPr>
      </w:pPr>
    </w:p>
    <w:p w:rsidR="00E30474" w:rsidRDefault="00E30474">
      <w:pPr>
        <w:rPr>
          <w:b/>
        </w:rPr>
      </w:pPr>
      <w:r>
        <w:rPr>
          <w:b/>
        </w:rPr>
        <w:t xml:space="preserve">Consultation </w:t>
      </w:r>
    </w:p>
    <w:p w:rsidR="00E30474" w:rsidRDefault="00E30474"/>
    <w:p w:rsidR="00E30474" w:rsidRDefault="00E30474">
      <w:r>
        <w:t>In November 2009, the Government announced an Export Certification Reform Package of $127.4 million over a nineteen month period to 30 June 2011.  The aim of the package was to:</w:t>
      </w:r>
    </w:p>
    <w:p w:rsidR="00E30474" w:rsidRDefault="00E30474">
      <w:pPr>
        <w:numPr>
          <w:ilvl w:val="0"/>
          <w:numId w:val="9"/>
        </w:numPr>
      </w:pPr>
      <w:r>
        <w:t>reform service delivery;</w:t>
      </w:r>
    </w:p>
    <w:p w:rsidR="00E30474" w:rsidRDefault="00E30474">
      <w:pPr>
        <w:numPr>
          <w:ilvl w:val="0"/>
          <w:numId w:val="9"/>
        </w:numPr>
      </w:pPr>
      <w:r>
        <w:t>upgrade information technology systems;</w:t>
      </w:r>
    </w:p>
    <w:p w:rsidR="00E30474" w:rsidRDefault="00E30474">
      <w:pPr>
        <w:numPr>
          <w:ilvl w:val="0"/>
          <w:numId w:val="9"/>
        </w:numPr>
      </w:pPr>
      <w:r>
        <w:t>reduce costs for industry and the Australian Quarantine and Inspection Service (AQIS); and</w:t>
      </w:r>
    </w:p>
    <w:p w:rsidR="00E30474" w:rsidRDefault="00E30474">
      <w:pPr>
        <w:numPr>
          <w:ilvl w:val="0"/>
          <w:numId w:val="9"/>
        </w:numPr>
      </w:pPr>
      <w:r>
        <w:t>maintain and work to improve market access.</w:t>
      </w:r>
    </w:p>
    <w:p w:rsidR="00E30474" w:rsidRDefault="00E30474">
      <w:pPr>
        <w:ind w:left="720"/>
      </w:pPr>
    </w:p>
    <w:p w:rsidR="00E30474" w:rsidRDefault="00E30474">
      <w:pPr>
        <w:rPr>
          <w:szCs w:val="24"/>
        </w:rPr>
      </w:pPr>
      <w:r>
        <w:rPr>
          <w:szCs w:val="24"/>
        </w:rPr>
        <w:t>Joint Industry-AQIS Ministerial Taskforces (MTFs) for the dairy, fish, grain, horticulture, live animal and meat export industries were set up to deliver the reforms.</w:t>
      </w:r>
    </w:p>
    <w:p w:rsidR="00E30474" w:rsidRDefault="00E30474">
      <w:pPr>
        <w:tabs>
          <w:tab w:val="left" w:pos="426"/>
          <w:tab w:val="left" w:pos="851"/>
        </w:tabs>
        <w:overflowPunct/>
        <w:textAlignment w:val="auto"/>
        <w:rPr>
          <w:szCs w:val="24"/>
        </w:rPr>
      </w:pPr>
    </w:p>
    <w:p w:rsidR="00E30474" w:rsidRDefault="00E30474">
      <w:pPr>
        <w:tabs>
          <w:tab w:val="left" w:pos="426"/>
          <w:tab w:val="left" w:pos="851"/>
        </w:tabs>
        <w:overflowPunct/>
        <w:textAlignment w:val="auto"/>
        <w:rPr>
          <w:szCs w:val="24"/>
        </w:rPr>
      </w:pPr>
      <w:r>
        <w:rPr>
          <w:szCs w:val="24"/>
        </w:rPr>
        <w:t>All relevant industry groups have been consulted through AQIS Grain Industry Consultative Committee (AGICC) and the Joint AQIS – Grain Industry Ministerial Task Force.</w:t>
      </w:r>
    </w:p>
    <w:p w:rsidR="00E30474" w:rsidRDefault="00E30474">
      <w:pPr>
        <w:tabs>
          <w:tab w:val="left" w:pos="426"/>
          <w:tab w:val="left" w:pos="851"/>
        </w:tabs>
        <w:overflowPunct/>
        <w:textAlignment w:val="auto"/>
        <w:rPr>
          <w:szCs w:val="24"/>
        </w:rPr>
      </w:pPr>
    </w:p>
    <w:p w:rsidR="00E30474" w:rsidRDefault="00E30474">
      <w:pPr>
        <w:tabs>
          <w:tab w:val="left" w:pos="426"/>
          <w:tab w:val="left" w:pos="851"/>
        </w:tabs>
        <w:overflowPunct/>
        <w:textAlignment w:val="auto"/>
        <w:rPr>
          <w:szCs w:val="24"/>
        </w:rPr>
      </w:pPr>
      <w:r>
        <w:rPr>
          <w:szCs w:val="24"/>
        </w:rPr>
        <w:t xml:space="preserve">AGICC consists of representatives from key industry sectors, AWB Ltd, ABB Grain Ltd, Craig Mostyn Group, Viterra, Australian Seed Federation, National Agricultural </w:t>
      </w:r>
      <w:r>
        <w:rPr>
          <w:szCs w:val="24"/>
        </w:rPr>
        <w:lastRenderedPageBreak/>
        <w:t>Commodities Marketing Association, Australian Oilseeds Federation, Sunrice, GrainCorp Operations Ltd, Australian Fodder Industry Association, Australian Cotton Seed Industry Association, Pulse Australia Ltd, CBH Group and Grain Pool Pty Ltd.</w:t>
      </w:r>
    </w:p>
    <w:p w:rsidR="00E30474" w:rsidRDefault="00E30474">
      <w:pPr>
        <w:tabs>
          <w:tab w:val="left" w:pos="426"/>
          <w:tab w:val="left" w:pos="851"/>
        </w:tabs>
        <w:overflowPunct/>
        <w:textAlignment w:val="auto"/>
        <w:rPr>
          <w:szCs w:val="24"/>
        </w:rPr>
      </w:pPr>
    </w:p>
    <w:p w:rsidR="00E30474" w:rsidRDefault="00E30474">
      <w:pPr>
        <w:tabs>
          <w:tab w:val="left" w:pos="426"/>
          <w:tab w:val="left" w:pos="851"/>
        </w:tabs>
        <w:overflowPunct/>
        <w:textAlignment w:val="auto"/>
        <w:rPr>
          <w:szCs w:val="24"/>
        </w:rPr>
      </w:pPr>
      <w:r>
        <w:rPr>
          <w:szCs w:val="24"/>
        </w:rPr>
        <w:t xml:space="preserve">The Joint AQIS – Grain Industry Ministerial Task Force consists of representatives from Grain Trade Australia, Australian Grain Exporters Association, Australian Oilseeds Federation, Gerard McMullen Consulting, GrainCorp Operations Ltd, Pulse Australia, Australian Cotton Seed Industry, Grain Pool Pty Limited, CBH Group, Grain Producers Australia, AWB Ltd, Sunrice, Australian Fodder Association, Australian Nut Industry Council, Viterra, National Grains Australia and the Australian Seed Federation. </w:t>
      </w:r>
    </w:p>
    <w:p w:rsidR="00E30474" w:rsidRDefault="00E30474">
      <w:pPr>
        <w:tabs>
          <w:tab w:val="left" w:pos="426"/>
          <w:tab w:val="left" w:pos="851"/>
        </w:tabs>
        <w:overflowPunct/>
        <w:textAlignment w:val="auto"/>
        <w:rPr>
          <w:szCs w:val="24"/>
        </w:rPr>
      </w:pPr>
    </w:p>
    <w:p w:rsidR="00E30474" w:rsidRDefault="00E30474">
      <w:pPr>
        <w:tabs>
          <w:tab w:val="left" w:pos="426"/>
          <w:tab w:val="left" w:pos="851"/>
        </w:tabs>
        <w:overflowPunct/>
        <w:textAlignment w:val="auto"/>
        <w:rPr>
          <w:szCs w:val="24"/>
        </w:rPr>
      </w:pPr>
      <w:r>
        <w:rPr>
          <w:szCs w:val="24"/>
        </w:rPr>
        <w:t xml:space="preserve">The Office of Best Practice Regulation (OBPR) was consulted in relation to the proposed cost recovery arrangements for grain and seed exports and determined that a Regulatory Impact Statement was not required.  A Cost Recovery Impact Statement has been approved by the Department of Finance and Deregulation.  </w:t>
      </w:r>
    </w:p>
    <w:p w:rsidR="00E30474" w:rsidRDefault="00E30474"/>
    <w:p w:rsidR="00E30474" w:rsidRDefault="00E30474">
      <w:pPr>
        <w:rPr>
          <w:b/>
        </w:rPr>
      </w:pPr>
      <w:r>
        <w:rPr>
          <w:b/>
        </w:rPr>
        <w:t xml:space="preserve">Details </w:t>
      </w:r>
    </w:p>
    <w:p w:rsidR="00E30474" w:rsidRDefault="00E30474">
      <w:pPr>
        <w:rPr>
          <w:b/>
        </w:rPr>
      </w:pPr>
    </w:p>
    <w:p w:rsidR="00E30474" w:rsidRDefault="00E30474">
      <w:r>
        <w:rPr>
          <w:u w:val="single"/>
        </w:rPr>
        <w:t>Order 1</w:t>
      </w:r>
      <w:r>
        <w:t xml:space="preserve"> </w:t>
      </w:r>
    </w:p>
    <w:p w:rsidR="00E30474" w:rsidRDefault="00E30474"/>
    <w:p w:rsidR="00E30474" w:rsidRDefault="00E30474">
      <w:pPr>
        <w:keepNext/>
        <w:keepLines/>
        <w:jc w:val="both"/>
        <w:rPr>
          <w:i/>
        </w:rPr>
      </w:pPr>
      <w:r>
        <w:t xml:space="preserve">This order provides that the name of the Orders is the </w:t>
      </w:r>
      <w:r>
        <w:rPr>
          <w:i/>
        </w:rPr>
        <w:t>Export Control (Fees) Amendment Orders 2011 (No. 2).</w:t>
      </w:r>
    </w:p>
    <w:p w:rsidR="00E30474" w:rsidRDefault="00E30474">
      <w:pPr>
        <w:rPr>
          <w:i/>
          <w:color w:val="0070C0"/>
        </w:rPr>
      </w:pPr>
    </w:p>
    <w:p w:rsidR="00E30474" w:rsidRDefault="00E30474">
      <w:r>
        <w:rPr>
          <w:u w:val="single"/>
        </w:rPr>
        <w:t>Order 2</w:t>
      </w:r>
      <w:r>
        <w:t xml:space="preserve"> </w:t>
      </w:r>
    </w:p>
    <w:p w:rsidR="00E30474" w:rsidRDefault="00E30474"/>
    <w:p w:rsidR="00E30474" w:rsidRDefault="00E30474">
      <w:r>
        <w:t>This order provides that the Orders commence on 1 January 2012.</w:t>
      </w:r>
    </w:p>
    <w:p w:rsidR="00E30474" w:rsidRDefault="00E30474">
      <w:pPr>
        <w:rPr>
          <w:color w:val="0070C0"/>
        </w:rPr>
      </w:pPr>
    </w:p>
    <w:p w:rsidR="00E30474" w:rsidRDefault="00E30474">
      <w:r>
        <w:rPr>
          <w:u w:val="single"/>
        </w:rPr>
        <w:t>Order 3</w:t>
      </w:r>
      <w:r>
        <w:t xml:space="preserve"> </w:t>
      </w:r>
    </w:p>
    <w:p w:rsidR="00E30474" w:rsidRDefault="00E30474"/>
    <w:p w:rsidR="00E30474" w:rsidRDefault="00E30474">
      <w:r>
        <w:t xml:space="preserve">This order provides that Schedule 1 amends the </w:t>
      </w:r>
      <w:r>
        <w:rPr>
          <w:i/>
        </w:rPr>
        <w:t>Export Control (Fees) Orders 2001.</w:t>
      </w:r>
    </w:p>
    <w:p w:rsidR="00E30474" w:rsidRDefault="00E30474">
      <w:pPr>
        <w:rPr>
          <w:b/>
        </w:rPr>
      </w:pPr>
    </w:p>
    <w:p w:rsidR="00E30474" w:rsidRDefault="00E30474">
      <w:pPr>
        <w:rPr>
          <w:u w:val="single"/>
        </w:rPr>
      </w:pPr>
      <w:r>
        <w:rPr>
          <w:u w:val="single"/>
        </w:rPr>
        <w:t>Schedule 1</w:t>
      </w:r>
    </w:p>
    <w:p w:rsidR="00E30474" w:rsidRDefault="00E30474">
      <w:pPr>
        <w:rPr>
          <w:b/>
        </w:rPr>
      </w:pPr>
    </w:p>
    <w:p w:rsidR="00E30474" w:rsidRDefault="00E30474">
      <w:pPr>
        <w:rPr>
          <w:szCs w:val="24"/>
        </w:rPr>
      </w:pPr>
      <w:r>
        <w:rPr>
          <w:u w:val="single"/>
        </w:rPr>
        <w:t>Item 1</w:t>
      </w:r>
      <w:r>
        <w:t xml:space="preserve"> substitutes </w:t>
      </w:r>
      <w:r>
        <w:rPr>
          <w:szCs w:val="24"/>
        </w:rPr>
        <w:t xml:space="preserve">new rates of fees for particular services into Order 14A. The fee is $36 for each quarter hour in relation to an inspection service. </w:t>
      </w:r>
    </w:p>
    <w:p w:rsidR="00E30474" w:rsidRDefault="00E30474">
      <w:pPr>
        <w:rPr>
          <w:szCs w:val="24"/>
        </w:rPr>
      </w:pPr>
    </w:p>
    <w:p w:rsidR="00E30474" w:rsidRDefault="00E30474">
      <w:pPr>
        <w:rPr>
          <w:szCs w:val="24"/>
        </w:rPr>
      </w:pPr>
      <w:r>
        <w:rPr>
          <w:szCs w:val="24"/>
        </w:rPr>
        <w:t>Item 1 also substitutes a new Order 16 providing for the collection of overtime fees. Suborder 16(1) applies only to overtime where inspection services are requested by a person and the authorised officer is entitled to be paid overtime for the overtime period. Suborder 16(2) provides the overtime fees payable where the overtime period is continuous with the authorised officer’s ordinary hours of work. Suborder 16(3) provides the overtime fees payable where the overtime period is not continuous with the authorised officer’s ordinary hours of work.</w:t>
      </w:r>
    </w:p>
    <w:p w:rsidR="00E30474" w:rsidRDefault="00E30474"/>
    <w:p w:rsidR="00E30474" w:rsidRDefault="00E30474">
      <w:r>
        <w:rPr>
          <w:u w:val="single"/>
        </w:rPr>
        <w:t>Item 2</w:t>
      </w:r>
      <w:r>
        <w:t xml:space="preserve"> omits Schedule 3. Schedule 3 is no longer required, as Order 14A imposes a single fee of $36 per quarter hour in relation to an inspection service. </w:t>
      </w:r>
    </w:p>
    <w:p w:rsidR="00E30474" w:rsidRDefault="00E30474"/>
    <w:p w:rsidR="00E30474" w:rsidRDefault="00E30474">
      <w:r>
        <w:rPr>
          <w:u w:val="single"/>
        </w:rPr>
        <w:t>Item 3</w:t>
      </w:r>
      <w:r>
        <w:t xml:space="preserve"> amends items 1 to 3 of Schedule 5 by omitting $190.00 and inserting $500.00 where a phytosanitary certificate, an export permit or any other certificate is issued as </w:t>
      </w:r>
      <w:r>
        <w:lastRenderedPageBreak/>
        <w:t>a replacement certificate; by omitting $85.00 and inserting $100.00 where a phytosanitary certificate, an export permit or any other certificate is issued manually; and by omitting $65.00 and inserting and $16.00 where a phytosanitary certificate, an export permit or any other certificate is issued electronically.</w:t>
      </w:r>
    </w:p>
    <w:p w:rsidR="00E30474" w:rsidRDefault="00E30474"/>
    <w:p w:rsidR="00E30474" w:rsidRDefault="00E30474">
      <w:pPr>
        <w:rPr>
          <w:szCs w:val="24"/>
        </w:rPr>
      </w:pPr>
      <w:r>
        <w:rPr>
          <w:u w:val="single"/>
        </w:rPr>
        <w:t>Item 4</w:t>
      </w:r>
      <w:r>
        <w:t xml:space="preserve"> amends Part 1 of Schedule 7 by omitting each mention of ‘or part thereof’.  This aligns Schedule 7 with the existing definition for quarter hour found in Order 4 by removing the redundant formulation. The ability to apply charges for part of a quarter hour remains unaffected.</w:t>
      </w:r>
    </w:p>
    <w:sectPr w:rsidR="00E30474" w:rsidSect="009477A0">
      <w:type w:val="continuous"/>
      <w:pgSz w:w="11906" w:h="16838"/>
      <w:pgMar w:top="1440" w:right="180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474" w:rsidRDefault="00E30474">
      <w:r>
        <w:separator/>
      </w:r>
    </w:p>
  </w:endnote>
  <w:endnote w:type="continuationSeparator" w:id="0">
    <w:p w:rsidR="00E30474" w:rsidRDefault="00E304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474" w:rsidRDefault="00E30474">
      <w:r>
        <w:separator/>
      </w:r>
    </w:p>
  </w:footnote>
  <w:footnote w:type="continuationSeparator" w:id="0">
    <w:p w:rsidR="00E30474" w:rsidRDefault="00E304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5C72"/>
    <w:multiLevelType w:val="hybridMultilevel"/>
    <w:tmpl w:val="99DACB88"/>
    <w:lvl w:ilvl="0" w:tplc="0DF2746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D0D6E91"/>
    <w:multiLevelType w:val="hybridMultilevel"/>
    <w:tmpl w:val="113690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192441A"/>
    <w:multiLevelType w:val="hybridMultilevel"/>
    <w:tmpl w:val="3EEE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29513D"/>
    <w:multiLevelType w:val="multilevel"/>
    <w:tmpl w:val="9DD8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9660E7"/>
    <w:multiLevelType w:val="hybridMultilevel"/>
    <w:tmpl w:val="7A684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CF34E9"/>
    <w:multiLevelType w:val="hybridMultilevel"/>
    <w:tmpl w:val="18EA2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076948"/>
    <w:multiLevelType w:val="hybridMultilevel"/>
    <w:tmpl w:val="EB3CF166"/>
    <w:lvl w:ilvl="0" w:tplc="0C090001">
      <w:start w:val="3"/>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9C80801"/>
    <w:multiLevelType w:val="hybridMultilevel"/>
    <w:tmpl w:val="83749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4D21A6"/>
    <w:multiLevelType w:val="hybridMultilevel"/>
    <w:tmpl w:val="1F22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AB575D"/>
    <w:multiLevelType w:val="hybridMultilevel"/>
    <w:tmpl w:val="8E00F9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CF70A65"/>
    <w:multiLevelType w:val="hybridMultilevel"/>
    <w:tmpl w:val="FADA1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E62F28"/>
    <w:multiLevelType w:val="multilevel"/>
    <w:tmpl w:val="EB8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B8035E"/>
    <w:multiLevelType w:val="hybridMultilevel"/>
    <w:tmpl w:val="9440C798"/>
    <w:lvl w:ilvl="0" w:tplc="0DF2746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F081F61"/>
    <w:multiLevelType w:val="multilevel"/>
    <w:tmpl w:val="EB8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E124A7"/>
    <w:multiLevelType w:val="multilevel"/>
    <w:tmpl w:val="EB8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FE4B15"/>
    <w:multiLevelType w:val="hybridMultilevel"/>
    <w:tmpl w:val="4DDECD3A"/>
    <w:lvl w:ilvl="0" w:tplc="0C090003">
      <w:start w:val="1"/>
      <w:numFmt w:val="bullet"/>
      <w:lvlText w:val="o"/>
      <w:lvlJc w:val="left"/>
      <w:pPr>
        <w:tabs>
          <w:tab w:val="num" w:pos="1146"/>
        </w:tabs>
        <w:ind w:left="1146" w:hanging="360"/>
      </w:pPr>
      <w:rPr>
        <w:rFonts w:ascii="Courier New" w:hAnsi="Courier New" w:cs="Courier New" w:hint="default"/>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16">
    <w:nsid w:val="5B366245"/>
    <w:multiLevelType w:val="multilevel"/>
    <w:tmpl w:val="767C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CAC0D58"/>
    <w:multiLevelType w:val="hybridMultilevel"/>
    <w:tmpl w:val="36BE945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nsid w:val="6EC83387"/>
    <w:multiLevelType w:val="multilevel"/>
    <w:tmpl w:val="07FC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EE43735"/>
    <w:multiLevelType w:val="hybridMultilevel"/>
    <w:tmpl w:val="46327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9"/>
  </w:num>
  <w:num w:numId="4">
    <w:abstractNumId w:val="6"/>
  </w:num>
  <w:num w:numId="5">
    <w:abstractNumId w:val="15"/>
  </w:num>
  <w:num w:numId="6">
    <w:abstractNumId w:val="13"/>
  </w:num>
  <w:num w:numId="7">
    <w:abstractNumId w:val="14"/>
  </w:num>
  <w:num w:numId="8">
    <w:abstractNumId w:val="11"/>
  </w:num>
  <w:num w:numId="9">
    <w:abstractNumId w:val="10"/>
  </w:num>
  <w:num w:numId="10">
    <w:abstractNumId w:val="7"/>
  </w:num>
  <w:num w:numId="11">
    <w:abstractNumId w:val="8"/>
  </w:num>
  <w:num w:numId="12">
    <w:abstractNumId w:val="2"/>
  </w:num>
  <w:num w:numId="13">
    <w:abstractNumId w:val="0"/>
  </w:num>
  <w:num w:numId="14">
    <w:abstractNumId w:val="12"/>
  </w:num>
  <w:num w:numId="15">
    <w:abstractNumId w:val="18"/>
  </w:num>
  <w:num w:numId="16">
    <w:abstractNumId w:val="16"/>
  </w:num>
  <w:num w:numId="17">
    <w:abstractNumId w:val="3"/>
  </w:num>
  <w:num w:numId="18">
    <w:abstractNumId w:val="4"/>
  </w:num>
  <w:num w:numId="19">
    <w:abstractNumId w:val="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characterSpacingControl w:val="doNotCompress"/>
  <w:footnotePr>
    <w:footnote w:id="-1"/>
    <w:footnote w:id="0"/>
  </w:footnotePr>
  <w:endnotePr>
    <w:endnote w:id="-1"/>
    <w:endnote w:id="0"/>
  </w:endnotePr>
  <w:compat/>
  <w:rsids>
    <w:rsidRoot w:val="00265D88"/>
    <w:rsid w:val="00115AB9"/>
    <w:rsid w:val="00265D88"/>
    <w:rsid w:val="00334FF6"/>
    <w:rsid w:val="007630D2"/>
    <w:rsid w:val="007921F8"/>
    <w:rsid w:val="009477A0"/>
    <w:rsid w:val="00E3047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7A0"/>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77A0"/>
    <w:pPr>
      <w:tabs>
        <w:tab w:val="left" w:pos="567"/>
        <w:tab w:val="left" w:pos="1134"/>
        <w:tab w:val="left" w:pos="1701"/>
        <w:tab w:val="left" w:pos="2268"/>
        <w:tab w:val="left" w:pos="2835"/>
        <w:tab w:val="left" w:pos="3402"/>
        <w:tab w:val="left" w:pos="3969"/>
      </w:tabs>
      <w:overflowPunct/>
      <w:autoSpaceDE/>
      <w:autoSpaceDN/>
      <w:adjustRightInd/>
      <w:jc w:val="center"/>
      <w:textAlignment w:val="auto"/>
    </w:pPr>
    <w:rPr>
      <w:u w:val="single"/>
    </w:rPr>
  </w:style>
  <w:style w:type="paragraph" w:styleId="BodyTextIndent">
    <w:name w:val="Body Text Indent"/>
    <w:basedOn w:val="Normal"/>
    <w:rsid w:val="009477A0"/>
    <w:pPr>
      <w:spacing w:after="120"/>
      <w:ind w:left="283"/>
    </w:pPr>
  </w:style>
  <w:style w:type="paragraph" w:styleId="Header">
    <w:name w:val="header"/>
    <w:basedOn w:val="Normal"/>
    <w:rsid w:val="009477A0"/>
    <w:pPr>
      <w:tabs>
        <w:tab w:val="center" w:pos="4153"/>
        <w:tab w:val="right" w:pos="8306"/>
      </w:tabs>
    </w:pPr>
  </w:style>
  <w:style w:type="paragraph" w:styleId="Footer">
    <w:name w:val="footer"/>
    <w:basedOn w:val="Normal"/>
    <w:rsid w:val="009477A0"/>
    <w:pPr>
      <w:tabs>
        <w:tab w:val="center" w:pos="4153"/>
        <w:tab w:val="right" w:pos="8306"/>
      </w:tabs>
    </w:pPr>
  </w:style>
  <w:style w:type="character" w:styleId="PageNumber">
    <w:name w:val="page number"/>
    <w:basedOn w:val="DefaultParagraphFont"/>
    <w:rsid w:val="009477A0"/>
  </w:style>
  <w:style w:type="paragraph" w:styleId="BalloonText">
    <w:name w:val="Balloon Text"/>
    <w:basedOn w:val="Normal"/>
    <w:semiHidden/>
    <w:rsid w:val="009477A0"/>
    <w:rPr>
      <w:rFonts w:ascii="Tahoma" w:hAnsi="Tahoma" w:cs="Tahoma"/>
      <w:sz w:val="16"/>
      <w:szCs w:val="16"/>
    </w:rPr>
  </w:style>
  <w:style w:type="paragraph" w:customStyle="1" w:styleId="ceitext2">
    <w:name w:val="ceitext2"/>
    <w:basedOn w:val="Normal"/>
    <w:rsid w:val="009477A0"/>
    <w:pPr>
      <w:overflowPunct/>
      <w:autoSpaceDE/>
      <w:autoSpaceDN/>
      <w:adjustRightInd/>
      <w:spacing w:before="100" w:beforeAutospacing="1" w:after="100" w:afterAutospacing="1"/>
      <w:textAlignment w:val="auto"/>
    </w:pPr>
    <w:rPr>
      <w:szCs w:val="24"/>
      <w:lang w:eastAsia="en-AU"/>
    </w:rPr>
  </w:style>
  <w:style w:type="character" w:styleId="Emphasis">
    <w:name w:val="Emphasis"/>
    <w:basedOn w:val="DefaultParagraphFont"/>
    <w:qFormat/>
    <w:rsid w:val="009477A0"/>
    <w:rPr>
      <w:i/>
      <w:iCs/>
    </w:rPr>
  </w:style>
  <w:style w:type="paragraph" w:customStyle="1" w:styleId="CharChar1Char">
    <w:name w:val="Char Char1 Char"/>
    <w:basedOn w:val="Normal"/>
    <w:rsid w:val="009477A0"/>
    <w:rPr>
      <w:rFonts w:ascii="Arial" w:hAnsi="Arial"/>
      <w:sz w:val="22"/>
    </w:rPr>
  </w:style>
  <w:style w:type="paragraph" w:styleId="NormalWeb">
    <w:name w:val="Normal (Web)"/>
    <w:basedOn w:val="Normal"/>
    <w:rsid w:val="009477A0"/>
    <w:pPr>
      <w:overflowPunct/>
      <w:autoSpaceDE/>
      <w:autoSpaceDN/>
      <w:adjustRightInd/>
      <w:spacing w:before="100" w:beforeAutospacing="1" w:after="100" w:afterAutospacing="1"/>
      <w:textAlignment w:val="auto"/>
    </w:pPr>
    <w:rPr>
      <w:szCs w:val="24"/>
      <w:lang w:eastAsia="en-AU"/>
    </w:rPr>
  </w:style>
  <w:style w:type="paragraph" w:customStyle="1" w:styleId="P1">
    <w:name w:val="P1"/>
    <w:aliases w:val="(a)"/>
    <w:basedOn w:val="Normal"/>
    <w:rsid w:val="009477A0"/>
    <w:pPr>
      <w:tabs>
        <w:tab w:val="right" w:pos="2410"/>
      </w:tabs>
      <w:overflowPunct/>
      <w:adjustRightInd/>
      <w:spacing w:before="60" w:line="260" w:lineRule="atLeast"/>
      <w:ind w:left="2693" w:hanging="2693"/>
      <w:jc w:val="both"/>
      <w:textAlignment w:val="auto"/>
    </w:pPr>
    <w:rPr>
      <w:szCs w:val="24"/>
      <w:lang w:val="en-US"/>
    </w:rPr>
  </w:style>
  <w:style w:type="character" w:styleId="CommentReference">
    <w:name w:val="annotation reference"/>
    <w:basedOn w:val="DefaultParagraphFont"/>
    <w:semiHidden/>
    <w:rsid w:val="009477A0"/>
    <w:rPr>
      <w:sz w:val="16"/>
      <w:szCs w:val="16"/>
    </w:rPr>
  </w:style>
  <w:style w:type="paragraph" w:styleId="CommentText">
    <w:name w:val="annotation text"/>
    <w:basedOn w:val="Normal"/>
    <w:semiHidden/>
    <w:rsid w:val="009477A0"/>
    <w:rPr>
      <w:sz w:val="20"/>
    </w:rPr>
  </w:style>
  <w:style w:type="paragraph" w:styleId="CommentSubject">
    <w:name w:val="annotation subject"/>
    <w:basedOn w:val="CommentText"/>
    <w:next w:val="CommentText"/>
    <w:semiHidden/>
    <w:rsid w:val="009477A0"/>
    <w:rPr>
      <w:b/>
      <w:bCs/>
    </w:rPr>
  </w:style>
  <w:style w:type="character" w:styleId="Strong">
    <w:name w:val="Strong"/>
    <w:basedOn w:val="DefaultParagraphFont"/>
    <w:qFormat/>
    <w:rsid w:val="009477A0"/>
    <w:rPr>
      <w:b/>
      <w:bCs/>
    </w:rPr>
  </w:style>
  <w:style w:type="paragraph" w:styleId="ListParagraph">
    <w:name w:val="List Paragraph"/>
    <w:basedOn w:val="Normal"/>
    <w:uiPriority w:val="34"/>
    <w:qFormat/>
    <w:rsid w:val="009477A0"/>
    <w:pPr>
      <w:overflowPunct/>
      <w:autoSpaceDE/>
      <w:autoSpaceDN/>
      <w:adjustRightInd/>
      <w:ind w:left="720"/>
      <w:contextualSpacing/>
      <w:textAlignment w:val="auto"/>
    </w:pPr>
    <w:rPr>
      <w:szCs w:val="24"/>
    </w:rPr>
  </w:style>
  <w:style w:type="paragraph" w:customStyle="1" w:styleId="R1">
    <w:name w:val="R1"/>
    <w:aliases w:val="1. or 1.(1)"/>
    <w:basedOn w:val="Normal"/>
    <w:next w:val="Normal"/>
    <w:link w:val="R1Char"/>
    <w:rsid w:val="009477A0"/>
    <w:pPr>
      <w:keepLines/>
      <w:tabs>
        <w:tab w:val="right" w:pos="794"/>
      </w:tabs>
      <w:overflowPunct/>
      <w:autoSpaceDE/>
      <w:autoSpaceDN/>
      <w:adjustRightInd/>
      <w:spacing w:before="120" w:line="260" w:lineRule="exact"/>
      <w:ind w:left="964" w:hanging="964"/>
      <w:jc w:val="both"/>
      <w:textAlignment w:val="auto"/>
    </w:pPr>
    <w:rPr>
      <w:szCs w:val="24"/>
    </w:rPr>
  </w:style>
  <w:style w:type="character" w:customStyle="1" w:styleId="R1Char">
    <w:name w:val="R1 Char"/>
    <w:aliases w:val="1. or 1.(1) Char"/>
    <w:basedOn w:val="DefaultParagraphFont"/>
    <w:link w:val="R1"/>
    <w:rsid w:val="009477A0"/>
    <w:rPr>
      <w:sz w:val="24"/>
      <w:szCs w:val="24"/>
      <w:lang w:eastAsia="en-US"/>
    </w:rPr>
  </w:style>
  <w:style w:type="paragraph" w:customStyle="1" w:styleId="p10">
    <w:name w:val="p1"/>
    <w:basedOn w:val="Normal"/>
    <w:rsid w:val="009477A0"/>
    <w:pPr>
      <w:overflowPunct/>
      <w:autoSpaceDE/>
      <w:autoSpaceDN/>
      <w:adjustRightInd/>
      <w:spacing w:before="100" w:beforeAutospacing="1" w:after="100" w:afterAutospacing="1"/>
      <w:textAlignment w:val="auto"/>
    </w:pPr>
    <w:rPr>
      <w:szCs w:val="24"/>
      <w:lang w:eastAsia="en-AU"/>
    </w:rPr>
  </w:style>
  <w:style w:type="paragraph" w:styleId="BodyText">
    <w:name w:val="Body Text"/>
    <w:basedOn w:val="Normal"/>
    <w:link w:val="BodyTextChar"/>
    <w:rsid w:val="009477A0"/>
    <w:pPr>
      <w:spacing w:after="120"/>
    </w:pPr>
  </w:style>
  <w:style w:type="character" w:customStyle="1" w:styleId="BodyTextChar">
    <w:name w:val="Body Text Char"/>
    <w:basedOn w:val="DefaultParagraphFont"/>
    <w:link w:val="BodyText"/>
    <w:rsid w:val="009477A0"/>
    <w:rPr>
      <w:sz w:val="24"/>
      <w:lang w:eastAsia="en-US"/>
    </w:rPr>
  </w:style>
  <w:style w:type="paragraph" w:customStyle="1" w:styleId="dot">
    <w:name w:val="dot"/>
    <w:basedOn w:val="Normal"/>
    <w:rsid w:val="009477A0"/>
    <w:pPr>
      <w:tabs>
        <w:tab w:val="left" w:pos="567"/>
        <w:tab w:val="left" w:pos="1134"/>
        <w:tab w:val="left" w:pos="1702"/>
        <w:tab w:val="left" w:pos="2269"/>
        <w:tab w:val="left" w:pos="2835"/>
        <w:tab w:val="left" w:pos="3402"/>
      </w:tabs>
      <w:overflowPunct/>
      <w:autoSpaceDE/>
      <w:autoSpaceDN/>
      <w:adjustRightInd/>
      <w:ind w:left="567" w:hanging="567"/>
      <w:textAlignment w:val="auto"/>
    </w:pPr>
    <w:rPr>
      <w:rFonts w:ascii="Times" w:hAnsi="Times"/>
    </w:rPr>
  </w:style>
</w:styles>
</file>

<file path=word/webSettings.xml><?xml version="1.0" encoding="utf-8"?>
<w:webSettings xmlns:r="http://schemas.openxmlformats.org/officeDocument/2006/relationships" xmlns:w="http://schemas.openxmlformats.org/wordprocessingml/2006/main">
  <w:divs>
    <w:div w:id="362443086">
      <w:bodyDiv w:val="1"/>
      <w:marLeft w:val="0"/>
      <w:marRight w:val="0"/>
      <w:marTop w:val="0"/>
      <w:marBottom w:val="0"/>
      <w:divBdr>
        <w:top w:val="none" w:sz="0" w:space="0" w:color="auto"/>
        <w:left w:val="none" w:sz="0" w:space="0" w:color="auto"/>
        <w:bottom w:val="none" w:sz="0" w:space="0" w:color="auto"/>
        <w:right w:val="none" w:sz="0" w:space="0" w:color="auto"/>
      </w:divBdr>
      <w:divsChild>
        <w:div w:id="1238900612">
          <w:marLeft w:val="0"/>
          <w:marRight w:val="0"/>
          <w:marTop w:val="0"/>
          <w:marBottom w:val="0"/>
          <w:divBdr>
            <w:top w:val="none" w:sz="0" w:space="0" w:color="auto"/>
            <w:left w:val="none" w:sz="0" w:space="0" w:color="auto"/>
            <w:bottom w:val="none" w:sz="0" w:space="0" w:color="auto"/>
            <w:right w:val="none" w:sz="0" w:space="0" w:color="auto"/>
          </w:divBdr>
        </w:div>
      </w:divsChild>
    </w:div>
    <w:div w:id="531846107">
      <w:bodyDiv w:val="1"/>
      <w:marLeft w:val="0"/>
      <w:marRight w:val="0"/>
      <w:marTop w:val="0"/>
      <w:marBottom w:val="0"/>
      <w:divBdr>
        <w:top w:val="none" w:sz="0" w:space="0" w:color="auto"/>
        <w:left w:val="none" w:sz="0" w:space="0" w:color="auto"/>
        <w:bottom w:val="none" w:sz="0" w:space="0" w:color="auto"/>
        <w:right w:val="none" w:sz="0" w:space="0" w:color="auto"/>
      </w:divBdr>
      <w:divsChild>
        <w:div w:id="183134216">
          <w:marLeft w:val="0"/>
          <w:marRight w:val="0"/>
          <w:marTop w:val="0"/>
          <w:marBottom w:val="0"/>
          <w:divBdr>
            <w:top w:val="none" w:sz="0" w:space="0" w:color="auto"/>
            <w:left w:val="none" w:sz="0" w:space="0" w:color="auto"/>
            <w:bottom w:val="none" w:sz="0" w:space="0" w:color="auto"/>
            <w:right w:val="none" w:sz="0" w:space="0" w:color="auto"/>
          </w:divBdr>
          <w:divsChild>
            <w:div w:id="642003048">
              <w:marLeft w:val="0"/>
              <w:marRight w:val="0"/>
              <w:marTop w:val="0"/>
              <w:marBottom w:val="0"/>
              <w:divBdr>
                <w:top w:val="none" w:sz="0" w:space="0" w:color="auto"/>
                <w:left w:val="none" w:sz="0" w:space="0" w:color="auto"/>
                <w:bottom w:val="none" w:sz="0" w:space="0" w:color="auto"/>
                <w:right w:val="none" w:sz="0" w:space="0" w:color="auto"/>
              </w:divBdr>
              <w:divsChild>
                <w:div w:id="21060495">
                  <w:marLeft w:val="0"/>
                  <w:marRight w:val="0"/>
                  <w:marTop w:val="0"/>
                  <w:marBottom w:val="0"/>
                  <w:divBdr>
                    <w:top w:val="none" w:sz="0" w:space="0" w:color="auto"/>
                    <w:left w:val="none" w:sz="0" w:space="0" w:color="auto"/>
                    <w:bottom w:val="none" w:sz="0" w:space="0" w:color="auto"/>
                    <w:right w:val="none" w:sz="0" w:space="0" w:color="auto"/>
                  </w:divBdr>
                  <w:divsChild>
                    <w:div w:id="1241646661">
                      <w:marLeft w:val="0"/>
                      <w:marRight w:val="0"/>
                      <w:marTop w:val="0"/>
                      <w:marBottom w:val="0"/>
                      <w:divBdr>
                        <w:top w:val="none" w:sz="0" w:space="0" w:color="auto"/>
                        <w:left w:val="none" w:sz="0" w:space="0" w:color="auto"/>
                        <w:bottom w:val="none" w:sz="0" w:space="0" w:color="auto"/>
                        <w:right w:val="none" w:sz="0" w:space="0" w:color="auto"/>
                      </w:divBdr>
                      <w:divsChild>
                        <w:div w:id="717054041">
                          <w:marLeft w:val="0"/>
                          <w:marRight w:val="0"/>
                          <w:marTop w:val="0"/>
                          <w:marBottom w:val="0"/>
                          <w:divBdr>
                            <w:top w:val="single" w:sz="6" w:space="0" w:color="828282"/>
                            <w:left w:val="single" w:sz="6" w:space="0" w:color="828282"/>
                            <w:bottom w:val="single" w:sz="6" w:space="0" w:color="828282"/>
                            <w:right w:val="single" w:sz="6" w:space="0" w:color="828282"/>
                          </w:divBdr>
                          <w:divsChild>
                            <w:div w:id="1669673011">
                              <w:marLeft w:val="0"/>
                              <w:marRight w:val="0"/>
                              <w:marTop w:val="0"/>
                              <w:marBottom w:val="0"/>
                              <w:divBdr>
                                <w:top w:val="none" w:sz="0" w:space="0" w:color="auto"/>
                                <w:left w:val="none" w:sz="0" w:space="0" w:color="auto"/>
                                <w:bottom w:val="none" w:sz="0" w:space="0" w:color="auto"/>
                                <w:right w:val="none" w:sz="0" w:space="0" w:color="auto"/>
                              </w:divBdr>
                              <w:divsChild>
                                <w:div w:id="1582524919">
                                  <w:marLeft w:val="0"/>
                                  <w:marRight w:val="0"/>
                                  <w:marTop w:val="0"/>
                                  <w:marBottom w:val="0"/>
                                  <w:divBdr>
                                    <w:top w:val="none" w:sz="0" w:space="0" w:color="auto"/>
                                    <w:left w:val="none" w:sz="0" w:space="0" w:color="auto"/>
                                    <w:bottom w:val="none" w:sz="0" w:space="0" w:color="auto"/>
                                    <w:right w:val="none" w:sz="0" w:space="0" w:color="auto"/>
                                  </w:divBdr>
                                  <w:divsChild>
                                    <w:div w:id="664286344">
                                      <w:marLeft w:val="0"/>
                                      <w:marRight w:val="0"/>
                                      <w:marTop w:val="0"/>
                                      <w:marBottom w:val="0"/>
                                      <w:divBdr>
                                        <w:top w:val="none" w:sz="0" w:space="0" w:color="auto"/>
                                        <w:left w:val="none" w:sz="0" w:space="0" w:color="auto"/>
                                        <w:bottom w:val="none" w:sz="0" w:space="0" w:color="auto"/>
                                        <w:right w:val="none" w:sz="0" w:space="0" w:color="auto"/>
                                      </w:divBdr>
                                      <w:divsChild>
                                        <w:div w:id="884487680">
                                          <w:marLeft w:val="0"/>
                                          <w:marRight w:val="0"/>
                                          <w:marTop w:val="0"/>
                                          <w:marBottom w:val="0"/>
                                          <w:divBdr>
                                            <w:top w:val="none" w:sz="0" w:space="0" w:color="auto"/>
                                            <w:left w:val="none" w:sz="0" w:space="0" w:color="auto"/>
                                            <w:bottom w:val="none" w:sz="0" w:space="0" w:color="auto"/>
                                            <w:right w:val="none" w:sz="0" w:space="0" w:color="auto"/>
                                          </w:divBdr>
                                          <w:divsChild>
                                            <w:div w:id="1649746324">
                                              <w:marLeft w:val="0"/>
                                              <w:marRight w:val="0"/>
                                              <w:marTop w:val="0"/>
                                              <w:marBottom w:val="0"/>
                                              <w:divBdr>
                                                <w:top w:val="none" w:sz="0" w:space="0" w:color="auto"/>
                                                <w:left w:val="none" w:sz="0" w:space="0" w:color="auto"/>
                                                <w:bottom w:val="none" w:sz="0" w:space="0" w:color="auto"/>
                                                <w:right w:val="none" w:sz="0" w:space="0" w:color="auto"/>
                                              </w:divBdr>
                                              <w:divsChild>
                                                <w:div w:id="44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453232">
      <w:bodyDiv w:val="1"/>
      <w:marLeft w:val="0"/>
      <w:marRight w:val="0"/>
      <w:marTop w:val="0"/>
      <w:marBottom w:val="0"/>
      <w:divBdr>
        <w:top w:val="none" w:sz="0" w:space="0" w:color="auto"/>
        <w:left w:val="none" w:sz="0" w:space="0" w:color="auto"/>
        <w:bottom w:val="none" w:sz="0" w:space="0" w:color="auto"/>
        <w:right w:val="none" w:sz="0" w:space="0" w:color="auto"/>
      </w:divBdr>
    </w:div>
    <w:div w:id="1129133519">
      <w:bodyDiv w:val="1"/>
      <w:marLeft w:val="0"/>
      <w:marRight w:val="0"/>
      <w:marTop w:val="0"/>
      <w:marBottom w:val="0"/>
      <w:divBdr>
        <w:top w:val="none" w:sz="0" w:space="0" w:color="auto"/>
        <w:left w:val="none" w:sz="0" w:space="0" w:color="auto"/>
        <w:bottom w:val="none" w:sz="0" w:space="0" w:color="auto"/>
        <w:right w:val="none" w:sz="0" w:space="0" w:color="auto"/>
      </w:divBdr>
      <w:divsChild>
        <w:div w:id="7764812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18289647">
      <w:bodyDiv w:val="1"/>
      <w:marLeft w:val="0"/>
      <w:marRight w:val="0"/>
      <w:marTop w:val="0"/>
      <w:marBottom w:val="0"/>
      <w:divBdr>
        <w:top w:val="none" w:sz="0" w:space="0" w:color="auto"/>
        <w:left w:val="none" w:sz="0" w:space="0" w:color="auto"/>
        <w:bottom w:val="none" w:sz="0" w:space="0" w:color="auto"/>
        <w:right w:val="none" w:sz="0" w:space="0" w:color="auto"/>
      </w:divBdr>
      <w:divsChild>
        <w:div w:id="5248321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94096324">
      <w:bodyDiv w:val="1"/>
      <w:marLeft w:val="0"/>
      <w:marRight w:val="0"/>
      <w:marTop w:val="0"/>
      <w:marBottom w:val="0"/>
      <w:divBdr>
        <w:top w:val="none" w:sz="0" w:space="0" w:color="auto"/>
        <w:left w:val="none" w:sz="0" w:space="0" w:color="auto"/>
        <w:bottom w:val="none" w:sz="0" w:space="0" w:color="auto"/>
        <w:right w:val="none" w:sz="0" w:space="0" w:color="auto"/>
      </w:divBdr>
      <w:divsChild>
        <w:div w:id="9518665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7142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00907-74ED-4A2B-89BC-AB59F9C4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4433</Characters>
  <Application>Microsoft Office Word</Application>
  <DocSecurity>0</DocSecurity>
  <Lines>152</Lines>
  <Paragraphs>115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2011-06-22T22:32:00Z</cp:lastPrinted>
  <dcterms:created xsi:type="dcterms:W3CDTF">2011-12-21T22:56:00Z</dcterms:created>
  <dcterms:modified xsi:type="dcterms:W3CDTF">2011-12-21T23:17:00Z</dcterms:modified>
</cp:coreProperties>
</file>