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0A" w:rsidRDefault="00FA0C0A" w:rsidP="00FA0C0A">
      <w:pPr>
        <w:autoSpaceDE w:val="0"/>
        <w:autoSpaceDN w:val="0"/>
        <w:adjustRightInd w:val="0"/>
        <w:spacing w:after="0"/>
        <w:jc w:val="center"/>
        <w:rPr>
          <w:rFonts w:ascii="TimesNewRoman" w:hAnsi="TimesNewRoman" w:cs="TimesNewRoman"/>
          <w:b/>
          <w:bCs/>
          <w:lang w:val="en-US"/>
        </w:rPr>
      </w:pPr>
      <w:r>
        <w:rPr>
          <w:rFonts w:ascii="TimesNewRoman" w:hAnsi="TimesNewRoman" w:cs="TimesNewRoman"/>
          <w:b/>
          <w:bCs/>
          <w:lang w:val="en-US"/>
        </w:rPr>
        <w:t>EXPLANATORY STATEMENT</w:t>
      </w:r>
    </w:p>
    <w:p w:rsidR="00CA52A2" w:rsidRDefault="00CA52A2" w:rsidP="00FA0C0A">
      <w:pPr>
        <w:autoSpaceDE w:val="0"/>
        <w:autoSpaceDN w:val="0"/>
        <w:adjustRightInd w:val="0"/>
        <w:spacing w:after="0"/>
        <w:jc w:val="center"/>
        <w:rPr>
          <w:rFonts w:ascii="TimesNewRoman" w:hAnsi="TimesNewRoman" w:cs="TimesNewRoman"/>
          <w:lang w:val="en-US"/>
        </w:rPr>
      </w:pPr>
    </w:p>
    <w:p w:rsidR="00FA0C0A" w:rsidRDefault="00FA0C0A" w:rsidP="00FA0C0A">
      <w:pPr>
        <w:autoSpaceDE w:val="0"/>
        <w:autoSpaceDN w:val="0"/>
        <w:adjustRightInd w:val="0"/>
        <w:spacing w:after="0"/>
        <w:jc w:val="center"/>
        <w:rPr>
          <w:rFonts w:ascii="TimesNewRoman" w:hAnsi="TimesNewRoman" w:cs="TimesNewRoman"/>
          <w:lang w:val="en-US"/>
        </w:rPr>
      </w:pPr>
      <w:r>
        <w:rPr>
          <w:rFonts w:ascii="TimesNewRoman" w:hAnsi="TimesNewRoman" w:cs="TimesNewRoman"/>
          <w:lang w:val="en-US"/>
        </w:rPr>
        <w:t>Issued by the authority of the Australian Communications and Media Authority</w:t>
      </w:r>
    </w:p>
    <w:p w:rsidR="00FA0C0A" w:rsidRDefault="00FA0C0A" w:rsidP="00FA0C0A">
      <w:pPr>
        <w:autoSpaceDE w:val="0"/>
        <w:autoSpaceDN w:val="0"/>
        <w:adjustRightInd w:val="0"/>
        <w:spacing w:after="0"/>
        <w:jc w:val="center"/>
        <w:rPr>
          <w:rFonts w:ascii="TimesNewRoman" w:hAnsi="TimesNewRoman" w:cs="TimesNewRoman"/>
          <w:i/>
          <w:iCs/>
          <w:lang w:val="en-US"/>
        </w:rPr>
      </w:pPr>
    </w:p>
    <w:p w:rsidR="00FA0C0A" w:rsidRDefault="00FA0C0A" w:rsidP="00FA0C0A">
      <w:pPr>
        <w:autoSpaceDE w:val="0"/>
        <w:autoSpaceDN w:val="0"/>
        <w:adjustRightInd w:val="0"/>
        <w:spacing w:after="0"/>
        <w:jc w:val="center"/>
        <w:rPr>
          <w:rFonts w:ascii="TimesNewRoman" w:hAnsi="TimesNewRoman" w:cs="TimesNewRoman"/>
          <w:i/>
          <w:iCs/>
          <w:lang w:val="en-US"/>
        </w:rPr>
      </w:pPr>
      <w:r>
        <w:rPr>
          <w:rFonts w:ascii="TimesNewRoman" w:hAnsi="TimesNewRoman" w:cs="TimesNewRoman"/>
          <w:i/>
          <w:iCs/>
          <w:lang w:val="en-US"/>
        </w:rPr>
        <w:t>Telecommunications Act 1997</w:t>
      </w:r>
    </w:p>
    <w:p w:rsidR="00FA0C0A" w:rsidRDefault="00FA0C0A" w:rsidP="00FA0C0A">
      <w:pPr>
        <w:autoSpaceDE w:val="0"/>
        <w:autoSpaceDN w:val="0"/>
        <w:adjustRightInd w:val="0"/>
        <w:spacing w:after="0"/>
        <w:jc w:val="center"/>
        <w:rPr>
          <w:rFonts w:ascii="TimesNewRoman" w:hAnsi="TimesNewRoman" w:cs="TimesNewRoman"/>
          <w:i/>
          <w:iCs/>
          <w:lang w:val="en-US"/>
        </w:rPr>
      </w:pPr>
    </w:p>
    <w:p w:rsidR="00FA0C0A" w:rsidRPr="007B0069" w:rsidRDefault="00FA0C0A" w:rsidP="00FA0C0A">
      <w:pPr>
        <w:autoSpaceDE w:val="0"/>
        <w:autoSpaceDN w:val="0"/>
        <w:adjustRightInd w:val="0"/>
        <w:spacing w:after="0"/>
        <w:jc w:val="center"/>
        <w:rPr>
          <w:rFonts w:ascii="TimesNewRoman" w:hAnsi="TimesNewRoman" w:cs="TimesNewRoman"/>
          <w:i/>
          <w:lang w:val="en-US"/>
        </w:rPr>
      </w:pPr>
      <w:r w:rsidRPr="007B0069">
        <w:rPr>
          <w:rFonts w:ascii="TimesNewRoman" w:hAnsi="TimesNewRoman" w:cs="TimesNewRoman"/>
          <w:i/>
          <w:lang w:val="en-US"/>
        </w:rPr>
        <w:t>Telecommunications Numbering Plan Variation 201</w:t>
      </w:r>
      <w:r w:rsidR="001011F0">
        <w:rPr>
          <w:rFonts w:ascii="TimesNewRoman" w:hAnsi="TimesNewRoman" w:cs="TimesNewRoman"/>
          <w:i/>
          <w:lang w:val="en-US"/>
        </w:rPr>
        <w:t>1</w:t>
      </w:r>
      <w:r w:rsidRPr="007B0069">
        <w:rPr>
          <w:rFonts w:ascii="TimesNewRoman" w:hAnsi="TimesNewRoman" w:cs="TimesNewRoman"/>
          <w:i/>
          <w:lang w:val="en-US"/>
        </w:rPr>
        <w:t xml:space="preserve"> (No.</w:t>
      </w:r>
      <w:r w:rsidR="00F92E07">
        <w:rPr>
          <w:rFonts w:ascii="TimesNewRoman" w:hAnsi="TimesNewRoman" w:cs="TimesNewRoman"/>
          <w:i/>
          <w:lang w:val="en-US"/>
        </w:rPr>
        <w:t>2</w:t>
      </w:r>
      <w:r w:rsidRPr="00677427">
        <w:rPr>
          <w:rFonts w:ascii="TimesNewRoman" w:hAnsi="TimesNewRoman" w:cs="TimesNewRoman"/>
          <w:i/>
          <w:lang w:val="en-US"/>
        </w:rPr>
        <w:t>)</w:t>
      </w:r>
    </w:p>
    <w:p w:rsidR="00FA0C0A" w:rsidRDefault="00FA0C0A" w:rsidP="00FA0C0A">
      <w:pPr>
        <w:autoSpaceDE w:val="0"/>
        <w:autoSpaceDN w:val="0"/>
        <w:adjustRightInd w:val="0"/>
        <w:spacing w:after="0"/>
        <w:rPr>
          <w:rFonts w:ascii="TimesNewRoman" w:hAnsi="TimesNewRoman" w:cs="TimesNewRoman"/>
          <w:b/>
          <w:bCs/>
          <w:lang w:val="en-US"/>
        </w:rPr>
      </w:pPr>
    </w:p>
    <w:p w:rsidR="00FA0C0A" w:rsidRDefault="00FA0C0A" w:rsidP="00FA0C0A">
      <w:pPr>
        <w:autoSpaceDE w:val="0"/>
        <w:autoSpaceDN w:val="0"/>
        <w:adjustRightInd w:val="0"/>
        <w:spacing w:after="0"/>
        <w:rPr>
          <w:rFonts w:ascii="TimesNewRoman" w:hAnsi="TimesNewRoman" w:cs="TimesNewRoman"/>
          <w:b/>
          <w:bCs/>
          <w:caps/>
          <w:lang w:val="en-US"/>
        </w:rPr>
      </w:pPr>
      <w:r w:rsidRPr="00F505DF">
        <w:rPr>
          <w:rFonts w:ascii="TimesNewRoman" w:hAnsi="TimesNewRoman" w:cs="TimesNewRoman"/>
          <w:b/>
          <w:bCs/>
          <w:caps/>
          <w:lang w:val="en-US"/>
        </w:rPr>
        <w:t>Statutory basis</w:t>
      </w:r>
    </w:p>
    <w:p w:rsidR="00F505DF" w:rsidRPr="00F505DF" w:rsidRDefault="00F505DF" w:rsidP="00FA0C0A">
      <w:pPr>
        <w:autoSpaceDE w:val="0"/>
        <w:autoSpaceDN w:val="0"/>
        <w:adjustRightInd w:val="0"/>
        <w:spacing w:after="0"/>
        <w:rPr>
          <w:rFonts w:ascii="TimesNewRoman" w:hAnsi="TimesNewRoman" w:cs="TimesNewRoman"/>
          <w:b/>
          <w:bCs/>
          <w:caps/>
          <w:lang w:val="en-US"/>
        </w:rPr>
      </w:pPr>
    </w:p>
    <w:p w:rsidR="00FA0C0A" w:rsidRDefault="00FA0C0A" w:rsidP="00FA0C0A">
      <w:pPr>
        <w:autoSpaceDE w:val="0"/>
        <w:autoSpaceDN w:val="0"/>
        <w:adjustRightInd w:val="0"/>
        <w:spacing w:after="0"/>
        <w:rPr>
          <w:rFonts w:ascii="TimesNewRoman" w:hAnsi="TimesNewRoman" w:cs="TimesNewRoman"/>
          <w:lang w:val="en-US"/>
        </w:rPr>
      </w:pPr>
      <w:r>
        <w:rPr>
          <w:rFonts w:ascii="TimesNewRoman" w:hAnsi="TimesNewRoman" w:cs="TimesNewRoman"/>
          <w:lang w:val="en-US"/>
        </w:rPr>
        <w:t xml:space="preserve">Under subsection 455(1) of the </w:t>
      </w:r>
      <w:r>
        <w:rPr>
          <w:rFonts w:ascii="TimesNewRoman" w:hAnsi="TimesNewRoman" w:cs="TimesNewRoman"/>
          <w:i/>
          <w:iCs/>
          <w:lang w:val="en-US"/>
        </w:rPr>
        <w:t xml:space="preserve">Telecommunications Act 1997 </w:t>
      </w:r>
      <w:r>
        <w:rPr>
          <w:rFonts w:ascii="TimesNewRoman" w:hAnsi="TimesNewRoman" w:cs="TimesNewRoman"/>
          <w:lang w:val="en-US"/>
        </w:rPr>
        <w:t>(the Act), the</w:t>
      </w:r>
    </w:p>
    <w:p w:rsidR="00FA0C0A" w:rsidRDefault="00FA0C0A" w:rsidP="00FA0C0A">
      <w:pPr>
        <w:autoSpaceDE w:val="0"/>
        <w:autoSpaceDN w:val="0"/>
        <w:adjustRightInd w:val="0"/>
        <w:spacing w:after="0"/>
        <w:rPr>
          <w:rFonts w:ascii="TimesNewRoman" w:hAnsi="TimesNewRoman" w:cs="TimesNewRoman"/>
          <w:lang w:val="en-US"/>
        </w:rPr>
      </w:pPr>
      <w:r>
        <w:rPr>
          <w:rFonts w:ascii="TimesNewRoman" w:hAnsi="TimesNewRoman" w:cs="TimesNewRoman"/>
          <w:lang w:val="en-US"/>
        </w:rPr>
        <w:t>Australian Communications and Media Authority (ACMA) must, by written instrument, make a plan for the numbering of carriage services in Australia and the use of numbers in connection with the supply of such services.</w:t>
      </w:r>
      <w:r w:rsidR="00F505DF">
        <w:rPr>
          <w:rFonts w:ascii="TimesNewRoman" w:hAnsi="TimesNewRoman" w:cs="TimesNewRoman"/>
          <w:lang w:val="en-US"/>
        </w:rPr>
        <w:t xml:space="preserve"> </w:t>
      </w:r>
      <w:r>
        <w:rPr>
          <w:rFonts w:ascii="TimesNewRoman" w:hAnsi="TimesNewRoman" w:cs="TimesNewRoman"/>
          <w:lang w:val="en-US"/>
        </w:rPr>
        <w:t xml:space="preserve"> This is known as the </w:t>
      </w:r>
      <w:r>
        <w:rPr>
          <w:rFonts w:ascii="TimesNewRoman" w:hAnsi="TimesNewRoman" w:cs="TimesNewRoman"/>
          <w:i/>
          <w:iCs/>
          <w:lang w:val="en-US"/>
        </w:rPr>
        <w:t xml:space="preserve">Telecommunications Numbering Plan 1997 </w:t>
      </w:r>
      <w:r w:rsidR="003A1B0A">
        <w:rPr>
          <w:rFonts w:ascii="TimesNewRoman" w:hAnsi="TimesNewRoman" w:cs="TimesNewRoman"/>
          <w:lang w:val="en-US"/>
        </w:rPr>
        <w:t xml:space="preserve">(the </w:t>
      </w:r>
      <w:r>
        <w:rPr>
          <w:rFonts w:ascii="TimesNewRoman" w:hAnsi="TimesNewRoman" w:cs="TimesNewRoman"/>
          <w:lang w:val="en-US"/>
        </w:rPr>
        <w:t xml:space="preserve">Numbering Plan). </w:t>
      </w:r>
    </w:p>
    <w:p w:rsidR="00FA0C0A" w:rsidRDefault="00FA0C0A" w:rsidP="00FA0C0A">
      <w:pPr>
        <w:autoSpaceDE w:val="0"/>
        <w:autoSpaceDN w:val="0"/>
        <w:adjustRightInd w:val="0"/>
        <w:spacing w:after="0"/>
        <w:rPr>
          <w:rFonts w:ascii="TimesNewRoman" w:hAnsi="TimesNewRoman" w:cs="TimesNewRoman"/>
          <w:lang w:val="en-US"/>
        </w:rPr>
      </w:pPr>
    </w:p>
    <w:p w:rsidR="00FA0C0A" w:rsidRDefault="00354628" w:rsidP="00FA0C0A">
      <w:pPr>
        <w:autoSpaceDE w:val="0"/>
        <w:autoSpaceDN w:val="0"/>
        <w:adjustRightInd w:val="0"/>
        <w:spacing w:after="0"/>
        <w:rPr>
          <w:rFonts w:ascii="TimesNewRoman" w:hAnsi="TimesNewRoman" w:cs="TimesNewRoman"/>
          <w:lang w:val="en-US"/>
        </w:rPr>
      </w:pPr>
      <w:r>
        <w:rPr>
          <w:rFonts w:ascii="TimesNewRoman" w:hAnsi="TimesNewRoman" w:cs="TimesNewRoman"/>
          <w:lang w:val="en-US"/>
        </w:rPr>
        <w:t>The</w:t>
      </w:r>
      <w:r w:rsidR="007C1332">
        <w:rPr>
          <w:rFonts w:ascii="TimesNewRoman" w:hAnsi="TimesNewRoman" w:cs="TimesNewRoman"/>
          <w:lang w:val="en-US"/>
        </w:rPr>
        <w:t xml:space="preserve"> ACMA </w:t>
      </w:r>
      <w:r w:rsidR="0038034D">
        <w:rPr>
          <w:rFonts w:ascii="TimesNewRoman" w:hAnsi="TimesNewRoman" w:cs="TimesNewRoman"/>
          <w:lang w:val="en-US"/>
        </w:rPr>
        <w:t xml:space="preserve">has </w:t>
      </w:r>
      <w:r w:rsidR="007C1332">
        <w:rPr>
          <w:rFonts w:ascii="TimesNewRoman" w:hAnsi="TimesNewRoman" w:cs="TimesNewRoman"/>
          <w:lang w:val="en-US"/>
        </w:rPr>
        <w:t xml:space="preserve">varied the Numbering Plan, by written instrument, titled the </w:t>
      </w:r>
      <w:r w:rsidR="007C1332">
        <w:rPr>
          <w:rFonts w:ascii="TimesNewRoman" w:hAnsi="TimesNewRoman" w:cs="TimesNewRoman"/>
          <w:i/>
          <w:iCs/>
          <w:lang w:val="en-US"/>
        </w:rPr>
        <w:t>Telecommunications Numbering Plan Variation 201</w:t>
      </w:r>
      <w:r w:rsidR="001011F0">
        <w:rPr>
          <w:rFonts w:ascii="TimesNewRoman" w:hAnsi="TimesNewRoman" w:cs="TimesNewRoman"/>
          <w:i/>
          <w:iCs/>
          <w:lang w:val="en-US"/>
        </w:rPr>
        <w:t>1</w:t>
      </w:r>
      <w:r w:rsidR="007C1332">
        <w:rPr>
          <w:rFonts w:ascii="TimesNewRoman" w:hAnsi="TimesNewRoman" w:cs="TimesNewRoman"/>
          <w:i/>
          <w:iCs/>
          <w:lang w:val="en-US"/>
        </w:rPr>
        <w:t xml:space="preserve"> (No</w:t>
      </w:r>
      <w:r w:rsidR="007C1332" w:rsidRPr="00677427">
        <w:rPr>
          <w:rFonts w:ascii="TimesNewRoman" w:hAnsi="TimesNewRoman" w:cs="TimesNewRoman"/>
          <w:i/>
          <w:iCs/>
          <w:lang w:val="en-US"/>
        </w:rPr>
        <w:t>.</w:t>
      </w:r>
      <w:r w:rsidR="00F92E07">
        <w:rPr>
          <w:rFonts w:ascii="TimesNewRoman" w:hAnsi="TimesNewRoman" w:cs="TimesNewRoman"/>
          <w:i/>
          <w:iCs/>
          <w:lang w:val="en-US"/>
        </w:rPr>
        <w:t>2</w:t>
      </w:r>
      <w:r w:rsidR="007C1332" w:rsidRPr="00677427">
        <w:rPr>
          <w:rFonts w:ascii="TimesNewRoman" w:hAnsi="TimesNewRoman" w:cs="TimesNewRoman"/>
          <w:i/>
          <w:iCs/>
          <w:lang w:val="en-US"/>
        </w:rPr>
        <w:t>)</w:t>
      </w:r>
      <w:r w:rsidR="007F2C7C">
        <w:rPr>
          <w:rFonts w:ascii="TimesNewRoman" w:hAnsi="TimesNewRoman" w:cs="TimesNewRoman"/>
          <w:iCs/>
          <w:lang w:val="en-US"/>
        </w:rPr>
        <w:t xml:space="preserve"> (the instrument)</w:t>
      </w:r>
      <w:r w:rsidR="007C1332">
        <w:rPr>
          <w:rFonts w:ascii="TimesNewRoman" w:hAnsi="TimesNewRoman" w:cs="TimesNewRoman"/>
          <w:lang w:val="en-US"/>
        </w:rPr>
        <w:t xml:space="preserve">.  The </w:t>
      </w:r>
      <w:r w:rsidR="007F2C7C">
        <w:rPr>
          <w:rFonts w:ascii="TimesNewRoman" w:hAnsi="TimesNewRoman" w:cs="TimesNewRoman"/>
          <w:lang w:val="en-US"/>
        </w:rPr>
        <w:t xml:space="preserve">instrument </w:t>
      </w:r>
      <w:r w:rsidR="0038034D">
        <w:rPr>
          <w:rFonts w:ascii="TimesNewRoman" w:hAnsi="TimesNewRoman" w:cs="TimesNewRoman"/>
          <w:lang w:val="en-US"/>
        </w:rPr>
        <w:t>has been</w:t>
      </w:r>
      <w:r w:rsidR="007C1332">
        <w:rPr>
          <w:rFonts w:ascii="TimesNewRoman" w:hAnsi="TimesNewRoman" w:cs="TimesNewRoman"/>
          <w:lang w:val="en-US"/>
        </w:rPr>
        <w:t xml:space="preserve"> made </w:t>
      </w:r>
      <w:r>
        <w:rPr>
          <w:rFonts w:ascii="TimesNewRoman" w:hAnsi="TimesNewRoman" w:cs="TimesNewRoman"/>
          <w:lang w:val="en-US"/>
        </w:rPr>
        <w:t>in accordance with subsection</w:t>
      </w:r>
      <w:r w:rsidR="007C1332">
        <w:rPr>
          <w:rFonts w:ascii="TimesNewRoman" w:hAnsi="TimesNewRoman" w:cs="TimesNewRoman"/>
          <w:lang w:val="en-US"/>
        </w:rPr>
        <w:t xml:space="preserve"> 455(10) of the Act (which sets out the matters the ACMA must have regard to in varying the Numbering Plan)</w:t>
      </w:r>
      <w:r w:rsidR="00F505DF">
        <w:rPr>
          <w:rFonts w:ascii="TimesNewRoman" w:hAnsi="TimesNewRoman" w:cs="TimesNewRoman"/>
          <w:lang w:val="en-US"/>
        </w:rPr>
        <w:t>.</w:t>
      </w:r>
      <w:r w:rsidR="007C1332">
        <w:rPr>
          <w:rFonts w:ascii="TimesNewRoman" w:hAnsi="TimesNewRoman" w:cs="TimesNewRoman"/>
          <w:lang w:val="en-US"/>
        </w:rPr>
        <w:t xml:space="preserve"> </w:t>
      </w:r>
    </w:p>
    <w:p w:rsidR="00FA0C0A" w:rsidRDefault="00FA0C0A" w:rsidP="00FA0C0A">
      <w:pPr>
        <w:autoSpaceDE w:val="0"/>
        <w:autoSpaceDN w:val="0"/>
        <w:adjustRightInd w:val="0"/>
        <w:spacing w:after="0"/>
        <w:rPr>
          <w:rFonts w:ascii="TimesNewRoman" w:hAnsi="TimesNewRoman" w:cs="TimesNewRoman"/>
          <w:b/>
          <w:bCs/>
          <w:lang w:val="en-US"/>
        </w:rPr>
      </w:pPr>
    </w:p>
    <w:p w:rsidR="00FA0C0A" w:rsidRPr="00F505DF" w:rsidRDefault="00FA0C0A" w:rsidP="00FA0C0A">
      <w:pPr>
        <w:autoSpaceDE w:val="0"/>
        <w:autoSpaceDN w:val="0"/>
        <w:adjustRightInd w:val="0"/>
        <w:spacing w:after="0"/>
        <w:rPr>
          <w:rFonts w:ascii="TimesNewRoman" w:hAnsi="TimesNewRoman" w:cs="TimesNewRoman"/>
          <w:b/>
          <w:bCs/>
          <w:caps/>
          <w:lang w:val="en-US"/>
        </w:rPr>
      </w:pPr>
      <w:r w:rsidRPr="00F505DF">
        <w:rPr>
          <w:rFonts w:ascii="TimesNewRoman" w:hAnsi="TimesNewRoman" w:cs="TimesNewRoman"/>
          <w:b/>
          <w:bCs/>
          <w:caps/>
          <w:lang w:val="en-US"/>
        </w:rPr>
        <w:t>Purpose of the variation</w:t>
      </w:r>
    </w:p>
    <w:p w:rsidR="00F505DF" w:rsidRDefault="00F505DF">
      <w:pPr>
        <w:autoSpaceDE w:val="0"/>
        <w:autoSpaceDN w:val="0"/>
        <w:adjustRightInd w:val="0"/>
        <w:spacing w:after="0"/>
        <w:rPr>
          <w:rFonts w:ascii="TimesNewRoman" w:hAnsi="TimesNewRoman" w:cs="TimesNewRoman"/>
          <w:lang w:val="en-US"/>
        </w:rPr>
      </w:pPr>
    </w:p>
    <w:p w:rsidR="0005396E" w:rsidRPr="00386E65" w:rsidRDefault="00FA0C0A">
      <w:pPr>
        <w:autoSpaceDE w:val="0"/>
        <w:autoSpaceDN w:val="0"/>
        <w:adjustRightInd w:val="0"/>
        <w:spacing w:after="0"/>
        <w:rPr>
          <w:rFonts w:ascii="TimesNewRoman" w:hAnsi="TimesNewRoman" w:cs="TimesNewRoman"/>
          <w:lang w:val="en-US"/>
        </w:rPr>
      </w:pPr>
      <w:r w:rsidRPr="00386E65">
        <w:rPr>
          <w:rFonts w:ascii="TimesNewRoman" w:hAnsi="TimesNewRoman" w:cs="TimesNewRoman"/>
          <w:lang w:val="en-US"/>
        </w:rPr>
        <w:t>The purpose of this variation is to</w:t>
      </w:r>
      <w:r w:rsidR="007C1332" w:rsidRPr="00386E65">
        <w:rPr>
          <w:rFonts w:ascii="TimesNewRoman" w:hAnsi="TimesNewRoman" w:cs="TimesNewRoman"/>
          <w:lang w:val="en-US"/>
        </w:rPr>
        <w:t xml:space="preserve"> make </w:t>
      </w:r>
      <w:r w:rsidR="00BF23A0" w:rsidRPr="00386E65">
        <w:rPr>
          <w:rFonts w:ascii="TimesNewRoman" w:hAnsi="TimesNewRoman" w:cs="TimesNewRoman"/>
          <w:lang w:val="en-US"/>
        </w:rPr>
        <w:t>amendments</w:t>
      </w:r>
      <w:r w:rsidR="007C1332" w:rsidRPr="00386E65">
        <w:rPr>
          <w:rFonts w:ascii="TimesNewRoman" w:hAnsi="TimesNewRoman" w:cs="TimesNewRoman"/>
          <w:lang w:val="en-US"/>
        </w:rPr>
        <w:t xml:space="preserve"> </w:t>
      </w:r>
      <w:r w:rsidR="00FD7BB2" w:rsidRPr="00386E65">
        <w:rPr>
          <w:rFonts w:ascii="TimesNewRoman" w:hAnsi="TimesNewRoman" w:cs="TimesNewRoman"/>
          <w:lang w:val="en-US"/>
        </w:rPr>
        <w:t>which</w:t>
      </w:r>
      <w:r w:rsidR="0005396E" w:rsidRPr="00386E65">
        <w:rPr>
          <w:rFonts w:ascii="TimesNewRoman" w:hAnsi="TimesNewRoman" w:cs="TimesNewRoman"/>
          <w:lang w:val="en-US"/>
        </w:rPr>
        <w:t>:</w:t>
      </w:r>
    </w:p>
    <w:p w:rsidR="0005396E" w:rsidRPr="00386E65" w:rsidRDefault="00386E65" w:rsidP="0005396E">
      <w:pPr>
        <w:pStyle w:val="ListParagraph"/>
        <w:numPr>
          <w:ilvl w:val="0"/>
          <w:numId w:val="11"/>
        </w:numPr>
        <w:autoSpaceDE w:val="0"/>
        <w:autoSpaceDN w:val="0"/>
        <w:adjustRightInd w:val="0"/>
        <w:spacing w:after="0"/>
        <w:rPr>
          <w:rFonts w:ascii="TimesNewRoman" w:hAnsi="TimesNewRoman" w:cs="TimesNewRoman"/>
          <w:lang w:val="en-US"/>
        </w:rPr>
      </w:pPr>
      <w:r w:rsidRPr="00386E65">
        <w:rPr>
          <w:rFonts w:ascii="TimesNewRoman" w:hAnsi="TimesNewRoman" w:cs="TimesNewRoman"/>
          <w:lang w:val="en-US"/>
        </w:rPr>
        <w:t>streamline</w:t>
      </w:r>
      <w:r w:rsidR="0005396E" w:rsidRPr="00386E65">
        <w:rPr>
          <w:rFonts w:ascii="TimesNewRoman" w:hAnsi="TimesNewRoman" w:cs="TimesNewRoman"/>
          <w:lang w:val="en-US"/>
        </w:rPr>
        <w:t xml:space="preserve"> </w:t>
      </w:r>
      <w:r w:rsidRPr="00386E65">
        <w:rPr>
          <w:rFonts w:ascii="TimesNewRoman" w:hAnsi="TimesNewRoman" w:cs="TimesNewRoman"/>
          <w:lang w:val="en-US"/>
        </w:rPr>
        <w:t>the Numbering Plan</w:t>
      </w:r>
      <w:r w:rsidR="00DF7828">
        <w:rPr>
          <w:rFonts w:ascii="TimesNewRoman" w:hAnsi="TimesNewRoman" w:cs="TimesNewRoman"/>
          <w:lang w:val="en-US"/>
        </w:rPr>
        <w:t xml:space="preserve"> and remove references that have become redundant</w:t>
      </w:r>
      <w:r w:rsidRPr="00386E65">
        <w:rPr>
          <w:rFonts w:ascii="TimesNewRoman" w:hAnsi="TimesNewRoman" w:cs="TimesNewRoman"/>
          <w:lang w:val="en-US"/>
        </w:rPr>
        <w:t xml:space="preserve"> </w:t>
      </w:r>
    </w:p>
    <w:p w:rsidR="0005396E" w:rsidRPr="00386E65" w:rsidRDefault="0005396E" w:rsidP="0005396E">
      <w:pPr>
        <w:pStyle w:val="ListParagraph"/>
        <w:numPr>
          <w:ilvl w:val="0"/>
          <w:numId w:val="11"/>
        </w:numPr>
        <w:autoSpaceDE w:val="0"/>
        <w:autoSpaceDN w:val="0"/>
        <w:adjustRightInd w:val="0"/>
        <w:spacing w:after="0"/>
        <w:rPr>
          <w:rFonts w:ascii="TimesNewRoman" w:hAnsi="TimesNewRoman" w:cs="TimesNewRoman"/>
          <w:lang w:val="en-US"/>
        </w:rPr>
      </w:pPr>
      <w:r w:rsidRPr="00386E65">
        <w:rPr>
          <w:rFonts w:ascii="TimesNewRoman" w:hAnsi="TimesNewRoman" w:cs="TimesNewRoman"/>
          <w:lang w:val="en-US"/>
        </w:rPr>
        <w:t>provide clarity and standardise terminology used</w:t>
      </w:r>
    </w:p>
    <w:p w:rsidR="006F0DF9" w:rsidRDefault="0005396E" w:rsidP="00386E65">
      <w:pPr>
        <w:pStyle w:val="ListParagraph"/>
        <w:numPr>
          <w:ilvl w:val="0"/>
          <w:numId w:val="11"/>
        </w:numPr>
        <w:autoSpaceDE w:val="0"/>
        <w:autoSpaceDN w:val="0"/>
        <w:adjustRightInd w:val="0"/>
        <w:spacing w:after="0"/>
        <w:rPr>
          <w:rFonts w:ascii="TimesNewRoman" w:hAnsi="TimesNewRoman" w:cs="TimesNewRoman"/>
          <w:lang w:val="en-US"/>
        </w:rPr>
      </w:pPr>
      <w:r w:rsidRPr="00386E65">
        <w:rPr>
          <w:rFonts w:ascii="TimesNewRoman" w:hAnsi="TimesNewRoman" w:cs="TimesNewRoman"/>
          <w:lang w:val="en-US"/>
        </w:rPr>
        <w:t xml:space="preserve">adjust the timeframes </w:t>
      </w:r>
      <w:r w:rsidR="00386E65" w:rsidRPr="00386E65">
        <w:rPr>
          <w:rFonts w:ascii="TimesNewRoman" w:hAnsi="TimesNewRoman" w:cs="TimesNewRoman"/>
          <w:lang w:val="en-US"/>
        </w:rPr>
        <w:t>set for the ACMA to perform certain functions</w:t>
      </w:r>
    </w:p>
    <w:p w:rsidR="00151DF2" w:rsidRPr="00386E65" w:rsidRDefault="00151DF2" w:rsidP="00386E65">
      <w:pPr>
        <w:pStyle w:val="ListParagraph"/>
        <w:numPr>
          <w:ilvl w:val="0"/>
          <w:numId w:val="11"/>
        </w:numPr>
        <w:autoSpaceDE w:val="0"/>
        <w:autoSpaceDN w:val="0"/>
        <w:adjustRightInd w:val="0"/>
        <w:spacing w:after="0"/>
        <w:rPr>
          <w:rFonts w:ascii="TimesNewRoman" w:hAnsi="TimesNewRoman" w:cs="TimesNewRoman"/>
          <w:lang w:val="en-US"/>
        </w:rPr>
      </w:pPr>
      <w:r>
        <w:rPr>
          <w:rFonts w:ascii="TimesNewRoman" w:hAnsi="TimesNewRoman" w:cs="TimesNewRoman"/>
          <w:lang w:val="en-US"/>
        </w:rPr>
        <w:t>correct minor drafting errors</w:t>
      </w:r>
      <w:r w:rsidR="001E6BEA">
        <w:rPr>
          <w:rFonts w:ascii="TimesNewRoman" w:hAnsi="TimesNewRoman" w:cs="TimesNewRoman"/>
          <w:lang w:val="en-US"/>
        </w:rPr>
        <w:t>.</w:t>
      </w:r>
    </w:p>
    <w:p w:rsidR="00386E65" w:rsidRPr="00386E65" w:rsidRDefault="00386E65" w:rsidP="00386E65">
      <w:pPr>
        <w:pStyle w:val="ListParagraph"/>
        <w:autoSpaceDE w:val="0"/>
        <w:autoSpaceDN w:val="0"/>
        <w:adjustRightInd w:val="0"/>
        <w:spacing w:after="0"/>
        <w:rPr>
          <w:rFonts w:ascii="TimesNewRoman" w:hAnsi="TimesNewRoman" w:cs="TimesNewRoman"/>
          <w:lang w:val="en-US"/>
        </w:rPr>
      </w:pPr>
    </w:p>
    <w:p w:rsidR="005A0568" w:rsidRDefault="00B44FEB" w:rsidP="00461DD6">
      <w:pPr>
        <w:spacing w:after="0"/>
        <w:rPr>
          <w:rFonts w:ascii="TimesNewRoman" w:hAnsi="TimesNewRoman" w:cs="Times New Roman"/>
          <w:lang w:val="en-US"/>
        </w:rPr>
      </w:pPr>
      <w:r w:rsidRPr="00386E65">
        <w:rPr>
          <w:rFonts w:ascii="TimesNewRoman" w:hAnsi="TimesNewRoman" w:cs="TimesNewRoman"/>
          <w:lang w:val="en-US"/>
        </w:rPr>
        <w:t xml:space="preserve">This variation </w:t>
      </w:r>
      <w:r w:rsidR="00FD7BB2" w:rsidRPr="00386E65">
        <w:rPr>
          <w:rFonts w:ascii="TimesNewRoman" w:hAnsi="TimesNewRoman" w:cs="TimesNewRoman"/>
          <w:lang w:val="en-US"/>
        </w:rPr>
        <w:t>recognise</w:t>
      </w:r>
      <w:r w:rsidRPr="00386E65">
        <w:rPr>
          <w:rFonts w:ascii="TimesNewRoman" w:hAnsi="TimesNewRoman" w:cs="TimesNewRoman"/>
          <w:lang w:val="en-US"/>
        </w:rPr>
        <w:t>s</w:t>
      </w:r>
      <w:r w:rsidR="00386E65" w:rsidRPr="00386E65">
        <w:rPr>
          <w:rFonts w:ascii="TimesNewRoman" w:hAnsi="TimesNewRoman" w:cs="Times New Roman"/>
          <w:lang w:val="en-US"/>
        </w:rPr>
        <w:t xml:space="preserve"> that since the current rules were put in place in 1997, the services offered by carriage services providers and the technologies used to deliver them have changed considerably and become more complex.</w:t>
      </w:r>
      <w:r w:rsidR="001D1F1F">
        <w:rPr>
          <w:rFonts w:ascii="TimesNewRoman" w:hAnsi="TimesNewRoman" w:cs="Times New Roman"/>
          <w:lang w:val="en-US"/>
        </w:rPr>
        <w:t xml:space="preserve"> </w:t>
      </w:r>
    </w:p>
    <w:p w:rsidR="00461DD6" w:rsidRPr="00386E65" w:rsidRDefault="00461DD6" w:rsidP="00461DD6">
      <w:pPr>
        <w:spacing w:after="0"/>
        <w:rPr>
          <w:rFonts w:ascii="TimesNewRoman" w:hAnsi="TimesNewRoman" w:cs="Times New Roman"/>
          <w:lang w:val="en-US"/>
        </w:rPr>
      </w:pPr>
    </w:p>
    <w:p w:rsidR="00FA0C0A" w:rsidRPr="00D47C8C" w:rsidRDefault="00FA0C0A" w:rsidP="00FA0C0A">
      <w:pPr>
        <w:autoSpaceDE w:val="0"/>
        <w:autoSpaceDN w:val="0"/>
        <w:adjustRightInd w:val="0"/>
        <w:spacing w:after="0"/>
        <w:rPr>
          <w:rFonts w:ascii="TimesNewRoman" w:hAnsi="TimesNewRoman" w:cs="TimesNewRoman"/>
          <w:b/>
          <w:bCs/>
          <w:caps/>
          <w:lang w:val="en-US"/>
        </w:rPr>
      </w:pPr>
      <w:r w:rsidRPr="00D47C8C">
        <w:rPr>
          <w:rFonts w:ascii="TimesNewRoman" w:hAnsi="TimesNewRoman" w:cs="TimesNewRoman"/>
          <w:b/>
          <w:bCs/>
          <w:caps/>
          <w:lang w:val="en-US"/>
        </w:rPr>
        <w:t>Background</w:t>
      </w:r>
    </w:p>
    <w:p w:rsidR="00F505DF" w:rsidRDefault="00F505DF" w:rsidP="004143C7">
      <w:pPr>
        <w:widowControl w:val="0"/>
        <w:autoSpaceDE w:val="0"/>
        <w:autoSpaceDN w:val="0"/>
        <w:adjustRightInd w:val="0"/>
        <w:spacing w:after="0"/>
        <w:rPr>
          <w:rFonts w:ascii="TimesNewRoman" w:hAnsi="TimesNewRoman" w:cs="TimesNewRoman"/>
          <w:lang w:val="en-US"/>
        </w:rPr>
      </w:pPr>
    </w:p>
    <w:p w:rsidR="00461DD6" w:rsidRDefault="00D14DCB" w:rsidP="00461DD6">
      <w:pPr>
        <w:widowControl w:val="0"/>
        <w:autoSpaceDE w:val="0"/>
        <w:autoSpaceDN w:val="0"/>
        <w:adjustRightInd w:val="0"/>
        <w:spacing w:after="0"/>
        <w:rPr>
          <w:rFonts w:ascii="TimesNewRoman" w:hAnsi="TimesNewRoman" w:cs="Times New Roman"/>
          <w:lang w:val="en-US"/>
        </w:rPr>
      </w:pPr>
      <w:r w:rsidRPr="001C1E1E">
        <w:rPr>
          <w:rFonts w:ascii="TimesNewRoman" w:hAnsi="TimesNewRoman" w:cs="Times New Roman"/>
          <w:lang w:val="en-US"/>
        </w:rPr>
        <w:t>Paragraph</w:t>
      </w:r>
      <w:r w:rsidR="004143C7" w:rsidRPr="001C1E1E">
        <w:rPr>
          <w:rFonts w:ascii="TimesNewRoman" w:hAnsi="TimesNewRoman" w:cs="Times New Roman"/>
          <w:lang w:val="en-US"/>
        </w:rPr>
        <w:t xml:space="preserve"> 455</w:t>
      </w:r>
      <w:r w:rsidR="00FD7BB2" w:rsidRPr="001C1E1E">
        <w:rPr>
          <w:rFonts w:ascii="TimesNewRoman" w:hAnsi="TimesNewRoman" w:cs="Times New Roman"/>
          <w:lang w:val="en-US"/>
        </w:rPr>
        <w:t>(5)(e</w:t>
      </w:r>
      <w:r w:rsidR="003323F1" w:rsidRPr="001C1E1E">
        <w:rPr>
          <w:rFonts w:ascii="TimesNewRoman" w:hAnsi="TimesNewRoman" w:cs="Times New Roman"/>
          <w:lang w:val="en-US"/>
        </w:rPr>
        <w:t>)</w:t>
      </w:r>
      <w:r w:rsidR="004143C7" w:rsidRPr="001C1E1E">
        <w:rPr>
          <w:rFonts w:ascii="TimesNewRoman" w:hAnsi="TimesNewRoman" w:cs="Times New Roman"/>
          <w:lang w:val="en-US"/>
        </w:rPr>
        <w:t xml:space="preserve"> of the Act, </w:t>
      </w:r>
      <w:r w:rsidR="003D6CF1" w:rsidRPr="001C1E1E">
        <w:rPr>
          <w:rFonts w:ascii="TimesNewRoman" w:hAnsi="TimesNewRoman" w:cs="Times New Roman"/>
          <w:lang w:val="en-US"/>
        </w:rPr>
        <w:t xml:space="preserve">provides that </w:t>
      </w:r>
      <w:r w:rsidR="00BD4B98" w:rsidRPr="001C1E1E">
        <w:rPr>
          <w:rFonts w:ascii="TimesNewRoman" w:hAnsi="TimesNewRoman" w:cs="Times New Roman"/>
          <w:lang w:val="en-US"/>
        </w:rPr>
        <w:t>the</w:t>
      </w:r>
      <w:r w:rsidR="003D6CF1" w:rsidRPr="001C1E1E">
        <w:rPr>
          <w:rFonts w:ascii="TimesNewRoman" w:hAnsi="TimesNewRoman" w:cs="Times New Roman"/>
          <w:lang w:val="en-US"/>
        </w:rPr>
        <w:t xml:space="preserve"> N</w:t>
      </w:r>
      <w:r w:rsidR="004143C7" w:rsidRPr="001C1E1E">
        <w:rPr>
          <w:rFonts w:ascii="TimesNewRoman" w:hAnsi="TimesNewRoman" w:cs="Times New Roman"/>
          <w:lang w:val="en-US"/>
        </w:rPr>
        <w:t xml:space="preserve">umbering </w:t>
      </w:r>
      <w:r w:rsidR="003D6CF1" w:rsidRPr="001C1E1E">
        <w:rPr>
          <w:rFonts w:ascii="TimesNewRoman" w:hAnsi="TimesNewRoman" w:cs="Times New Roman"/>
          <w:lang w:val="en-US"/>
        </w:rPr>
        <w:t>P</w:t>
      </w:r>
      <w:r w:rsidR="004143C7" w:rsidRPr="001C1E1E">
        <w:rPr>
          <w:rFonts w:ascii="TimesNewRoman" w:hAnsi="TimesNewRoman" w:cs="Times New Roman"/>
          <w:lang w:val="en-US"/>
        </w:rPr>
        <w:t>lan</w:t>
      </w:r>
      <w:r w:rsidR="003D6CF1" w:rsidRPr="001C1E1E">
        <w:rPr>
          <w:rFonts w:ascii="TimesNewRoman" w:hAnsi="TimesNewRoman" w:cs="Times New Roman"/>
          <w:lang w:val="en-US"/>
        </w:rPr>
        <w:t xml:space="preserve"> </w:t>
      </w:r>
      <w:r w:rsidR="004143C7" w:rsidRPr="001C1E1E">
        <w:rPr>
          <w:rFonts w:ascii="TimesNewRoman" w:hAnsi="TimesNewRoman" w:cs="Times New Roman"/>
          <w:lang w:val="en-US"/>
        </w:rPr>
        <w:t xml:space="preserve">may set rules relating to the </w:t>
      </w:r>
      <w:r w:rsidR="00FD7BB2" w:rsidRPr="001C1E1E">
        <w:rPr>
          <w:rFonts w:ascii="TimesNewRoman" w:hAnsi="TimesNewRoman" w:cs="Times New Roman"/>
          <w:lang w:val="en-US"/>
        </w:rPr>
        <w:t xml:space="preserve">use of </w:t>
      </w:r>
      <w:r w:rsidR="004143C7" w:rsidRPr="001C1E1E">
        <w:rPr>
          <w:rFonts w:ascii="TimesNewRoman" w:hAnsi="TimesNewRoman" w:cs="Times New Roman"/>
          <w:lang w:val="en-US"/>
        </w:rPr>
        <w:t>allocat</w:t>
      </w:r>
      <w:r w:rsidR="00FD7BB2" w:rsidRPr="001C1E1E">
        <w:rPr>
          <w:rFonts w:ascii="TimesNewRoman" w:hAnsi="TimesNewRoman" w:cs="Times New Roman"/>
          <w:lang w:val="en-US"/>
        </w:rPr>
        <w:t>ed</w:t>
      </w:r>
      <w:r w:rsidR="004143C7" w:rsidRPr="001C1E1E">
        <w:rPr>
          <w:rFonts w:ascii="TimesNewRoman" w:hAnsi="TimesNewRoman" w:cs="Times New Roman"/>
          <w:lang w:val="en-US"/>
        </w:rPr>
        <w:t xml:space="preserve"> numbers</w:t>
      </w:r>
      <w:r w:rsidR="003323F1" w:rsidRPr="001C1E1E">
        <w:rPr>
          <w:rFonts w:ascii="TimesNewRoman" w:hAnsi="TimesNewRoman" w:cs="Times New Roman"/>
          <w:lang w:val="en-US"/>
        </w:rPr>
        <w:t xml:space="preserve"> </w:t>
      </w:r>
      <w:r w:rsidR="00FD7BB2" w:rsidRPr="001C1E1E">
        <w:rPr>
          <w:rFonts w:ascii="TimesNewRoman" w:hAnsi="TimesNewRoman" w:cs="Times New Roman"/>
          <w:lang w:val="en-US"/>
        </w:rPr>
        <w:t>in connection</w:t>
      </w:r>
      <w:r w:rsidR="00E72835" w:rsidRPr="001C1E1E">
        <w:rPr>
          <w:rFonts w:ascii="TimesNewRoman" w:hAnsi="TimesNewRoman" w:cs="Times New Roman"/>
          <w:lang w:val="en-US"/>
        </w:rPr>
        <w:t xml:space="preserve"> with the supply of carr</w:t>
      </w:r>
      <w:r w:rsidR="00FD7BB2" w:rsidRPr="001C1E1E">
        <w:rPr>
          <w:rFonts w:ascii="TimesNewRoman" w:hAnsi="TimesNewRoman" w:cs="Times New Roman"/>
          <w:lang w:val="en-US"/>
        </w:rPr>
        <w:t>i</w:t>
      </w:r>
      <w:r w:rsidR="00E72835" w:rsidRPr="001C1E1E">
        <w:rPr>
          <w:rFonts w:ascii="TimesNewRoman" w:hAnsi="TimesNewRoman" w:cs="Times New Roman"/>
          <w:lang w:val="en-US"/>
        </w:rPr>
        <w:t>a</w:t>
      </w:r>
      <w:r w:rsidR="00FD7BB2" w:rsidRPr="001C1E1E">
        <w:rPr>
          <w:rFonts w:ascii="TimesNewRoman" w:hAnsi="TimesNewRoman" w:cs="Times New Roman"/>
          <w:lang w:val="en-US"/>
        </w:rPr>
        <w:t>ge serv</w:t>
      </w:r>
      <w:r w:rsidR="00E72835" w:rsidRPr="001C1E1E">
        <w:rPr>
          <w:rFonts w:ascii="TimesNewRoman" w:hAnsi="TimesNewRoman" w:cs="Times New Roman"/>
          <w:lang w:val="en-US"/>
        </w:rPr>
        <w:t>ices to the public in Australia</w:t>
      </w:r>
      <w:r w:rsidR="00330B62" w:rsidRPr="001C1E1E">
        <w:rPr>
          <w:rFonts w:ascii="TimesNewRoman" w:hAnsi="TimesNewRoman" w:cs="Times New Roman"/>
          <w:lang w:val="en-US"/>
        </w:rPr>
        <w:t xml:space="preserve">, including rules </w:t>
      </w:r>
      <w:r w:rsidR="00E72835" w:rsidRPr="001C1E1E">
        <w:rPr>
          <w:rFonts w:ascii="TimesNewRoman" w:hAnsi="TimesNewRoman" w:cs="Times New Roman"/>
          <w:lang w:val="en-US"/>
        </w:rPr>
        <w:t xml:space="preserve">about the issue of allocated numbers by carriage service providers </w:t>
      </w:r>
      <w:r w:rsidR="003D4034">
        <w:rPr>
          <w:rFonts w:ascii="TimesNewRoman" w:hAnsi="TimesNewRoman" w:cs="Times New Roman"/>
          <w:lang w:val="en-US"/>
        </w:rPr>
        <w:t xml:space="preserve">(CSPs) </w:t>
      </w:r>
      <w:r w:rsidR="00E72835" w:rsidRPr="001C1E1E">
        <w:rPr>
          <w:rFonts w:ascii="TimesNewRoman" w:hAnsi="TimesNewRoman" w:cs="Times New Roman"/>
          <w:lang w:val="en-US"/>
        </w:rPr>
        <w:t>to customers.</w:t>
      </w:r>
      <w:r w:rsidR="00330B62" w:rsidRPr="001C1E1E" w:rsidDel="00330B62">
        <w:rPr>
          <w:rFonts w:ascii="TimesNewRoman" w:hAnsi="TimesNewRoman" w:cs="Times New Roman"/>
          <w:lang w:val="en-US"/>
        </w:rPr>
        <w:t xml:space="preserve"> </w:t>
      </w:r>
    </w:p>
    <w:p w:rsidR="00461DD6" w:rsidRDefault="00461DD6" w:rsidP="00461DD6">
      <w:pPr>
        <w:widowControl w:val="0"/>
        <w:autoSpaceDE w:val="0"/>
        <w:autoSpaceDN w:val="0"/>
        <w:adjustRightInd w:val="0"/>
        <w:spacing w:after="0"/>
        <w:rPr>
          <w:rFonts w:ascii="TimesNewRoman" w:hAnsi="TimesNewRoman" w:cs="Times New Roman"/>
          <w:lang w:val="en-US"/>
        </w:rPr>
      </w:pPr>
    </w:p>
    <w:p w:rsidR="00461DD6" w:rsidRDefault="00426A50" w:rsidP="00461DD6">
      <w:pPr>
        <w:widowControl w:val="0"/>
        <w:autoSpaceDE w:val="0"/>
        <w:autoSpaceDN w:val="0"/>
        <w:adjustRightInd w:val="0"/>
        <w:spacing w:after="0"/>
        <w:rPr>
          <w:rFonts w:ascii="TimesNewRoman" w:hAnsi="TimesNewRoman" w:cs="Times New Roman"/>
        </w:rPr>
      </w:pPr>
      <w:r w:rsidRPr="00635F8D">
        <w:rPr>
          <w:rFonts w:ascii="TimesNewRoman" w:hAnsi="TimesNewRoman" w:cs="Times New Roman"/>
        </w:rPr>
        <w:t xml:space="preserve">During 2010 and 2011 the ACMA undertook a work program to examine the current arrangements for telephone numbers. The aim of the work program was to consider whether the arrangements were efficient and effective and what, if any, transitional arrangements might be necessary to implement to ensure they are suitable for the future. </w:t>
      </w:r>
    </w:p>
    <w:p w:rsidR="00461DD6" w:rsidRDefault="00461DD6" w:rsidP="00461DD6">
      <w:pPr>
        <w:widowControl w:val="0"/>
        <w:autoSpaceDE w:val="0"/>
        <w:autoSpaceDN w:val="0"/>
        <w:adjustRightInd w:val="0"/>
        <w:spacing w:after="0"/>
        <w:rPr>
          <w:rFonts w:ascii="TimesNewRoman" w:hAnsi="TimesNewRoman" w:cs="Times New Roman"/>
        </w:rPr>
      </w:pPr>
    </w:p>
    <w:p w:rsidR="00C812AC" w:rsidRDefault="00DF39FF" w:rsidP="00461DD6">
      <w:pPr>
        <w:widowControl w:val="0"/>
        <w:autoSpaceDE w:val="0"/>
        <w:autoSpaceDN w:val="0"/>
        <w:adjustRightInd w:val="0"/>
        <w:spacing w:after="0"/>
        <w:rPr>
          <w:rFonts w:ascii="TimesNewRoman" w:hAnsi="TimesNewRoman" w:cs="Times New Roman"/>
        </w:rPr>
      </w:pPr>
      <w:r>
        <w:rPr>
          <w:rFonts w:ascii="TimesNewRoman" w:hAnsi="TimesNewRoman" w:cs="Times New Roman"/>
        </w:rPr>
        <w:t>On 11</w:t>
      </w:r>
      <w:r w:rsidR="001C1E1E" w:rsidRPr="00635F8D">
        <w:rPr>
          <w:rFonts w:ascii="TimesNewRoman" w:hAnsi="TimesNewRoman" w:cs="Times New Roman"/>
        </w:rPr>
        <w:t xml:space="preserve"> October 2011, </w:t>
      </w:r>
      <w:r w:rsidR="005B3D9F" w:rsidRPr="00635F8D">
        <w:rPr>
          <w:rFonts w:ascii="TimesNewRoman" w:hAnsi="TimesNewRoman" w:cs="Times New Roman"/>
        </w:rPr>
        <w:t xml:space="preserve">the ACMA </w:t>
      </w:r>
      <w:r w:rsidR="001C1E1E" w:rsidRPr="00635F8D">
        <w:rPr>
          <w:rFonts w:ascii="TimesNewRoman" w:hAnsi="TimesNewRoman" w:cs="Times New Roman"/>
        </w:rPr>
        <w:t xml:space="preserve">announced its decision to take action on five </w:t>
      </w:r>
      <w:r w:rsidR="001C1E1E" w:rsidRPr="00635F8D">
        <w:rPr>
          <w:rFonts w:ascii="TimesNewRoman" w:hAnsi="TimesNewRoman" w:cs="Times New Roman"/>
        </w:rPr>
        <w:lastRenderedPageBreak/>
        <w:t>matters which were explored through the course of the numbering work program and the Numbering Advisory Committee. Three of those matters–</w:t>
      </w:r>
      <w:r w:rsidR="005B3D9F" w:rsidRPr="00635F8D">
        <w:rPr>
          <w:rFonts w:ascii="TimesNewRoman" w:hAnsi="TimesNewRoman" w:cs="Times New Roman"/>
        </w:rPr>
        <w:t xml:space="preserve">removal of schedule 12, removal/consolidation of service types and amendment to the definition of </w:t>
      </w:r>
      <w:r w:rsidR="005B3D9F" w:rsidRPr="00635F8D">
        <w:rPr>
          <w:rFonts w:ascii="TimesNewRoman" w:hAnsi="TimesNewRoman" w:cs="Times New Roman"/>
          <w:i/>
        </w:rPr>
        <w:t>country code</w:t>
      </w:r>
      <w:r w:rsidR="001C1E1E" w:rsidRPr="00635F8D">
        <w:rPr>
          <w:rFonts w:ascii="TimesNewRoman" w:hAnsi="TimesNewRoman" w:cs="Times New Roman"/>
        </w:rPr>
        <w:t xml:space="preserve"> –</w:t>
      </w:r>
      <w:r w:rsidR="008B6773">
        <w:rPr>
          <w:rFonts w:ascii="TimesNewRoman" w:hAnsi="TimesNewRoman" w:cs="Times New Roman"/>
        </w:rPr>
        <w:t xml:space="preserve"> </w:t>
      </w:r>
      <w:r w:rsidR="005B3D9F" w:rsidRPr="00635F8D">
        <w:rPr>
          <w:rFonts w:ascii="TimesNewRoman" w:hAnsi="TimesNewRoman" w:cs="Times New Roman"/>
        </w:rPr>
        <w:t>are addressed in this variation. The remainder of the amendments in this variation have been identified separately to the numbering work program.</w:t>
      </w:r>
      <w:r w:rsidR="001C1E1E" w:rsidRPr="00635F8D">
        <w:rPr>
          <w:rFonts w:ascii="TimesNewRoman" w:hAnsi="TimesNewRoman" w:cs="Times New Roman"/>
        </w:rPr>
        <w:t xml:space="preserve"> </w:t>
      </w:r>
    </w:p>
    <w:p w:rsidR="00461DD6" w:rsidRPr="00461DD6" w:rsidRDefault="00461DD6" w:rsidP="00461DD6">
      <w:pPr>
        <w:widowControl w:val="0"/>
        <w:autoSpaceDE w:val="0"/>
        <w:autoSpaceDN w:val="0"/>
        <w:adjustRightInd w:val="0"/>
        <w:spacing w:after="0"/>
        <w:rPr>
          <w:rFonts w:ascii="TimesNewRoman" w:hAnsi="TimesNewRoman" w:cs="Times New Roman"/>
          <w:lang w:val="en-US"/>
        </w:rPr>
      </w:pPr>
    </w:p>
    <w:p w:rsidR="00FA0C0A" w:rsidRPr="00635F8D" w:rsidRDefault="00FA0C0A" w:rsidP="00FA0C0A">
      <w:pPr>
        <w:autoSpaceDE w:val="0"/>
        <w:autoSpaceDN w:val="0"/>
        <w:adjustRightInd w:val="0"/>
        <w:spacing w:after="0"/>
        <w:rPr>
          <w:rFonts w:ascii="TimesNewRoman" w:hAnsi="TimesNewRoman" w:cs="Times New Roman"/>
          <w:b/>
          <w:bCs/>
          <w:caps/>
          <w:lang w:val="en-US"/>
        </w:rPr>
      </w:pPr>
      <w:r w:rsidRPr="00635F8D">
        <w:rPr>
          <w:rFonts w:ascii="TimesNewRoman" w:hAnsi="TimesNewRoman" w:cs="Times New Roman"/>
          <w:b/>
          <w:bCs/>
          <w:caps/>
          <w:lang w:val="en-US"/>
        </w:rPr>
        <w:t>Consultation</w:t>
      </w:r>
    </w:p>
    <w:p w:rsidR="008533A0" w:rsidRPr="00635F8D" w:rsidRDefault="008533A0" w:rsidP="00FA0C0A">
      <w:pPr>
        <w:autoSpaceDE w:val="0"/>
        <w:autoSpaceDN w:val="0"/>
        <w:adjustRightInd w:val="0"/>
        <w:spacing w:after="0"/>
        <w:rPr>
          <w:rFonts w:ascii="TimesNewRoman" w:hAnsi="TimesNewRoman" w:cs="Times New Roman"/>
          <w:b/>
          <w:bCs/>
          <w:caps/>
          <w:lang w:val="en-US"/>
        </w:rPr>
      </w:pPr>
    </w:p>
    <w:p w:rsidR="00BB5ADE" w:rsidRPr="00635F8D" w:rsidRDefault="00C06113" w:rsidP="00BB5ADE">
      <w:pPr>
        <w:widowControl w:val="0"/>
        <w:autoSpaceDE w:val="0"/>
        <w:autoSpaceDN w:val="0"/>
        <w:adjustRightInd w:val="0"/>
        <w:spacing w:after="0"/>
        <w:rPr>
          <w:rFonts w:ascii="TimesNewRoman" w:hAnsi="TimesNewRoman" w:cs="Times New Roman"/>
          <w:snapToGrid w:val="0"/>
        </w:rPr>
      </w:pPr>
      <w:r w:rsidRPr="00635F8D">
        <w:rPr>
          <w:rFonts w:ascii="TimesNewRoman" w:hAnsi="TimesNewRoman" w:cs="Times New Roman"/>
          <w:snapToGrid w:val="0"/>
        </w:rPr>
        <w:t>A</w:t>
      </w:r>
      <w:r w:rsidR="00BB5ADE" w:rsidRPr="00635F8D">
        <w:rPr>
          <w:rFonts w:ascii="TimesNewRoman" w:hAnsi="TimesNewRoman" w:cs="Times New Roman"/>
          <w:snapToGrid w:val="0"/>
        </w:rPr>
        <w:t xml:space="preserve"> consultation paper </w:t>
      </w:r>
      <w:r w:rsidR="00BB5ADE" w:rsidRPr="00635F8D">
        <w:rPr>
          <w:rFonts w:ascii="TimesNewRoman" w:hAnsi="TimesNewRoman" w:cs="Times New Roman"/>
          <w:i/>
          <w:snapToGrid w:val="0"/>
        </w:rPr>
        <w:t>‘Variation 2011– understanding its effect on numbering’</w:t>
      </w:r>
      <w:r w:rsidR="00BB5ADE" w:rsidRPr="00635F8D">
        <w:rPr>
          <w:rFonts w:ascii="TimesNewRoman" w:hAnsi="TimesNewRoman" w:cs="Times New Roman"/>
          <w:snapToGrid w:val="0"/>
        </w:rPr>
        <w:t xml:space="preserve"> </w:t>
      </w:r>
      <w:r w:rsidR="008B6773">
        <w:rPr>
          <w:rFonts w:ascii="TimesNewRoman" w:hAnsi="TimesNewRoman" w:cs="Times New Roman"/>
          <w:snapToGrid w:val="0"/>
        </w:rPr>
        <w:t xml:space="preserve">discussing the amendments contained in this variation </w:t>
      </w:r>
      <w:r w:rsidRPr="00635F8D">
        <w:rPr>
          <w:rFonts w:ascii="TimesNewRoman" w:hAnsi="TimesNewRoman" w:cs="Times New Roman"/>
          <w:snapToGrid w:val="0"/>
        </w:rPr>
        <w:t xml:space="preserve">was released on 9 November 2011 </w:t>
      </w:r>
      <w:r w:rsidR="001944C5" w:rsidRPr="00635F8D">
        <w:rPr>
          <w:rFonts w:ascii="TimesNewRoman" w:hAnsi="TimesNewRoman" w:cs="Times New Roman"/>
          <w:snapToGrid w:val="0"/>
        </w:rPr>
        <w:t>inviting comment by 30 November 2011. The paper was</w:t>
      </w:r>
      <w:r w:rsidRPr="00635F8D">
        <w:rPr>
          <w:rFonts w:ascii="TimesNewRoman" w:hAnsi="TimesNewRoman" w:cs="Times New Roman"/>
          <w:snapToGrid w:val="0"/>
        </w:rPr>
        <w:t xml:space="preserve"> distributed to members of the Numbering Advisory Committee and to 10</w:t>
      </w:r>
      <w:r w:rsidR="001C1E1E" w:rsidRPr="00635F8D">
        <w:rPr>
          <w:rFonts w:ascii="TimesNewRoman" w:hAnsi="TimesNewRoman" w:cs="Times New Roman"/>
          <w:snapToGrid w:val="0"/>
        </w:rPr>
        <w:t>8</w:t>
      </w:r>
      <w:r w:rsidRPr="00635F8D">
        <w:rPr>
          <w:rFonts w:ascii="TimesNewRoman" w:hAnsi="TimesNewRoman" w:cs="Times New Roman"/>
          <w:snapToGrid w:val="0"/>
        </w:rPr>
        <w:t xml:space="preserve"> other industry members, including holders of numbers and people who have engaged with the Numbering Work Program. The consultation paper was also made available on the ACMA website.</w:t>
      </w:r>
      <w:r w:rsidR="001944C5" w:rsidRPr="00635F8D">
        <w:rPr>
          <w:rFonts w:ascii="TimesNewRoman" w:hAnsi="TimesNewRoman" w:cs="Times New Roman"/>
          <w:snapToGrid w:val="0"/>
        </w:rPr>
        <w:t xml:space="preserve"> </w:t>
      </w:r>
      <w:r w:rsidR="00DF39FF" w:rsidRPr="00DF39FF">
        <w:rPr>
          <w:rFonts w:ascii="TimesNewRoman" w:hAnsi="TimesNewRoman" w:cs="Times New Roman"/>
          <w:snapToGrid w:val="0"/>
        </w:rPr>
        <w:t>Respondents generally supported the amendments</w:t>
      </w:r>
      <w:r w:rsidR="001E6BEA">
        <w:rPr>
          <w:rFonts w:ascii="TimesNewRoman" w:hAnsi="TimesNewRoman" w:cs="Times New Roman"/>
          <w:snapToGrid w:val="0"/>
        </w:rPr>
        <w:t>.</w:t>
      </w:r>
      <w:r w:rsidR="00DF39FF" w:rsidRPr="00DF39FF">
        <w:rPr>
          <w:rFonts w:ascii="TimesNewRoman" w:hAnsi="TimesNewRoman" w:cs="Times New Roman"/>
          <w:snapToGrid w:val="0"/>
        </w:rPr>
        <w:t xml:space="preserve"> </w:t>
      </w:r>
      <w:r w:rsidR="001E6BEA">
        <w:rPr>
          <w:rFonts w:ascii="TimesNewRoman" w:hAnsi="TimesNewRoman" w:cs="Times New Roman"/>
          <w:snapToGrid w:val="0"/>
        </w:rPr>
        <w:t>H</w:t>
      </w:r>
      <w:r w:rsidR="00DF39FF" w:rsidRPr="00DF39FF">
        <w:rPr>
          <w:rFonts w:ascii="TimesNewRoman" w:hAnsi="TimesNewRoman" w:cs="Times New Roman"/>
          <w:snapToGrid w:val="0"/>
        </w:rPr>
        <w:t>owever</w:t>
      </w:r>
      <w:r w:rsidR="001E6BEA">
        <w:rPr>
          <w:rFonts w:ascii="TimesNewRoman" w:hAnsi="TimesNewRoman" w:cs="Times New Roman"/>
          <w:snapToGrid w:val="0"/>
        </w:rPr>
        <w:t>,</w:t>
      </w:r>
      <w:r w:rsidR="00DF39FF" w:rsidRPr="00DF39FF">
        <w:rPr>
          <w:rFonts w:ascii="TimesNewRoman" w:hAnsi="TimesNewRoman" w:cs="Times New Roman"/>
          <w:snapToGrid w:val="0"/>
        </w:rPr>
        <w:t xml:space="preserve"> in relation to </w:t>
      </w:r>
      <w:r w:rsidR="00DF39FF">
        <w:rPr>
          <w:rFonts w:ascii="TimesNewRoman" w:hAnsi="TimesNewRoman" w:cs="Times New Roman"/>
          <w:snapToGrid w:val="0"/>
        </w:rPr>
        <w:t xml:space="preserve">a </w:t>
      </w:r>
      <w:r w:rsidR="00DF39FF" w:rsidRPr="00DF39FF">
        <w:rPr>
          <w:rFonts w:ascii="TimesNewRoman" w:hAnsi="TimesNewRoman" w:cs="Times New Roman"/>
          <w:snapToGrid w:val="0"/>
        </w:rPr>
        <w:t>proposed amendment to consolidate the prefixes specified for use with internal network services, consultation revealed that some of the prefixes were being used and therefore this amendment was refined.</w:t>
      </w:r>
    </w:p>
    <w:p w:rsidR="005B3D9F" w:rsidRPr="00635F8D" w:rsidRDefault="005B3D9F" w:rsidP="004143C7">
      <w:pPr>
        <w:widowControl w:val="0"/>
        <w:autoSpaceDE w:val="0"/>
        <w:autoSpaceDN w:val="0"/>
        <w:adjustRightInd w:val="0"/>
        <w:spacing w:after="0"/>
        <w:rPr>
          <w:rFonts w:ascii="TimesNewRoman" w:hAnsi="TimesNewRoman" w:cs="Times New Roman"/>
          <w:highlight w:val="yellow"/>
          <w:lang w:val="en-US"/>
        </w:rPr>
      </w:pPr>
    </w:p>
    <w:p w:rsidR="00B6425F" w:rsidRPr="00947B52" w:rsidRDefault="005B3D9F" w:rsidP="004143C7">
      <w:pPr>
        <w:widowControl w:val="0"/>
        <w:autoSpaceDE w:val="0"/>
        <w:autoSpaceDN w:val="0"/>
        <w:adjustRightInd w:val="0"/>
        <w:spacing w:after="0"/>
        <w:rPr>
          <w:rFonts w:ascii="TimesNewRoman" w:hAnsi="TimesNewRoman" w:cs="Times New Roman"/>
          <w:lang w:val="en-US"/>
        </w:rPr>
      </w:pPr>
      <w:r w:rsidRPr="00947B52">
        <w:rPr>
          <w:rFonts w:ascii="TimesNewRoman" w:hAnsi="TimesNewRoman" w:cs="Times New Roman"/>
          <w:lang w:val="en-US"/>
        </w:rPr>
        <w:t>Note</w:t>
      </w:r>
      <w:r w:rsidR="00461DD6" w:rsidRPr="00947B52">
        <w:rPr>
          <w:rFonts w:ascii="TimesNewRoman" w:hAnsi="TimesNewRoman" w:cs="Times New Roman"/>
          <w:lang w:val="en-US"/>
        </w:rPr>
        <w:t>:</w:t>
      </w:r>
      <w:r w:rsidRPr="00947B52">
        <w:rPr>
          <w:rFonts w:ascii="TimesNewRoman" w:hAnsi="TimesNewRoman" w:cs="Times New Roman"/>
          <w:lang w:val="en-US"/>
        </w:rPr>
        <w:t xml:space="preserve"> </w:t>
      </w:r>
      <w:r w:rsidR="00461DD6" w:rsidRPr="00947B52">
        <w:rPr>
          <w:rFonts w:ascii="TimesNewRoman" w:hAnsi="TimesNewRoman" w:cs="Times New Roman"/>
          <w:lang w:val="en-US"/>
        </w:rPr>
        <w:t>I</w:t>
      </w:r>
      <w:r w:rsidRPr="00947B52">
        <w:rPr>
          <w:rFonts w:ascii="TimesNewRoman" w:hAnsi="TimesNewRoman" w:cs="Times New Roman"/>
          <w:lang w:val="en-US"/>
        </w:rPr>
        <w:t>tems 1-4, 6</w:t>
      </w:r>
      <w:r w:rsidR="00B7697E" w:rsidRPr="00947B52">
        <w:rPr>
          <w:rFonts w:ascii="TimesNewRoman" w:hAnsi="TimesNewRoman" w:cs="Times New Roman"/>
          <w:lang w:val="en-US"/>
        </w:rPr>
        <w:t>-</w:t>
      </w:r>
      <w:r w:rsidR="00DF39FF">
        <w:rPr>
          <w:rFonts w:ascii="TimesNewRoman" w:hAnsi="TimesNewRoman" w:cs="Times New Roman"/>
          <w:lang w:val="en-US"/>
        </w:rPr>
        <w:t>16</w:t>
      </w:r>
      <w:r w:rsidR="00B7697E" w:rsidRPr="00947B52">
        <w:rPr>
          <w:rFonts w:ascii="TimesNewRoman" w:hAnsi="TimesNewRoman" w:cs="Times New Roman"/>
          <w:lang w:val="en-US"/>
        </w:rPr>
        <w:t xml:space="preserve">, </w:t>
      </w:r>
      <w:r w:rsidR="00DF39FF">
        <w:rPr>
          <w:rFonts w:ascii="TimesNewRoman" w:hAnsi="TimesNewRoman" w:cs="Times New Roman"/>
          <w:lang w:val="en-US"/>
        </w:rPr>
        <w:t>19-27</w:t>
      </w:r>
      <w:r w:rsidR="00947B52" w:rsidRPr="00947B52">
        <w:rPr>
          <w:rFonts w:ascii="TimesNewRoman" w:hAnsi="TimesNewRoman" w:cs="Times New Roman"/>
          <w:lang w:val="en-US"/>
        </w:rPr>
        <w:t xml:space="preserve"> </w:t>
      </w:r>
      <w:r w:rsidR="00B7697E" w:rsidRPr="00947B52">
        <w:rPr>
          <w:rFonts w:ascii="TimesNewRoman" w:hAnsi="TimesNewRoman" w:cs="Times New Roman"/>
          <w:lang w:val="en-US"/>
        </w:rPr>
        <w:t xml:space="preserve">and </w:t>
      </w:r>
      <w:r w:rsidR="00DF39FF">
        <w:rPr>
          <w:rFonts w:ascii="TimesNewRoman" w:hAnsi="TimesNewRoman" w:cs="Times New Roman"/>
          <w:lang w:val="en-US"/>
        </w:rPr>
        <w:t>47-50</w:t>
      </w:r>
      <w:r w:rsidR="00947B52" w:rsidRPr="00947B52">
        <w:rPr>
          <w:rFonts w:ascii="TimesNewRoman" w:hAnsi="TimesNewRoman" w:cs="Times New Roman"/>
          <w:lang w:val="en-US"/>
        </w:rPr>
        <w:t xml:space="preserve"> </w:t>
      </w:r>
      <w:r w:rsidR="001E6BEA">
        <w:rPr>
          <w:rFonts w:ascii="TimesNewRoman" w:hAnsi="TimesNewRoman" w:cs="Times New Roman"/>
          <w:lang w:val="en-US"/>
        </w:rPr>
        <w:t xml:space="preserve">of Schedule 1 to the instrument </w:t>
      </w:r>
      <w:r w:rsidR="00461DD6" w:rsidRPr="00947B52">
        <w:rPr>
          <w:rFonts w:ascii="TimesNewRoman" w:hAnsi="TimesNewRoman" w:cs="Times New Roman"/>
          <w:lang w:val="en-US"/>
        </w:rPr>
        <w:t xml:space="preserve">were excluded from this consultation process. </w:t>
      </w:r>
      <w:r w:rsidRPr="00947B52">
        <w:rPr>
          <w:rFonts w:ascii="TimesNewRoman" w:hAnsi="TimesNewRoman" w:cs="Times New Roman"/>
          <w:lang w:val="en-US"/>
        </w:rPr>
        <w:t xml:space="preserve"> </w:t>
      </w:r>
      <w:r w:rsidR="009B11A3" w:rsidRPr="00947B52">
        <w:rPr>
          <w:rFonts w:ascii="TimesNewRoman" w:hAnsi="TimesNewRoman" w:cs="Times New Roman"/>
          <w:lang w:val="en-US"/>
        </w:rPr>
        <w:t xml:space="preserve">These items are </w:t>
      </w:r>
      <w:r w:rsidR="008B6773">
        <w:rPr>
          <w:rFonts w:ascii="TimesNewRoman" w:hAnsi="TimesNewRoman" w:cs="Times New Roman"/>
          <w:lang w:val="en-US"/>
        </w:rPr>
        <w:t>minor or machinery</w:t>
      </w:r>
      <w:r w:rsidR="008B6773" w:rsidRPr="00947B52">
        <w:rPr>
          <w:rFonts w:ascii="TimesNewRoman" w:hAnsi="TimesNewRoman" w:cs="Times New Roman"/>
          <w:lang w:val="en-US"/>
        </w:rPr>
        <w:t xml:space="preserve"> </w:t>
      </w:r>
      <w:r w:rsidR="00635F8D" w:rsidRPr="00947B52">
        <w:rPr>
          <w:rFonts w:ascii="TimesNewRoman" w:hAnsi="TimesNewRoman" w:cs="Times New Roman"/>
          <w:lang w:val="en-US"/>
        </w:rPr>
        <w:t>in nature</w:t>
      </w:r>
      <w:r w:rsidR="009B11A3" w:rsidRPr="00947B52">
        <w:rPr>
          <w:rFonts w:ascii="TimesNewRoman" w:hAnsi="TimesNewRoman" w:cs="Times New Roman"/>
          <w:lang w:val="en-US"/>
        </w:rPr>
        <w:t xml:space="preserve"> and do not </w:t>
      </w:r>
      <w:r w:rsidR="008B6773">
        <w:rPr>
          <w:rFonts w:ascii="TimesNewRoman" w:hAnsi="TimesNewRoman" w:cs="Times New Roman"/>
          <w:lang w:val="en-US"/>
        </w:rPr>
        <w:t>alter</w:t>
      </w:r>
      <w:r w:rsidR="008B6773" w:rsidRPr="00947B52">
        <w:rPr>
          <w:rFonts w:ascii="TimesNewRoman" w:hAnsi="TimesNewRoman" w:cs="Times New Roman"/>
          <w:lang w:val="en-US"/>
        </w:rPr>
        <w:t xml:space="preserve"> </w:t>
      </w:r>
      <w:r w:rsidR="009B11A3" w:rsidRPr="00947B52">
        <w:rPr>
          <w:rFonts w:ascii="TimesNewRoman" w:hAnsi="TimesNewRoman" w:cs="Times New Roman"/>
          <w:lang w:val="en-US"/>
        </w:rPr>
        <w:t xml:space="preserve">existing arrangements. </w:t>
      </w:r>
    </w:p>
    <w:p w:rsidR="009B11A3" w:rsidRPr="00635F8D" w:rsidRDefault="009B11A3" w:rsidP="004143C7">
      <w:pPr>
        <w:widowControl w:val="0"/>
        <w:autoSpaceDE w:val="0"/>
        <w:autoSpaceDN w:val="0"/>
        <w:adjustRightInd w:val="0"/>
        <w:spacing w:after="0"/>
        <w:rPr>
          <w:rFonts w:ascii="TimesNewRoman" w:hAnsi="TimesNewRoman" w:cs="Times New Roman"/>
          <w:lang w:val="en-US"/>
        </w:rPr>
      </w:pPr>
    </w:p>
    <w:p w:rsidR="00B6425F" w:rsidRPr="00635F8D" w:rsidRDefault="00B6425F" w:rsidP="004143C7">
      <w:pPr>
        <w:widowControl w:val="0"/>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S</w:t>
      </w:r>
      <w:r w:rsidR="002E08FD">
        <w:rPr>
          <w:rFonts w:ascii="TimesNewRoman" w:hAnsi="TimesNewRoman" w:cs="Times New Roman"/>
          <w:lang w:val="en-US"/>
        </w:rPr>
        <w:t>ubs</w:t>
      </w:r>
      <w:r w:rsidRPr="00635F8D">
        <w:rPr>
          <w:rFonts w:ascii="TimesNewRoman" w:hAnsi="TimesNewRoman" w:cs="Times New Roman"/>
          <w:lang w:val="en-US"/>
        </w:rPr>
        <w:t>ection 460(3) of the Act requires that the public be consulted about any variations to the Plan, if the ACMA is of the opinion that:</w:t>
      </w:r>
    </w:p>
    <w:p w:rsidR="00B6425F" w:rsidRPr="00635F8D" w:rsidRDefault="00B6425F" w:rsidP="00B6425F">
      <w:pPr>
        <w:pStyle w:val="ListParagraph"/>
        <w:widowControl w:val="0"/>
        <w:numPr>
          <w:ilvl w:val="0"/>
          <w:numId w:val="12"/>
        </w:numPr>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the variation will affect a number issued to a customer; or</w:t>
      </w:r>
    </w:p>
    <w:p w:rsidR="00B6425F" w:rsidRPr="00635F8D" w:rsidRDefault="00B6425F" w:rsidP="00B6425F">
      <w:pPr>
        <w:pStyle w:val="ListParagraph"/>
        <w:widowControl w:val="0"/>
        <w:numPr>
          <w:ilvl w:val="0"/>
          <w:numId w:val="12"/>
        </w:numPr>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 xml:space="preserve">it is in the public interest that </w:t>
      </w:r>
      <w:r w:rsidR="002E08FD">
        <w:rPr>
          <w:rFonts w:ascii="TimesNewRoman" w:hAnsi="TimesNewRoman" w:cs="Times New Roman"/>
          <w:lang w:val="en-US"/>
        </w:rPr>
        <w:t xml:space="preserve">the </w:t>
      </w:r>
      <w:r w:rsidRPr="00635F8D">
        <w:rPr>
          <w:rFonts w:ascii="TimesNewRoman" w:hAnsi="TimesNewRoman" w:cs="Times New Roman"/>
          <w:lang w:val="en-US"/>
        </w:rPr>
        <w:t>public should be consulted about a variation</w:t>
      </w:r>
      <w:r w:rsidR="002E08FD">
        <w:rPr>
          <w:rFonts w:ascii="TimesNewRoman" w:hAnsi="TimesNewRoman" w:cs="Times New Roman"/>
          <w:lang w:val="en-US"/>
        </w:rPr>
        <w:t>.</w:t>
      </w:r>
    </w:p>
    <w:p w:rsidR="00B6425F" w:rsidRPr="00635F8D" w:rsidRDefault="00B6425F" w:rsidP="00B6425F">
      <w:pPr>
        <w:widowControl w:val="0"/>
        <w:autoSpaceDE w:val="0"/>
        <w:autoSpaceDN w:val="0"/>
        <w:adjustRightInd w:val="0"/>
        <w:spacing w:after="0"/>
        <w:rPr>
          <w:rFonts w:ascii="TimesNewRoman" w:hAnsi="TimesNewRoman" w:cs="Times New Roman"/>
          <w:lang w:val="en-US"/>
        </w:rPr>
      </w:pPr>
    </w:p>
    <w:p w:rsidR="00B6425F" w:rsidRPr="00635F8D" w:rsidRDefault="00B6425F" w:rsidP="00B6425F">
      <w:pPr>
        <w:widowControl w:val="0"/>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 xml:space="preserve">It is the ACMA's opinion that </w:t>
      </w:r>
      <w:r w:rsidR="008B6773">
        <w:rPr>
          <w:rFonts w:ascii="TimesNewRoman" w:hAnsi="TimesNewRoman" w:cs="Times New Roman"/>
          <w:lang w:val="en-US"/>
        </w:rPr>
        <w:t>the</w:t>
      </w:r>
      <w:r w:rsidRPr="00635F8D">
        <w:rPr>
          <w:rFonts w:ascii="TimesNewRoman" w:hAnsi="TimesNewRoman" w:cs="Times New Roman"/>
          <w:lang w:val="en-US"/>
        </w:rPr>
        <w:t xml:space="preserve"> variation does not affect a number </w:t>
      </w:r>
      <w:r w:rsidR="001944C5" w:rsidRPr="00635F8D">
        <w:rPr>
          <w:rFonts w:ascii="TimesNewRoman" w:hAnsi="TimesNewRoman" w:cs="Times New Roman"/>
          <w:lang w:val="en-US"/>
        </w:rPr>
        <w:t>i</w:t>
      </w:r>
      <w:r w:rsidRPr="00635F8D">
        <w:rPr>
          <w:rFonts w:ascii="TimesNewRoman" w:hAnsi="TimesNewRoman" w:cs="Times New Roman"/>
          <w:lang w:val="en-US"/>
        </w:rPr>
        <w:t xml:space="preserve">ssued to a customer </w:t>
      </w:r>
      <w:r w:rsidR="001944C5" w:rsidRPr="00635F8D">
        <w:rPr>
          <w:rFonts w:ascii="TimesNewRoman" w:hAnsi="TimesNewRoman" w:cs="Times New Roman"/>
          <w:lang w:val="en-US"/>
        </w:rPr>
        <w:t>and that there are no public interest considerations that would warrant public consultation.</w:t>
      </w:r>
    </w:p>
    <w:p w:rsidR="00B6425F" w:rsidRPr="00635F8D" w:rsidRDefault="00B6425F" w:rsidP="00B6425F">
      <w:pPr>
        <w:widowControl w:val="0"/>
        <w:autoSpaceDE w:val="0"/>
        <w:autoSpaceDN w:val="0"/>
        <w:adjustRightInd w:val="0"/>
        <w:spacing w:after="0"/>
        <w:rPr>
          <w:rFonts w:ascii="TimesNewRoman" w:hAnsi="TimesNewRoman" w:cs="Times New Roman"/>
          <w:lang w:val="en-US"/>
        </w:rPr>
      </w:pPr>
    </w:p>
    <w:p w:rsidR="004143C7" w:rsidRPr="00635F8D" w:rsidRDefault="00414C24" w:rsidP="004143C7">
      <w:pPr>
        <w:widowControl w:val="0"/>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 xml:space="preserve">As required under </w:t>
      </w:r>
      <w:r w:rsidR="002E08FD">
        <w:rPr>
          <w:rFonts w:ascii="TimesNewRoman" w:hAnsi="TimesNewRoman" w:cs="Times New Roman"/>
          <w:lang w:val="en-US"/>
        </w:rPr>
        <w:t>section</w:t>
      </w:r>
      <w:r w:rsidRPr="00635F8D">
        <w:rPr>
          <w:rFonts w:ascii="TimesNewRoman" w:hAnsi="TimesNewRoman" w:cs="Times New Roman"/>
          <w:lang w:val="en-US"/>
        </w:rPr>
        <w:t xml:space="preserve"> 461 of the Act, t</w:t>
      </w:r>
      <w:r w:rsidR="004143C7" w:rsidRPr="00635F8D">
        <w:rPr>
          <w:rFonts w:ascii="TimesNewRoman" w:hAnsi="TimesNewRoman" w:cs="Times New Roman"/>
          <w:lang w:val="en-US"/>
        </w:rPr>
        <w:t xml:space="preserve">he ACMA </w:t>
      </w:r>
      <w:r w:rsidR="00D71336" w:rsidRPr="00635F8D">
        <w:rPr>
          <w:rFonts w:ascii="TimesNewRoman" w:hAnsi="TimesNewRoman" w:cs="Times New Roman"/>
          <w:lang w:val="en-US"/>
        </w:rPr>
        <w:t xml:space="preserve">also consulted </w:t>
      </w:r>
      <w:r w:rsidR="004143C7" w:rsidRPr="00635F8D">
        <w:rPr>
          <w:rFonts w:ascii="TimesNewRoman" w:hAnsi="TimesNewRoman" w:cs="Times New Roman"/>
          <w:lang w:val="en-US"/>
        </w:rPr>
        <w:t>with the Australian Competition and Consumer Commission (ACCC)</w:t>
      </w:r>
      <w:r w:rsidR="008B6773">
        <w:rPr>
          <w:rFonts w:ascii="TimesNewRoman" w:hAnsi="TimesNewRoman" w:cs="Times New Roman"/>
          <w:lang w:val="en-US"/>
        </w:rPr>
        <w:t xml:space="preserve"> before making this variation</w:t>
      </w:r>
      <w:r w:rsidR="004143C7" w:rsidRPr="00635F8D">
        <w:rPr>
          <w:rFonts w:ascii="TimesNewRoman" w:hAnsi="TimesNewRoman" w:cs="Times New Roman"/>
          <w:lang w:val="en-US"/>
        </w:rPr>
        <w:t>.</w:t>
      </w:r>
    </w:p>
    <w:p w:rsidR="004143C7" w:rsidRPr="00635F8D" w:rsidRDefault="004143C7" w:rsidP="004143C7">
      <w:pPr>
        <w:widowControl w:val="0"/>
        <w:autoSpaceDE w:val="0"/>
        <w:autoSpaceDN w:val="0"/>
        <w:adjustRightInd w:val="0"/>
        <w:spacing w:after="0"/>
        <w:rPr>
          <w:rFonts w:ascii="TimesNewRoman" w:hAnsi="TimesNewRoman" w:cs="Times New Roman"/>
          <w:lang w:val="en-US"/>
        </w:rPr>
      </w:pPr>
      <w:r w:rsidRPr="00635F8D">
        <w:rPr>
          <w:rFonts w:ascii="TimesNewRoman" w:hAnsi="TimesNewRoman" w:cs="Times New Roman"/>
          <w:lang w:val="en-US"/>
        </w:rPr>
        <w:t xml:space="preserve"> </w:t>
      </w:r>
    </w:p>
    <w:p w:rsidR="00D9156E" w:rsidRPr="00635F8D" w:rsidRDefault="00D9156E" w:rsidP="00D9156E">
      <w:pPr>
        <w:pStyle w:val="BodyText"/>
        <w:spacing w:after="0"/>
        <w:rPr>
          <w:rFonts w:ascii="TimesNewRoman" w:hAnsi="TimesNewRoman"/>
          <w:b/>
          <w:bCs/>
        </w:rPr>
      </w:pPr>
      <w:r w:rsidRPr="00635F8D">
        <w:rPr>
          <w:rFonts w:ascii="TimesNewRoman" w:hAnsi="TimesNewRoman"/>
          <w:b/>
          <w:bCs/>
        </w:rPr>
        <w:t>REGULAT</w:t>
      </w:r>
      <w:r w:rsidR="00F14F6A" w:rsidRPr="00635F8D">
        <w:rPr>
          <w:rFonts w:ascii="TimesNewRoman" w:hAnsi="TimesNewRoman"/>
          <w:b/>
          <w:bCs/>
        </w:rPr>
        <w:t>ORY</w:t>
      </w:r>
      <w:r w:rsidRPr="00635F8D">
        <w:rPr>
          <w:rFonts w:ascii="TimesNewRoman" w:hAnsi="TimesNewRoman"/>
          <w:b/>
          <w:bCs/>
        </w:rPr>
        <w:t xml:space="preserve"> IMPACT</w:t>
      </w:r>
    </w:p>
    <w:p w:rsidR="00544070" w:rsidRPr="00635F8D" w:rsidRDefault="00544070" w:rsidP="00D9156E">
      <w:pPr>
        <w:pStyle w:val="BodyText"/>
        <w:spacing w:after="0"/>
        <w:rPr>
          <w:rFonts w:ascii="TimesNewRoman" w:hAnsi="TimesNewRoman"/>
          <w:b/>
          <w:bCs/>
        </w:rPr>
      </w:pPr>
    </w:p>
    <w:p w:rsidR="00544070" w:rsidRPr="00635F8D" w:rsidRDefault="00B6425F" w:rsidP="00544070">
      <w:pPr>
        <w:widowControl w:val="0"/>
        <w:autoSpaceDE w:val="0"/>
        <w:autoSpaceDN w:val="0"/>
        <w:adjustRightInd w:val="0"/>
        <w:spacing w:after="0"/>
        <w:rPr>
          <w:rFonts w:ascii="TimesNewRoman" w:eastAsia="Times New Roman" w:hAnsi="TimesNewRoman" w:cs="Times New Roman"/>
          <w:snapToGrid w:val="0"/>
          <w:szCs w:val="20"/>
        </w:rPr>
      </w:pPr>
      <w:r w:rsidRPr="00635F8D">
        <w:rPr>
          <w:rFonts w:ascii="TimesNewRoman" w:eastAsia="Times New Roman" w:hAnsi="TimesNewRoman" w:cs="Times New Roman"/>
          <w:snapToGrid w:val="0"/>
          <w:szCs w:val="20"/>
        </w:rPr>
        <w:t>The Office of Best Practice Regulation granted an exemption from the requirement to prepare a</w:t>
      </w:r>
      <w:r w:rsidR="00B80F46" w:rsidRPr="00635F8D">
        <w:rPr>
          <w:rFonts w:ascii="TimesNewRoman" w:eastAsia="Times New Roman" w:hAnsi="TimesNewRoman" w:cs="Times New Roman"/>
          <w:snapToGrid w:val="0"/>
          <w:szCs w:val="20"/>
        </w:rPr>
        <w:t xml:space="preserve"> </w:t>
      </w:r>
      <w:r w:rsidR="00544070" w:rsidRPr="00635F8D">
        <w:rPr>
          <w:rFonts w:ascii="TimesNewRoman" w:eastAsia="Times New Roman" w:hAnsi="TimesNewRoman" w:cs="Times New Roman"/>
          <w:snapToGrid w:val="0"/>
          <w:szCs w:val="20"/>
        </w:rPr>
        <w:t xml:space="preserve">Regulation Impact Statement </w:t>
      </w:r>
      <w:r w:rsidRPr="00635F8D">
        <w:rPr>
          <w:rFonts w:ascii="TimesNewRoman" w:eastAsia="Times New Roman" w:hAnsi="TimesNewRoman" w:cs="Times New Roman"/>
          <w:snapToGrid w:val="0"/>
          <w:szCs w:val="20"/>
        </w:rPr>
        <w:t>in relation to this variation to the Numbering Plan.</w:t>
      </w:r>
      <w:r w:rsidR="00F91504" w:rsidRPr="00635F8D">
        <w:rPr>
          <w:rFonts w:ascii="TimesNewRoman" w:eastAsia="Times New Roman" w:hAnsi="TimesNewRoman" w:cs="Times New Roman"/>
          <w:snapToGrid w:val="0"/>
          <w:szCs w:val="20"/>
        </w:rPr>
        <w:t xml:space="preserve"> </w:t>
      </w:r>
    </w:p>
    <w:p w:rsidR="004143C7" w:rsidRDefault="004143C7" w:rsidP="004143C7">
      <w:pPr>
        <w:widowControl w:val="0"/>
        <w:autoSpaceDE w:val="0"/>
        <w:autoSpaceDN w:val="0"/>
        <w:adjustRightInd w:val="0"/>
        <w:spacing w:after="0"/>
        <w:rPr>
          <w:rFonts w:ascii="TimesNewRoman" w:hAnsi="TimesNewRoman" w:cs="Times New Roman"/>
          <w:lang w:val="en-US"/>
        </w:rPr>
      </w:pPr>
    </w:p>
    <w:p w:rsidR="00FA0C0A" w:rsidRPr="00635F8D" w:rsidRDefault="00FA0C0A" w:rsidP="00FA0C0A">
      <w:pPr>
        <w:autoSpaceDE w:val="0"/>
        <w:autoSpaceDN w:val="0"/>
        <w:adjustRightInd w:val="0"/>
        <w:spacing w:after="0"/>
        <w:rPr>
          <w:rFonts w:ascii="TimesNewRoman" w:hAnsi="TimesNewRoman" w:cs="Times New Roman"/>
          <w:b/>
          <w:bCs/>
          <w:lang w:val="en-US"/>
        </w:rPr>
      </w:pPr>
      <w:r w:rsidRPr="00635F8D">
        <w:rPr>
          <w:rFonts w:ascii="TimesNewRoman" w:hAnsi="TimesNewRoman" w:cs="Times New Roman"/>
          <w:b/>
          <w:bCs/>
          <w:lang w:val="en-US"/>
        </w:rPr>
        <w:t>NOTES ON SECTIONS</w:t>
      </w:r>
    </w:p>
    <w:p w:rsidR="001A4A59" w:rsidRPr="00635F8D" w:rsidRDefault="001A4A59" w:rsidP="00FA0C0A">
      <w:pPr>
        <w:autoSpaceDE w:val="0"/>
        <w:autoSpaceDN w:val="0"/>
        <w:adjustRightInd w:val="0"/>
        <w:spacing w:after="0"/>
        <w:rPr>
          <w:rFonts w:ascii="TimesNewRoman" w:hAnsi="TimesNewRoman" w:cs="Times New Roman"/>
          <w:b/>
          <w:bCs/>
          <w:lang w:val="en-US"/>
        </w:rPr>
      </w:pPr>
    </w:p>
    <w:p w:rsidR="00A51909" w:rsidRPr="00635F8D" w:rsidRDefault="00A51909" w:rsidP="00FA0C0A">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Section 1</w:t>
      </w:r>
      <w:r w:rsidRPr="00635F8D">
        <w:rPr>
          <w:rFonts w:ascii="TimesNewRoman" w:hAnsi="TimesNewRoman" w:cs="Times New Roman"/>
          <w:bCs/>
          <w:lang w:val="en-US"/>
        </w:rPr>
        <w:t xml:space="preserve"> provides that the variation may be cited as the </w:t>
      </w:r>
      <w:bookmarkStart w:id="0" w:name="OLE_LINK1"/>
      <w:r w:rsidR="00463708" w:rsidRPr="00635F8D">
        <w:rPr>
          <w:rFonts w:ascii="TimesNewRoman" w:hAnsi="TimesNewRoman" w:cs="Times New Roman"/>
          <w:bCs/>
          <w:i/>
          <w:lang w:val="en-US"/>
        </w:rPr>
        <w:t xml:space="preserve">Telecommunications Numbering Plan </w:t>
      </w:r>
      <w:r w:rsidR="00C44D0F" w:rsidRPr="00635F8D">
        <w:rPr>
          <w:rFonts w:ascii="TimesNewRoman" w:hAnsi="TimesNewRoman" w:cs="Times New Roman"/>
          <w:bCs/>
          <w:i/>
          <w:lang w:val="en-US"/>
        </w:rPr>
        <w:t>V</w:t>
      </w:r>
      <w:r w:rsidR="00463708" w:rsidRPr="00635F8D">
        <w:rPr>
          <w:rFonts w:ascii="TimesNewRoman" w:hAnsi="TimesNewRoman" w:cs="Times New Roman"/>
          <w:bCs/>
          <w:i/>
          <w:lang w:val="en-US"/>
        </w:rPr>
        <w:t>ariation 201</w:t>
      </w:r>
      <w:r w:rsidR="00B951D1" w:rsidRPr="00635F8D">
        <w:rPr>
          <w:rFonts w:ascii="TimesNewRoman" w:hAnsi="TimesNewRoman" w:cs="Times New Roman"/>
          <w:bCs/>
          <w:i/>
          <w:lang w:val="en-US"/>
        </w:rPr>
        <w:t>1</w:t>
      </w:r>
      <w:r w:rsidR="00463708" w:rsidRPr="00635F8D">
        <w:rPr>
          <w:rFonts w:ascii="TimesNewRoman" w:hAnsi="TimesNewRoman" w:cs="Times New Roman"/>
          <w:bCs/>
          <w:i/>
          <w:lang w:val="en-US"/>
        </w:rPr>
        <w:t xml:space="preserve"> (No.</w:t>
      </w:r>
      <w:r w:rsidR="00F92E07" w:rsidRPr="00635F8D">
        <w:rPr>
          <w:rFonts w:ascii="TimesNewRoman" w:hAnsi="TimesNewRoman" w:cs="Times New Roman"/>
          <w:bCs/>
          <w:i/>
          <w:lang w:val="en-US"/>
        </w:rPr>
        <w:t>2</w:t>
      </w:r>
      <w:r w:rsidR="00463708" w:rsidRPr="00635F8D">
        <w:rPr>
          <w:rFonts w:ascii="TimesNewRoman" w:hAnsi="TimesNewRoman" w:cs="Times New Roman"/>
          <w:bCs/>
          <w:i/>
          <w:lang w:val="en-US"/>
        </w:rPr>
        <w:t>)</w:t>
      </w:r>
      <w:bookmarkEnd w:id="0"/>
      <w:r w:rsidR="00D52BEF" w:rsidRPr="00635F8D">
        <w:rPr>
          <w:rFonts w:ascii="TimesNewRoman" w:hAnsi="TimesNewRoman" w:cs="Times New Roman"/>
          <w:bCs/>
          <w:i/>
          <w:lang w:val="en-US"/>
        </w:rPr>
        <w:t>.</w:t>
      </w:r>
    </w:p>
    <w:p w:rsidR="00A51909" w:rsidRPr="00635F8D" w:rsidRDefault="00A51909" w:rsidP="00FA0C0A">
      <w:pPr>
        <w:autoSpaceDE w:val="0"/>
        <w:autoSpaceDN w:val="0"/>
        <w:adjustRightInd w:val="0"/>
        <w:spacing w:after="0"/>
        <w:rPr>
          <w:rFonts w:ascii="TimesNewRoman" w:hAnsi="TimesNewRoman" w:cs="Times New Roman"/>
          <w:bCs/>
          <w:lang w:val="en-US"/>
        </w:rPr>
      </w:pPr>
    </w:p>
    <w:p w:rsidR="00A51909" w:rsidRPr="00635F8D" w:rsidRDefault="00A51909" w:rsidP="00FA0C0A">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lastRenderedPageBreak/>
        <w:t>Section 2</w:t>
      </w:r>
      <w:r w:rsidRPr="00635F8D">
        <w:rPr>
          <w:rFonts w:ascii="TimesNewRoman" w:hAnsi="TimesNewRoman" w:cs="Times New Roman"/>
          <w:bCs/>
          <w:lang w:val="en-US"/>
        </w:rPr>
        <w:t xml:space="preserve"> provides that the </w:t>
      </w:r>
      <w:r w:rsidR="00D52BEF" w:rsidRPr="00635F8D">
        <w:rPr>
          <w:rFonts w:ascii="TimesNewRoman" w:hAnsi="TimesNewRoman" w:cs="Times New Roman"/>
          <w:bCs/>
          <w:lang w:val="en-US"/>
        </w:rPr>
        <w:t xml:space="preserve">instrument </w:t>
      </w:r>
      <w:r w:rsidR="00B80F46" w:rsidRPr="00635F8D">
        <w:rPr>
          <w:rFonts w:ascii="TimesNewRoman" w:hAnsi="TimesNewRoman" w:cs="Times New Roman"/>
          <w:bCs/>
          <w:lang w:val="en-US"/>
        </w:rPr>
        <w:t xml:space="preserve">commences on </w:t>
      </w:r>
      <w:r w:rsidR="008B6773">
        <w:rPr>
          <w:rFonts w:ascii="TimesNewRoman" w:hAnsi="TimesNewRoman" w:cs="Times New Roman"/>
          <w:bCs/>
          <w:lang w:val="en-US"/>
        </w:rPr>
        <w:t>the day after it is registered</w:t>
      </w:r>
      <w:r w:rsidRPr="00635F8D">
        <w:rPr>
          <w:rFonts w:ascii="TimesNewRoman" w:hAnsi="TimesNewRoman" w:cs="Times New Roman"/>
          <w:bCs/>
          <w:lang w:val="en-US"/>
        </w:rPr>
        <w:t>.</w:t>
      </w:r>
    </w:p>
    <w:p w:rsidR="00A51909" w:rsidRPr="00635F8D" w:rsidRDefault="00A51909" w:rsidP="00FA0C0A">
      <w:pPr>
        <w:autoSpaceDE w:val="0"/>
        <w:autoSpaceDN w:val="0"/>
        <w:adjustRightInd w:val="0"/>
        <w:spacing w:after="0"/>
        <w:rPr>
          <w:rFonts w:ascii="TimesNewRoman" w:hAnsi="TimesNewRoman" w:cs="Times New Roman"/>
          <w:bCs/>
          <w:lang w:val="en-US"/>
        </w:rPr>
      </w:pPr>
    </w:p>
    <w:p w:rsidR="00B501F4" w:rsidRPr="00635F8D" w:rsidRDefault="00B501F4" w:rsidP="00FA0C0A">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Section 3</w:t>
      </w:r>
      <w:r w:rsidRPr="00635F8D">
        <w:rPr>
          <w:rFonts w:ascii="TimesNewRoman" w:hAnsi="TimesNewRoman" w:cs="Times New Roman"/>
          <w:bCs/>
          <w:lang w:val="en-US"/>
        </w:rPr>
        <w:t xml:space="preserve"> specifies that</w:t>
      </w:r>
      <w:r w:rsidR="00D31AC0" w:rsidRPr="00635F8D">
        <w:rPr>
          <w:rFonts w:ascii="TimesNewRoman" w:hAnsi="TimesNewRoman" w:cs="Times New Roman"/>
          <w:bCs/>
          <w:lang w:val="en-US"/>
        </w:rPr>
        <w:t xml:space="preserve"> the </w:t>
      </w:r>
      <w:r w:rsidR="008F1819" w:rsidRPr="00635F8D">
        <w:rPr>
          <w:rFonts w:ascii="TimesNewRoman" w:hAnsi="TimesNewRoman" w:cs="Times New Roman"/>
          <w:bCs/>
          <w:lang w:val="en-US"/>
        </w:rPr>
        <w:t>Number</w:t>
      </w:r>
      <w:r w:rsidR="00D52BEF" w:rsidRPr="00635F8D">
        <w:rPr>
          <w:rFonts w:ascii="TimesNewRoman" w:hAnsi="TimesNewRoman" w:cs="Times New Roman"/>
          <w:bCs/>
          <w:lang w:val="en-US"/>
        </w:rPr>
        <w:t>ing</w:t>
      </w:r>
      <w:r w:rsidR="008F1819" w:rsidRPr="00635F8D">
        <w:rPr>
          <w:rFonts w:ascii="TimesNewRoman" w:hAnsi="TimesNewRoman" w:cs="Times New Roman"/>
          <w:bCs/>
          <w:lang w:val="en-US"/>
        </w:rPr>
        <w:t xml:space="preserve"> Plan </w:t>
      </w:r>
      <w:r w:rsidRPr="00635F8D">
        <w:rPr>
          <w:rFonts w:ascii="TimesNewRoman" w:hAnsi="TimesNewRoman" w:cs="Times New Roman"/>
          <w:bCs/>
          <w:lang w:val="en-US"/>
        </w:rPr>
        <w:t xml:space="preserve">is amended as set out in </w:t>
      </w:r>
      <w:r w:rsidR="00C44D0F" w:rsidRPr="00635F8D">
        <w:rPr>
          <w:rFonts w:ascii="TimesNewRoman" w:hAnsi="TimesNewRoman" w:cs="Times New Roman"/>
          <w:bCs/>
          <w:lang w:val="en-US"/>
        </w:rPr>
        <w:t>Schedule 1.</w:t>
      </w:r>
    </w:p>
    <w:p w:rsidR="00F92E07" w:rsidRPr="00635F8D" w:rsidRDefault="00F92E07" w:rsidP="00FA0C0A">
      <w:pPr>
        <w:autoSpaceDE w:val="0"/>
        <w:autoSpaceDN w:val="0"/>
        <w:adjustRightInd w:val="0"/>
        <w:spacing w:after="0"/>
        <w:rPr>
          <w:rFonts w:ascii="TimesNewRoman" w:hAnsi="TimesNewRoman" w:cs="Times New Roman"/>
          <w:bCs/>
          <w:lang w:val="en-US"/>
        </w:rPr>
      </w:pPr>
    </w:p>
    <w:p w:rsidR="00F92E07" w:rsidRPr="00635F8D" w:rsidRDefault="00F92E07" w:rsidP="001D1B74">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Section 4</w:t>
      </w:r>
      <w:r w:rsidRPr="00635F8D">
        <w:rPr>
          <w:rFonts w:ascii="TimesNewRoman" w:hAnsi="TimesNewRoman" w:cs="Times New Roman"/>
          <w:bCs/>
          <w:lang w:val="en-US"/>
        </w:rPr>
        <w:t xml:space="preserve"> provides a transitional </w:t>
      </w:r>
      <w:r w:rsidR="001D1B74" w:rsidRPr="00635F8D">
        <w:rPr>
          <w:rFonts w:ascii="TimesNewRoman" w:hAnsi="TimesNewRoman" w:cs="Times New Roman"/>
          <w:bCs/>
          <w:lang w:val="en-US"/>
        </w:rPr>
        <w:t xml:space="preserve">provision to explain that </w:t>
      </w:r>
      <w:r w:rsidR="00921C19">
        <w:rPr>
          <w:rFonts w:ascii="TimesNewRoman" w:hAnsi="TimesNewRoman" w:cs="Times New Roman"/>
          <w:bCs/>
          <w:lang w:val="en-US"/>
        </w:rPr>
        <w:t xml:space="preserve">that the </w:t>
      </w:r>
      <w:r w:rsidR="008B6773">
        <w:rPr>
          <w:rFonts w:ascii="TimesNewRoman" w:hAnsi="TimesNewRoman" w:cs="Times New Roman"/>
          <w:bCs/>
          <w:lang w:val="en-US"/>
        </w:rPr>
        <w:t xml:space="preserve">omission </w:t>
      </w:r>
      <w:r w:rsidRPr="00635F8D">
        <w:rPr>
          <w:rFonts w:ascii="TimesNewRoman" w:hAnsi="TimesNewRoman" w:cs="Times New Roman"/>
          <w:bCs/>
          <w:lang w:val="en-US"/>
        </w:rPr>
        <w:t xml:space="preserve">of Chapter 13 </w:t>
      </w:r>
      <w:r w:rsidR="008B6773">
        <w:rPr>
          <w:rFonts w:ascii="TimesNewRoman" w:hAnsi="TimesNewRoman" w:cs="Times New Roman"/>
          <w:bCs/>
          <w:lang w:val="en-US"/>
        </w:rPr>
        <w:t>of the Numbering Plan</w:t>
      </w:r>
      <w:r w:rsidR="002E08FD">
        <w:rPr>
          <w:rFonts w:ascii="TimesNewRoman" w:hAnsi="TimesNewRoman" w:cs="Times New Roman"/>
          <w:bCs/>
          <w:lang w:val="en-US"/>
        </w:rPr>
        <w:t>, made by the variation,</w:t>
      </w:r>
      <w:r w:rsidR="008B6773">
        <w:rPr>
          <w:rFonts w:ascii="TimesNewRoman" w:hAnsi="TimesNewRoman" w:cs="Times New Roman"/>
          <w:bCs/>
          <w:lang w:val="en-US"/>
        </w:rPr>
        <w:t xml:space="preserve"> </w:t>
      </w:r>
      <w:r w:rsidR="001D1B74" w:rsidRPr="00635F8D">
        <w:rPr>
          <w:rFonts w:ascii="TimesNewRoman" w:hAnsi="TimesNewRoman" w:cs="Times New Roman"/>
          <w:bCs/>
          <w:lang w:val="en-US"/>
        </w:rPr>
        <w:t xml:space="preserve">does not affect the declaration of numbers </w:t>
      </w:r>
      <w:r w:rsidR="001D1B74" w:rsidRPr="00635F8D">
        <w:rPr>
          <w:rFonts w:ascii="TimesNewRoman" w:hAnsi="TimesNewRoman" w:cs="Times New Roman"/>
        </w:rPr>
        <w:t>taken to have been allocated to specified persons on the Numbering Plan’s commencing day</w:t>
      </w:r>
      <w:r w:rsidR="001D1B74" w:rsidRPr="00635F8D">
        <w:rPr>
          <w:rFonts w:ascii="TimesNewRoman" w:hAnsi="TimesNewRoman" w:cs="Times New Roman"/>
          <w:bCs/>
          <w:lang w:val="en-US"/>
        </w:rPr>
        <w:t xml:space="preserve"> (31 December 1997). That is, those numbers remain declared.</w:t>
      </w:r>
    </w:p>
    <w:p w:rsidR="00B501F4" w:rsidRPr="00635F8D" w:rsidRDefault="00B501F4" w:rsidP="00FA0C0A">
      <w:pPr>
        <w:autoSpaceDE w:val="0"/>
        <w:autoSpaceDN w:val="0"/>
        <w:adjustRightInd w:val="0"/>
        <w:spacing w:after="0"/>
        <w:rPr>
          <w:rFonts w:ascii="TimesNewRoman" w:hAnsi="TimesNewRoman" w:cs="Times New Roman"/>
          <w:bCs/>
          <w:lang w:val="en-US"/>
        </w:rPr>
      </w:pPr>
    </w:p>
    <w:p w:rsidR="00B501F4" w:rsidRPr="00635F8D" w:rsidRDefault="00B501F4" w:rsidP="00FA0C0A">
      <w:pPr>
        <w:autoSpaceDE w:val="0"/>
        <w:autoSpaceDN w:val="0"/>
        <w:adjustRightInd w:val="0"/>
        <w:spacing w:after="0"/>
        <w:rPr>
          <w:rFonts w:ascii="TimesNewRoman" w:hAnsi="TimesNewRoman" w:cs="Times New Roman"/>
          <w:b/>
          <w:bCs/>
          <w:lang w:val="en-US"/>
        </w:rPr>
      </w:pPr>
      <w:r w:rsidRPr="00635F8D">
        <w:rPr>
          <w:rFonts w:ascii="TimesNewRoman" w:hAnsi="TimesNewRoman" w:cs="Times New Roman"/>
          <w:b/>
          <w:bCs/>
          <w:lang w:val="en-US"/>
        </w:rPr>
        <w:t>Schedule 1 Variations</w:t>
      </w:r>
      <w:r w:rsidR="00C44D0F" w:rsidRPr="00635F8D">
        <w:rPr>
          <w:rFonts w:ascii="TimesNewRoman" w:hAnsi="TimesNewRoman" w:cs="Times New Roman"/>
          <w:b/>
          <w:bCs/>
          <w:lang w:val="en-US"/>
        </w:rPr>
        <w:t xml:space="preserve"> </w:t>
      </w:r>
    </w:p>
    <w:p w:rsidR="00C44D0F" w:rsidRPr="00635F8D" w:rsidRDefault="00C44D0F" w:rsidP="00FA0C0A">
      <w:pPr>
        <w:autoSpaceDE w:val="0"/>
        <w:autoSpaceDN w:val="0"/>
        <w:adjustRightInd w:val="0"/>
        <w:spacing w:after="0"/>
        <w:rPr>
          <w:rFonts w:ascii="TimesNewRoman" w:hAnsi="TimesNewRoman" w:cs="Times New Roman"/>
          <w:bCs/>
          <w:lang w:val="en-US"/>
        </w:rPr>
      </w:pPr>
    </w:p>
    <w:p w:rsidR="00D31AC0" w:rsidRPr="00635F8D" w:rsidRDefault="00B501F4" w:rsidP="00FA0C0A">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Item</w:t>
      </w:r>
      <w:r w:rsidR="001D1B74" w:rsidRPr="00635F8D">
        <w:rPr>
          <w:rFonts w:ascii="TimesNewRoman" w:hAnsi="TimesNewRoman" w:cs="Times New Roman"/>
          <w:bCs/>
          <w:u w:val="single"/>
          <w:lang w:val="en-US"/>
        </w:rPr>
        <w:t>s</w:t>
      </w:r>
      <w:r w:rsidRPr="00635F8D">
        <w:rPr>
          <w:rFonts w:ascii="TimesNewRoman" w:hAnsi="TimesNewRoman" w:cs="Times New Roman"/>
          <w:bCs/>
          <w:u w:val="single"/>
          <w:lang w:val="en-US"/>
        </w:rPr>
        <w:t xml:space="preserve"> 1</w:t>
      </w:r>
      <w:r w:rsidR="003410EE" w:rsidRPr="00635F8D">
        <w:rPr>
          <w:rFonts w:ascii="TimesNewRoman" w:hAnsi="TimesNewRoman" w:cs="Times New Roman"/>
          <w:bCs/>
          <w:u w:val="single"/>
          <w:lang w:val="en-US"/>
        </w:rPr>
        <w:t>-4</w:t>
      </w:r>
      <w:r w:rsidR="003410EE" w:rsidRPr="00635F8D">
        <w:rPr>
          <w:rFonts w:ascii="TimesNewRoman" w:hAnsi="TimesNewRoman" w:cs="Times New Roman"/>
          <w:bCs/>
          <w:lang w:val="en-US"/>
        </w:rPr>
        <w:t xml:space="preserve"> </w:t>
      </w:r>
      <w:r w:rsidR="000A5A11" w:rsidRPr="00635F8D">
        <w:rPr>
          <w:rFonts w:ascii="TimesNewRoman" w:hAnsi="TimesNewRoman" w:cs="Times New Roman"/>
          <w:bCs/>
          <w:lang w:val="en-US"/>
        </w:rPr>
        <w:t>update</w:t>
      </w:r>
      <w:r w:rsidR="003410EE" w:rsidRPr="00635F8D">
        <w:rPr>
          <w:rFonts w:ascii="TimesNewRoman" w:hAnsi="TimesNewRoman" w:cs="Times New Roman"/>
          <w:bCs/>
          <w:lang w:val="en-US"/>
        </w:rPr>
        <w:t xml:space="preserve"> the outline of the Numbering Plan to include chapters 5A and 7A which were inserted in previous variations and </w:t>
      </w:r>
      <w:r w:rsidR="00F203D2" w:rsidRPr="00635F8D">
        <w:rPr>
          <w:rFonts w:ascii="TimesNewRoman" w:hAnsi="TimesNewRoman" w:cs="Times New Roman"/>
          <w:bCs/>
          <w:lang w:val="en-US"/>
        </w:rPr>
        <w:t xml:space="preserve">remove </w:t>
      </w:r>
      <w:r w:rsidR="003410EE" w:rsidRPr="00635F8D">
        <w:rPr>
          <w:rFonts w:ascii="TimesNewRoman" w:hAnsi="TimesNewRoman" w:cs="Times New Roman"/>
          <w:bCs/>
          <w:lang w:val="en-US"/>
        </w:rPr>
        <w:t xml:space="preserve">Chapter 13 </w:t>
      </w:r>
      <w:r w:rsidR="000A5A11" w:rsidRPr="00635F8D">
        <w:rPr>
          <w:rFonts w:ascii="TimesNewRoman" w:hAnsi="TimesNewRoman" w:cs="Times New Roman"/>
          <w:bCs/>
          <w:lang w:val="en-US"/>
        </w:rPr>
        <w:t>which is omitted in this v</w:t>
      </w:r>
      <w:r w:rsidR="003410EE" w:rsidRPr="00635F8D">
        <w:rPr>
          <w:rFonts w:ascii="TimesNewRoman" w:hAnsi="TimesNewRoman" w:cs="Times New Roman"/>
          <w:bCs/>
          <w:lang w:val="en-US"/>
        </w:rPr>
        <w:t>ariation.</w:t>
      </w:r>
    </w:p>
    <w:p w:rsidR="00F633B3" w:rsidRPr="00635F8D" w:rsidRDefault="00F633B3" w:rsidP="00FA0C0A">
      <w:pPr>
        <w:autoSpaceDE w:val="0"/>
        <w:autoSpaceDN w:val="0"/>
        <w:adjustRightInd w:val="0"/>
        <w:spacing w:after="0"/>
        <w:rPr>
          <w:rFonts w:ascii="TimesNewRoman" w:hAnsi="TimesNewRoman" w:cs="Times New Roman"/>
          <w:bCs/>
          <w:lang w:val="en-US"/>
        </w:rPr>
      </w:pPr>
    </w:p>
    <w:p w:rsidR="00AC2B53" w:rsidRPr="00635F8D" w:rsidRDefault="00D31AC0" w:rsidP="00B80F46">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Item</w:t>
      </w:r>
      <w:r w:rsidR="00AC2B53" w:rsidRPr="00635F8D">
        <w:rPr>
          <w:rFonts w:ascii="TimesNewRoman" w:hAnsi="TimesNewRoman" w:cs="Times New Roman"/>
          <w:bCs/>
          <w:u w:val="single"/>
          <w:lang w:val="en-US"/>
        </w:rPr>
        <w:t xml:space="preserve"> 5</w:t>
      </w:r>
      <w:r w:rsidR="00AC2B53" w:rsidRPr="00635F8D">
        <w:rPr>
          <w:rFonts w:ascii="TimesNewRoman" w:hAnsi="TimesNewRoman" w:cs="Times New Roman"/>
          <w:bCs/>
          <w:lang w:val="en-US"/>
        </w:rPr>
        <w:t xml:space="preserve"> removes ENUM trial numbers from section 2.2</w:t>
      </w:r>
      <w:r w:rsidR="00771844" w:rsidRPr="00635F8D">
        <w:rPr>
          <w:rFonts w:ascii="TimesNewRoman" w:hAnsi="TimesNewRoman" w:cs="Times New Roman"/>
          <w:bCs/>
          <w:lang w:val="en-US"/>
        </w:rPr>
        <w:t xml:space="preserve">. </w:t>
      </w:r>
      <w:r w:rsidR="00771844" w:rsidRPr="00635F8D">
        <w:rPr>
          <w:rFonts w:ascii="TimesNewRoman" w:hAnsi="TimesNewRoman" w:cs="Times New Roman"/>
          <w:bCs/>
        </w:rPr>
        <w:t>ENUM trial numbers were specified for use on a temporary basis until 6 June 2007 and have no ongoing use</w:t>
      </w:r>
      <w:r w:rsidR="00771844" w:rsidRPr="00635F8D">
        <w:rPr>
          <w:rFonts w:ascii="TimesNewRoman" w:hAnsi="TimesNewRoman" w:cs="Times New Roman"/>
          <w:bCs/>
          <w:lang w:val="en-US"/>
        </w:rPr>
        <w:t>.</w:t>
      </w:r>
    </w:p>
    <w:p w:rsidR="00771844" w:rsidRPr="00635F8D" w:rsidRDefault="00771844" w:rsidP="00B80F46">
      <w:pPr>
        <w:autoSpaceDE w:val="0"/>
        <w:autoSpaceDN w:val="0"/>
        <w:adjustRightInd w:val="0"/>
        <w:spacing w:after="0"/>
        <w:rPr>
          <w:rFonts w:ascii="TimesNewRoman" w:hAnsi="TimesNewRoman" w:cs="Times New Roman"/>
          <w:bCs/>
          <w:lang w:val="en-US"/>
        </w:rPr>
      </w:pPr>
    </w:p>
    <w:p w:rsidR="003B73B9" w:rsidRPr="00635F8D" w:rsidRDefault="00771844" w:rsidP="00B80F46">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lang w:val="en-US"/>
        </w:rPr>
        <w:t xml:space="preserve">Items 6 and </w:t>
      </w:r>
      <w:r w:rsidR="00B82B7A">
        <w:rPr>
          <w:rFonts w:ascii="TimesNewRoman" w:hAnsi="TimesNewRoman" w:cs="Times New Roman"/>
          <w:bCs/>
          <w:u w:val="single"/>
          <w:lang w:val="en-US"/>
        </w:rPr>
        <w:t>2</w:t>
      </w:r>
      <w:r w:rsidR="002E08FD">
        <w:rPr>
          <w:rFonts w:ascii="TimesNewRoman" w:hAnsi="TimesNewRoman" w:cs="Times New Roman"/>
          <w:bCs/>
          <w:u w:val="single"/>
          <w:lang w:val="en-US"/>
        </w:rPr>
        <w:t>3</w:t>
      </w:r>
      <w:r w:rsidRPr="00635F8D">
        <w:rPr>
          <w:rFonts w:ascii="TimesNewRoman" w:hAnsi="TimesNewRoman" w:cs="Times New Roman"/>
          <w:bCs/>
          <w:lang w:val="en-US"/>
        </w:rPr>
        <w:t xml:space="preserve"> correct minor drafting errors to clarify the boxed notes </w:t>
      </w:r>
      <w:r w:rsidR="003B73B9" w:rsidRPr="00635F8D">
        <w:rPr>
          <w:rFonts w:ascii="TimesNewRoman" w:hAnsi="TimesNewRoman" w:cs="Times New Roman"/>
          <w:bCs/>
          <w:lang w:val="en-US"/>
        </w:rPr>
        <w:t>in section</w:t>
      </w:r>
      <w:r w:rsidR="009C004E" w:rsidRPr="00635F8D">
        <w:rPr>
          <w:rFonts w:ascii="TimesNewRoman" w:hAnsi="TimesNewRoman" w:cs="Times New Roman"/>
          <w:bCs/>
          <w:lang w:val="en-US"/>
        </w:rPr>
        <w:t>s</w:t>
      </w:r>
      <w:r w:rsidR="003B73B9" w:rsidRPr="00635F8D">
        <w:rPr>
          <w:rFonts w:ascii="TimesNewRoman" w:hAnsi="TimesNewRoman" w:cs="Times New Roman"/>
          <w:bCs/>
          <w:lang w:val="en-US"/>
        </w:rPr>
        <w:t xml:space="preserve"> 6.2 and 7.18</w:t>
      </w:r>
      <w:r w:rsidR="00B82B7A">
        <w:rPr>
          <w:rFonts w:ascii="TimesNewRoman" w:hAnsi="TimesNewRoman" w:cs="Times New Roman"/>
          <w:bCs/>
          <w:lang w:val="en-US"/>
        </w:rPr>
        <w:t>.</w:t>
      </w:r>
    </w:p>
    <w:p w:rsidR="003B73B9" w:rsidRPr="00635F8D" w:rsidRDefault="003B73B9" w:rsidP="00B80F46">
      <w:pPr>
        <w:autoSpaceDE w:val="0"/>
        <w:autoSpaceDN w:val="0"/>
        <w:adjustRightInd w:val="0"/>
        <w:spacing w:after="0"/>
        <w:rPr>
          <w:rFonts w:ascii="TimesNewRoman" w:hAnsi="TimesNewRoman" w:cs="Times New Roman"/>
          <w:bCs/>
          <w:lang w:val="en-US"/>
        </w:rPr>
      </w:pPr>
    </w:p>
    <w:p w:rsidR="00B7697E" w:rsidRPr="00C34812" w:rsidRDefault="00AD5F20" w:rsidP="00316C38">
      <w:pPr>
        <w:autoSpaceDE w:val="0"/>
        <w:autoSpaceDN w:val="0"/>
        <w:adjustRightInd w:val="0"/>
        <w:spacing w:after="0"/>
        <w:rPr>
          <w:rFonts w:ascii="TimesNewRoman" w:hAnsi="TimesNewRoman" w:cs="Times New Roman"/>
          <w:bCs/>
          <w:lang w:val="en-US"/>
        </w:rPr>
      </w:pPr>
      <w:r w:rsidRPr="00C34812">
        <w:rPr>
          <w:rFonts w:ascii="TimesNewRoman" w:hAnsi="TimesNewRoman" w:cs="Times New Roman"/>
          <w:bCs/>
          <w:u w:val="single"/>
          <w:lang w:val="en-US"/>
        </w:rPr>
        <w:t>Item</w:t>
      </w:r>
      <w:r w:rsidR="00316C38" w:rsidRPr="00C34812">
        <w:rPr>
          <w:rFonts w:ascii="TimesNewRoman" w:hAnsi="TimesNewRoman" w:cs="Times New Roman"/>
          <w:bCs/>
          <w:u w:val="single"/>
          <w:lang w:val="en-US"/>
        </w:rPr>
        <w:t>s</w:t>
      </w:r>
      <w:r w:rsidRPr="00C34812">
        <w:rPr>
          <w:rFonts w:ascii="TimesNewRoman" w:hAnsi="TimesNewRoman" w:cs="Times New Roman"/>
          <w:bCs/>
          <w:u w:val="single"/>
          <w:lang w:val="en-US"/>
        </w:rPr>
        <w:t xml:space="preserve"> 7</w:t>
      </w:r>
      <w:r w:rsidR="00316C38" w:rsidRPr="00C34812">
        <w:rPr>
          <w:rFonts w:ascii="TimesNewRoman" w:hAnsi="TimesNewRoman" w:cs="Times New Roman"/>
          <w:bCs/>
          <w:u w:val="single"/>
          <w:lang w:val="en-US"/>
        </w:rPr>
        <w:t xml:space="preserve">- </w:t>
      </w:r>
      <w:r w:rsidR="00797DBE">
        <w:rPr>
          <w:rFonts w:ascii="TimesNewRoman" w:hAnsi="TimesNewRoman" w:cs="Times New Roman"/>
          <w:bCs/>
          <w:u w:val="single"/>
          <w:lang w:val="en-US"/>
        </w:rPr>
        <w:t>16</w:t>
      </w:r>
      <w:r w:rsidR="00316C38" w:rsidRPr="00C34812">
        <w:rPr>
          <w:rFonts w:ascii="TimesNewRoman" w:hAnsi="TimesNewRoman" w:cs="Times New Roman"/>
          <w:bCs/>
          <w:u w:val="single"/>
          <w:lang w:val="en-US"/>
        </w:rPr>
        <w:t xml:space="preserve">, </w:t>
      </w:r>
      <w:r w:rsidR="00797DBE">
        <w:rPr>
          <w:rFonts w:ascii="TimesNewRoman" w:hAnsi="TimesNewRoman" w:cs="Times New Roman"/>
          <w:bCs/>
          <w:u w:val="single"/>
          <w:lang w:val="en-US"/>
        </w:rPr>
        <w:t>19-22</w:t>
      </w:r>
      <w:r w:rsidR="00316C38" w:rsidRPr="00C34812">
        <w:rPr>
          <w:rFonts w:ascii="TimesNewRoman" w:hAnsi="TimesNewRoman" w:cs="Times New Roman"/>
          <w:bCs/>
          <w:u w:val="single"/>
          <w:lang w:val="en-US"/>
        </w:rPr>
        <w:t xml:space="preserve">, </w:t>
      </w:r>
      <w:r w:rsidR="00797DBE">
        <w:rPr>
          <w:rFonts w:ascii="TimesNewRoman" w:hAnsi="TimesNewRoman" w:cs="Times New Roman"/>
          <w:bCs/>
          <w:u w:val="single"/>
          <w:lang w:val="en-US"/>
        </w:rPr>
        <w:t>24-27</w:t>
      </w:r>
      <w:r w:rsidR="00316C38" w:rsidRPr="00C34812">
        <w:rPr>
          <w:rFonts w:ascii="TimesNewRoman" w:hAnsi="TimesNewRoman" w:cs="Times New Roman"/>
          <w:bCs/>
          <w:u w:val="single"/>
          <w:lang w:val="en-US"/>
        </w:rPr>
        <w:t xml:space="preserve"> and </w:t>
      </w:r>
      <w:r w:rsidR="00797DBE">
        <w:rPr>
          <w:rFonts w:ascii="TimesNewRoman" w:hAnsi="TimesNewRoman" w:cs="Times New Roman"/>
          <w:bCs/>
          <w:u w:val="single"/>
          <w:lang w:val="en-US"/>
        </w:rPr>
        <w:t>47-50</w:t>
      </w:r>
      <w:r w:rsidR="00316C38" w:rsidRPr="00C34812">
        <w:rPr>
          <w:rFonts w:ascii="TimesNewRoman" w:hAnsi="TimesNewRoman" w:cs="Times New Roman"/>
          <w:bCs/>
          <w:lang w:val="en-US"/>
        </w:rPr>
        <w:t xml:space="preserve"> remove redundant references to pooled and non-pooled numbers. </w:t>
      </w:r>
      <w:r w:rsidR="00316C38" w:rsidRPr="00C34812">
        <w:rPr>
          <w:rFonts w:ascii="TimesNewRoman" w:hAnsi="TimesNewRoman" w:cs="Times New Roman"/>
          <w:bCs/>
        </w:rPr>
        <w:t xml:space="preserve">A number pool </w:t>
      </w:r>
      <w:r w:rsidR="0098282E" w:rsidRPr="00C34812">
        <w:rPr>
          <w:rFonts w:ascii="TimesNewRoman" w:hAnsi="TimesNewRoman" w:cs="Times New Roman"/>
          <w:bCs/>
        </w:rPr>
        <w:t>refer</w:t>
      </w:r>
      <w:r w:rsidR="0098282E">
        <w:rPr>
          <w:rFonts w:ascii="TimesNewRoman" w:hAnsi="TimesNewRoman" w:cs="Times New Roman"/>
          <w:bCs/>
        </w:rPr>
        <w:t>red</w:t>
      </w:r>
      <w:r w:rsidR="0098282E" w:rsidRPr="00C34812">
        <w:rPr>
          <w:rFonts w:ascii="TimesNewRoman" w:hAnsi="TimesNewRoman" w:cs="Times New Roman"/>
          <w:bCs/>
        </w:rPr>
        <w:t xml:space="preserve"> </w:t>
      </w:r>
      <w:r w:rsidR="00316C38" w:rsidRPr="00C34812">
        <w:rPr>
          <w:rFonts w:ascii="TimesNewRoman" w:hAnsi="TimesNewRoman" w:cs="Times New Roman"/>
          <w:bCs/>
        </w:rPr>
        <w:t xml:space="preserve">to a declaration made under section 11.10 of the </w:t>
      </w:r>
      <w:r w:rsidR="00A94CAC" w:rsidRPr="00C34812">
        <w:rPr>
          <w:rFonts w:ascii="TimesNewRoman" w:hAnsi="TimesNewRoman" w:cs="Times New Roman"/>
          <w:bCs/>
        </w:rPr>
        <w:t xml:space="preserve">Numbering </w:t>
      </w:r>
      <w:r w:rsidR="00316C38" w:rsidRPr="00C34812">
        <w:rPr>
          <w:rFonts w:ascii="TimesNewRoman" w:hAnsi="TimesNewRoman" w:cs="Times New Roman"/>
          <w:bCs/>
        </w:rPr>
        <w:t>Plan</w:t>
      </w:r>
      <w:r w:rsidR="00A94CAC" w:rsidRPr="00C34812">
        <w:rPr>
          <w:rFonts w:ascii="TimesNewRoman" w:hAnsi="TimesNewRoman" w:cs="Times New Roman"/>
          <w:bCs/>
        </w:rPr>
        <w:t xml:space="preserve"> for the purpose of </w:t>
      </w:r>
      <w:r w:rsidR="00316C38" w:rsidRPr="00C34812">
        <w:rPr>
          <w:rFonts w:ascii="TimesNewRoman" w:hAnsi="TimesNewRoman" w:cs="Times New Roman"/>
          <w:bCs/>
        </w:rPr>
        <w:t>number portability.  No declarations were ever made under section 11.10</w:t>
      </w:r>
      <w:r w:rsidR="00A94CAC" w:rsidRPr="00C34812">
        <w:rPr>
          <w:rFonts w:ascii="TimesNewRoman" w:hAnsi="TimesNewRoman" w:cs="Times New Roman"/>
          <w:bCs/>
        </w:rPr>
        <w:t xml:space="preserve"> </w:t>
      </w:r>
      <w:r w:rsidR="0098282E">
        <w:rPr>
          <w:rFonts w:ascii="TimesNewRoman" w:hAnsi="TimesNewRoman" w:cs="Times New Roman"/>
          <w:bCs/>
        </w:rPr>
        <w:t xml:space="preserve">which </w:t>
      </w:r>
      <w:r w:rsidR="00A94CAC" w:rsidRPr="00C34812">
        <w:rPr>
          <w:rFonts w:ascii="TimesNewRoman" w:hAnsi="TimesNewRoman" w:cs="Times New Roman"/>
          <w:bCs/>
        </w:rPr>
        <w:t xml:space="preserve">was </w:t>
      </w:r>
      <w:r w:rsidR="00426281" w:rsidRPr="00C34812">
        <w:rPr>
          <w:rFonts w:ascii="TimesNewRoman" w:hAnsi="TimesNewRoman" w:cs="Times New Roman"/>
          <w:bCs/>
        </w:rPr>
        <w:t xml:space="preserve">omitted from the Numbering Plan in October 2000 </w:t>
      </w:r>
      <w:r w:rsidR="0098282E">
        <w:rPr>
          <w:rFonts w:ascii="TimesNewRoman" w:hAnsi="TimesNewRoman" w:cs="Times New Roman"/>
          <w:bCs/>
        </w:rPr>
        <w:t>pursuant to the</w:t>
      </w:r>
      <w:r w:rsidR="003D4034">
        <w:rPr>
          <w:rFonts w:ascii="TimesNewRoman" w:hAnsi="TimesNewRoman" w:cs="Times New Roman"/>
          <w:bCs/>
        </w:rPr>
        <w:t xml:space="preserve"> </w:t>
      </w:r>
      <w:r w:rsidR="00426281" w:rsidRPr="00C34812">
        <w:rPr>
          <w:rFonts w:ascii="TimesNewRoman" w:hAnsi="TimesNewRoman" w:cs="Times New Roman"/>
          <w:bCs/>
          <w:i/>
        </w:rPr>
        <w:t>Telecommunications Numbering Plan Amendment 2000 (No. 6)</w:t>
      </w:r>
      <w:r w:rsidR="00426281" w:rsidRPr="00C34812">
        <w:rPr>
          <w:rFonts w:ascii="TimesNewRoman" w:hAnsi="TimesNewRoman" w:cs="Times New Roman"/>
          <w:bCs/>
          <w:lang w:val="en-US"/>
        </w:rPr>
        <w:t xml:space="preserve">. </w:t>
      </w:r>
      <w:r w:rsidR="00A94CAC" w:rsidRPr="00C34812">
        <w:rPr>
          <w:rFonts w:ascii="TimesNewRoman" w:hAnsi="TimesNewRoman" w:cs="Times New Roman"/>
          <w:bCs/>
          <w:lang w:val="en-US"/>
        </w:rPr>
        <w:t xml:space="preserve"> </w:t>
      </w:r>
    </w:p>
    <w:p w:rsidR="00B7697E" w:rsidRDefault="00B7697E" w:rsidP="00316C38">
      <w:pPr>
        <w:autoSpaceDE w:val="0"/>
        <w:autoSpaceDN w:val="0"/>
        <w:adjustRightInd w:val="0"/>
        <w:spacing w:after="0"/>
        <w:rPr>
          <w:rFonts w:ascii="TimesNewRoman" w:hAnsi="TimesNewRoman" w:cs="Times New Roman"/>
          <w:bCs/>
          <w:u w:val="single"/>
          <w:lang w:val="en-US"/>
        </w:rPr>
      </w:pPr>
    </w:p>
    <w:p w:rsidR="00426281" w:rsidRPr="00C34812" w:rsidRDefault="00B7697E" w:rsidP="00316C38">
      <w:pPr>
        <w:autoSpaceDE w:val="0"/>
        <w:autoSpaceDN w:val="0"/>
        <w:adjustRightInd w:val="0"/>
        <w:spacing w:after="0"/>
        <w:rPr>
          <w:rFonts w:ascii="TimesNewRoman" w:hAnsi="TimesNewRoman" w:cs="Times New Roman"/>
          <w:bCs/>
          <w:lang w:val="en-US"/>
        </w:rPr>
      </w:pPr>
      <w:r w:rsidRPr="00C34812">
        <w:rPr>
          <w:rFonts w:ascii="TimesNewRoman" w:hAnsi="TimesNewRoman" w:cs="Times New Roman"/>
          <w:bCs/>
          <w:lang w:val="en-US"/>
        </w:rPr>
        <w:t>As a consequence of removing Division 1 (</w:t>
      </w:r>
      <w:r w:rsidR="00426281" w:rsidRPr="00C34812">
        <w:rPr>
          <w:rFonts w:ascii="TimesNewRoman" w:hAnsi="TimesNewRoman" w:cs="Times New Roman"/>
          <w:bCs/>
          <w:lang w:val="en-US"/>
        </w:rPr>
        <w:t>Chapter 6</w:t>
      </w:r>
      <w:r w:rsidRPr="00C34812">
        <w:rPr>
          <w:rFonts w:ascii="TimesNewRoman" w:hAnsi="TimesNewRoman" w:cs="Times New Roman"/>
          <w:bCs/>
          <w:lang w:val="en-US"/>
        </w:rPr>
        <w:t>, Part 2) s</w:t>
      </w:r>
      <w:r w:rsidR="00426281" w:rsidRPr="00C34812">
        <w:rPr>
          <w:rFonts w:ascii="TimesNewRoman" w:hAnsi="TimesNewRoman" w:cs="Times New Roman"/>
          <w:bCs/>
          <w:lang w:val="en-US"/>
        </w:rPr>
        <w:t xml:space="preserve">ubdivisions 2 to 6 </w:t>
      </w:r>
      <w:r w:rsidRPr="00C34812">
        <w:rPr>
          <w:rFonts w:ascii="TimesNewRoman" w:hAnsi="TimesNewRoman" w:cs="Times New Roman"/>
          <w:bCs/>
          <w:lang w:val="en-US"/>
        </w:rPr>
        <w:t xml:space="preserve">have been renumbered and become Divisions 1 to 5. </w:t>
      </w:r>
    </w:p>
    <w:p w:rsidR="00426281" w:rsidRPr="00426281" w:rsidRDefault="00426281" w:rsidP="00316C38">
      <w:pPr>
        <w:autoSpaceDE w:val="0"/>
        <w:autoSpaceDN w:val="0"/>
        <w:adjustRightInd w:val="0"/>
        <w:spacing w:after="0"/>
        <w:rPr>
          <w:rFonts w:ascii="TimesNewRoman" w:hAnsi="TimesNewRoman" w:cs="Times New Roman"/>
          <w:bCs/>
          <w:u w:val="single"/>
          <w:lang w:val="en-US"/>
        </w:rPr>
      </w:pPr>
    </w:p>
    <w:p w:rsidR="003B73B9" w:rsidRPr="00635F8D" w:rsidRDefault="003B73B9" w:rsidP="003B73B9">
      <w:pPr>
        <w:autoSpaceDE w:val="0"/>
        <w:autoSpaceDN w:val="0"/>
        <w:adjustRightInd w:val="0"/>
        <w:spacing w:after="0"/>
        <w:rPr>
          <w:rFonts w:ascii="TimesNewRoman" w:hAnsi="TimesNewRoman" w:cs="Times New Roman"/>
          <w:bCs/>
        </w:rPr>
      </w:pPr>
      <w:r w:rsidRPr="00635F8D">
        <w:rPr>
          <w:rFonts w:ascii="TimesNewRoman" w:hAnsi="TimesNewRoman" w:cs="Times New Roman"/>
          <w:bCs/>
          <w:u w:val="single"/>
          <w:lang w:val="en-US"/>
        </w:rPr>
        <w:t xml:space="preserve">Item </w:t>
      </w:r>
      <w:r w:rsidR="00AD5F20">
        <w:rPr>
          <w:rFonts w:ascii="TimesNewRoman" w:hAnsi="TimesNewRoman" w:cs="Times New Roman"/>
          <w:bCs/>
          <w:u w:val="single"/>
          <w:lang w:val="en-US"/>
        </w:rPr>
        <w:t>1</w:t>
      </w:r>
      <w:r w:rsidR="00797DBE">
        <w:rPr>
          <w:rFonts w:ascii="TimesNewRoman" w:hAnsi="TimesNewRoman" w:cs="Times New Roman"/>
          <w:bCs/>
          <w:u w:val="single"/>
          <w:lang w:val="en-US"/>
        </w:rPr>
        <w:t>7</w:t>
      </w:r>
      <w:r w:rsidR="00AD5F20" w:rsidRPr="00635F8D">
        <w:rPr>
          <w:rFonts w:ascii="TimesNewRoman" w:hAnsi="TimesNewRoman" w:cs="Times New Roman"/>
          <w:bCs/>
          <w:lang w:val="en-US"/>
        </w:rPr>
        <w:t xml:space="preserve"> </w:t>
      </w:r>
      <w:r w:rsidRPr="00635F8D">
        <w:rPr>
          <w:rFonts w:ascii="TimesNewRoman" w:hAnsi="TimesNewRoman" w:cs="Times New Roman"/>
          <w:bCs/>
        </w:rPr>
        <w:t xml:space="preserve">increases the period of time the ACMA has to decide whether to approve </w:t>
      </w:r>
      <w:r w:rsidR="007430D1" w:rsidRPr="00635F8D">
        <w:rPr>
          <w:rFonts w:ascii="TimesNewRoman" w:hAnsi="TimesNewRoman" w:cs="Times New Roman"/>
          <w:bCs/>
        </w:rPr>
        <w:t>a complex application</w:t>
      </w:r>
      <w:r w:rsidRPr="00635F8D">
        <w:rPr>
          <w:rFonts w:ascii="TimesNewRoman" w:hAnsi="TimesNewRoman" w:cs="Times New Roman"/>
          <w:bCs/>
        </w:rPr>
        <w:t xml:space="preserve">. </w:t>
      </w:r>
      <w:r w:rsidR="007430D1" w:rsidRPr="00635F8D">
        <w:rPr>
          <w:rFonts w:ascii="TimesNewRoman" w:hAnsi="TimesNewRoman" w:cs="Times New Roman"/>
          <w:bCs/>
        </w:rPr>
        <w:t>Complex applications are not common</w:t>
      </w:r>
      <w:r w:rsidR="009C004E" w:rsidRPr="00635F8D">
        <w:rPr>
          <w:rFonts w:ascii="TimesNewRoman" w:hAnsi="TimesNewRoman" w:cs="Times New Roman"/>
          <w:bCs/>
        </w:rPr>
        <w:t>. H</w:t>
      </w:r>
      <w:r w:rsidR="007430D1" w:rsidRPr="00635F8D">
        <w:rPr>
          <w:rFonts w:ascii="TimesNewRoman" w:hAnsi="TimesNewRoman" w:cs="Times New Roman"/>
          <w:bCs/>
        </w:rPr>
        <w:t xml:space="preserve">owever, as they typically involve new entrants to the market who wish to introduce new services, considering these applications raises legal and policy questions that can require extensive consultation. </w:t>
      </w:r>
      <w:r w:rsidR="009C004E" w:rsidRPr="00635F8D">
        <w:rPr>
          <w:rFonts w:ascii="TimesNewRoman" w:hAnsi="TimesNewRoman" w:cs="Times New Roman"/>
        </w:rPr>
        <w:t>This variation increases the consideration period</w:t>
      </w:r>
      <w:r w:rsidR="009C004E" w:rsidRPr="00635F8D">
        <w:rPr>
          <w:rFonts w:ascii="TimesNewRoman" w:hAnsi="TimesNewRoman" w:cs="Times New Roman"/>
          <w:bCs/>
        </w:rPr>
        <w:t xml:space="preserve"> from 44 to 60 business days.</w:t>
      </w:r>
    </w:p>
    <w:p w:rsidR="009C004E" w:rsidRPr="00635F8D" w:rsidRDefault="009C004E" w:rsidP="003B73B9">
      <w:pPr>
        <w:autoSpaceDE w:val="0"/>
        <w:autoSpaceDN w:val="0"/>
        <w:adjustRightInd w:val="0"/>
        <w:spacing w:after="0"/>
        <w:rPr>
          <w:rFonts w:ascii="TimesNewRoman" w:hAnsi="TimesNewRoman" w:cs="Times New Roman"/>
          <w:bCs/>
        </w:rPr>
      </w:pPr>
    </w:p>
    <w:p w:rsidR="007430D1" w:rsidRPr="00635F8D" w:rsidRDefault="007430D1" w:rsidP="003B73B9">
      <w:pPr>
        <w:autoSpaceDE w:val="0"/>
        <w:autoSpaceDN w:val="0"/>
        <w:adjustRightInd w:val="0"/>
        <w:spacing w:after="0"/>
        <w:rPr>
          <w:rFonts w:ascii="TimesNewRoman" w:hAnsi="TimesNewRoman" w:cs="Times New Roman"/>
          <w:bCs/>
          <w:lang w:val="en-US"/>
        </w:rPr>
      </w:pPr>
      <w:r w:rsidRPr="00635F8D">
        <w:rPr>
          <w:rFonts w:ascii="TimesNewRoman" w:hAnsi="TimesNewRoman" w:cs="Times New Roman"/>
          <w:bCs/>
          <w:u w:val="single"/>
        </w:rPr>
        <w:t xml:space="preserve">Item </w:t>
      </w:r>
      <w:r w:rsidR="00AD5F20">
        <w:rPr>
          <w:rFonts w:ascii="TimesNewRoman" w:hAnsi="TimesNewRoman" w:cs="Times New Roman"/>
          <w:bCs/>
          <w:u w:val="single"/>
        </w:rPr>
        <w:t>1</w:t>
      </w:r>
      <w:r w:rsidR="00797DBE">
        <w:rPr>
          <w:rFonts w:ascii="TimesNewRoman" w:hAnsi="TimesNewRoman" w:cs="Times New Roman"/>
          <w:bCs/>
          <w:u w:val="single"/>
        </w:rPr>
        <w:t>8</w:t>
      </w:r>
      <w:r w:rsidR="00AD5F20" w:rsidRPr="00635F8D">
        <w:rPr>
          <w:rFonts w:ascii="TimesNewRoman" w:hAnsi="TimesNewRoman" w:cs="Times New Roman"/>
          <w:bCs/>
        </w:rPr>
        <w:t xml:space="preserve"> </w:t>
      </w:r>
      <w:r w:rsidRPr="00635F8D">
        <w:rPr>
          <w:rFonts w:ascii="TimesNewRoman" w:hAnsi="TimesNewRoman" w:cs="Times New Roman"/>
          <w:bCs/>
        </w:rPr>
        <w:t>reduces the period of time the ACMA has to make its decision to approve or refuse an application to vary an</w:t>
      </w:r>
      <w:r w:rsidRPr="00635F8D">
        <w:rPr>
          <w:rFonts w:ascii="TimesNewRoman" w:hAnsi="TimesNewRoman" w:cs="Times New Roman"/>
        </w:rPr>
        <w:t xml:space="preserve"> allocation of geographic numbers.  In practice, the time taken to consider applications to vary allocations is consistently fewer than the 15 business days allowed under section 6.34. </w:t>
      </w:r>
      <w:r w:rsidR="00AB5FBD" w:rsidRPr="00635F8D">
        <w:rPr>
          <w:rFonts w:ascii="TimesNewRoman" w:hAnsi="TimesNewRoman" w:cs="Times New Roman"/>
        </w:rPr>
        <w:t>This variation</w:t>
      </w:r>
      <w:r w:rsidRPr="00635F8D">
        <w:rPr>
          <w:rFonts w:ascii="TimesNewRoman" w:hAnsi="TimesNewRoman" w:cs="Times New Roman"/>
        </w:rPr>
        <w:t xml:space="preserve"> reduce</w:t>
      </w:r>
      <w:r w:rsidR="00AB5FBD" w:rsidRPr="00635F8D">
        <w:rPr>
          <w:rFonts w:ascii="TimesNewRoman" w:hAnsi="TimesNewRoman" w:cs="Times New Roman"/>
        </w:rPr>
        <w:t>s</w:t>
      </w:r>
      <w:r w:rsidRPr="00635F8D">
        <w:rPr>
          <w:rFonts w:ascii="TimesNewRoman" w:hAnsi="TimesNewRoman" w:cs="Times New Roman"/>
        </w:rPr>
        <w:t xml:space="preserve"> the consideration period to 10 business days.</w:t>
      </w:r>
    </w:p>
    <w:p w:rsidR="003B73B9" w:rsidRPr="00635F8D" w:rsidRDefault="003B73B9" w:rsidP="00B80F46">
      <w:pPr>
        <w:autoSpaceDE w:val="0"/>
        <w:autoSpaceDN w:val="0"/>
        <w:adjustRightInd w:val="0"/>
        <w:spacing w:after="0"/>
        <w:rPr>
          <w:rFonts w:ascii="TimesNewRoman" w:hAnsi="TimesNewRoman" w:cs="Times New Roman"/>
          <w:bCs/>
          <w:lang w:val="en-US"/>
        </w:rPr>
      </w:pPr>
    </w:p>
    <w:p w:rsidR="002E08FD" w:rsidRPr="00635F8D" w:rsidRDefault="00AB5FBD" w:rsidP="002E08FD">
      <w:pPr>
        <w:autoSpaceDE w:val="0"/>
        <w:autoSpaceDN w:val="0"/>
        <w:adjustRightInd w:val="0"/>
        <w:spacing w:after="0"/>
        <w:rPr>
          <w:rFonts w:ascii="TimesNewRoman" w:hAnsi="TimesNewRoman" w:cs="Times New Roman"/>
          <w:bCs/>
        </w:rPr>
      </w:pPr>
      <w:r w:rsidRPr="00635F8D">
        <w:rPr>
          <w:rFonts w:ascii="TimesNewRoman" w:hAnsi="TimesNewRoman" w:cs="Times New Roman"/>
          <w:bCs/>
          <w:u w:val="single"/>
          <w:lang w:val="en-US"/>
        </w:rPr>
        <w:t xml:space="preserve">Items </w:t>
      </w:r>
      <w:r w:rsidR="00AD5F20">
        <w:rPr>
          <w:rFonts w:ascii="TimesNewRoman" w:hAnsi="TimesNewRoman" w:cs="Times New Roman"/>
          <w:bCs/>
          <w:u w:val="single"/>
          <w:lang w:val="en-US"/>
        </w:rPr>
        <w:t>2</w:t>
      </w:r>
      <w:r w:rsidR="00797DBE">
        <w:rPr>
          <w:rFonts w:ascii="TimesNewRoman" w:hAnsi="TimesNewRoman" w:cs="Times New Roman"/>
          <w:bCs/>
          <w:u w:val="single"/>
          <w:lang w:val="en-US"/>
        </w:rPr>
        <w:t>8</w:t>
      </w:r>
      <w:r w:rsidR="00AD5F20">
        <w:rPr>
          <w:rFonts w:ascii="TimesNewRoman" w:hAnsi="TimesNewRoman" w:cs="Times New Roman"/>
          <w:bCs/>
          <w:u w:val="single"/>
          <w:lang w:val="en-US"/>
        </w:rPr>
        <w:t xml:space="preserve"> and 5</w:t>
      </w:r>
      <w:r w:rsidR="00797DBE">
        <w:rPr>
          <w:rFonts w:ascii="TimesNewRoman" w:hAnsi="TimesNewRoman" w:cs="Times New Roman"/>
          <w:bCs/>
          <w:u w:val="single"/>
          <w:lang w:val="en-US"/>
        </w:rPr>
        <w:t>1</w:t>
      </w:r>
      <w:r w:rsidRPr="00635F8D">
        <w:rPr>
          <w:rFonts w:ascii="TimesNewRoman" w:hAnsi="TimesNewRoman" w:cs="Times New Roman"/>
          <w:bCs/>
          <w:lang w:val="en-US"/>
        </w:rPr>
        <w:t xml:space="preserve"> remove Chapter 13 and Schedule 12 from the Numbering </w:t>
      </w:r>
      <w:r w:rsidRPr="00A2438F">
        <w:rPr>
          <w:rFonts w:ascii="TimesNewRoman" w:hAnsi="TimesNewRoman" w:cs="Times New Roman"/>
          <w:bCs/>
          <w:lang w:val="en-US"/>
        </w:rPr>
        <w:t xml:space="preserve">Plan. </w:t>
      </w:r>
      <w:r w:rsidR="002E08FD" w:rsidRPr="00A2438F">
        <w:rPr>
          <w:rFonts w:ascii="TimesNewRoman" w:hAnsi="TimesNewRoman" w:cs="Times New Roman"/>
          <w:bCs/>
        </w:rPr>
        <w:t>Chapter 13 declare</w:t>
      </w:r>
      <w:r w:rsidR="00D30909">
        <w:rPr>
          <w:rFonts w:ascii="TimesNewRoman" w:hAnsi="TimesNewRoman" w:cs="Times New Roman"/>
          <w:bCs/>
        </w:rPr>
        <w:t>d</w:t>
      </w:r>
      <w:r w:rsidR="002E08FD" w:rsidRPr="00A2438F">
        <w:rPr>
          <w:rFonts w:ascii="TimesNewRoman" w:hAnsi="TimesNewRoman" w:cs="Times New Roman"/>
          <w:bCs/>
        </w:rPr>
        <w:t xml:space="preserve"> the numbers </w:t>
      </w:r>
      <w:r w:rsidR="00A2438F" w:rsidRPr="00A2438F">
        <w:rPr>
          <w:rFonts w:ascii="TimesNewRoman" w:hAnsi="TimesNewRoman" w:cs="Times New Roman"/>
          <w:bCs/>
        </w:rPr>
        <w:t>in Schedule 12</w:t>
      </w:r>
      <w:r w:rsidR="00D30909">
        <w:rPr>
          <w:rFonts w:ascii="TimesNewRoman" w:hAnsi="TimesNewRoman" w:cs="Times New Roman"/>
          <w:bCs/>
        </w:rPr>
        <w:t xml:space="preserve"> which was</w:t>
      </w:r>
      <w:r w:rsidRPr="00635F8D">
        <w:rPr>
          <w:rFonts w:ascii="TimesNewRoman" w:hAnsi="TimesNewRoman" w:cs="Times New Roman"/>
          <w:bCs/>
        </w:rPr>
        <w:t xml:space="preserve"> a snapshot </w:t>
      </w:r>
      <w:r w:rsidRPr="00635F8D">
        <w:rPr>
          <w:rFonts w:ascii="TimesNewRoman" w:hAnsi="TimesNewRoman" w:cs="Times New Roman"/>
          <w:bCs/>
        </w:rPr>
        <w:lastRenderedPageBreak/>
        <w:t>of the allocation of numbers as at 31 December 1997</w:t>
      </w:r>
      <w:r w:rsidR="003D4034">
        <w:rPr>
          <w:rFonts w:ascii="TimesNewRoman" w:hAnsi="TimesNewRoman" w:cs="Times New Roman"/>
          <w:bCs/>
        </w:rPr>
        <w:t xml:space="preserve"> </w:t>
      </w:r>
      <w:r w:rsidRPr="00635F8D">
        <w:rPr>
          <w:rFonts w:ascii="TimesNewRoman" w:hAnsi="TimesNewRoman" w:cs="Times New Roman"/>
          <w:bCs/>
        </w:rPr>
        <w:t>—</w:t>
      </w:r>
      <w:r w:rsidR="003D4034">
        <w:rPr>
          <w:rFonts w:ascii="TimesNewRoman" w:hAnsi="TimesNewRoman" w:cs="Times New Roman"/>
          <w:bCs/>
        </w:rPr>
        <w:t xml:space="preserve"> </w:t>
      </w:r>
      <w:r w:rsidRPr="00635F8D">
        <w:rPr>
          <w:rFonts w:ascii="TimesNewRoman" w:hAnsi="TimesNewRoman" w:cs="Times New Roman"/>
          <w:bCs/>
        </w:rPr>
        <w:t xml:space="preserve">the day the Numbering Plan commenced. Any subsequent transfer, surrender or withdrawal of numbers, and </w:t>
      </w:r>
      <w:r w:rsidR="00D30909">
        <w:rPr>
          <w:rFonts w:ascii="TimesNewRoman" w:hAnsi="TimesNewRoman" w:cs="Times New Roman"/>
          <w:bCs/>
        </w:rPr>
        <w:t>any new allocations of numbers we</w:t>
      </w:r>
      <w:r w:rsidRPr="00635F8D">
        <w:rPr>
          <w:rFonts w:ascii="TimesNewRoman" w:hAnsi="TimesNewRoman" w:cs="Times New Roman"/>
          <w:bCs/>
        </w:rPr>
        <w:t>re not reflected. As such, Schedule 12 serve</w:t>
      </w:r>
      <w:r w:rsidR="00D30909">
        <w:rPr>
          <w:rFonts w:ascii="TimesNewRoman" w:hAnsi="TimesNewRoman" w:cs="Times New Roman"/>
          <w:bCs/>
        </w:rPr>
        <w:t>d</w:t>
      </w:r>
      <w:r w:rsidRPr="00635F8D">
        <w:rPr>
          <w:rFonts w:ascii="TimesNewRoman" w:hAnsi="TimesNewRoman" w:cs="Times New Roman"/>
          <w:bCs/>
        </w:rPr>
        <w:t xml:space="preserve"> only as a historical document with limited use. The removal of </w:t>
      </w:r>
      <w:r w:rsidR="00A2438F">
        <w:rPr>
          <w:rFonts w:ascii="TimesNewRoman" w:hAnsi="TimesNewRoman" w:cs="Times New Roman"/>
          <w:bCs/>
        </w:rPr>
        <w:t xml:space="preserve">Chapter 13 and </w:t>
      </w:r>
      <w:r w:rsidRPr="00635F8D">
        <w:rPr>
          <w:rFonts w:ascii="TimesNewRoman" w:hAnsi="TimesNewRoman" w:cs="Times New Roman"/>
          <w:bCs/>
        </w:rPr>
        <w:t>Schedule 12 streamline</w:t>
      </w:r>
      <w:r w:rsidR="003733D9" w:rsidRPr="00635F8D">
        <w:rPr>
          <w:rFonts w:ascii="TimesNewRoman" w:hAnsi="TimesNewRoman" w:cs="Times New Roman"/>
          <w:bCs/>
        </w:rPr>
        <w:t xml:space="preserve">s the Numbering Plan by </w:t>
      </w:r>
      <w:r w:rsidRPr="00635F8D">
        <w:rPr>
          <w:rFonts w:ascii="TimesNewRoman" w:hAnsi="TimesNewRoman" w:cs="Times New Roman"/>
          <w:bCs/>
        </w:rPr>
        <w:t>reducing its length by over 300 pages.</w:t>
      </w:r>
      <w:r w:rsidR="002E08FD">
        <w:rPr>
          <w:rFonts w:ascii="TimesNewRoman" w:hAnsi="TimesNewRoman" w:cs="Times New Roman"/>
          <w:bCs/>
        </w:rPr>
        <w:t xml:space="preserve"> </w:t>
      </w:r>
    </w:p>
    <w:p w:rsidR="003B73B9" w:rsidRPr="00635F8D" w:rsidRDefault="003B73B9" w:rsidP="002E08FD">
      <w:pPr>
        <w:autoSpaceDE w:val="0"/>
        <w:autoSpaceDN w:val="0"/>
        <w:adjustRightInd w:val="0"/>
        <w:spacing w:after="0"/>
        <w:rPr>
          <w:rFonts w:ascii="TimesNewRoman" w:hAnsi="TimesNewRoman" w:cs="Times New Roman"/>
          <w:bCs/>
        </w:rPr>
      </w:pPr>
    </w:p>
    <w:p w:rsidR="00AB5FBD" w:rsidRPr="00635F8D" w:rsidRDefault="00AB5FBD" w:rsidP="00AB5FBD">
      <w:pPr>
        <w:autoSpaceDE w:val="0"/>
        <w:autoSpaceDN w:val="0"/>
        <w:adjustRightInd w:val="0"/>
        <w:spacing w:after="0"/>
        <w:rPr>
          <w:rFonts w:ascii="TimesNewRoman" w:hAnsi="TimesNewRoman" w:cs="Times New Roman"/>
          <w:bCs/>
        </w:rPr>
      </w:pPr>
    </w:p>
    <w:p w:rsidR="00727837" w:rsidRPr="00635F8D" w:rsidRDefault="007E0725" w:rsidP="007E0725">
      <w:pPr>
        <w:pStyle w:val="Default"/>
        <w:rPr>
          <w:rFonts w:ascii="TimesNewRoman" w:hAnsi="TimesNewRoman" w:cs="Times New Roman"/>
          <w:bCs/>
        </w:rPr>
      </w:pPr>
      <w:r w:rsidRPr="00635F8D">
        <w:rPr>
          <w:rFonts w:ascii="TimesNewRoman" w:hAnsi="TimesNewRoman" w:cs="Times New Roman"/>
          <w:bCs/>
          <w:u w:val="single"/>
        </w:rPr>
        <w:t xml:space="preserve">Items </w:t>
      </w:r>
      <w:r w:rsidR="00797DBE">
        <w:rPr>
          <w:rFonts w:ascii="TimesNewRoman" w:hAnsi="TimesNewRoman" w:cs="Times New Roman"/>
          <w:bCs/>
          <w:u w:val="single"/>
        </w:rPr>
        <w:t>29</w:t>
      </w:r>
      <w:r w:rsidR="00AD5F20">
        <w:rPr>
          <w:rFonts w:ascii="TimesNewRoman" w:hAnsi="TimesNewRoman" w:cs="Times New Roman"/>
          <w:bCs/>
          <w:u w:val="single"/>
        </w:rPr>
        <w:t xml:space="preserve"> - </w:t>
      </w:r>
      <w:r w:rsidR="00797DBE">
        <w:rPr>
          <w:rFonts w:ascii="TimesNewRoman" w:hAnsi="TimesNewRoman" w:cs="Times New Roman"/>
          <w:bCs/>
          <w:u w:val="single"/>
        </w:rPr>
        <w:t>46</w:t>
      </w:r>
      <w:r w:rsidRPr="00635F8D">
        <w:rPr>
          <w:rFonts w:ascii="TimesNewRoman" w:hAnsi="TimesNewRoman" w:cs="Times New Roman"/>
          <w:bCs/>
        </w:rPr>
        <w:t xml:space="preserve"> </w:t>
      </w:r>
      <w:r w:rsidR="00A14640" w:rsidRPr="00635F8D">
        <w:rPr>
          <w:rFonts w:ascii="TimesNewRoman" w:hAnsi="TimesNewRoman" w:cs="Times New Roman"/>
          <w:bCs/>
        </w:rPr>
        <w:t xml:space="preserve">either </w:t>
      </w:r>
      <w:r w:rsidRPr="00635F8D">
        <w:rPr>
          <w:rFonts w:ascii="TimesNewRoman" w:hAnsi="TimesNewRoman" w:cs="Times New Roman"/>
          <w:bCs/>
        </w:rPr>
        <w:t xml:space="preserve">remove </w:t>
      </w:r>
      <w:r w:rsidR="00A14640" w:rsidRPr="00635F8D">
        <w:rPr>
          <w:rFonts w:ascii="TimesNewRoman" w:hAnsi="TimesNewRoman" w:cs="Times New Roman"/>
          <w:bCs/>
        </w:rPr>
        <w:t xml:space="preserve">services or consolidate the prefixes that can be used for services </w:t>
      </w:r>
      <w:r w:rsidR="002E08FD">
        <w:rPr>
          <w:rFonts w:ascii="TimesNewRoman" w:hAnsi="TimesNewRoman" w:cs="Times New Roman"/>
          <w:bCs/>
        </w:rPr>
        <w:t>in</w:t>
      </w:r>
      <w:r w:rsidRPr="00635F8D">
        <w:rPr>
          <w:rFonts w:ascii="TimesNewRoman" w:hAnsi="TimesNewRoman" w:cs="Times New Roman"/>
          <w:bCs/>
        </w:rPr>
        <w:t xml:space="preserve"> Schedules 1,</w:t>
      </w:r>
      <w:r w:rsidR="002105E5" w:rsidRPr="00635F8D">
        <w:rPr>
          <w:rFonts w:ascii="TimesNewRoman" w:hAnsi="TimesNewRoman" w:cs="Times New Roman"/>
          <w:bCs/>
        </w:rPr>
        <w:t xml:space="preserve"> </w:t>
      </w:r>
      <w:r w:rsidRPr="00635F8D">
        <w:rPr>
          <w:rFonts w:ascii="TimesNewRoman" w:hAnsi="TimesNewRoman" w:cs="Times New Roman"/>
          <w:bCs/>
        </w:rPr>
        <w:t>4 and 8</w:t>
      </w:r>
      <w:r w:rsidR="00727837" w:rsidRPr="00635F8D">
        <w:rPr>
          <w:rFonts w:ascii="TimesNewRoman" w:hAnsi="TimesNewRoman" w:cs="Times New Roman"/>
          <w:bCs/>
        </w:rPr>
        <w:t>.</w:t>
      </w:r>
    </w:p>
    <w:p w:rsidR="00727837" w:rsidRPr="00635F8D" w:rsidRDefault="00727837" w:rsidP="007E0725">
      <w:pPr>
        <w:pStyle w:val="Default"/>
        <w:rPr>
          <w:rFonts w:ascii="TimesNewRoman" w:hAnsi="TimesNewRoman" w:cs="Times New Roman"/>
          <w:bCs/>
        </w:rPr>
      </w:pPr>
    </w:p>
    <w:p w:rsidR="007E0725" w:rsidRPr="00635F8D" w:rsidRDefault="00727837" w:rsidP="007E0725">
      <w:pPr>
        <w:pStyle w:val="Default"/>
        <w:rPr>
          <w:rFonts w:ascii="TimesNewRoman" w:hAnsi="TimesNewRoman" w:cs="Times New Roman"/>
        </w:rPr>
      </w:pPr>
      <w:r w:rsidRPr="00635F8D">
        <w:rPr>
          <w:rFonts w:ascii="TimesNewRoman" w:hAnsi="TimesNewRoman" w:cs="Times New Roman"/>
          <w:bCs/>
        </w:rPr>
        <w:t>The following services have been removed;</w:t>
      </w:r>
      <w:r w:rsidR="007E0725" w:rsidRPr="00635F8D">
        <w:rPr>
          <w:rFonts w:ascii="TimesNewRoman" w:hAnsi="TimesNewRoman" w:cs="Times New Roman"/>
          <w:bCs/>
        </w:rPr>
        <w:t xml:space="preserve"> </w:t>
      </w:r>
      <w:r w:rsidR="007E0725" w:rsidRPr="00635F8D">
        <w:rPr>
          <w:rFonts w:ascii="TimesNewRoman" w:hAnsi="TimesNewRoman" w:cs="Times New Roman"/>
        </w:rPr>
        <w:t xml:space="preserve">call information service, mass calling service, public interest service, supplementary control service, universal personal telecommunications service, universal personal telecommunications profile access service and ENUM trial. </w:t>
      </w:r>
    </w:p>
    <w:p w:rsidR="00A14640" w:rsidRPr="00635F8D" w:rsidRDefault="00A14640" w:rsidP="007E0725">
      <w:pPr>
        <w:pStyle w:val="Default"/>
        <w:rPr>
          <w:rFonts w:ascii="TimesNewRoman" w:hAnsi="TimesNewRoman" w:cs="Times New Roman"/>
        </w:rPr>
      </w:pPr>
    </w:p>
    <w:p w:rsidR="00A14640" w:rsidRPr="00635F8D" w:rsidRDefault="00A14640" w:rsidP="00A14640">
      <w:pPr>
        <w:pStyle w:val="Default"/>
        <w:rPr>
          <w:rFonts w:ascii="TimesNewRoman" w:hAnsi="TimesNewRoman" w:cs="Times New Roman"/>
        </w:rPr>
      </w:pPr>
      <w:r w:rsidRPr="00635F8D">
        <w:rPr>
          <w:rFonts w:ascii="TimesNewRoman" w:hAnsi="TimesNewRoman" w:cs="Times New Roman"/>
        </w:rPr>
        <w:t>These services are either not being provided by CSPs or are being provided using other numbers. As CSPs are not holding any numbers that are specified for use with these service types, they have been removed from the Numbering Plan.</w:t>
      </w:r>
    </w:p>
    <w:p w:rsidR="00A14640" w:rsidRPr="00635F8D" w:rsidRDefault="00A14640" w:rsidP="00A14640">
      <w:pPr>
        <w:pStyle w:val="Default"/>
        <w:rPr>
          <w:rFonts w:ascii="TimesNewRoman" w:hAnsi="TimesNewRoman" w:cs="Times New Roman"/>
        </w:rPr>
      </w:pPr>
    </w:p>
    <w:p w:rsidR="00727837" w:rsidRPr="00635F8D" w:rsidRDefault="00727837" w:rsidP="00727837">
      <w:pPr>
        <w:pStyle w:val="Default"/>
        <w:rPr>
          <w:rFonts w:ascii="TimesNewRoman" w:hAnsi="TimesNewRoman" w:cs="Times New Roman"/>
        </w:rPr>
      </w:pPr>
      <w:r w:rsidRPr="00635F8D">
        <w:rPr>
          <w:rFonts w:ascii="TimesNewRoman" w:hAnsi="TimesNewRoman" w:cs="Times New Roman"/>
        </w:rPr>
        <w:t xml:space="preserve">The following services have had the number of prefixes specified for use </w:t>
      </w:r>
      <w:r w:rsidR="005953A9">
        <w:rPr>
          <w:rFonts w:ascii="TimesNewRoman" w:hAnsi="TimesNewRoman" w:cs="Times New Roman"/>
        </w:rPr>
        <w:t>for</w:t>
      </w:r>
      <w:r w:rsidRPr="00635F8D">
        <w:rPr>
          <w:rFonts w:ascii="TimesNewRoman" w:hAnsi="TimesNewRoman" w:cs="Times New Roman"/>
        </w:rPr>
        <w:t xml:space="preserve"> them reduced; community service, analogue amps service, testing service, internal network service, paging service</w:t>
      </w:r>
      <w:r w:rsidR="00163A47">
        <w:rPr>
          <w:rFonts w:ascii="TimesNewRoman" w:hAnsi="TimesNewRoman" w:cs="Times New Roman"/>
        </w:rPr>
        <w:t xml:space="preserve"> and </w:t>
      </w:r>
      <w:r w:rsidRPr="00635F8D">
        <w:rPr>
          <w:rFonts w:ascii="TimesNewRoman" w:hAnsi="TimesNewRoman" w:cs="Times New Roman"/>
        </w:rPr>
        <w:t>data network access service.</w:t>
      </w:r>
    </w:p>
    <w:p w:rsidR="00163A47" w:rsidRDefault="00163A47" w:rsidP="00727837">
      <w:pPr>
        <w:pStyle w:val="Default"/>
        <w:rPr>
          <w:rFonts w:ascii="TimesNewRoman" w:hAnsi="TimesNewRoman" w:cs="Times New Roman"/>
        </w:rPr>
      </w:pPr>
    </w:p>
    <w:p w:rsidR="00727837" w:rsidRPr="00635F8D" w:rsidRDefault="00727837" w:rsidP="00727837">
      <w:pPr>
        <w:pStyle w:val="Default"/>
        <w:rPr>
          <w:rFonts w:ascii="TimesNewRoman" w:hAnsi="TimesNewRoman" w:cs="Times New Roman"/>
        </w:rPr>
      </w:pPr>
      <w:r w:rsidRPr="00635F8D">
        <w:rPr>
          <w:rFonts w:ascii="TimesNewRoman" w:hAnsi="TimesNewRoman" w:cs="Times New Roman"/>
        </w:rPr>
        <w:t xml:space="preserve">Of these services, only data network access services have had any new numbers allocated in recent years. The last application for internal network service numbers was in 2005. The remaining services have not had any new number allocations made to CSPs in over 15 years. It is anticipated that any further demand from CSPs for numbers for these services is unlikely. These service types have been retained but the quantity of numbers specified for use </w:t>
      </w:r>
      <w:r w:rsidR="005953A9">
        <w:rPr>
          <w:rFonts w:ascii="TimesNewRoman" w:hAnsi="TimesNewRoman" w:cs="Times New Roman"/>
        </w:rPr>
        <w:t>for</w:t>
      </w:r>
      <w:r w:rsidRPr="00635F8D">
        <w:rPr>
          <w:rFonts w:ascii="TimesNewRoman" w:hAnsi="TimesNewRoman" w:cs="Times New Roman"/>
        </w:rPr>
        <w:t xml:space="preserve"> them has been reduced.</w:t>
      </w:r>
    </w:p>
    <w:p w:rsidR="00727837" w:rsidRPr="00635F8D" w:rsidRDefault="00727837" w:rsidP="00727837">
      <w:pPr>
        <w:pStyle w:val="Default"/>
        <w:rPr>
          <w:rFonts w:ascii="TimesNewRoman" w:hAnsi="TimesNewRoman" w:cs="Times New Roman"/>
        </w:rPr>
      </w:pPr>
      <w:r w:rsidRPr="00635F8D">
        <w:rPr>
          <w:rFonts w:ascii="TimesNewRoman" w:hAnsi="TimesNewRoman" w:cs="Times New Roman"/>
        </w:rPr>
        <w:t xml:space="preserve"> </w:t>
      </w:r>
    </w:p>
    <w:p w:rsidR="00A14640" w:rsidRDefault="00727837" w:rsidP="00A14640">
      <w:pPr>
        <w:pStyle w:val="Default"/>
        <w:rPr>
          <w:rFonts w:ascii="TimesNewRoman" w:hAnsi="TimesNewRoman" w:cs="Times New Roman"/>
        </w:rPr>
      </w:pPr>
      <w:r w:rsidRPr="00635F8D">
        <w:rPr>
          <w:rFonts w:ascii="TimesNewRoman" w:hAnsi="TimesNewRoman" w:cs="Times New Roman"/>
        </w:rPr>
        <w:t xml:space="preserve">The service that is specified as both a premium rate </w:t>
      </w:r>
      <w:r w:rsidR="00793AC0">
        <w:rPr>
          <w:rFonts w:ascii="TimesNewRoman" w:hAnsi="TimesNewRoman" w:cs="Times New Roman"/>
        </w:rPr>
        <w:t xml:space="preserve">service </w:t>
      </w:r>
      <w:r w:rsidRPr="00635F8D">
        <w:rPr>
          <w:rFonts w:ascii="TimesNewRoman" w:hAnsi="TimesNewRoman" w:cs="Times New Roman"/>
        </w:rPr>
        <w:t xml:space="preserve">and </w:t>
      </w:r>
      <w:r w:rsidR="00793AC0">
        <w:rPr>
          <w:rFonts w:ascii="TimesNewRoman" w:hAnsi="TimesNewRoman" w:cs="Times New Roman"/>
        </w:rPr>
        <w:t xml:space="preserve">a </w:t>
      </w:r>
      <w:r w:rsidRPr="00635F8D">
        <w:rPr>
          <w:rFonts w:ascii="TimesNewRoman" w:hAnsi="TimesNewRoman" w:cs="Times New Roman"/>
        </w:rPr>
        <w:t xml:space="preserve">paging service </w:t>
      </w:r>
      <w:r w:rsidR="00793AC0">
        <w:rPr>
          <w:rFonts w:ascii="TimesNewRoman" w:hAnsi="TimesNewRoman" w:cs="Times New Roman"/>
        </w:rPr>
        <w:t xml:space="preserve">(prefix 1906) </w:t>
      </w:r>
      <w:r w:rsidRPr="00635F8D">
        <w:rPr>
          <w:rFonts w:ascii="TimesNewRoman" w:hAnsi="TimesNewRoman" w:cs="Times New Roman"/>
        </w:rPr>
        <w:t xml:space="preserve">has </w:t>
      </w:r>
      <w:r w:rsidR="00FB6486">
        <w:rPr>
          <w:rFonts w:ascii="TimesNewRoman" w:hAnsi="TimesNewRoman" w:cs="Times New Roman"/>
        </w:rPr>
        <w:t>no numbers allocated from its range and no further demand is anticipated. The range has therefore be</w:t>
      </w:r>
      <w:r w:rsidRPr="00635F8D">
        <w:rPr>
          <w:rFonts w:ascii="TimesNewRoman" w:hAnsi="TimesNewRoman" w:cs="Times New Roman"/>
        </w:rPr>
        <w:t xml:space="preserve">en respecified </w:t>
      </w:r>
      <w:r w:rsidR="00FB6486">
        <w:rPr>
          <w:rFonts w:ascii="TimesNewRoman" w:hAnsi="TimesNewRoman" w:cs="Times New Roman"/>
        </w:rPr>
        <w:t>to expand the prefixes available to be used with</w:t>
      </w:r>
      <w:r w:rsidRPr="00635F8D">
        <w:rPr>
          <w:rFonts w:ascii="TimesNewRoman" w:hAnsi="TimesNewRoman" w:cs="Times New Roman"/>
        </w:rPr>
        <w:t xml:space="preserve"> premium rate service</w:t>
      </w:r>
      <w:r w:rsidR="00FB6486">
        <w:rPr>
          <w:rFonts w:ascii="TimesNewRoman" w:hAnsi="TimesNewRoman" w:cs="Times New Roman"/>
        </w:rPr>
        <w:t>s.</w:t>
      </w:r>
    </w:p>
    <w:p w:rsidR="00FB6486" w:rsidRPr="00635F8D" w:rsidRDefault="00FB6486" w:rsidP="00A14640">
      <w:pPr>
        <w:pStyle w:val="Default"/>
        <w:rPr>
          <w:rFonts w:ascii="TimesNewRoman" w:hAnsi="TimesNewRoman" w:cs="Times New Roman"/>
        </w:rPr>
      </w:pPr>
    </w:p>
    <w:p w:rsidR="00A14640" w:rsidRPr="00635F8D" w:rsidRDefault="00727837" w:rsidP="007E0725">
      <w:pPr>
        <w:pStyle w:val="Default"/>
        <w:rPr>
          <w:rFonts w:ascii="TimesNewRoman" w:hAnsi="TimesNewRoman" w:cs="Times New Roman"/>
        </w:rPr>
      </w:pPr>
      <w:r w:rsidRPr="00635F8D">
        <w:rPr>
          <w:rFonts w:ascii="TimesNewRoman" w:hAnsi="TimesNewRoman" w:cs="Times New Roman"/>
          <w:u w:val="single"/>
        </w:rPr>
        <w:t xml:space="preserve">Items </w:t>
      </w:r>
      <w:r w:rsidR="00797DBE">
        <w:rPr>
          <w:rFonts w:ascii="TimesNewRoman" w:hAnsi="TimesNewRoman" w:cs="Times New Roman"/>
          <w:u w:val="single"/>
        </w:rPr>
        <w:t>52</w:t>
      </w:r>
      <w:r w:rsidR="00AD5F20">
        <w:rPr>
          <w:rFonts w:ascii="TimesNewRoman" w:hAnsi="TimesNewRoman" w:cs="Times New Roman"/>
          <w:u w:val="single"/>
        </w:rPr>
        <w:t xml:space="preserve"> and </w:t>
      </w:r>
      <w:r w:rsidR="00797DBE">
        <w:rPr>
          <w:rFonts w:ascii="TimesNewRoman" w:hAnsi="TimesNewRoman" w:cs="Times New Roman"/>
          <w:u w:val="single"/>
        </w:rPr>
        <w:t>54-58</w:t>
      </w:r>
      <w:r w:rsidRPr="00635F8D">
        <w:rPr>
          <w:rFonts w:ascii="TimesNewRoman" w:hAnsi="TimesNewRoman" w:cs="Times New Roman"/>
        </w:rPr>
        <w:t xml:space="preserve"> remove definitions </w:t>
      </w:r>
      <w:r w:rsidR="002105E5" w:rsidRPr="00635F8D">
        <w:rPr>
          <w:rFonts w:ascii="TimesNewRoman" w:hAnsi="TimesNewRoman" w:cs="Times New Roman"/>
        </w:rPr>
        <w:t>relating to</w:t>
      </w:r>
      <w:r w:rsidRPr="00635F8D">
        <w:rPr>
          <w:rFonts w:ascii="TimesNewRoman" w:hAnsi="TimesNewRoman" w:cs="Times New Roman"/>
        </w:rPr>
        <w:t xml:space="preserve"> service types that are removed f</w:t>
      </w:r>
      <w:r w:rsidR="005953A9">
        <w:rPr>
          <w:rFonts w:ascii="TimesNewRoman" w:hAnsi="TimesNewRoman" w:cs="Times New Roman"/>
        </w:rPr>
        <w:t>rom the Numbering Plan by this instrument</w:t>
      </w:r>
      <w:r w:rsidRPr="00635F8D">
        <w:rPr>
          <w:rFonts w:ascii="TimesNewRoman" w:hAnsi="TimesNewRoman" w:cs="Times New Roman"/>
        </w:rPr>
        <w:t>.</w:t>
      </w:r>
    </w:p>
    <w:p w:rsidR="00727837" w:rsidRPr="00635F8D" w:rsidRDefault="00727837" w:rsidP="007E0725">
      <w:pPr>
        <w:pStyle w:val="Default"/>
        <w:rPr>
          <w:rFonts w:ascii="TimesNewRoman" w:hAnsi="TimesNewRoman" w:cs="Times New Roman"/>
        </w:rPr>
      </w:pPr>
    </w:p>
    <w:p w:rsidR="00727837" w:rsidRPr="00635F8D" w:rsidRDefault="00727837" w:rsidP="007E0725">
      <w:pPr>
        <w:pStyle w:val="Default"/>
        <w:rPr>
          <w:rFonts w:ascii="TimesNewRoman" w:hAnsi="TimesNewRoman" w:cs="Times New Roman"/>
        </w:rPr>
      </w:pPr>
      <w:r w:rsidRPr="00635F8D">
        <w:rPr>
          <w:rFonts w:ascii="TimesNewRoman" w:hAnsi="TimesNewRoman" w:cs="Times New Roman"/>
          <w:u w:val="single"/>
        </w:rPr>
        <w:t xml:space="preserve">Item </w:t>
      </w:r>
      <w:r w:rsidR="00AD5F20">
        <w:rPr>
          <w:rFonts w:ascii="TimesNewRoman" w:hAnsi="TimesNewRoman" w:cs="Times New Roman"/>
          <w:u w:val="single"/>
        </w:rPr>
        <w:t>5</w:t>
      </w:r>
      <w:r w:rsidR="00797DBE">
        <w:rPr>
          <w:rFonts w:ascii="TimesNewRoman" w:hAnsi="TimesNewRoman" w:cs="Times New Roman"/>
          <w:u w:val="single"/>
        </w:rPr>
        <w:t>3</w:t>
      </w:r>
      <w:r w:rsidR="00AD5F20" w:rsidRPr="00635F8D">
        <w:rPr>
          <w:rFonts w:ascii="TimesNewRoman" w:hAnsi="TimesNewRoman" w:cs="Times New Roman"/>
        </w:rPr>
        <w:t xml:space="preserve"> </w:t>
      </w:r>
      <w:r w:rsidRPr="00635F8D">
        <w:rPr>
          <w:rFonts w:ascii="TimesNewRoman" w:hAnsi="TimesNewRoman" w:cs="Times New Roman"/>
        </w:rPr>
        <w:t xml:space="preserve">amends the definition of </w:t>
      </w:r>
      <w:r w:rsidRPr="00635F8D">
        <w:rPr>
          <w:rFonts w:ascii="TimesNewRoman" w:hAnsi="TimesNewRoman" w:cs="Times New Roman"/>
          <w:i/>
        </w:rPr>
        <w:t xml:space="preserve">country code </w:t>
      </w:r>
      <w:r w:rsidRPr="00635F8D">
        <w:rPr>
          <w:rFonts w:ascii="TimesNewRoman" w:hAnsi="TimesNewRoman" w:cs="Times New Roman"/>
        </w:rPr>
        <w:t>to remedy an inconsi</w:t>
      </w:r>
      <w:r w:rsidR="004D3D86" w:rsidRPr="00635F8D">
        <w:rPr>
          <w:rFonts w:ascii="TimesNewRoman" w:hAnsi="TimesNewRoman" w:cs="Times New Roman"/>
        </w:rPr>
        <w:t>stency with the definition used by the International Telecommunication Union</w:t>
      </w:r>
      <w:r w:rsidR="00163A47">
        <w:rPr>
          <w:rFonts w:ascii="TimesNewRoman" w:hAnsi="TimesNewRoman" w:cs="Times New Roman"/>
        </w:rPr>
        <w:t xml:space="preserve"> (the ITU)</w:t>
      </w:r>
      <w:r w:rsidR="004D3D86" w:rsidRPr="00635F8D">
        <w:rPr>
          <w:rFonts w:ascii="TimesNewRoman" w:hAnsi="TimesNewRoman" w:cs="Times New Roman"/>
        </w:rPr>
        <w:t xml:space="preserve">. The Numbering Plan </w:t>
      </w:r>
      <w:r w:rsidR="005953A9">
        <w:rPr>
          <w:rFonts w:ascii="TimesNewRoman" w:hAnsi="TimesNewRoman" w:cs="Times New Roman"/>
        </w:rPr>
        <w:t xml:space="preserve">previously </w:t>
      </w:r>
      <w:r w:rsidR="004D3D86" w:rsidRPr="00635F8D">
        <w:rPr>
          <w:rFonts w:ascii="TimesNewRoman" w:hAnsi="TimesNewRoman" w:cs="Times New Roman"/>
        </w:rPr>
        <w:t>define</w:t>
      </w:r>
      <w:r w:rsidR="005953A9">
        <w:rPr>
          <w:rFonts w:ascii="TimesNewRoman" w:hAnsi="TimesNewRoman" w:cs="Times New Roman"/>
        </w:rPr>
        <w:t>d</w:t>
      </w:r>
      <w:r w:rsidR="004D3D86" w:rsidRPr="00635F8D">
        <w:rPr>
          <w:rFonts w:ascii="TimesNewRoman" w:hAnsi="TimesNewRoman" w:cs="Times New Roman"/>
        </w:rPr>
        <w:t xml:space="preserve"> a country code to be ‘a set of digits that indicates the country to which an international call is made’</w:t>
      </w:r>
      <w:r w:rsidR="004D3D86" w:rsidRPr="00635F8D">
        <w:rPr>
          <w:rFonts w:ascii="TimesNewRoman" w:hAnsi="TimesNewRoman" w:cs="Times New Roman"/>
          <w:i/>
          <w:iCs/>
        </w:rPr>
        <w:t xml:space="preserve">. </w:t>
      </w:r>
      <w:r w:rsidR="005953A9">
        <w:rPr>
          <w:rFonts w:ascii="TimesNewRoman" w:hAnsi="TimesNewRoman" w:cs="Times New Roman"/>
        </w:rPr>
        <w:t>This wa</w:t>
      </w:r>
      <w:r w:rsidR="004D3D86" w:rsidRPr="00635F8D">
        <w:rPr>
          <w:rFonts w:ascii="TimesNewRoman" w:hAnsi="TimesNewRoman" w:cs="Times New Roman"/>
        </w:rPr>
        <w:t>s inconsistent with the ITU’s broader definition of a country code, which also includes global services and networks, and may also refer to a geographic area or group of countries rather than a s</w:t>
      </w:r>
      <w:r w:rsidR="005953A9">
        <w:rPr>
          <w:rFonts w:ascii="TimesNewRoman" w:hAnsi="TimesNewRoman" w:cs="Times New Roman"/>
        </w:rPr>
        <w:t>ingle</w:t>
      </w:r>
      <w:r w:rsidR="004D3D86" w:rsidRPr="00635F8D">
        <w:rPr>
          <w:rFonts w:ascii="TimesNewRoman" w:hAnsi="TimesNewRoman" w:cs="Times New Roman"/>
        </w:rPr>
        <w:t xml:space="preserve"> country.</w:t>
      </w:r>
    </w:p>
    <w:p w:rsidR="004D3D86" w:rsidRPr="00635F8D" w:rsidRDefault="004D3D86" w:rsidP="007E0725">
      <w:pPr>
        <w:pStyle w:val="Default"/>
        <w:rPr>
          <w:rFonts w:ascii="TimesNewRoman" w:hAnsi="TimesNewRoman" w:cs="Times New Roman"/>
        </w:rPr>
      </w:pPr>
    </w:p>
    <w:p w:rsidR="004D3D86" w:rsidRPr="00635F8D" w:rsidRDefault="004D3D86" w:rsidP="007E0725">
      <w:pPr>
        <w:pStyle w:val="Default"/>
        <w:rPr>
          <w:rFonts w:ascii="TimesNewRoman" w:hAnsi="TimesNewRoman" w:cs="Times New Roman"/>
        </w:rPr>
      </w:pPr>
      <w:r w:rsidRPr="00635F8D">
        <w:rPr>
          <w:rFonts w:ascii="TimesNewRoman" w:hAnsi="TimesNewRoman" w:cs="Times New Roman"/>
          <w:u w:val="single"/>
        </w:rPr>
        <w:lastRenderedPageBreak/>
        <w:t xml:space="preserve">Item </w:t>
      </w:r>
      <w:r w:rsidR="00797DBE">
        <w:rPr>
          <w:rFonts w:ascii="TimesNewRoman" w:hAnsi="TimesNewRoman" w:cs="Times New Roman"/>
          <w:u w:val="single"/>
        </w:rPr>
        <w:t>59</w:t>
      </w:r>
      <w:r w:rsidR="00AD5F20" w:rsidRPr="00635F8D">
        <w:rPr>
          <w:rFonts w:ascii="TimesNewRoman" w:hAnsi="TimesNewRoman" w:cs="Times New Roman"/>
        </w:rPr>
        <w:t xml:space="preserve"> </w:t>
      </w:r>
      <w:r w:rsidRPr="00635F8D">
        <w:rPr>
          <w:rFonts w:ascii="TimesNewRoman" w:hAnsi="TimesNewRoman" w:cs="Times New Roman"/>
        </w:rPr>
        <w:t>reduces, from six months to three months, the time a numbering charge or late payment penalty can remain unpaid before the ACMA can impose sanctions such as refusing applications and withdrawing numbers.</w:t>
      </w:r>
    </w:p>
    <w:p w:rsidR="004D3D86" w:rsidRDefault="004D3D86" w:rsidP="007E0725">
      <w:pPr>
        <w:pStyle w:val="Default"/>
        <w:rPr>
          <w:rFonts w:ascii="TimesNewRoman" w:hAnsi="TimesNewRoman" w:cs="Times New Roman"/>
        </w:rPr>
      </w:pPr>
      <w:r w:rsidRPr="00635F8D">
        <w:rPr>
          <w:rFonts w:ascii="TimesNewRoman" w:hAnsi="TimesNewRoman" w:cs="Times New Roman"/>
        </w:rPr>
        <w:t>When these charges or penalties are not paid by their due date, the ACMA instigates debt recovery processes, which are generally exhausted after 60 days (payment plans may</w:t>
      </w:r>
      <w:r w:rsidR="00163A47">
        <w:rPr>
          <w:rFonts w:ascii="TimesNewRoman" w:hAnsi="TimesNewRoman" w:cs="Times New Roman"/>
        </w:rPr>
        <w:t xml:space="preserve"> </w:t>
      </w:r>
      <w:r w:rsidRPr="00635F8D">
        <w:rPr>
          <w:rFonts w:ascii="TimesNewRoman" w:hAnsi="TimesNewRoman" w:cs="Times New Roman"/>
        </w:rPr>
        <w:t xml:space="preserve">be employed in cases of genuine hardship). This leaves a four-month period between the ACMA completing its pursuit of the debt and it being able to </w:t>
      </w:r>
      <w:r w:rsidR="002105E5" w:rsidRPr="00635F8D">
        <w:rPr>
          <w:rFonts w:ascii="TimesNewRoman" w:hAnsi="TimesNewRoman" w:cs="Times New Roman"/>
        </w:rPr>
        <w:t>impose restrictive measures</w:t>
      </w:r>
      <w:r w:rsidR="005C04CD" w:rsidRPr="00635F8D">
        <w:rPr>
          <w:rFonts w:ascii="TimesNewRoman" w:hAnsi="TimesNewRoman" w:cs="Times New Roman"/>
        </w:rPr>
        <w:t xml:space="preserve"> on CSPs</w:t>
      </w:r>
      <w:r w:rsidRPr="00635F8D">
        <w:rPr>
          <w:rFonts w:ascii="TimesNewRoman" w:hAnsi="TimesNewRoman" w:cs="Times New Roman"/>
        </w:rPr>
        <w:t>.</w:t>
      </w:r>
    </w:p>
    <w:p w:rsidR="00163A47" w:rsidRPr="00635F8D" w:rsidRDefault="00163A47" w:rsidP="007E0725">
      <w:pPr>
        <w:pStyle w:val="Default"/>
        <w:rPr>
          <w:rFonts w:ascii="TimesNewRoman" w:hAnsi="TimesNewRoman" w:cs="Times New Roman"/>
        </w:rPr>
      </w:pPr>
    </w:p>
    <w:p w:rsidR="004D3D86" w:rsidRPr="00635F8D" w:rsidRDefault="004D3D86" w:rsidP="007E0725">
      <w:pPr>
        <w:pStyle w:val="Default"/>
        <w:rPr>
          <w:rFonts w:ascii="TimesNewRoman" w:hAnsi="TimesNewRoman" w:cs="Times New Roman"/>
        </w:rPr>
      </w:pPr>
      <w:r w:rsidRPr="00635F8D">
        <w:rPr>
          <w:rFonts w:ascii="TimesNewRoman" w:hAnsi="TimesNewRoman" w:cs="Times New Roman"/>
        </w:rPr>
        <w:t>These changes will provide an incentive to CSPs to pay outstanding charges and penalties promptly. In cases where amounts remain unpaid</w:t>
      </w:r>
      <w:r w:rsidR="006120C9">
        <w:rPr>
          <w:rFonts w:ascii="TimesNewRoman" w:hAnsi="TimesNewRoman" w:cs="Times New Roman"/>
        </w:rPr>
        <w:t xml:space="preserve"> after three months</w:t>
      </w:r>
      <w:r w:rsidRPr="00635F8D">
        <w:rPr>
          <w:rFonts w:ascii="TimesNewRoman" w:hAnsi="TimesNewRoman" w:cs="Times New Roman"/>
        </w:rPr>
        <w:t>, the ACMA will be able to impose sanctions in a more timely manner.</w:t>
      </w:r>
    </w:p>
    <w:p w:rsidR="003733D9" w:rsidRPr="00635F8D" w:rsidRDefault="003733D9" w:rsidP="007E0725">
      <w:pPr>
        <w:pStyle w:val="Default"/>
        <w:rPr>
          <w:rFonts w:ascii="TimesNewRoman" w:hAnsi="TimesNewRoman" w:cs="Times New Roman"/>
        </w:rPr>
      </w:pPr>
    </w:p>
    <w:p w:rsidR="003733D9" w:rsidRPr="00635F8D" w:rsidRDefault="003733D9" w:rsidP="007E0725">
      <w:pPr>
        <w:pStyle w:val="Default"/>
        <w:rPr>
          <w:rFonts w:ascii="TimesNewRoman" w:hAnsi="TimesNewRoman" w:cs="Times New Roman"/>
        </w:rPr>
      </w:pPr>
      <w:r w:rsidRPr="00635F8D">
        <w:rPr>
          <w:rFonts w:ascii="TimesNewRoman" w:hAnsi="TimesNewRoman" w:cs="Times New Roman"/>
          <w:u w:val="single"/>
        </w:rPr>
        <w:t xml:space="preserve">Item </w:t>
      </w:r>
      <w:r w:rsidR="00797DBE">
        <w:rPr>
          <w:rFonts w:ascii="TimesNewRoman" w:hAnsi="TimesNewRoman" w:cs="Times New Roman"/>
          <w:u w:val="single"/>
        </w:rPr>
        <w:t>60</w:t>
      </w:r>
      <w:r w:rsidR="00AD5F20" w:rsidRPr="00635F8D">
        <w:rPr>
          <w:rFonts w:ascii="TimesNewRoman" w:hAnsi="TimesNewRoman" w:cs="Times New Roman"/>
        </w:rPr>
        <w:t xml:space="preserve"> </w:t>
      </w:r>
      <w:r w:rsidR="00040885" w:rsidRPr="00635F8D">
        <w:rPr>
          <w:rFonts w:ascii="TimesNewRoman" w:hAnsi="TimesNewRoman" w:cs="Times New Roman"/>
        </w:rPr>
        <w:t>replaces all references to 'working days' that appear outside Division 7A of the plan with ‘business days’. There is currently no definition for ‘working days’ referred to outside of Division 7A. This amendment provides clarity and standardises the terminology used in the Numbering Plan.</w:t>
      </w:r>
    </w:p>
    <w:p w:rsidR="00A14640" w:rsidRPr="00635F8D" w:rsidRDefault="00A14640" w:rsidP="007E0725">
      <w:pPr>
        <w:pStyle w:val="Default"/>
        <w:rPr>
          <w:rFonts w:ascii="TimesNewRoman" w:hAnsi="TimesNewRoman" w:cs="Times New Roman"/>
        </w:rPr>
      </w:pPr>
    </w:p>
    <w:p w:rsidR="00AB5FBD" w:rsidRPr="00635F8D" w:rsidRDefault="00AB5FBD" w:rsidP="00AB5FBD">
      <w:pPr>
        <w:autoSpaceDE w:val="0"/>
        <w:autoSpaceDN w:val="0"/>
        <w:adjustRightInd w:val="0"/>
        <w:spacing w:after="0"/>
        <w:rPr>
          <w:rFonts w:ascii="TimesNewRoman" w:hAnsi="TimesNewRoman" w:cs="Times New Roman"/>
          <w:bCs/>
          <w:lang w:val="en-US"/>
        </w:rPr>
      </w:pPr>
    </w:p>
    <w:p w:rsidR="00A14640" w:rsidRDefault="00A14640" w:rsidP="00AB5FBD">
      <w:pPr>
        <w:autoSpaceDE w:val="0"/>
        <w:autoSpaceDN w:val="0"/>
        <w:adjustRightInd w:val="0"/>
        <w:spacing w:after="0"/>
        <w:rPr>
          <w:rFonts w:ascii="TimesNewRoman" w:hAnsi="TimesNewRoman" w:cs="TimesNewRoman"/>
          <w:bCs/>
          <w:lang w:val="en-US"/>
        </w:rPr>
      </w:pPr>
    </w:p>
    <w:p w:rsidR="00AB5FBD" w:rsidRDefault="00AB5FBD" w:rsidP="00B80F46">
      <w:pPr>
        <w:autoSpaceDE w:val="0"/>
        <w:autoSpaceDN w:val="0"/>
        <w:adjustRightInd w:val="0"/>
        <w:spacing w:after="0"/>
        <w:rPr>
          <w:rFonts w:ascii="TimesNewRoman" w:hAnsi="TimesNewRoman" w:cs="TimesNewRoman"/>
          <w:bCs/>
          <w:lang w:val="en-US"/>
        </w:rPr>
      </w:pPr>
    </w:p>
    <w:sectPr w:rsidR="00AB5FBD" w:rsidSect="00025D90">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A8" w:rsidRDefault="00C90DA8" w:rsidP="00096D7D">
      <w:pPr>
        <w:spacing w:after="0"/>
      </w:pPr>
      <w:r>
        <w:separator/>
      </w:r>
    </w:p>
  </w:endnote>
  <w:endnote w:type="continuationSeparator" w:id="0">
    <w:p w:rsidR="00C90DA8" w:rsidRDefault="00C90DA8" w:rsidP="00096D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HelveticaNeueLT Std Lt">
    <w:altName w:val="Franklin Gothic Dem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A8" w:rsidRDefault="00C90DA8" w:rsidP="00096D7D">
      <w:pPr>
        <w:spacing w:after="0"/>
      </w:pPr>
      <w:r>
        <w:separator/>
      </w:r>
    </w:p>
  </w:footnote>
  <w:footnote w:type="continuationSeparator" w:id="0">
    <w:p w:rsidR="00C90DA8" w:rsidRDefault="00C90DA8" w:rsidP="00096D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AA21D4"/>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0672EA3"/>
    <w:multiLevelType w:val="hybridMultilevel"/>
    <w:tmpl w:val="E4901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07B18"/>
    <w:multiLevelType w:val="hybridMultilevel"/>
    <w:tmpl w:val="5B82FEFA"/>
    <w:lvl w:ilvl="0" w:tplc="8206A7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F44F79"/>
    <w:multiLevelType w:val="hybridMultilevel"/>
    <w:tmpl w:val="2AF08AC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ADF1991"/>
    <w:multiLevelType w:val="hybridMultilevel"/>
    <w:tmpl w:val="F75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0775C"/>
    <w:multiLevelType w:val="hybridMultilevel"/>
    <w:tmpl w:val="ADFE8EC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F435EC"/>
    <w:multiLevelType w:val="hybridMultilevel"/>
    <w:tmpl w:val="9760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C00858"/>
    <w:multiLevelType w:val="multilevel"/>
    <w:tmpl w:val="8EB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94A9C"/>
    <w:multiLevelType w:val="hybridMultilevel"/>
    <w:tmpl w:val="1BF6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917AF7"/>
    <w:multiLevelType w:val="multilevel"/>
    <w:tmpl w:val="6D76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A39FF"/>
    <w:multiLevelType w:val="hybridMultilevel"/>
    <w:tmpl w:val="4C18A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2CF423E"/>
    <w:multiLevelType w:val="hybridMultilevel"/>
    <w:tmpl w:val="F8C8B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2"/>
  </w:num>
  <w:num w:numId="6">
    <w:abstractNumId w:val="8"/>
  </w:num>
  <w:num w:numId="7">
    <w:abstractNumId w:val="1"/>
  </w:num>
  <w:num w:numId="8">
    <w:abstractNumId w:val="0"/>
  </w:num>
  <w:num w:numId="9">
    <w:abstractNumId w:val="0"/>
  </w:num>
  <w:num w:numId="10">
    <w:abstractNumId w:val="3"/>
  </w:num>
  <w:num w:numId="11">
    <w:abstractNumId w:val="6"/>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A0C0A"/>
    <w:rsid w:val="0001599D"/>
    <w:rsid w:val="00025D90"/>
    <w:rsid w:val="0004007D"/>
    <w:rsid w:val="00040885"/>
    <w:rsid w:val="0005396E"/>
    <w:rsid w:val="00054165"/>
    <w:rsid w:val="00055B18"/>
    <w:rsid w:val="00060F70"/>
    <w:rsid w:val="0007243B"/>
    <w:rsid w:val="000750CB"/>
    <w:rsid w:val="00076D78"/>
    <w:rsid w:val="00090C60"/>
    <w:rsid w:val="0009175B"/>
    <w:rsid w:val="0009553C"/>
    <w:rsid w:val="00096D7D"/>
    <w:rsid w:val="000A3EFF"/>
    <w:rsid w:val="000A5A11"/>
    <w:rsid w:val="000C18DF"/>
    <w:rsid w:val="000E5F56"/>
    <w:rsid w:val="000F14F1"/>
    <w:rsid w:val="000F1B4A"/>
    <w:rsid w:val="000F7B21"/>
    <w:rsid w:val="001011F0"/>
    <w:rsid w:val="00120AF1"/>
    <w:rsid w:val="00142B57"/>
    <w:rsid w:val="00144E10"/>
    <w:rsid w:val="00144E69"/>
    <w:rsid w:val="00151DF2"/>
    <w:rsid w:val="001539B6"/>
    <w:rsid w:val="00163A47"/>
    <w:rsid w:val="00173492"/>
    <w:rsid w:val="001830D5"/>
    <w:rsid w:val="001856CC"/>
    <w:rsid w:val="00191F90"/>
    <w:rsid w:val="001944C5"/>
    <w:rsid w:val="00195D9F"/>
    <w:rsid w:val="001A0198"/>
    <w:rsid w:val="001A4A59"/>
    <w:rsid w:val="001B1DEA"/>
    <w:rsid w:val="001B7B8E"/>
    <w:rsid w:val="001C1E1E"/>
    <w:rsid w:val="001C6F6A"/>
    <w:rsid w:val="001D1B74"/>
    <w:rsid w:val="001D1F1F"/>
    <w:rsid w:val="001D3198"/>
    <w:rsid w:val="001D371D"/>
    <w:rsid w:val="001D4467"/>
    <w:rsid w:val="001E6BEA"/>
    <w:rsid w:val="001E7656"/>
    <w:rsid w:val="001F00C0"/>
    <w:rsid w:val="001F0168"/>
    <w:rsid w:val="00207F95"/>
    <w:rsid w:val="002105E5"/>
    <w:rsid w:val="0027720F"/>
    <w:rsid w:val="00284FF5"/>
    <w:rsid w:val="002B0E6D"/>
    <w:rsid w:val="002C5FB3"/>
    <w:rsid w:val="002E08FD"/>
    <w:rsid w:val="002E42B1"/>
    <w:rsid w:val="00305FD8"/>
    <w:rsid w:val="00316C38"/>
    <w:rsid w:val="003171A5"/>
    <w:rsid w:val="00330B62"/>
    <w:rsid w:val="003323F1"/>
    <w:rsid w:val="003410EE"/>
    <w:rsid w:val="00344AFB"/>
    <w:rsid w:val="00354628"/>
    <w:rsid w:val="00361480"/>
    <w:rsid w:val="003733D9"/>
    <w:rsid w:val="00376D0D"/>
    <w:rsid w:val="00377C8D"/>
    <w:rsid w:val="0038034D"/>
    <w:rsid w:val="00380BC1"/>
    <w:rsid w:val="00386E65"/>
    <w:rsid w:val="00386E7A"/>
    <w:rsid w:val="003A1B0A"/>
    <w:rsid w:val="003B73B9"/>
    <w:rsid w:val="003C555A"/>
    <w:rsid w:val="003C61C3"/>
    <w:rsid w:val="003C73BC"/>
    <w:rsid w:val="003D4034"/>
    <w:rsid w:val="003D6CF1"/>
    <w:rsid w:val="003E13DE"/>
    <w:rsid w:val="003E51C6"/>
    <w:rsid w:val="00410B5A"/>
    <w:rsid w:val="004143C7"/>
    <w:rsid w:val="00414C24"/>
    <w:rsid w:val="00426281"/>
    <w:rsid w:val="00426A50"/>
    <w:rsid w:val="00427D4B"/>
    <w:rsid w:val="004317D8"/>
    <w:rsid w:val="0044011D"/>
    <w:rsid w:val="004431DE"/>
    <w:rsid w:val="00461DD6"/>
    <w:rsid w:val="00463708"/>
    <w:rsid w:val="004700F9"/>
    <w:rsid w:val="0047422C"/>
    <w:rsid w:val="00485D29"/>
    <w:rsid w:val="004A7AA1"/>
    <w:rsid w:val="004D3D86"/>
    <w:rsid w:val="004F7301"/>
    <w:rsid w:val="00512357"/>
    <w:rsid w:val="00520702"/>
    <w:rsid w:val="00520CDE"/>
    <w:rsid w:val="00544070"/>
    <w:rsid w:val="00572C56"/>
    <w:rsid w:val="0058097F"/>
    <w:rsid w:val="005953A9"/>
    <w:rsid w:val="005A0568"/>
    <w:rsid w:val="005A6D10"/>
    <w:rsid w:val="005A7E06"/>
    <w:rsid w:val="005B1288"/>
    <w:rsid w:val="005B3D9F"/>
    <w:rsid w:val="005B5D66"/>
    <w:rsid w:val="005C04CD"/>
    <w:rsid w:val="005E0349"/>
    <w:rsid w:val="005E59CA"/>
    <w:rsid w:val="005F7718"/>
    <w:rsid w:val="006120C9"/>
    <w:rsid w:val="006171A3"/>
    <w:rsid w:val="0062730E"/>
    <w:rsid w:val="00635F8D"/>
    <w:rsid w:val="00642BB7"/>
    <w:rsid w:val="00653A50"/>
    <w:rsid w:val="00677427"/>
    <w:rsid w:val="00681A62"/>
    <w:rsid w:val="0068422F"/>
    <w:rsid w:val="006939F7"/>
    <w:rsid w:val="006B24F3"/>
    <w:rsid w:val="006B264E"/>
    <w:rsid w:val="006F0DF9"/>
    <w:rsid w:val="006F5F0D"/>
    <w:rsid w:val="00715689"/>
    <w:rsid w:val="00722ED3"/>
    <w:rsid w:val="00724AEB"/>
    <w:rsid w:val="00727837"/>
    <w:rsid w:val="0073044C"/>
    <w:rsid w:val="00734B41"/>
    <w:rsid w:val="00735954"/>
    <w:rsid w:val="007430D1"/>
    <w:rsid w:val="00766CDB"/>
    <w:rsid w:val="00771844"/>
    <w:rsid w:val="00793AC0"/>
    <w:rsid w:val="00797DBE"/>
    <w:rsid w:val="007B0069"/>
    <w:rsid w:val="007C1332"/>
    <w:rsid w:val="007D2007"/>
    <w:rsid w:val="007E0725"/>
    <w:rsid w:val="007E175F"/>
    <w:rsid w:val="007F2C7C"/>
    <w:rsid w:val="00811121"/>
    <w:rsid w:val="008177A9"/>
    <w:rsid w:val="00825524"/>
    <w:rsid w:val="0085109D"/>
    <w:rsid w:val="008533A0"/>
    <w:rsid w:val="00863EC1"/>
    <w:rsid w:val="00865A14"/>
    <w:rsid w:val="00874FC2"/>
    <w:rsid w:val="008815DC"/>
    <w:rsid w:val="008935F3"/>
    <w:rsid w:val="00896F6F"/>
    <w:rsid w:val="008A33FB"/>
    <w:rsid w:val="008B6773"/>
    <w:rsid w:val="008C3692"/>
    <w:rsid w:val="008C45E9"/>
    <w:rsid w:val="008E2A5A"/>
    <w:rsid w:val="008F090E"/>
    <w:rsid w:val="008F1819"/>
    <w:rsid w:val="00911ECD"/>
    <w:rsid w:val="00921C19"/>
    <w:rsid w:val="00947B52"/>
    <w:rsid w:val="009667E2"/>
    <w:rsid w:val="00971A61"/>
    <w:rsid w:val="0098282E"/>
    <w:rsid w:val="009A6C55"/>
    <w:rsid w:val="009B11A3"/>
    <w:rsid w:val="009C004E"/>
    <w:rsid w:val="009D0130"/>
    <w:rsid w:val="009F70DD"/>
    <w:rsid w:val="00A14640"/>
    <w:rsid w:val="00A14E78"/>
    <w:rsid w:val="00A1619A"/>
    <w:rsid w:val="00A2438F"/>
    <w:rsid w:val="00A42158"/>
    <w:rsid w:val="00A448F5"/>
    <w:rsid w:val="00A51909"/>
    <w:rsid w:val="00A62ECB"/>
    <w:rsid w:val="00A654F9"/>
    <w:rsid w:val="00A94B51"/>
    <w:rsid w:val="00A94CAC"/>
    <w:rsid w:val="00AA2522"/>
    <w:rsid w:val="00AB5FBD"/>
    <w:rsid w:val="00AB70DD"/>
    <w:rsid w:val="00AC2B53"/>
    <w:rsid w:val="00AD5F20"/>
    <w:rsid w:val="00AE5504"/>
    <w:rsid w:val="00AF3CF1"/>
    <w:rsid w:val="00AF4D98"/>
    <w:rsid w:val="00B0145E"/>
    <w:rsid w:val="00B076BF"/>
    <w:rsid w:val="00B25823"/>
    <w:rsid w:val="00B32CE4"/>
    <w:rsid w:val="00B360B4"/>
    <w:rsid w:val="00B44FEB"/>
    <w:rsid w:val="00B501F4"/>
    <w:rsid w:val="00B60009"/>
    <w:rsid w:val="00B63468"/>
    <w:rsid w:val="00B6425F"/>
    <w:rsid w:val="00B7697E"/>
    <w:rsid w:val="00B80F46"/>
    <w:rsid w:val="00B82B7A"/>
    <w:rsid w:val="00B94F1E"/>
    <w:rsid w:val="00B951D1"/>
    <w:rsid w:val="00BA7EC0"/>
    <w:rsid w:val="00BB5ADE"/>
    <w:rsid w:val="00BD1E68"/>
    <w:rsid w:val="00BD4B98"/>
    <w:rsid w:val="00BF23A0"/>
    <w:rsid w:val="00C06113"/>
    <w:rsid w:val="00C20977"/>
    <w:rsid w:val="00C21CFD"/>
    <w:rsid w:val="00C34812"/>
    <w:rsid w:val="00C44D0F"/>
    <w:rsid w:val="00C50FDE"/>
    <w:rsid w:val="00C638D9"/>
    <w:rsid w:val="00C766A1"/>
    <w:rsid w:val="00C812AC"/>
    <w:rsid w:val="00C90DA8"/>
    <w:rsid w:val="00CA52A2"/>
    <w:rsid w:val="00CD6A9C"/>
    <w:rsid w:val="00CF0C3B"/>
    <w:rsid w:val="00D14DCB"/>
    <w:rsid w:val="00D14E23"/>
    <w:rsid w:val="00D21A8E"/>
    <w:rsid w:val="00D30909"/>
    <w:rsid w:val="00D31AC0"/>
    <w:rsid w:val="00D32F2E"/>
    <w:rsid w:val="00D47C8C"/>
    <w:rsid w:val="00D52BEF"/>
    <w:rsid w:val="00D55D92"/>
    <w:rsid w:val="00D71336"/>
    <w:rsid w:val="00D71BDF"/>
    <w:rsid w:val="00D81AEA"/>
    <w:rsid w:val="00D832D8"/>
    <w:rsid w:val="00D8502E"/>
    <w:rsid w:val="00D9156E"/>
    <w:rsid w:val="00DA0D2E"/>
    <w:rsid w:val="00DA4A68"/>
    <w:rsid w:val="00DB33A9"/>
    <w:rsid w:val="00DD2F58"/>
    <w:rsid w:val="00DE7B44"/>
    <w:rsid w:val="00DF39FF"/>
    <w:rsid w:val="00DF60D0"/>
    <w:rsid w:val="00DF7828"/>
    <w:rsid w:val="00E306A2"/>
    <w:rsid w:val="00E3089A"/>
    <w:rsid w:val="00E418CA"/>
    <w:rsid w:val="00E63C13"/>
    <w:rsid w:val="00E72835"/>
    <w:rsid w:val="00E81007"/>
    <w:rsid w:val="00E82BE7"/>
    <w:rsid w:val="00E82E34"/>
    <w:rsid w:val="00EA35C0"/>
    <w:rsid w:val="00EE51A1"/>
    <w:rsid w:val="00F14F6A"/>
    <w:rsid w:val="00F203D2"/>
    <w:rsid w:val="00F31336"/>
    <w:rsid w:val="00F42022"/>
    <w:rsid w:val="00F505DF"/>
    <w:rsid w:val="00F633B3"/>
    <w:rsid w:val="00F743DF"/>
    <w:rsid w:val="00F77E0E"/>
    <w:rsid w:val="00F865BE"/>
    <w:rsid w:val="00F91504"/>
    <w:rsid w:val="00F92E07"/>
    <w:rsid w:val="00FA0C0A"/>
    <w:rsid w:val="00FA1893"/>
    <w:rsid w:val="00FA251A"/>
    <w:rsid w:val="00FA5EA9"/>
    <w:rsid w:val="00FB5E53"/>
    <w:rsid w:val="00FB6486"/>
    <w:rsid w:val="00FD6ED5"/>
    <w:rsid w:val="00FD78E1"/>
    <w:rsid w:val="00FD7BB2"/>
    <w:rsid w:val="00FF17C6"/>
    <w:rsid w:val="00FF278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Normal (Web)" w:uiPriority="99"/>
  </w:latentStyles>
  <w:style w:type="paragraph" w:default="1" w:styleId="Normal">
    <w:name w:val="Normal"/>
    <w:qFormat/>
    <w:rsid w:val="0017222E"/>
    <w:rPr>
      <w:lang w:val="en-AU"/>
    </w:rPr>
  </w:style>
  <w:style w:type="paragraph" w:styleId="Heading3">
    <w:name w:val="heading 3"/>
    <w:basedOn w:val="Normal"/>
    <w:next w:val="Normal"/>
    <w:link w:val="Heading3Char"/>
    <w:qFormat/>
    <w:rsid w:val="00025D90"/>
    <w:pPr>
      <w:keepNext/>
      <w:spacing w:before="60" w:after="60" w:line="240" w:lineRule="atLeast"/>
      <w:outlineLvl w:val="2"/>
    </w:pPr>
    <w:rPr>
      <w:rFonts w:ascii="HelveticaNeueLT Std" w:eastAsia="Times New Roman" w:hAnsi="HelveticaNeueLT Std" w:cs="Arial"/>
      <w:b/>
      <w:bCs/>
      <w:sz w:val="2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007D"/>
    <w:pPr>
      <w:ind w:left="720"/>
      <w:contextualSpacing/>
    </w:pPr>
  </w:style>
  <w:style w:type="paragraph" w:styleId="ListBullet">
    <w:name w:val="List Bullet"/>
    <w:basedOn w:val="Normal"/>
    <w:rsid w:val="00025D90"/>
    <w:pPr>
      <w:numPr>
        <w:numId w:val="2"/>
      </w:numPr>
      <w:spacing w:after="80" w:line="240" w:lineRule="atLeast"/>
    </w:pPr>
    <w:rPr>
      <w:rFonts w:ascii="HelveticaNeueLT Std Lt" w:eastAsia="Times New Roman" w:hAnsi="HelveticaNeueLT Std Lt" w:cs="Times New Roman"/>
      <w:sz w:val="20"/>
      <w:lang w:eastAsia="en-AU"/>
    </w:rPr>
  </w:style>
  <w:style w:type="character" w:styleId="FootnoteReference">
    <w:name w:val="footnote reference"/>
    <w:basedOn w:val="DefaultParagraphFont"/>
    <w:rsid w:val="00025D90"/>
    <w:rPr>
      <w:rFonts w:ascii="Arial" w:hAnsi="Arial"/>
      <w:vertAlign w:val="superscript"/>
    </w:rPr>
  </w:style>
  <w:style w:type="paragraph" w:styleId="FootnoteText">
    <w:name w:val="footnote text"/>
    <w:aliases w:val="ACMA Footnote Text"/>
    <w:basedOn w:val="Normal"/>
    <w:link w:val="FootnoteTextChar"/>
    <w:rsid w:val="00025D90"/>
    <w:pPr>
      <w:spacing w:after="0" w:line="240" w:lineRule="atLeast"/>
    </w:pPr>
    <w:rPr>
      <w:rFonts w:ascii="HelveticaNeueLT Std Lt" w:eastAsia="Times New Roman" w:hAnsi="HelveticaNeueLT Std Lt" w:cs="Times New Roman"/>
      <w:sz w:val="16"/>
      <w:szCs w:val="16"/>
      <w:lang w:eastAsia="en-AU"/>
    </w:rPr>
  </w:style>
  <w:style w:type="character" w:customStyle="1" w:styleId="FootnoteTextChar">
    <w:name w:val="Footnote Text Char"/>
    <w:aliases w:val="ACMA Footnote Text Char"/>
    <w:basedOn w:val="DefaultParagraphFont"/>
    <w:link w:val="FootnoteText"/>
    <w:rsid w:val="00025D90"/>
    <w:rPr>
      <w:rFonts w:ascii="HelveticaNeueLT Std Lt" w:eastAsia="Times New Roman" w:hAnsi="HelveticaNeueLT Std Lt" w:cs="Times New Roman"/>
      <w:sz w:val="16"/>
      <w:szCs w:val="16"/>
      <w:lang w:val="en-AU" w:eastAsia="en-AU"/>
    </w:rPr>
  </w:style>
  <w:style w:type="character" w:customStyle="1" w:styleId="Heading3Char">
    <w:name w:val="Heading 3 Char"/>
    <w:basedOn w:val="DefaultParagraphFont"/>
    <w:link w:val="Heading3"/>
    <w:rsid w:val="00025D90"/>
    <w:rPr>
      <w:rFonts w:ascii="HelveticaNeueLT Std" w:eastAsia="Times New Roman" w:hAnsi="HelveticaNeueLT Std" w:cs="Arial"/>
      <w:b/>
      <w:bCs/>
      <w:sz w:val="20"/>
      <w:szCs w:val="26"/>
      <w:lang w:val="en-AU" w:eastAsia="en-AU"/>
    </w:rPr>
  </w:style>
  <w:style w:type="paragraph" w:styleId="BalloonText">
    <w:name w:val="Balloon Text"/>
    <w:basedOn w:val="Normal"/>
    <w:link w:val="BalloonTextChar"/>
    <w:rsid w:val="007C1332"/>
    <w:pPr>
      <w:spacing w:after="0"/>
    </w:pPr>
    <w:rPr>
      <w:rFonts w:ascii="Tahoma" w:hAnsi="Tahoma" w:cs="Tahoma"/>
      <w:sz w:val="16"/>
      <w:szCs w:val="16"/>
    </w:rPr>
  </w:style>
  <w:style w:type="character" w:customStyle="1" w:styleId="BalloonTextChar">
    <w:name w:val="Balloon Text Char"/>
    <w:basedOn w:val="DefaultParagraphFont"/>
    <w:link w:val="BalloonText"/>
    <w:rsid w:val="007C1332"/>
    <w:rPr>
      <w:rFonts w:ascii="Tahoma" w:hAnsi="Tahoma" w:cs="Tahoma"/>
      <w:sz w:val="16"/>
      <w:szCs w:val="16"/>
      <w:lang w:val="en-AU"/>
    </w:rPr>
  </w:style>
  <w:style w:type="character" w:styleId="CommentReference">
    <w:name w:val="annotation reference"/>
    <w:basedOn w:val="DefaultParagraphFont"/>
    <w:rsid w:val="007C1332"/>
    <w:rPr>
      <w:sz w:val="16"/>
      <w:szCs w:val="16"/>
    </w:rPr>
  </w:style>
  <w:style w:type="paragraph" w:styleId="CommentText">
    <w:name w:val="annotation text"/>
    <w:basedOn w:val="Normal"/>
    <w:link w:val="CommentTextChar"/>
    <w:rsid w:val="007C1332"/>
    <w:rPr>
      <w:sz w:val="20"/>
      <w:szCs w:val="20"/>
    </w:rPr>
  </w:style>
  <w:style w:type="character" w:customStyle="1" w:styleId="CommentTextChar">
    <w:name w:val="Comment Text Char"/>
    <w:basedOn w:val="DefaultParagraphFont"/>
    <w:link w:val="CommentText"/>
    <w:rsid w:val="007C1332"/>
    <w:rPr>
      <w:sz w:val="20"/>
      <w:szCs w:val="20"/>
      <w:lang w:val="en-AU"/>
    </w:rPr>
  </w:style>
  <w:style w:type="paragraph" w:styleId="CommentSubject">
    <w:name w:val="annotation subject"/>
    <w:basedOn w:val="CommentText"/>
    <w:next w:val="CommentText"/>
    <w:link w:val="CommentSubjectChar"/>
    <w:rsid w:val="007C1332"/>
    <w:rPr>
      <w:b/>
      <w:bCs/>
    </w:rPr>
  </w:style>
  <w:style w:type="character" w:customStyle="1" w:styleId="CommentSubjectChar">
    <w:name w:val="Comment Subject Char"/>
    <w:basedOn w:val="CommentTextChar"/>
    <w:link w:val="CommentSubject"/>
    <w:rsid w:val="007C1332"/>
    <w:rPr>
      <w:b/>
      <w:bCs/>
    </w:rPr>
  </w:style>
  <w:style w:type="paragraph" w:styleId="BodyText">
    <w:name w:val="Body Text"/>
    <w:basedOn w:val="Normal"/>
    <w:link w:val="BodyTextChar"/>
    <w:rsid w:val="00D9156E"/>
    <w:pPr>
      <w:spacing w:after="120"/>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D9156E"/>
    <w:rPr>
      <w:rFonts w:ascii="Times New Roman" w:eastAsia="Times New Roman" w:hAnsi="Times New Roman" w:cs="Times New Roman"/>
      <w:szCs w:val="20"/>
      <w:lang w:val="en-AU" w:eastAsia="en-AU"/>
    </w:rPr>
  </w:style>
  <w:style w:type="paragraph" w:customStyle="1" w:styleId="ACMABodyText">
    <w:name w:val="ACMA Body Text"/>
    <w:link w:val="ACMABodyTextChar"/>
    <w:rsid w:val="00D9156E"/>
    <w:pPr>
      <w:suppressAutoHyphens/>
      <w:spacing w:before="80" w:after="120" w:line="280" w:lineRule="atLeast"/>
    </w:pPr>
    <w:rPr>
      <w:rFonts w:ascii="Times New Roman" w:eastAsia="Times New Roman" w:hAnsi="Times New Roman" w:cs="Times New Roman"/>
      <w:snapToGrid w:val="0"/>
      <w:szCs w:val="20"/>
      <w:lang w:val="en-AU"/>
    </w:rPr>
  </w:style>
  <w:style w:type="character" w:customStyle="1" w:styleId="ACMABodyTextChar">
    <w:name w:val="ACMA Body Text Char"/>
    <w:basedOn w:val="DefaultParagraphFont"/>
    <w:link w:val="ACMABodyText"/>
    <w:rsid w:val="00D9156E"/>
    <w:rPr>
      <w:rFonts w:ascii="Times New Roman" w:eastAsia="Times New Roman" w:hAnsi="Times New Roman" w:cs="Times New Roman"/>
      <w:snapToGrid w:val="0"/>
      <w:szCs w:val="20"/>
      <w:lang w:val="en-AU"/>
    </w:rPr>
  </w:style>
  <w:style w:type="character" w:styleId="Hyperlink">
    <w:name w:val="Hyperlink"/>
    <w:basedOn w:val="DefaultParagraphFont"/>
    <w:rsid w:val="000F14F1"/>
    <w:rPr>
      <w:rFonts w:cs="Times New Roman"/>
      <w:color w:val="0000FF"/>
      <w:u w:val="single"/>
    </w:rPr>
  </w:style>
  <w:style w:type="paragraph" w:customStyle="1" w:styleId="Default">
    <w:name w:val="Default"/>
    <w:rsid w:val="007E0725"/>
    <w:pPr>
      <w:autoSpaceDE w:val="0"/>
      <w:autoSpaceDN w:val="0"/>
      <w:adjustRightInd w:val="0"/>
      <w:spacing w:after="0"/>
    </w:pPr>
    <w:rPr>
      <w:rFonts w:ascii="Malgun Gothic" w:eastAsia="Malgun Gothic" w:cs="Malgun Gothic"/>
      <w:color w:val="000000"/>
      <w:lang w:val="en-AU"/>
    </w:rPr>
  </w:style>
  <w:style w:type="paragraph" w:styleId="NormalWeb">
    <w:name w:val="Normal (Web)"/>
    <w:basedOn w:val="Normal"/>
    <w:uiPriority w:val="99"/>
    <w:unhideWhenUsed/>
    <w:rsid w:val="00426A50"/>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rsid w:val="006120C9"/>
    <w:pPr>
      <w:spacing w:after="0"/>
    </w:pPr>
    <w:rPr>
      <w:lang w:val="en-AU"/>
    </w:rPr>
  </w:style>
</w:styles>
</file>

<file path=word/webSettings.xml><?xml version="1.0" encoding="utf-8"?>
<w:webSettings xmlns:r="http://schemas.openxmlformats.org/officeDocument/2006/relationships" xmlns:w="http://schemas.openxmlformats.org/wordprocessingml/2006/main">
  <w:divs>
    <w:div w:id="625696137">
      <w:bodyDiv w:val="1"/>
      <w:marLeft w:val="0"/>
      <w:marRight w:val="0"/>
      <w:marTop w:val="0"/>
      <w:marBottom w:val="0"/>
      <w:divBdr>
        <w:top w:val="none" w:sz="0" w:space="0" w:color="auto"/>
        <w:left w:val="none" w:sz="0" w:space="0" w:color="auto"/>
        <w:bottom w:val="none" w:sz="0" w:space="0" w:color="auto"/>
        <w:right w:val="none" w:sz="0" w:space="0" w:color="auto"/>
      </w:divBdr>
      <w:divsChild>
        <w:div w:id="1661696456">
          <w:marLeft w:val="0"/>
          <w:marRight w:val="0"/>
          <w:marTop w:val="0"/>
          <w:marBottom w:val="0"/>
          <w:divBdr>
            <w:top w:val="none" w:sz="0" w:space="0" w:color="auto"/>
            <w:left w:val="none" w:sz="0" w:space="0" w:color="auto"/>
            <w:bottom w:val="none" w:sz="0" w:space="0" w:color="auto"/>
            <w:right w:val="none" w:sz="0" w:space="0" w:color="auto"/>
          </w:divBdr>
          <w:divsChild>
            <w:div w:id="795294606">
              <w:marLeft w:val="0"/>
              <w:marRight w:val="0"/>
              <w:marTop w:val="0"/>
              <w:marBottom w:val="0"/>
              <w:divBdr>
                <w:top w:val="none" w:sz="0" w:space="0" w:color="auto"/>
                <w:left w:val="none" w:sz="0" w:space="0" w:color="auto"/>
                <w:bottom w:val="none" w:sz="0" w:space="0" w:color="auto"/>
                <w:right w:val="none" w:sz="0" w:space="0" w:color="auto"/>
              </w:divBdr>
              <w:divsChild>
                <w:div w:id="1123815223">
                  <w:marLeft w:val="0"/>
                  <w:marRight w:val="0"/>
                  <w:marTop w:val="0"/>
                  <w:marBottom w:val="0"/>
                  <w:divBdr>
                    <w:top w:val="none" w:sz="0" w:space="0" w:color="auto"/>
                    <w:left w:val="none" w:sz="0" w:space="0" w:color="auto"/>
                    <w:bottom w:val="none" w:sz="0" w:space="0" w:color="auto"/>
                    <w:right w:val="none" w:sz="0" w:space="0" w:color="auto"/>
                  </w:divBdr>
                  <w:divsChild>
                    <w:div w:id="1582059877">
                      <w:marLeft w:val="0"/>
                      <w:marRight w:val="0"/>
                      <w:marTop w:val="0"/>
                      <w:marBottom w:val="0"/>
                      <w:divBdr>
                        <w:top w:val="none" w:sz="0" w:space="0" w:color="auto"/>
                        <w:left w:val="none" w:sz="0" w:space="0" w:color="auto"/>
                        <w:bottom w:val="none" w:sz="0" w:space="0" w:color="auto"/>
                        <w:right w:val="none" w:sz="0" w:space="0" w:color="auto"/>
                      </w:divBdr>
                      <w:divsChild>
                        <w:div w:id="158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CAE1-40F4-4050-8DE3-71F6A678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kraftop</dc:creator>
  <cp:lastModifiedBy>Krissy Raftopoulos</cp:lastModifiedBy>
  <cp:revision>8</cp:revision>
  <cp:lastPrinted>2011-12-05T00:14:00Z</cp:lastPrinted>
  <dcterms:created xsi:type="dcterms:W3CDTF">2011-12-01T00:50:00Z</dcterms:created>
  <dcterms:modified xsi:type="dcterms:W3CDTF">2011-12-13T21:59:00Z</dcterms:modified>
</cp:coreProperties>
</file>