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D73CE" w14:textId="77777777" w:rsidR="007177E0" w:rsidRPr="005F1388" w:rsidRDefault="007177E0" w:rsidP="007177E0">
      <w:pPr>
        <w:rPr>
          <w:sz w:val="28"/>
        </w:rPr>
      </w:pPr>
      <w:r>
        <w:rPr>
          <w:noProof/>
          <w:lang w:eastAsia="en-AU"/>
        </w:rPr>
        <w:drawing>
          <wp:inline distT="0" distB="0" distL="0" distR="0" wp14:anchorId="5CDFF4AD" wp14:editId="16BA66F1">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7205617" w14:textId="30E1337A" w:rsidR="007177E0" w:rsidRDefault="00B16C43" w:rsidP="007177E0">
      <w:pPr>
        <w:pStyle w:val="ShortT"/>
        <w:spacing w:before="240"/>
      </w:pPr>
      <w:r>
        <w:t>Public Ancillary Fund Guidelines 201</w:t>
      </w:r>
      <w:r w:rsidR="00636DE3">
        <w:t>1</w:t>
      </w:r>
    </w:p>
    <w:p w14:paraId="0E93894C" w14:textId="77777777" w:rsidR="004E370A" w:rsidRDefault="004E370A" w:rsidP="004E370A">
      <w:pPr>
        <w:pStyle w:val="CompiledActNo"/>
        <w:spacing w:before="240"/>
      </w:pPr>
      <w:r>
        <w:t>as amended</w:t>
      </w:r>
    </w:p>
    <w:p w14:paraId="4D06F363" w14:textId="77777777" w:rsidR="004E370A" w:rsidRPr="00BC3AE3" w:rsidRDefault="004E370A" w:rsidP="00BC3AE3">
      <w:pPr>
        <w:pStyle w:val="MadeunderText"/>
      </w:pPr>
      <w:r w:rsidRPr="00BC3AE3">
        <w:t>made under</w:t>
      </w:r>
      <w:r w:rsidR="00957E53">
        <w:t xml:space="preserve"> </w:t>
      </w:r>
      <w:r w:rsidR="00B16C43">
        <w:t>section 426-103 in Schedule 1</w:t>
      </w:r>
      <w:r w:rsidR="00D351AD">
        <w:t xml:space="preserve"> </w:t>
      </w:r>
      <w:r w:rsidR="00B16C43">
        <w:t>to</w:t>
      </w:r>
      <w:r w:rsidR="00D351AD">
        <w:t xml:space="preserve"> the</w:t>
      </w:r>
    </w:p>
    <w:p w14:paraId="1EB40172" w14:textId="77777777" w:rsidR="004E370A" w:rsidRPr="00F22885" w:rsidRDefault="00B16C43" w:rsidP="004E370A">
      <w:pPr>
        <w:pStyle w:val="CompiledMadeUnder"/>
        <w:spacing w:before="240"/>
      </w:pPr>
      <w:r>
        <w:t>Taxation Administration Act 1953</w:t>
      </w:r>
    </w:p>
    <w:p w14:paraId="7AA83C24" w14:textId="301FEFDB" w:rsidR="007177E0" w:rsidRPr="00642BE4" w:rsidRDefault="007177E0" w:rsidP="007177E0">
      <w:pPr>
        <w:spacing w:before="1000"/>
        <w:rPr>
          <w:rFonts w:cs="Arial"/>
          <w:sz w:val="24"/>
        </w:rPr>
      </w:pPr>
      <w:r w:rsidRPr="00642BE4">
        <w:rPr>
          <w:rFonts w:cs="Arial"/>
          <w:b/>
          <w:sz w:val="24"/>
        </w:rPr>
        <w:t>Compilation start date:</w:t>
      </w:r>
      <w:r>
        <w:rPr>
          <w:rFonts w:cs="Arial"/>
          <w:b/>
          <w:sz w:val="24"/>
        </w:rPr>
        <w:tab/>
      </w:r>
      <w:r>
        <w:rPr>
          <w:rFonts w:cs="Arial"/>
          <w:b/>
          <w:sz w:val="24"/>
        </w:rPr>
        <w:tab/>
      </w:r>
      <w:r w:rsidR="00DC0CC5" w:rsidRPr="00DC0CC5">
        <w:rPr>
          <w:rFonts w:cs="Arial"/>
          <w:sz w:val="24"/>
        </w:rPr>
        <w:t>5</w:t>
      </w:r>
      <w:r w:rsidR="00440B0E" w:rsidRPr="00440B0E">
        <w:rPr>
          <w:rFonts w:cs="Arial"/>
          <w:sz w:val="24"/>
        </w:rPr>
        <w:t xml:space="preserve"> May 2016</w:t>
      </w:r>
    </w:p>
    <w:p w14:paraId="3E6F8AC2" w14:textId="1BDEF4BA" w:rsidR="007C45A2" w:rsidRDefault="007C45A2" w:rsidP="00B16C43">
      <w:pPr>
        <w:spacing w:before="240"/>
        <w:ind w:left="3600" w:hanging="3600"/>
        <w:rPr>
          <w:rFonts w:cs="Arial"/>
          <w:b/>
          <w:sz w:val="24"/>
        </w:rPr>
      </w:pPr>
      <w:r>
        <w:rPr>
          <w:rFonts w:cs="Arial"/>
          <w:b/>
          <w:sz w:val="24"/>
        </w:rPr>
        <w:t>Compilation number:</w:t>
      </w:r>
      <w:r>
        <w:rPr>
          <w:rFonts w:cs="Arial"/>
          <w:b/>
          <w:sz w:val="24"/>
        </w:rPr>
        <w:tab/>
      </w:r>
      <w:r w:rsidRPr="007C45A2">
        <w:rPr>
          <w:rFonts w:cs="Arial"/>
          <w:sz w:val="24"/>
        </w:rPr>
        <w:t>1</w:t>
      </w:r>
    </w:p>
    <w:p w14:paraId="23182718" w14:textId="57C181AE" w:rsidR="007177E0" w:rsidRDefault="007177E0" w:rsidP="00B16C43">
      <w:pPr>
        <w:spacing w:before="240"/>
        <w:ind w:left="3600" w:hanging="3600"/>
        <w:rPr>
          <w:rFonts w:cs="Arial"/>
          <w:sz w:val="24"/>
        </w:rPr>
      </w:pPr>
      <w:r w:rsidRPr="00642BE4">
        <w:rPr>
          <w:rFonts w:cs="Arial"/>
          <w:b/>
          <w:sz w:val="24"/>
        </w:rPr>
        <w:t>Includes amendments up to:</w:t>
      </w:r>
      <w:r w:rsidRPr="00642BE4">
        <w:rPr>
          <w:rFonts w:cs="Arial"/>
          <w:b/>
          <w:sz w:val="24"/>
        </w:rPr>
        <w:tab/>
      </w:r>
      <w:r w:rsidR="00B16C43" w:rsidRPr="00C5648E">
        <w:rPr>
          <w:rFonts w:cs="Arial"/>
          <w:i/>
          <w:sz w:val="24"/>
        </w:rPr>
        <w:t>Private Ancillary Fund and Public Ancillary Fund Amendment Guidelines 20</w:t>
      </w:r>
      <w:r w:rsidR="00C5648E" w:rsidRPr="00C5648E">
        <w:rPr>
          <w:rFonts w:cs="Arial"/>
          <w:i/>
          <w:sz w:val="24"/>
        </w:rPr>
        <w:t>16</w:t>
      </w:r>
    </w:p>
    <w:p w14:paraId="70A07A7D" w14:textId="77777777" w:rsidR="005C0CFA" w:rsidRPr="00642BE4" w:rsidRDefault="005C0CFA" w:rsidP="007177E0">
      <w:pPr>
        <w:spacing w:before="240"/>
        <w:rPr>
          <w:rFonts w:cs="Arial"/>
          <w:sz w:val="24"/>
        </w:rPr>
      </w:pPr>
    </w:p>
    <w:p w14:paraId="57880525" w14:textId="77777777" w:rsidR="00371193" w:rsidRPr="00C27148" w:rsidRDefault="00371193" w:rsidP="00371193">
      <w:pPr>
        <w:pageBreakBefore/>
        <w:rPr>
          <w:rFonts w:cs="Arial"/>
          <w:b/>
          <w:sz w:val="32"/>
          <w:szCs w:val="32"/>
        </w:rPr>
      </w:pPr>
      <w:r w:rsidRPr="00C27148">
        <w:rPr>
          <w:rFonts w:cs="Arial"/>
          <w:b/>
          <w:sz w:val="32"/>
          <w:szCs w:val="32"/>
        </w:rPr>
        <w:lastRenderedPageBreak/>
        <w:t>About this compilation</w:t>
      </w:r>
    </w:p>
    <w:p w14:paraId="183A4053" w14:textId="77777777" w:rsidR="009469C4" w:rsidRPr="00BC57F4" w:rsidRDefault="009469C4" w:rsidP="009469C4">
      <w:pPr>
        <w:spacing w:before="240"/>
        <w:rPr>
          <w:rFonts w:cs="Arial"/>
        </w:rPr>
      </w:pPr>
      <w:r w:rsidRPr="00BC57F4">
        <w:rPr>
          <w:rFonts w:cs="Arial"/>
          <w:b/>
          <w:szCs w:val="22"/>
        </w:rPr>
        <w:t>This compilation</w:t>
      </w:r>
    </w:p>
    <w:p w14:paraId="0DC26880" w14:textId="77777777" w:rsidR="009469C4" w:rsidRPr="00BC57F4" w:rsidRDefault="009469C4" w:rsidP="009469C4">
      <w:pPr>
        <w:spacing w:before="120" w:after="120" w:line="240" w:lineRule="auto"/>
        <w:rPr>
          <w:rFonts w:cs="Arial"/>
          <w:szCs w:val="22"/>
        </w:rPr>
      </w:pPr>
      <w:r w:rsidRPr="00BC57F4">
        <w:rPr>
          <w:rFonts w:cs="Arial"/>
          <w:szCs w:val="22"/>
        </w:rPr>
        <w:t xml:space="preserve">This is a compilation of the </w:t>
      </w:r>
      <w:r w:rsidR="00B16C43">
        <w:rPr>
          <w:rFonts w:cs="Arial"/>
          <w:i/>
          <w:szCs w:val="22"/>
        </w:rPr>
        <w:t>Public Ancillary Fund Guidelines 2011</w:t>
      </w:r>
      <w:r w:rsidR="00A10B7E">
        <w:rPr>
          <w:rFonts w:cs="Arial"/>
          <w:szCs w:val="22"/>
        </w:rPr>
        <w:t xml:space="preserve"> </w:t>
      </w:r>
      <w:r w:rsidRPr="00BC57F4">
        <w:rPr>
          <w:rFonts w:cs="Arial"/>
          <w:szCs w:val="22"/>
        </w:rPr>
        <w:t xml:space="preserve">as in force on </w:t>
      </w:r>
      <w:r w:rsidR="00F80B4C">
        <w:rPr>
          <w:rFonts w:cs="Arial"/>
          <w:szCs w:val="22"/>
        </w:rPr>
        <w:t>the date of registration.</w:t>
      </w:r>
      <w:r w:rsidRPr="00BC57F4">
        <w:rPr>
          <w:rFonts w:cs="Arial"/>
          <w:szCs w:val="22"/>
        </w:rPr>
        <w:t xml:space="preserve"> It includes any commenced amendment affecting the </w:t>
      </w:r>
      <w:r w:rsidR="009D45C2">
        <w:rPr>
          <w:rFonts w:cs="Arial"/>
          <w:szCs w:val="22"/>
        </w:rPr>
        <w:t>legislation</w:t>
      </w:r>
      <w:r w:rsidRPr="00BC57F4">
        <w:rPr>
          <w:rFonts w:cs="Arial"/>
          <w:szCs w:val="22"/>
        </w:rPr>
        <w:t xml:space="preserve"> to that date.</w:t>
      </w:r>
    </w:p>
    <w:p w14:paraId="762FC0C0" w14:textId="492F7C1B" w:rsidR="009469C4" w:rsidRPr="00BC57F4" w:rsidRDefault="009469C4" w:rsidP="009469C4">
      <w:pPr>
        <w:spacing w:after="120" w:line="240" w:lineRule="auto"/>
        <w:rPr>
          <w:rFonts w:cs="Arial"/>
          <w:szCs w:val="22"/>
        </w:rPr>
      </w:pPr>
      <w:r w:rsidRPr="00BC57F4">
        <w:rPr>
          <w:rFonts w:cs="Arial"/>
          <w:szCs w:val="22"/>
        </w:rPr>
        <w:t xml:space="preserve">This compilation was prepared on </w:t>
      </w:r>
      <w:r w:rsidR="00C5648E">
        <w:rPr>
          <w:rFonts w:cs="Arial"/>
          <w:szCs w:val="22"/>
        </w:rPr>
        <w:t>2</w:t>
      </w:r>
      <w:r w:rsidR="000D0C5E">
        <w:rPr>
          <w:rFonts w:cs="Arial"/>
          <w:szCs w:val="22"/>
        </w:rPr>
        <w:t>9</w:t>
      </w:r>
      <w:r w:rsidR="00C5648E">
        <w:rPr>
          <w:rFonts w:cs="Arial"/>
          <w:szCs w:val="22"/>
        </w:rPr>
        <w:t xml:space="preserve"> April</w:t>
      </w:r>
      <w:r w:rsidR="00F80B4C">
        <w:rPr>
          <w:rFonts w:cs="Arial"/>
          <w:szCs w:val="22"/>
        </w:rPr>
        <w:t xml:space="preserve"> 2016</w:t>
      </w:r>
      <w:r w:rsidR="002B2772">
        <w:rPr>
          <w:rFonts w:cs="Arial"/>
          <w:szCs w:val="22"/>
        </w:rPr>
        <w:t>.</w:t>
      </w:r>
    </w:p>
    <w:p w14:paraId="2102862E" w14:textId="77777777" w:rsidR="009469C4" w:rsidRPr="00BC57F4" w:rsidRDefault="009469C4" w:rsidP="009469C4">
      <w:pPr>
        <w:spacing w:after="120" w:line="240" w:lineRule="auto"/>
        <w:rPr>
          <w:rFonts w:cs="Arial"/>
          <w:szCs w:val="22"/>
        </w:rPr>
      </w:pPr>
      <w:r w:rsidRPr="00BC57F4">
        <w:rPr>
          <w:rFonts w:cs="Arial"/>
          <w:szCs w:val="22"/>
        </w:rPr>
        <w:t xml:space="preserve">The notes at the end of this compilation (the </w:t>
      </w:r>
      <w:r w:rsidRPr="00BC57F4">
        <w:rPr>
          <w:rFonts w:cs="Arial"/>
          <w:b/>
          <w:i/>
          <w:szCs w:val="22"/>
        </w:rPr>
        <w:t>endnotes</w:t>
      </w:r>
      <w:r w:rsidRPr="00BC57F4">
        <w:rPr>
          <w:rFonts w:cs="Arial"/>
          <w:szCs w:val="22"/>
        </w:rPr>
        <w:t>) include information about amending laws and the amendment history of each amended provision.</w:t>
      </w:r>
    </w:p>
    <w:p w14:paraId="78E252EC" w14:textId="77777777" w:rsidR="009469C4" w:rsidRPr="00BC57F4" w:rsidRDefault="009469C4" w:rsidP="009469C4">
      <w:pPr>
        <w:tabs>
          <w:tab w:val="left" w:pos="5640"/>
        </w:tabs>
        <w:spacing w:before="120" w:after="120" w:line="240" w:lineRule="auto"/>
        <w:rPr>
          <w:rFonts w:cs="Arial"/>
          <w:b/>
          <w:szCs w:val="22"/>
        </w:rPr>
      </w:pPr>
      <w:r w:rsidRPr="00BC57F4">
        <w:rPr>
          <w:rFonts w:cs="Arial"/>
          <w:b/>
          <w:szCs w:val="22"/>
        </w:rPr>
        <w:t>Uncommenced amendments</w:t>
      </w:r>
    </w:p>
    <w:p w14:paraId="1D941B20" w14:textId="77777777" w:rsidR="009469C4" w:rsidRPr="00BC57F4" w:rsidRDefault="009469C4" w:rsidP="009469C4">
      <w:pPr>
        <w:spacing w:after="120" w:line="240" w:lineRule="auto"/>
        <w:rPr>
          <w:rFonts w:cs="Arial"/>
          <w:szCs w:val="22"/>
        </w:rPr>
      </w:pPr>
      <w:r w:rsidRPr="00BC57F4">
        <w:rPr>
          <w:rFonts w:cs="Arial"/>
          <w:szCs w:val="22"/>
        </w:rPr>
        <w:t>The effect of uncommenced amendments is not reflected in the text of the compiled law but the text of the amendments is included in the endnotes.</w:t>
      </w:r>
    </w:p>
    <w:p w14:paraId="55E169F9" w14:textId="77777777" w:rsidR="009469C4" w:rsidRPr="00BC57F4" w:rsidRDefault="009469C4" w:rsidP="009469C4">
      <w:pPr>
        <w:spacing w:before="120" w:after="120" w:line="240" w:lineRule="auto"/>
        <w:rPr>
          <w:rFonts w:cs="Arial"/>
          <w:b/>
          <w:szCs w:val="22"/>
        </w:rPr>
      </w:pPr>
      <w:r w:rsidRPr="00BC57F4">
        <w:rPr>
          <w:rFonts w:cs="Arial"/>
          <w:b/>
          <w:szCs w:val="22"/>
        </w:rPr>
        <w:t>Application, saving and transitional provisions for provisions and amendments</w:t>
      </w:r>
    </w:p>
    <w:p w14:paraId="43AB5D02" w14:textId="77777777" w:rsidR="009469C4" w:rsidRPr="00BC57F4" w:rsidRDefault="009469C4" w:rsidP="009469C4">
      <w:pPr>
        <w:spacing w:after="120"/>
        <w:rPr>
          <w:rFonts w:cs="Arial"/>
          <w:szCs w:val="22"/>
        </w:rPr>
      </w:pPr>
      <w:r w:rsidRPr="00BC57F4">
        <w:rPr>
          <w:rFonts w:cs="Arial"/>
          <w:szCs w:val="22"/>
        </w:rPr>
        <w:t>If the operation of a provision or amendment is affected by an application, saving or transitional provision that is not included in this compilation, details are included in the endnotes.</w:t>
      </w:r>
    </w:p>
    <w:p w14:paraId="201BF09E" w14:textId="77777777" w:rsidR="009469C4" w:rsidRPr="00BC57F4" w:rsidRDefault="009469C4" w:rsidP="009469C4">
      <w:pPr>
        <w:spacing w:before="120" w:after="120" w:line="240" w:lineRule="auto"/>
        <w:rPr>
          <w:rFonts w:cs="Arial"/>
          <w:b/>
          <w:szCs w:val="22"/>
        </w:rPr>
      </w:pPr>
      <w:r w:rsidRPr="00BC57F4">
        <w:rPr>
          <w:rFonts w:cs="Arial"/>
          <w:b/>
          <w:szCs w:val="22"/>
        </w:rPr>
        <w:t>Modifications</w:t>
      </w:r>
    </w:p>
    <w:p w14:paraId="6AEA9D89" w14:textId="77777777" w:rsidR="009469C4" w:rsidRPr="00BC57F4" w:rsidRDefault="009469C4" w:rsidP="009469C4">
      <w:pPr>
        <w:spacing w:after="120" w:line="240" w:lineRule="auto"/>
        <w:rPr>
          <w:rFonts w:cs="Arial"/>
          <w:szCs w:val="22"/>
        </w:rPr>
      </w:pPr>
      <w:r w:rsidRPr="00BC57F4">
        <w:rPr>
          <w:rFonts w:cs="Arial"/>
          <w:szCs w:val="22"/>
        </w:rPr>
        <w:t xml:space="preserve">If a provision of the compiled law is affected by a modification that is in force, details are included in the endnotes. </w:t>
      </w:r>
    </w:p>
    <w:p w14:paraId="45AA7D31" w14:textId="77777777" w:rsidR="009469C4" w:rsidRPr="00BC57F4" w:rsidRDefault="009469C4" w:rsidP="009469C4">
      <w:pPr>
        <w:spacing w:before="80" w:after="120"/>
        <w:rPr>
          <w:rFonts w:cs="Arial"/>
          <w:b/>
          <w:szCs w:val="22"/>
        </w:rPr>
      </w:pPr>
      <w:r w:rsidRPr="00BC57F4">
        <w:rPr>
          <w:rFonts w:cs="Arial"/>
          <w:b/>
          <w:szCs w:val="22"/>
        </w:rPr>
        <w:t>Provisions ceasing to have effect</w:t>
      </w:r>
    </w:p>
    <w:p w14:paraId="38919459" w14:textId="77777777" w:rsidR="009469C4" w:rsidRPr="00BC57F4" w:rsidRDefault="009469C4" w:rsidP="009469C4">
      <w:pPr>
        <w:spacing w:after="120"/>
        <w:rPr>
          <w:rFonts w:cs="Arial"/>
        </w:rPr>
      </w:pPr>
      <w:r w:rsidRPr="00BC57F4">
        <w:rPr>
          <w:rFonts w:cs="Arial"/>
          <w:szCs w:val="22"/>
        </w:rPr>
        <w:t>If a provision of the compiled law has expired or otherwise ceased to have effect in accordance with a provision of the law, details are included in the endnotes.</w:t>
      </w:r>
    </w:p>
    <w:p w14:paraId="43F4E21D" w14:textId="77777777" w:rsidR="00427678" w:rsidRDefault="00427678" w:rsidP="00F80B4C"/>
    <w:p w14:paraId="24934CD3" w14:textId="77777777" w:rsidR="00427678" w:rsidRPr="00ED79B6" w:rsidRDefault="00427678" w:rsidP="00F80B4C"/>
    <w:p w14:paraId="41F70FC5" w14:textId="77777777" w:rsidR="00427678" w:rsidRPr="00ED79B6" w:rsidRDefault="00427678" w:rsidP="00F80B4C">
      <w:pPr>
        <w:pStyle w:val="Header"/>
        <w:tabs>
          <w:tab w:val="clear" w:pos="4150"/>
          <w:tab w:val="clear" w:pos="8307"/>
        </w:tabs>
      </w:pPr>
      <w:r w:rsidRPr="00ED79B6">
        <w:rPr>
          <w:rStyle w:val="CharChapNo"/>
        </w:rPr>
        <w:t xml:space="preserve"> </w:t>
      </w:r>
      <w:r w:rsidRPr="00ED79B6">
        <w:rPr>
          <w:rStyle w:val="CharChapText"/>
        </w:rPr>
        <w:t xml:space="preserve"> </w:t>
      </w:r>
    </w:p>
    <w:p w14:paraId="3E24DF98" w14:textId="77777777" w:rsidR="00427678" w:rsidRPr="00ED79B6" w:rsidRDefault="00427678" w:rsidP="00F80B4C">
      <w:pPr>
        <w:pStyle w:val="Header"/>
        <w:tabs>
          <w:tab w:val="clear" w:pos="4150"/>
          <w:tab w:val="clear" w:pos="8307"/>
        </w:tabs>
      </w:pPr>
      <w:r w:rsidRPr="00ED79B6">
        <w:rPr>
          <w:rStyle w:val="CharPartNo"/>
        </w:rPr>
        <w:t xml:space="preserve"> </w:t>
      </w:r>
      <w:r w:rsidRPr="00ED79B6">
        <w:rPr>
          <w:rStyle w:val="CharPartText"/>
        </w:rPr>
        <w:t xml:space="preserve"> </w:t>
      </w:r>
    </w:p>
    <w:p w14:paraId="27A29AB2" w14:textId="77777777" w:rsidR="00427678" w:rsidRPr="00ED79B6" w:rsidRDefault="00427678" w:rsidP="00F80B4C">
      <w:pPr>
        <w:pStyle w:val="Header"/>
        <w:tabs>
          <w:tab w:val="clear" w:pos="4150"/>
          <w:tab w:val="clear" w:pos="8307"/>
        </w:tabs>
      </w:pPr>
      <w:r w:rsidRPr="00ED79B6">
        <w:rPr>
          <w:rStyle w:val="CharDivNo"/>
        </w:rPr>
        <w:t xml:space="preserve"> </w:t>
      </w:r>
      <w:r w:rsidRPr="00ED79B6">
        <w:rPr>
          <w:rStyle w:val="CharDivText"/>
        </w:rPr>
        <w:t xml:space="preserve"> </w:t>
      </w:r>
    </w:p>
    <w:p w14:paraId="2415554A" w14:textId="77777777" w:rsidR="00427678" w:rsidRDefault="00427678" w:rsidP="00F80B4C">
      <w:pPr>
        <w:sectPr w:rsidR="00427678" w:rsidSect="001A4A0C">
          <w:headerReference w:type="even" r:id="rId15"/>
          <w:headerReference w:type="default" r:id="rId16"/>
          <w:footerReference w:type="default" r:id="rId17"/>
          <w:footerReference w:type="first" r:id="rId18"/>
          <w:pgSz w:w="11907" w:h="16839"/>
          <w:pgMar w:top="1440" w:right="1797" w:bottom="1440" w:left="1797" w:header="720" w:footer="3402" w:gutter="0"/>
          <w:cols w:space="708"/>
          <w:titlePg/>
          <w:docGrid w:linePitch="360"/>
        </w:sectPr>
      </w:pPr>
    </w:p>
    <w:p w14:paraId="6175BB51" w14:textId="77777777" w:rsidR="00F80B4C" w:rsidRDefault="00F80B4C" w:rsidP="00F80B4C">
      <w:pPr>
        <w:pStyle w:val="ContentsHead"/>
        <w:spacing w:before="0"/>
        <w:rPr>
          <w:color w:val="auto"/>
        </w:rPr>
      </w:pPr>
      <w:r>
        <w:rPr>
          <w:color w:val="auto"/>
        </w:rPr>
        <w:lastRenderedPageBreak/>
        <w:t>Contents</w:t>
      </w:r>
    </w:p>
    <w:tbl>
      <w:tblPr>
        <w:tblW w:w="0" w:type="auto"/>
        <w:jc w:val="center"/>
        <w:tblLook w:val="0000" w:firstRow="0" w:lastRow="0" w:firstColumn="0" w:lastColumn="0" w:noHBand="0" w:noVBand="0"/>
      </w:tblPr>
      <w:tblGrid>
        <w:gridCol w:w="5183"/>
        <w:gridCol w:w="1356"/>
      </w:tblGrid>
      <w:tr w:rsidR="00F80B4C" w:rsidRPr="007F2830" w14:paraId="76AC2F95" w14:textId="77777777" w:rsidTr="00F80B4C">
        <w:trPr>
          <w:jc w:val="center"/>
        </w:trPr>
        <w:tc>
          <w:tcPr>
            <w:tcW w:w="5183" w:type="dxa"/>
          </w:tcPr>
          <w:p w14:paraId="7C9FFE8B" w14:textId="77777777" w:rsidR="00F80B4C" w:rsidRPr="007F2830" w:rsidRDefault="00F80B4C" w:rsidP="00F80B4C">
            <w:pPr>
              <w:spacing w:after="80"/>
              <w:ind w:right="-220"/>
            </w:pPr>
            <w:r w:rsidRPr="007F2830">
              <w:t>Part 1:  Preliminary</w:t>
            </w:r>
          </w:p>
        </w:tc>
        <w:tc>
          <w:tcPr>
            <w:tcW w:w="1356" w:type="dxa"/>
          </w:tcPr>
          <w:p w14:paraId="20F51ED2" w14:textId="77777777" w:rsidR="00F80B4C" w:rsidRPr="007F2830" w:rsidRDefault="00F80B4C" w:rsidP="00F80B4C">
            <w:pPr>
              <w:spacing w:after="80"/>
              <w:jc w:val="right"/>
            </w:pPr>
            <w:r w:rsidRPr="007F2830">
              <w:t>2</w:t>
            </w:r>
          </w:p>
        </w:tc>
      </w:tr>
      <w:tr w:rsidR="00F80B4C" w:rsidRPr="007F2830" w14:paraId="0A9B6522" w14:textId="77777777" w:rsidTr="00F80B4C">
        <w:trPr>
          <w:jc w:val="center"/>
        </w:trPr>
        <w:tc>
          <w:tcPr>
            <w:tcW w:w="5183" w:type="dxa"/>
          </w:tcPr>
          <w:p w14:paraId="46AA6A67" w14:textId="77777777" w:rsidR="00F80B4C" w:rsidRPr="007F2830" w:rsidRDefault="00F80B4C" w:rsidP="00F80B4C">
            <w:pPr>
              <w:spacing w:after="80"/>
              <w:ind w:right="-220"/>
            </w:pPr>
            <w:r w:rsidRPr="007F2830">
              <w:t>Part 2:  Rules for establishing and maintaining public ancillary funds as deductible gift recipients</w:t>
            </w:r>
          </w:p>
        </w:tc>
        <w:tc>
          <w:tcPr>
            <w:tcW w:w="1356" w:type="dxa"/>
          </w:tcPr>
          <w:p w14:paraId="12C0D440" w14:textId="77777777" w:rsidR="00F80B4C" w:rsidRPr="007F2830" w:rsidRDefault="00F80B4C" w:rsidP="00F80B4C">
            <w:pPr>
              <w:spacing w:after="80"/>
              <w:jc w:val="right"/>
            </w:pPr>
            <w:r w:rsidRPr="007F2830">
              <w:t>3</w:t>
            </w:r>
          </w:p>
        </w:tc>
      </w:tr>
      <w:tr w:rsidR="00F80B4C" w:rsidRPr="007F2830" w14:paraId="5626C1DC" w14:textId="77777777" w:rsidTr="00F80B4C">
        <w:trPr>
          <w:jc w:val="center"/>
        </w:trPr>
        <w:tc>
          <w:tcPr>
            <w:tcW w:w="5183" w:type="dxa"/>
          </w:tcPr>
          <w:p w14:paraId="06838094" w14:textId="77777777" w:rsidR="00F80B4C" w:rsidRPr="007F2830" w:rsidRDefault="00F80B4C" w:rsidP="00F80B4C">
            <w:pPr>
              <w:spacing w:after="80"/>
              <w:ind w:right="-220"/>
            </w:pPr>
            <w:r w:rsidRPr="007F2830">
              <w:tab/>
              <w:t>Object</w:t>
            </w:r>
          </w:p>
        </w:tc>
        <w:tc>
          <w:tcPr>
            <w:tcW w:w="1356" w:type="dxa"/>
          </w:tcPr>
          <w:p w14:paraId="7DE85C38" w14:textId="77777777" w:rsidR="00F80B4C" w:rsidRPr="007F2830" w:rsidRDefault="00F80B4C" w:rsidP="00F80B4C">
            <w:pPr>
              <w:spacing w:after="80"/>
              <w:jc w:val="right"/>
            </w:pPr>
            <w:r w:rsidRPr="007F2830">
              <w:t>3</w:t>
            </w:r>
          </w:p>
        </w:tc>
      </w:tr>
      <w:tr w:rsidR="00F80B4C" w:rsidRPr="007F2830" w14:paraId="3319B07C" w14:textId="77777777" w:rsidTr="00F80B4C">
        <w:trPr>
          <w:jc w:val="center"/>
        </w:trPr>
        <w:tc>
          <w:tcPr>
            <w:tcW w:w="5183" w:type="dxa"/>
          </w:tcPr>
          <w:p w14:paraId="27E7F5F5" w14:textId="77777777" w:rsidR="00F80B4C" w:rsidRPr="007F2830" w:rsidRDefault="00F80B4C" w:rsidP="00F80B4C">
            <w:pPr>
              <w:spacing w:after="80"/>
              <w:ind w:right="-220"/>
            </w:pPr>
            <w:r w:rsidRPr="007F2830">
              <w:tab/>
              <w:t>General principles</w:t>
            </w:r>
          </w:p>
        </w:tc>
        <w:tc>
          <w:tcPr>
            <w:tcW w:w="1356" w:type="dxa"/>
          </w:tcPr>
          <w:p w14:paraId="08D3741A" w14:textId="77777777" w:rsidR="00F80B4C" w:rsidRPr="007F2830" w:rsidRDefault="00F80B4C" w:rsidP="00F80B4C">
            <w:pPr>
              <w:spacing w:after="80"/>
              <w:jc w:val="right"/>
            </w:pPr>
            <w:r w:rsidRPr="007F2830">
              <w:t>3</w:t>
            </w:r>
          </w:p>
        </w:tc>
      </w:tr>
      <w:tr w:rsidR="00F80B4C" w:rsidRPr="007F2830" w14:paraId="144E4AA1" w14:textId="77777777" w:rsidTr="00F80B4C">
        <w:trPr>
          <w:jc w:val="center"/>
        </w:trPr>
        <w:tc>
          <w:tcPr>
            <w:tcW w:w="5183" w:type="dxa"/>
          </w:tcPr>
          <w:p w14:paraId="7B9450DF" w14:textId="77777777" w:rsidR="00F80B4C" w:rsidRPr="007F2830" w:rsidRDefault="00F80B4C" w:rsidP="00F80B4C">
            <w:pPr>
              <w:spacing w:after="80"/>
              <w:ind w:right="-220"/>
            </w:pPr>
            <w:r w:rsidRPr="007F2830">
              <w:tab/>
              <w:t>Establishing a public ancillary fund</w:t>
            </w:r>
          </w:p>
        </w:tc>
        <w:tc>
          <w:tcPr>
            <w:tcW w:w="1356" w:type="dxa"/>
          </w:tcPr>
          <w:p w14:paraId="03EF7453" w14:textId="77777777" w:rsidR="00F80B4C" w:rsidRPr="007F2830" w:rsidRDefault="00F80B4C" w:rsidP="00F80B4C">
            <w:pPr>
              <w:spacing w:after="80"/>
              <w:jc w:val="right"/>
            </w:pPr>
            <w:r w:rsidRPr="007F2830">
              <w:t>3</w:t>
            </w:r>
          </w:p>
        </w:tc>
      </w:tr>
      <w:tr w:rsidR="00F80B4C" w:rsidRPr="007F2830" w14:paraId="7D49F1DA" w14:textId="77777777" w:rsidTr="00F80B4C">
        <w:trPr>
          <w:jc w:val="center"/>
        </w:trPr>
        <w:tc>
          <w:tcPr>
            <w:tcW w:w="5183" w:type="dxa"/>
          </w:tcPr>
          <w:p w14:paraId="1A91B7FD" w14:textId="77777777" w:rsidR="00F80B4C" w:rsidRPr="007F2830" w:rsidRDefault="00F80B4C" w:rsidP="00F80B4C">
            <w:pPr>
              <w:spacing w:after="80"/>
              <w:ind w:right="-220"/>
            </w:pPr>
            <w:r w:rsidRPr="007F2830">
              <w:tab/>
              <w:t>Operation of a public ancillary fund</w:t>
            </w:r>
          </w:p>
        </w:tc>
        <w:tc>
          <w:tcPr>
            <w:tcW w:w="1356" w:type="dxa"/>
          </w:tcPr>
          <w:p w14:paraId="634C32E9" w14:textId="77777777" w:rsidR="00F80B4C" w:rsidRPr="007F2830" w:rsidRDefault="00F80B4C" w:rsidP="00F80B4C">
            <w:pPr>
              <w:spacing w:after="80"/>
              <w:jc w:val="right"/>
            </w:pPr>
            <w:r>
              <w:t>6</w:t>
            </w:r>
          </w:p>
        </w:tc>
      </w:tr>
      <w:tr w:rsidR="00F80B4C" w:rsidRPr="007F2830" w14:paraId="7F90BD03" w14:textId="77777777" w:rsidTr="00F80B4C">
        <w:trPr>
          <w:jc w:val="center"/>
        </w:trPr>
        <w:tc>
          <w:tcPr>
            <w:tcW w:w="5183" w:type="dxa"/>
          </w:tcPr>
          <w:p w14:paraId="18D036E7" w14:textId="77777777" w:rsidR="00F80B4C" w:rsidRPr="007F2830" w:rsidRDefault="00F80B4C" w:rsidP="00F80B4C">
            <w:pPr>
              <w:spacing w:after="80"/>
              <w:ind w:left="681" w:right="-220"/>
            </w:pPr>
            <w:r>
              <w:t>Winding up a public ancillary fund or</w:t>
            </w:r>
            <w:r>
              <w:br/>
              <w:t>transferring funds to another ancillary fund</w:t>
            </w:r>
          </w:p>
        </w:tc>
        <w:tc>
          <w:tcPr>
            <w:tcW w:w="1356" w:type="dxa"/>
          </w:tcPr>
          <w:p w14:paraId="06D6F564" w14:textId="77777777" w:rsidR="00F80B4C" w:rsidRPr="007F2830" w:rsidRDefault="00F80B4C" w:rsidP="00F80B4C">
            <w:pPr>
              <w:spacing w:after="80"/>
              <w:jc w:val="right"/>
            </w:pPr>
            <w:r w:rsidRPr="007F2830">
              <w:t>1</w:t>
            </w:r>
            <w:r>
              <w:t>3</w:t>
            </w:r>
          </w:p>
        </w:tc>
      </w:tr>
      <w:tr w:rsidR="00F80B4C" w:rsidRPr="007F2830" w14:paraId="5985909E" w14:textId="77777777" w:rsidTr="00F80B4C">
        <w:trPr>
          <w:jc w:val="center"/>
        </w:trPr>
        <w:tc>
          <w:tcPr>
            <w:tcW w:w="5183" w:type="dxa"/>
          </w:tcPr>
          <w:p w14:paraId="6EB02B6D" w14:textId="77777777" w:rsidR="00F80B4C" w:rsidRPr="007F2830" w:rsidRDefault="00F80B4C" w:rsidP="00F80B4C">
            <w:pPr>
              <w:spacing w:after="80"/>
              <w:ind w:right="-220"/>
            </w:pPr>
            <w:r w:rsidRPr="007F2830">
              <w:t xml:space="preserve">Part 3:  Transitional rules for </w:t>
            </w:r>
            <w:r>
              <w:t>public ancillary funds</w:t>
            </w:r>
          </w:p>
        </w:tc>
        <w:tc>
          <w:tcPr>
            <w:tcW w:w="1356" w:type="dxa"/>
          </w:tcPr>
          <w:p w14:paraId="777EE0DE" w14:textId="77777777" w:rsidR="00F80B4C" w:rsidRPr="007F2830" w:rsidRDefault="00F80B4C" w:rsidP="00F80B4C">
            <w:pPr>
              <w:spacing w:after="80"/>
              <w:jc w:val="right"/>
            </w:pPr>
            <w:r>
              <w:t>15</w:t>
            </w:r>
          </w:p>
        </w:tc>
      </w:tr>
      <w:tr w:rsidR="00F80B4C" w:rsidRPr="00E60262" w14:paraId="393D3AA7" w14:textId="77777777" w:rsidTr="00F80B4C">
        <w:trPr>
          <w:jc w:val="center"/>
        </w:trPr>
        <w:tc>
          <w:tcPr>
            <w:tcW w:w="5183" w:type="dxa"/>
          </w:tcPr>
          <w:p w14:paraId="17553827" w14:textId="77777777" w:rsidR="00F80B4C" w:rsidRPr="007F2830" w:rsidRDefault="00F80B4C" w:rsidP="00F80B4C">
            <w:pPr>
              <w:spacing w:after="80"/>
              <w:ind w:right="-220"/>
            </w:pPr>
            <w:r w:rsidRPr="007F2830">
              <w:tab/>
              <w:t xml:space="preserve">Governing rules inconsistent with these </w:t>
            </w:r>
            <w:r w:rsidRPr="007F2830">
              <w:tab/>
              <w:t>guidelines</w:t>
            </w:r>
          </w:p>
        </w:tc>
        <w:tc>
          <w:tcPr>
            <w:tcW w:w="1356" w:type="dxa"/>
          </w:tcPr>
          <w:p w14:paraId="3B57FACC" w14:textId="77777777" w:rsidR="00F80B4C" w:rsidRPr="007F2830" w:rsidRDefault="00F80B4C" w:rsidP="00F80B4C">
            <w:pPr>
              <w:spacing w:after="80"/>
              <w:jc w:val="right"/>
            </w:pPr>
            <w:r w:rsidRPr="007F2830">
              <w:t>1</w:t>
            </w:r>
            <w:r>
              <w:t>5</w:t>
            </w:r>
          </w:p>
        </w:tc>
      </w:tr>
    </w:tbl>
    <w:p w14:paraId="7CFFEAA3" w14:textId="77777777" w:rsidR="00F80B4C" w:rsidRPr="004654FC" w:rsidRDefault="00F80B4C" w:rsidP="00F80B4C">
      <w:pPr>
        <w:pBdr>
          <w:bottom w:val="single" w:sz="6" w:space="5" w:color="auto"/>
        </w:pBdr>
        <w:spacing w:line="240" w:lineRule="auto"/>
        <w:ind w:left="2880" w:right="2880"/>
        <w:jc w:val="center"/>
        <w:rPr>
          <w:sz w:val="12"/>
          <w:szCs w:val="12"/>
        </w:rPr>
      </w:pPr>
    </w:p>
    <w:p w14:paraId="00D9647B" w14:textId="77777777" w:rsidR="00F80B4C" w:rsidRPr="00755045" w:rsidRDefault="00F80B4C" w:rsidP="00F80B4C">
      <w:pPr>
        <w:pStyle w:val="Scheduletitle"/>
        <w:rPr>
          <w:rStyle w:val="CharAmSchNo"/>
          <w:rFonts w:cs="Arial"/>
        </w:rPr>
      </w:pPr>
      <w:bookmarkStart w:id="0" w:name="_Toc532095165"/>
      <w:r>
        <w:rPr>
          <w:rStyle w:val="CharAmSchNo"/>
          <w:rFonts w:cs="Arial"/>
        </w:rPr>
        <w:br w:type="page"/>
      </w:r>
      <w:r>
        <w:rPr>
          <w:rStyle w:val="CharAmSchNo"/>
          <w:rFonts w:cs="Arial"/>
        </w:rPr>
        <w:lastRenderedPageBreak/>
        <w:t>PART</w:t>
      </w:r>
      <w:r w:rsidRPr="00755045">
        <w:rPr>
          <w:rStyle w:val="CharAmSchNo"/>
          <w:rFonts w:cs="Arial"/>
        </w:rPr>
        <w:t xml:space="preserve"> </w:t>
      </w:r>
      <w:r>
        <w:rPr>
          <w:rStyle w:val="CharAmSchNo"/>
          <w:rFonts w:cs="Arial"/>
        </w:rPr>
        <w:t>1</w:t>
      </w:r>
      <w:r w:rsidRPr="00755045">
        <w:rPr>
          <w:rStyle w:val="CharAmSchNo"/>
          <w:rFonts w:cs="Arial"/>
        </w:rPr>
        <w:tab/>
      </w:r>
      <w:r>
        <w:rPr>
          <w:rStyle w:val="CharAmSchNo"/>
          <w:rFonts w:cs="Arial"/>
        </w:rPr>
        <w:t>PRELIMINARY</w:t>
      </w:r>
    </w:p>
    <w:p w14:paraId="2EF08080" w14:textId="77777777" w:rsidR="00F80B4C" w:rsidRDefault="00F80B4C" w:rsidP="00F80B4C">
      <w:pPr>
        <w:rPr>
          <w:rFonts w:ascii="Arial" w:hAnsi="Arial"/>
          <w:b/>
        </w:rPr>
      </w:pPr>
    </w:p>
    <w:p w14:paraId="5B7E82B8" w14:textId="77777777" w:rsidR="00F80B4C" w:rsidRDefault="00F80B4C" w:rsidP="00F80B4C">
      <w:pPr>
        <w:pStyle w:val="HR"/>
        <w:spacing w:before="0"/>
        <w:rPr>
          <w:color w:val="auto"/>
        </w:rPr>
      </w:pPr>
      <w:r>
        <w:rPr>
          <w:rStyle w:val="CharSectno"/>
          <w:color w:val="auto"/>
        </w:rPr>
        <w:fldChar w:fldCharType="begin"/>
      </w:r>
      <w:r>
        <w:rPr>
          <w:rStyle w:val="CharSectno"/>
          <w:color w:val="auto"/>
        </w:rPr>
        <w:instrText xml:space="preserve"> AUTONUM  \* Arabic </w:instrText>
      </w:r>
      <w:r>
        <w:rPr>
          <w:rStyle w:val="CharSectno"/>
          <w:color w:val="auto"/>
        </w:rPr>
        <w:fldChar w:fldCharType="end"/>
      </w:r>
      <w:r>
        <w:rPr>
          <w:color w:val="auto"/>
        </w:rPr>
        <w:tab/>
        <w:t xml:space="preserve">Name of </w:t>
      </w:r>
      <w:bookmarkEnd w:id="0"/>
      <w:r>
        <w:rPr>
          <w:color w:val="auto"/>
        </w:rPr>
        <w:t>Guidelines</w:t>
      </w:r>
    </w:p>
    <w:p w14:paraId="1F69B87B" w14:textId="5C3B669B" w:rsidR="00F80B4C" w:rsidRPr="0082335A" w:rsidRDefault="00F80B4C" w:rsidP="00F80B4C">
      <w:pPr>
        <w:pStyle w:val="R1"/>
        <w:rPr>
          <w:rFonts w:ascii="Arial" w:hAnsi="Arial" w:cs="Arial"/>
          <w:color w:val="auto"/>
        </w:rPr>
      </w:pPr>
      <w:r w:rsidRPr="0082335A">
        <w:rPr>
          <w:rFonts w:ascii="Arial" w:hAnsi="Arial" w:cs="Arial"/>
          <w:color w:val="auto"/>
        </w:rPr>
        <w:tab/>
      </w:r>
      <w:r w:rsidRPr="0082335A">
        <w:rPr>
          <w:rFonts w:ascii="Arial" w:hAnsi="Arial" w:cs="Arial"/>
          <w:color w:val="auto"/>
        </w:rPr>
        <w:tab/>
        <w:t xml:space="preserve">These Guidelines are the </w:t>
      </w:r>
      <w:r w:rsidRPr="0082335A">
        <w:rPr>
          <w:rFonts w:ascii="Arial" w:hAnsi="Arial" w:cs="Arial"/>
          <w:i/>
          <w:color w:val="auto"/>
        </w:rPr>
        <w:t>Public Ancillary Fund Guidelines 201</w:t>
      </w:r>
      <w:r w:rsidR="002D52D9">
        <w:rPr>
          <w:rFonts w:ascii="Arial" w:hAnsi="Arial" w:cs="Arial"/>
          <w:i/>
          <w:color w:val="auto"/>
        </w:rPr>
        <w:t>1</w:t>
      </w:r>
      <w:r w:rsidRPr="0082335A">
        <w:rPr>
          <w:rFonts w:ascii="Arial" w:hAnsi="Arial" w:cs="Arial"/>
          <w:color w:val="auto"/>
        </w:rPr>
        <w:t>.</w:t>
      </w:r>
    </w:p>
    <w:bookmarkStart w:id="1" w:name="_Toc532095166"/>
    <w:p w14:paraId="35D70A92" w14:textId="77777777" w:rsidR="00F80B4C" w:rsidRDefault="00F80B4C" w:rsidP="00F80B4C">
      <w:pPr>
        <w:pStyle w:val="HR"/>
        <w:rPr>
          <w:color w:val="auto"/>
        </w:rPr>
      </w:pPr>
      <w:r>
        <w:rPr>
          <w:rStyle w:val="CharSectno"/>
          <w:color w:val="auto"/>
        </w:rPr>
        <w:fldChar w:fldCharType="begin"/>
      </w:r>
      <w:r>
        <w:rPr>
          <w:rStyle w:val="CharSectno"/>
          <w:color w:val="auto"/>
        </w:rPr>
        <w:instrText xml:space="preserve"> AUTONUM  \* Arabic </w:instrText>
      </w:r>
      <w:r>
        <w:rPr>
          <w:rStyle w:val="CharSectno"/>
          <w:color w:val="auto"/>
        </w:rPr>
        <w:fldChar w:fldCharType="end"/>
      </w:r>
      <w:r>
        <w:rPr>
          <w:color w:val="auto"/>
        </w:rPr>
        <w:tab/>
        <w:t>Commencement</w:t>
      </w:r>
      <w:bookmarkEnd w:id="1"/>
    </w:p>
    <w:p w14:paraId="15BD4C3F" w14:textId="77777777" w:rsidR="00F80B4C" w:rsidRPr="0082335A" w:rsidRDefault="00F80B4C" w:rsidP="00F80B4C">
      <w:pPr>
        <w:pStyle w:val="R1"/>
        <w:rPr>
          <w:rFonts w:ascii="Arial" w:hAnsi="Arial" w:cs="Arial"/>
        </w:rPr>
      </w:pPr>
      <w:r w:rsidRPr="0082335A">
        <w:rPr>
          <w:rFonts w:ascii="Arial" w:hAnsi="Arial" w:cs="Arial"/>
          <w:color w:val="auto"/>
        </w:rPr>
        <w:tab/>
      </w:r>
      <w:r w:rsidRPr="0082335A">
        <w:rPr>
          <w:rFonts w:ascii="Arial" w:hAnsi="Arial" w:cs="Arial"/>
          <w:color w:val="auto"/>
        </w:rPr>
        <w:tab/>
        <w:t>These Guidelines commence o</w:t>
      </w:r>
      <w:r w:rsidRPr="0082335A">
        <w:rPr>
          <w:rFonts w:ascii="Arial" w:hAnsi="Arial" w:cs="Arial"/>
        </w:rPr>
        <w:t xml:space="preserve">n </w:t>
      </w:r>
      <w:r>
        <w:rPr>
          <w:rFonts w:ascii="Arial" w:hAnsi="Arial" w:cs="Arial"/>
        </w:rPr>
        <w:t>the date of registration</w:t>
      </w:r>
      <w:r w:rsidRPr="0082335A">
        <w:rPr>
          <w:rFonts w:ascii="Arial" w:hAnsi="Arial" w:cs="Arial"/>
        </w:rPr>
        <w:t>.</w:t>
      </w:r>
    </w:p>
    <w:bookmarkStart w:id="2" w:name="_Toc532095167"/>
    <w:p w14:paraId="1A22D220" w14:textId="77777777" w:rsidR="00F80B4C" w:rsidRPr="00C350D2" w:rsidRDefault="00F80B4C" w:rsidP="00F80B4C">
      <w:pPr>
        <w:pStyle w:val="HR"/>
      </w:pPr>
      <w:r>
        <w:rPr>
          <w:rStyle w:val="CharSectno"/>
          <w:color w:val="auto"/>
        </w:rPr>
        <w:fldChar w:fldCharType="begin"/>
      </w:r>
      <w:r>
        <w:rPr>
          <w:rStyle w:val="CharSectno"/>
          <w:color w:val="auto"/>
        </w:rPr>
        <w:instrText xml:space="preserve"> AUTONUM  \* Arabic </w:instrText>
      </w:r>
      <w:r>
        <w:rPr>
          <w:rStyle w:val="CharSectno"/>
          <w:color w:val="auto"/>
        </w:rPr>
        <w:fldChar w:fldCharType="end"/>
      </w:r>
      <w:r>
        <w:tab/>
      </w:r>
      <w:bookmarkEnd w:id="2"/>
      <w:r>
        <w:t>Interpretation</w:t>
      </w:r>
    </w:p>
    <w:p w14:paraId="44E3C2CF" w14:textId="77777777" w:rsidR="00F80B4C" w:rsidRPr="0082335A" w:rsidRDefault="00F80B4C" w:rsidP="00F80B4C">
      <w:pPr>
        <w:pStyle w:val="ZR1"/>
        <w:keepNext w:val="0"/>
        <w:rPr>
          <w:rFonts w:ascii="Arial" w:hAnsi="Arial" w:cs="Arial"/>
          <w:color w:val="auto"/>
        </w:rPr>
      </w:pPr>
      <w:r w:rsidRPr="0082335A">
        <w:rPr>
          <w:rFonts w:ascii="Arial" w:hAnsi="Arial" w:cs="Arial"/>
          <w:color w:val="auto"/>
        </w:rPr>
        <w:tab/>
      </w:r>
      <w:r w:rsidRPr="0082335A">
        <w:rPr>
          <w:rFonts w:ascii="Arial" w:hAnsi="Arial" w:cs="Arial"/>
          <w:color w:val="auto"/>
        </w:rPr>
        <w:tab/>
        <w:t xml:space="preserve">Expressions have the same meaning in these Guidelines as in the </w:t>
      </w:r>
      <w:r w:rsidRPr="0082335A">
        <w:rPr>
          <w:rFonts w:ascii="Arial" w:hAnsi="Arial" w:cs="Arial"/>
          <w:i/>
          <w:color w:val="auto"/>
        </w:rPr>
        <w:t>Income Tax Assessment Act 1997</w:t>
      </w:r>
      <w:r w:rsidRPr="0082335A">
        <w:rPr>
          <w:rFonts w:ascii="Arial" w:hAnsi="Arial" w:cs="Arial"/>
          <w:color w:val="auto"/>
        </w:rPr>
        <w:t>. The interpretation rules in Division 950 of that Act also apply to these Guidelines.</w:t>
      </w:r>
    </w:p>
    <w:p w14:paraId="70B546FA" w14:textId="77777777" w:rsidR="00F80B4C" w:rsidRDefault="00F80B4C" w:rsidP="00F80B4C">
      <w:pPr>
        <w:pStyle w:val="Notelevel1"/>
        <w:ind w:left="900"/>
      </w:pPr>
      <w:r>
        <w:t>Note 1: To find definitions of asterisked terms: see section 995-1 of the Income Tax Assessment Act 1997. However, some defined terms may not be asterisked: see section 2-15 of the Income Tax Assessment Act 1997.</w:t>
      </w:r>
    </w:p>
    <w:p w14:paraId="7570E578" w14:textId="77777777" w:rsidR="00F80B4C" w:rsidRDefault="00F80B4C" w:rsidP="00F80B4C">
      <w:pPr>
        <w:pStyle w:val="Notelevel1"/>
        <w:ind w:left="900"/>
      </w:pPr>
      <w:r>
        <w:t>Note 2: See section 4AA of the Crimes Act 1914 for the current value of a penalty unit.</w:t>
      </w:r>
    </w:p>
    <w:p w14:paraId="07202828" w14:textId="77777777" w:rsidR="00F80B4C" w:rsidRPr="0082335A" w:rsidRDefault="00F80B4C" w:rsidP="00F80B4C">
      <w:pPr>
        <w:pStyle w:val="ZR1"/>
        <w:keepNext w:val="0"/>
        <w:rPr>
          <w:rFonts w:ascii="Arial" w:hAnsi="Arial" w:cs="Arial"/>
          <w:color w:val="auto"/>
        </w:rPr>
      </w:pPr>
      <w:r w:rsidRPr="0082335A">
        <w:rPr>
          <w:rFonts w:ascii="Arial" w:hAnsi="Arial" w:cs="Arial"/>
          <w:color w:val="auto"/>
        </w:rPr>
        <w:tab/>
      </w:r>
      <w:r w:rsidRPr="0082335A">
        <w:rPr>
          <w:rFonts w:ascii="Arial" w:hAnsi="Arial" w:cs="Arial"/>
          <w:color w:val="auto"/>
        </w:rPr>
        <w:tab/>
        <w:t xml:space="preserve">If a fund has 2 or more trustees, </w:t>
      </w:r>
      <w:r w:rsidRPr="0082335A">
        <w:rPr>
          <w:rFonts w:ascii="Arial" w:hAnsi="Arial" w:cs="Arial"/>
          <w:b/>
          <w:i/>
          <w:color w:val="auto"/>
        </w:rPr>
        <w:t>trustee</w:t>
      </w:r>
      <w:r w:rsidRPr="0082335A">
        <w:rPr>
          <w:rFonts w:ascii="Arial" w:hAnsi="Arial" w:cs="Arial"/>
        </w:rPr>
        <w:t xml:space="preserve"> means all of those trustees jointly, or any of them severally, as the case requires</w:t>
      </w:r>
      <w:r w:rsidRPr="0082335A">
        <w:rPr>
          <w:rFonts w:ascii="Arial" w:hAnsi="Arial" w:cs="Arial"/>
          <w:color w:val="auto"/>
        </w:rPr>
        <w:t>.</w:t>
      </w:r>
    </w:p>
    <w:bookmarkStart w:id="3" w:name="_Toc532095168"/>
    <w:bookmarkStart w:id="4" w:name="_Toc514724862"/>
    <w:p w14:paraId="77B127DF" w14:textId="77777777" w:rsidR="00F80B4C" w:rsidRPr="00C350D2" w:rsidRDefault="00F80B4C" w:rsidP="00F80B4C">
      <w:pPr>
        <w:pStyle w:val="HR"/>
      </w:pPr>
      <w:r>
        <w:rPr>
          <w:rStyle w:val="CharSectno"/>
          <w:color w:val="auto"/>
        </w:rPr>
        <w:fldChar w:fldCharType="begin"/>
      </w:r>
      <w:r>
        <w:rPr>
          <w:rStyle w:val="CharSectno"/>
          <w:color w:val="auto"/>
        </w:rPr>
        <w:instrText xml:space="preserve"> AUTONUM  \* Arabic </w:instrText>
      </w:r>
      <w:r>
        <w:rPr>
          <w:rStyle w:val="CharSectno"/>
          <w:color w:val="auto"/>
        </w:rPr>
        <w:fldChar w:fldCharType="end"/>
      </w:r>
      <w:r>
        <w:tab/>
        <w:t>Penalties</w:t>
      </w:r>
    </w:p>
    <w:p w14:paraId="62538FB2" w14:textId="77777777" w:rsidR="00F80B4C" w:rsidRPr="0082335A" w:rsidRDefault="00F80B4C" w:rsidP="00F80B4C">
      <w:pPr>
        <w:pStyle w:val="ZR1"/>
        <w:keepNext w:val="0"/>
        <w:rPr>
          <w:rFonts w:ascii="Arial" w:hAnsi="Arial" w:cs="Arial"/>
          <w:color w:val="auto"/>
        </w:rPr>
      </w:pPr>
      <w:r w:rsidRPr="0082335A">
        <w:rPr>
          <w:rFonts w:ascii="Arial" w:hAnsi="Arial" w:cs="Arial"/>
          <w:color w:val="auto"/>
        </w:rPr>
        <w:tab/>
      </w:r>
      <w:r w:rsidRPr="0082335A">
        <w:rPr>
          <w:rFonts w:ascii="Arial" w:hAnsi="Arial" w:cs="Arial"/>
          <w:color w:val="auto"/>
        </w:rPr>
        <w:tab/>
        <w:t xml:space="preserve">If a person is liable to an administrative </w:t>
      </w:r>
      <w:r w:rsidRPr="000C2431">
        <w:rPr>
          <w:rFonts w:ascii="Arial" w:hAnsi="Arial" w:cs="Arial"/>
          <w:color w:val="auto"/>
        </w:rPr>
        <w:t>penalty under section 426-120</w:t>
      </w:r>
      <w:r w:rsidRPr="0082335A">
        <w:rPr>
          <w:rFonts w:ascii="Arial" w:hAnsi="Arial" w:cs="Arial"/>
          <w:color w:val="auto"/>
        </w:rPr>
        <w:t xml:space="preserve"> in Schedule 1 to the </w:t>
      </w:r>
      <w:r w:rsidRPr="0082335A">
        <w:rPr>
          <w:rFonts w:ascii="Arial" w:hAnsi="Arial" w:cs="Arial"/>
          <w:i/>
          <w:color w:val="auto"/>
        </w:rPr>
        <w:t>Taxation Administration Act 1953</w:t>
      </w:r>
      <w:r w:rsidRPr="0082335A">
        <w:rPr>
          <w:rFonts w:ascii="Arial" w:hAnsi="Arial" w:cs="Arial"/>
          <w:color w:val="auto"/>
        </w:rPr>
        <w:t xml:space="preserve"> because of a contravention of a provision of these Guidelines, the amount of the administrative penalty is the penalty that these Guidelines set out, or the penalty worked out in accordance with these Guidelines, in relation to that provision.</w:t>
      </w:r>
    </w:p>
    <w:p w14:paraId="3ABC78E8" w14:textId="77777777" w:rsidR="00F80B4C" w:rsidRPr="004059B5" w:rsidRDefault="00F80B4C" w:rsidP="00F80B4C">
      <w:pPr>
        <w:pStyle w:val="Notelevel1"/>
        <w:ind w:left="900"/>
      </w:pPr>
      <w:bookmarkStart w:id="5" w:name="OLE_LINK20"/>
      <w:bookmarkStart w:id="6" w:name="OLE_LINK21"/>
      <w:r w:rsidRPr="004059B5">
        <w:t>Note 1: The Commissioner may remit all or part of an administrative penalty</w:t>
      </w:r>
      <w:r>
        <w:t>:</w:t>
      </w:r>
      <w:r w:rsidRPr="004059B5">
        <w:t xml:space="preserve"> see section 298-20 in Schedule</w:t>
      </w:r>
      <w:r>
        <w:t> </w:t>
      </w:r>
      <w:r w:rsidRPr="004059B5">
        <w:t>1 to the Taxation Administration Act 1953.</w:t>
      </w:r>
    </w:p>
    <w:bookmarkEnd w:id="5"/>
    <w:bookmarkEnd w:id="6"/>
    <w:p w14:paraId="6B771C91" w14:textId="77777777" w:rsidR="00F80B4C" w:rsidRPr="004059B5" w:rsidRDefault="00F80B4C" w:rsidP="00F80B4C">
      <w:pPr>
        <w:pStyle w:val="Notelevel1"/>
        <w:ind w:left="900"/>
      </w:pPr>
      <w:r w:rsidRPr="004059B5">
        <w:t>Note 2:</w:t>
      </w:r>
      <w:r>
        <w:t xml:space="preserve"> </w:t>
      </w:r>
      <w:r w:rsidRPr="004059B5">
        <w:t xml:space="preserve">An administrative penalty under </w:t>
      </w:r>
      <w:r w:rsidRPr="007F2830">
        <w:t>section 426-120 in Schedule 1 to the Taxation Administration Act 1953 cannot be reimbursed from the fund: see subsection 426-120(4).</w:t>
      </w:r>
    </w:p>
    <w:p w14:paraId="538FE108" w14:textId="77777777" w:rsidR="00F80B4C" w:rsidRPr="002B2772" w:rsidRDefault="00F80B4C" w:rsidP="00F80B4C">
      <w:pPr>
        <w:pStyle w:val="HR"/>
        <w:keepLines/>
        <w:rPr>
          <w:color w:val="auto"/>
        </w:rPr>
      </w:pPr>
      <w:r>
        <w:rPr>
          <w:rStyle w:val="CharSectno"/>
          <w:color w:val="auto"/>
        </w:rPr>
        <w:lastRenderedPageBreak/>
        <w:fldChar w:fldCharType="begin"/>
      </w:r>
      <w:r>
        <w:rPr>
          <w:rStyle w:val="CharSectno"/>
          <w:color w:val="auto"/>
        </w:rPr>
        <w:instrText xml:space="preserve"> AUTONUM  \* Arabic </w:instrText>
      </w:r>
      <w:r>
        <w:rPr>
          <w:rStyle w:val="CharSectno"/>
          <w:color w:val="auto"/>
        </w:rPr>
        <w:fldChar w:fldCharType="end"/>
      </w:r>
      <w:r>
        <w:rPr>
          <w:color w:val="auto"/>
        </w:rPr>
        <w:tab/>
      </w:r>
      <w:bookmarkEnd w:id="3"/>
      <w:bookmarkEnd w:id="4"/>
      <w:r w:rsidRPr="002B2772">
        <w:rPr>
          <w:color w:val="auto"/>
        </w:rPr>
        <w:t>Part 2: Rules for endorsement as a deductible gift recipient</w:t>
      </w:r>
    </w:p>
    <w:p w14:paraId="51B8E192" w14:textId="77777777" w:rsidR="00F80B4C" w:rsidRPr="00C5648E" w:rsidRDefault="00F80B4C" w:rsidP="00F80B4C">
      <w:pPr>
        <w:pStyle w:val="R1"/>
        <w:keepNext/>
        <w:keepLines/>
        <w:rPr>
          <w:rFonts w:ascii="Arial" w:hAnsi="Arial" w:cs="Arial"/>
          <w:color w:val="auto"/>
        </w:rPr>
      </w:pPr>
      <w:r w:rsidRPr="002B2772">
        <w:rPr>
          <w:rFonts w:ascii="Arial" w:hAnsi="Arial" w:cs="Arial"/>
          <w:color w:val="auto"/>
        </w:rPr>
        <w:tab/>
      </w:r>
      <w:r w:rsidRPr="002B2772">
        <w:rPr>
          <w:rFonts w:ascii="Arial" w:hAnsi="Arial" w:cs="Arial"/>
          <w:color w:val="auto"/>
        </w:rPr>
        <w:tab/>
        <w:t xml:space="preserve">Part 2 sets out the rules that a *public ancillary fund must comply with in order to be endorsed, and remain endorsed, as a *deductible gift </w:t>
      </w:r>
      <w:r w:rsidRPr="00C5648E">
        <w:rPr>
          <w:rFonts w:ascii="Arial" w:hAnsi="Arial" w:cs="Arial"/>
          <w:color w:val="auto"/>
        </w:rPr>
        <w:t>recipient.</w:t>
      </w:r>
    </w:p>
    <w:p w14:paraId="3CB28CEF" w14:textId="77777777" w:rsidR="00F80B4C" w:rsidRPr="00C5648E" w:rsidRDefault="00F80B4C" w:rsidP="00F80B4C">
      <w:pPr>
        <w:pStyle w:val="HR"/>
        <w:keepNext w:val="0"/>
        <w:rPr>
          <w:color w:val="auto"/>
        </w:rPr>
      </w:pPr>
      <w:r w:rsidRPr="00C5648E">
        <w:rPr>
          <w:rStyle w:val="CharSectno"/>
          <w:color w:val="auto"/>
        </w:rPr>
        <w:fldChar w:fldCharType="begin"/>
      </w:r>
      <w:r w:rsidRPr="00C5648E">
        <w:rPr>
          <w:rStyle w:val="CharSectno"/>
          <w:color w:val="auto"/>
        </w:rPr>
        <w:instrText xml:space="preserve"> AUTONUM  \* Arabic </w:instrText>
      </w:r>
      <w:r w:rsidRPr="00C5648E">
        <w:rPr>
          <w:rStyle w:val="CharSectno"/>
          <w:color w:val="auto"/>
        </w:rPr>
        <w:fldChar w:fldCharType="end"/>
      </w:r>
      <w:r w:rsidRPr="00C5648E">
        <w:rPr>
          <w:color w:val="auto"/>
        </w:rPr>
        <w:tab/>
        <w:t>Part 3: Transitional rules for funds established before 1 January 2012</w:t>
      </w:r>
    </w:p>
    <w:p w14:paraId="28D58012" w14:textId="77777777" w:rsidR="00F80B4C" w:rsidRPr="0082335A" w:rsidRDefault="00F80B4C" w:rsidP="00F80B4C">
      <w:pPr>
        <w:pStyle w:val="R1"/>
        <w:rPr>
          <w:rFonts w:ascii="Arial" w:hAnsi="Arial" w:cs="Arial"/>
          <w:color w:val="auto"/>
        </w:rPr>
      </w:pPr>
      <w:r w:rsidRPr="00C5648E">
        <w:rPr>
          <w:rFonts w:ascii="Arial" w:hAnsi="Arial" w:cs="Arial"/>
          <w:color w:val="auto"/>
        </w:rPr>
        <w:tab/>
      </w:r>
      <w:r w:rsidRPr="00C5648E">
        <w:rPr>
          <w:rFonts w:ascii="Arial" w:hAnsi="Arial" w:cs="Arial"/>
          <w:color w:val="auto"/>
        </w:rPr>
        <w:tab/>
        <w:t>Part 3 sets out transitional rules modifying how Part 2 applies to a *</w:t>
      </w:r>
      <w:r w:rsidRPr="00C5648E">
        <w:rPr>
          <w:rFonts w:ascii="Arial" w:hAnsi="Arial" w:cs="Arial"/>
        </w:rPr>
        <w:t xml:space="preserve">public ancillary fund that was a public fund endorsed as a *deductible gift recipient in item 2 in the table in section 30-15 of the </w:t>
      </w:r>
      <w:r w:rsidRPr="00C5648E">
        <w:rPr>
          <w:rFonts w:ascii="Arial" w:hAnsi="Arial" w:cs="Arial"/>
          <w:i/>
        </w:rPr>
        <w:t>Income Tax Assessment Act 1997</w:t>
      </w:r>
      <w:r w:rsidRPr="00C5648E">
        <w:rPr>
          <w:rFonts w:ascii="Arial" w:hAnsi="Arial" w:cs="Arial"/>
        </w:rPr>
        <w:t xml:space="preserve"> at the end of 31 December 2011.</w:t>
      </w:r>
    </w:p>
    <w:p w14:paraId="219F04D0" w14:textId="77777777" w:rsidR="00F80B4C" w:rsidRPr="0049280C" w:rsidRDefault="00F80B4C" w:rsidP="00F80B4C">
      <w:pPr>
        <w:pStyle w:val="Scheduletitle"/>
        <w:rPr>
          <w:rStyle w:val="CharAmSchNo"/>
          <w:rFonts w:ascii="Helvetica" w:hAnsi="Helvetica" w:cs="Arial"/>
          <w:caps/>
        </w:rPr>
      </w:pPr>
      <w:r>
        <w:br w:type="page"/>
      </w:r>
      <w:bookmarkStart w:id="7" w:name="_Toc189972112"/>
      <w:r>
        <w:rPr>
          <w:rStyle w:val="CharAmSchNo"/>
          <w:rFonts w:ascii="Helvetica" w:hAnsi="Helvetica" w:cs="Arial"/>
          <w:caps/>
        </w:rPr>
        <w:lastRenderedPageBreak/>
        <w:t>Part 2</w:t>
      </w:r>
      <w:r w:rsidRPr="0049280C">
        <w:rPr>
          <w:rStyle w:val="CharAmSchNo"/>
          <w:rFonts w:ascii="Helvetica" w:hAnsi="Helvetica" w:cs="Arial"/>
          <w:caps/>
        </w:rPr>
        <w:tab/>
      </w:r>
      <w:bookmarkStart w:id="8" w:name="OLE_LINK13"/>
      <w:bookmarkStart w:id="9" w:name="OLE_LINK17"/>
      <w:bookmarkEnd w:id="7"/>
      <w:r w:rsidRPr="0049280C">
        <w:rPr>
          <w:rStyle w:val="CharAmSchNo"/>
          <w:rFonts w:ascii="Helvetica" w:hAnsi="Helvetica" w:cs="Arial"/>
          <w:caps/>
        </w:rPr>
        <w:t>Rules for ESTABLISHing AND MAINTaiNing P</w:t>
      </w:r>
      <w:r>
        <w:rPr>
          <w:rStyle w:val="CharAmSchNo"/>
          <w:rFonts w:ascii="Helvetica" w:hAnsi="Helvetica" w:cs="Arial"/>
          <w:caps/>
        </w:rPr>
        <w:t>ublic</w:t>
      </w:r>
      <w:r w:rsidRPr="0049280C">
        <w:rPr>
          <w:rStyle w:val="CharAmSchNo"/>
          <w:rFonts w:ascii="Helvetica" w:hAnsi="Helvetica" w:cs="Arial"/>
          <w:caps/>
        </w:rPr>
        <w:t xml:space="preserve"> ANCILLARY FUNDS as deductible gift recipients</w:t>
      </w:r>
      <w:bookmarkEnd w:id="8"/>
      <w:bookmarkEnd w:id="9"/>
    </w:p>
    <w:p w14:paraId="6C8863F8" w14:textId="77777777" w:rsidR="00F80B4C" w:rsidRPr="00755045" w:rsidRDefault="00F80B4C" w:rsidP="00F80B4C">
      <w:pPr>
        <w:pStyle w:val="Heading1"/>
        <w:rPr>
          <w:rFonts w:ascii="Arial" w:hAnsi="Arial" w:cs="Arial"/>
        </w:rPr>
      </w:pPr>
      <w:bookmarkStart w:id="10" w:name="_Toc233525041"/>
      <w:r w:rsidRPr="00755045">
        <w:rPr>
          <w:rFonts w:ascii="Arial" w:hAnsi="Arial" w:cs="Arial"/>
        </w:rPr>
        <w:t>Object</w:t>
      </w:r>
      <w:bookmarkEnd w:id="10"/>
    </w:p>
    <w:p w14:paraId="47701B14" w14:textId="77777777" w:rsidR="00F80B4C" w:rsidRDefault="00F80B4C" w:rsidP="00F80B4C">
      <w:pPr>
        <w:pStyle w:val="OutlineNumbered1"/>
      </w:pPr>
      <w:r>
        <w:t>The object of these Guidelines is to set minimum standards for the governance and conduct of a *public ancillary fund and its trustee.</w:t>
      </w:r>
    </w:p>
    <w:p w14:paraId="32CB9D04" w14:textId="77777777" w:rsidR="00F80B4C" w:rsidRPr="00755045" w:rsidRDefault="00F80B4C" w:rsidP="00F80B4C">
      <w:pPr>
        <w:pStyle w:val="Heading1"/>
        <w:spacing w:before="480"/>
        <w:rPr>
          <w:rFonts w:ascii="Arial" w:hAnsi="Arial" w:cs="Arial"/>
        </w:rPr>
      </w:pPr>
      <w:bookmarkStart w:id="11" w:name="_Toc233525042"/>
      <w:r w:rsidRPr="00755045">
        <w:rPr>
          <w:rFonts w:ascii="Arial" w:hAnsi="Arial" w:cs="Arial"/>
        </w:rPr>
        <w:t>GENERAL PRINCIPLES</w:t>
      </w:r>
      <w:bookmarkEnd w:id="11"/>
    </w:p>
    <w:p w14:paraId="4853789F" w14:textId="77777777" w:rsidR="00F80B4C" w:rsidRPr="004059B5" w:rsidRDefault="00F80B4C" w:rsidP="00F80B4C">
      <w:pPr>
        <w:pStyle w:val="OutlineNumbered1"/>
      </w:pPr>
      <w:r>
        <w:t>A *public</w:t>
      </w:r>
      <w:r w:rsidRPr="00755045">
        <w:t xml:space="preserve"> ancillary fund</w:t>
      </w:r>
      <w:r>
        <w:t xml:space="preserve"> </w:t>
      </w:r>
      <w:r w:rsidRPr="00755045">
        <w:t xml:space="preserve">must be established, maintained and wound up in accordance with </w:t>
      </w:r>
      <w:r w:rsidRPr="004059B5">
        <w:t>the following principles:</w:t>
      </w:r>
    </w:p>
    <w:p w14:paraId="45474141" w14:textId="77777777" w:rsidR="00F80B4C" w:rsidRPr="00C06F1C" w:rsidRDefault="00F80B4C" w:rsidP="00F80B4C">
      <w:pPr>
        <w:pStyle w:val="bullet"/>
        <w:tabs>
          <w:tab w:val="num" w:pos="1418"/>
        </w:tabs>
        <w:ind w:left="1418" w:hanging="709"/>
      </w:pPr>
      <w:r w:rsidRPr="00C06F1C">
        <w:t>it is an ancillary fund, it is philanthropic in character and it is a vehicle for philanthropy; and</w:t>
      </w:r>
    </w:p>
    <w:p w14:paraId="599F3E1E" w14:textId="77777777" w:rsidR="00F80B4C" w:rsidRPr="00C06F1C" w:rsidRDefault="00F80B4C" w:rsidP="00F80B4C">
      <w:pPr>
        <w:pStyle w:val="bullet"/>
        <w:tabs>
          <w:tab w:val="num" w:pos="1418"/>
        </w:tabs>
        <w:ind w:left="1418" w:hanging="709"/>
      </w:pPr>
      <w:r w:rsidRPr="00C06F1C">
        <w:t>it is a trust that:</w:t>
      </w:r>
    </w:p>
    <w:p w14:paraId="4D1EE721" w14:textId="77777777" w:rsidR="00F80B4C" w:rsidRPr="00755045" w:rsidRDefault="00F80B4C" w:rsidP="00F80B4C">
      <w:pPr>
        <w:pStyle w:val="dash0"/>
        <w:spacing w:after="160"/>
        <w:ind w:left="1843" w:hanging="425"/>
        <w:rPr>
          <w:color w:val="auto"/>
          <w:sz w:val="24"/>
          <w:szCs w:val="24"/>
        </w:rPr>
      </w:pPr>
      <w:r>
        <w:rPr>
          <w:color w:val="auto"/>
          <w:sz w:val="24"/>
          <w:szCs w:val="24"/>
        </w:rPr>
        <w:t>seeks to comply with</w:t>
      </w:r>
      <w:r w:rsidRPr="00755045">
        <w:rPr>
          <w:color w:val="auto"/>
          <w:sz w:val="24"/>
          <w:szCs w:val="24"/>
        </w:rPr>
        <w:t xml:space="preserve"> all relevant laws and obligations; and</w:t>
      </w:r>
    </w:p>
    <w:p w14:paraId="3595BBD9" w14:textId="77777777" w:rsidR="00F80B4C" w:rsidRDefault="00F80B4C" w:rsidP="00F80B4C">
      <w:pPr>
        <w:pStyle w:val="dash0"/>
        <w:spacing w:after="160"/>
        <w:ind w:left="1843" w:hanging="425"/>
        <w:rPr>
          <w:color w:val="auto"/>
          <w:sz w:val="24"/>
          <w:szCs w:val="24"/>
        </w:rPr>
      </w:pPr>
      <w:r>
        <w:rPr>
          <w:color w:val="auto"/>
          <w:sz w:val="24"/>
          <w:szCs w:val="24"/>
        </w:rPr>
        <w:t>is</w:t>
      </w:r>
      <w:r w:rsidRPr="00755045">
        <w:rPr>
          <w:color w:val="auto"/>
          <w:sz w:val="24"/>
          <w:szCs w:val="24"/>
        </w:rPr>
        <w:t xml:space="preserve"> open, transparent and accountable</w:t>
      </w:r>
      <w:r>
        <w:rPr>
          <w:color w:val="auto"/>
          <w:sz w:val="24"/>
          <w:szCs w:val="24"/>
        </w:rPr>
        <w:t xml:space="preserve"> to the public (through the </w:t>
      </w:r>
      <w:r w:rsidR="005F7246">
        <w:rPr>
          <w:color w:val="auto"/>
          <w:sz w:val="24"/>
          <w:szCs w:val="24"/>
        </w:rPr>
        <w:t>Commissioner and the Commissioner of the Australian Charities and Not-for-profits Commission (if a *registered charity)</w:t>
      </w:r>
      <w:r>
        <w:rPr>
          <w:color w:val="auto"/>
          <w:sz w:val="24"/>
          <w:szCs w:val="24"/>
        </w:rPr>
        <w:t>.</w:t>
      </w:r>
    </w:p>
    <w:p w14:paraId="4C544C06" w14:textId="7129B8B6" w:rsidR="00F80B4C" w:rsidRDefault="00F80B4C" w:rsidP="00F80B4C">
      <w:pPr>
        <w:pStyle w:val="Notelevel1"/>
      </w:pPr>
      <w:r w:rsidRPr="008A4FAE">
        <w:t>Note</w:t>
      </w:r>
      <w:r>
        <w:t xml:space="preserve">: </w:t>
      </w:r>
      <w:r w:rsidR="005F7246">
        <w:t xml:space="preserve">This does not affect either Commissioner’s obligations to protect the confidentiality of a *public ancillary fund’s information </w:t>
      </w:r>
      <w:r w:rsidR="009D68AD">
        <w:t>under</w:t>
      </w:r>
      <w:r w:rsidR="005F7246">
        <w:t xml:space="preserve"> privacy, and secrecy and disclosure laws.</w:t>
      </w:r>
    </w:p>
    <w:p w14:paraId="58F55400" w14:textId="77777777" w:rsidR="00F80B4C" w:rsidRPr="00755045" w:rsidRDefault="00F80B4C" w:rsidP="00F80B4C">
      <w:pPr>
        <w:pStyle w:val="Heading1"/>
        <w:spacing w:before="480"/>
        <w:rPr>
          <w:rFonts w:ascii="Arial" w:hAnsi="Arial" w:cs="Arial"/>
        </w:rPr>
      </w:pPr>
      <w:bookmarkStart w:id="12" w:name="_Toc233525043"/>
      <w:r w:rsidRPr="00755045">
        <w:rPr>
          <w:rFonts w:ascii="Arial" w:hAnsi="Arial" w:cs="Arial"/>
          <w:color w:val="auto"/>
        </w:rPr>
        <w:t>ESTABL</w:t>
      </w:r>
      <w:r w:rsidRPr="00755045">
        <w:rPr>
          <w:rFonts w:ascii="Arial" w:hAnsi="Arial" w:cs="Arial"/>
        </w:rPr>
        <w:t>ISHING A P</w:t>
      </w:r>
      <w:r>
        <w:rPr>
          <w:rFonts w:ascii="Arial" w:hAnsi="Arial" w:cs="Arial"/>
        </w:rPr>
        <w:t>ublic</w:t>
      </w:r>
      <w:r w:rsidRPr="00755045">
        <w:rPr>
          <w:rFonts w:ascii="Arial" w:hAnsi="Arial" w:cs="Arial"/>
        </w:rPr>
        <w:t xml:space="preserve"> ANCILLARY FUND</w:t>
      </w:r>
      <w:bookmarkEnd w:id="12"/>
    </w:p>
    <w:p w14:paraId="56A46B53" w14:textId="77777777" w:rsidR="00F80B4C" w:rsidRPr="00205FB3" w:rsidRDefault="00F80B4C" w:rsidP="00F80B4C">
      <w:pPr>
        <w:pStyle w:val="Heading2"/>
        <w:rPr>
          <w:rFonts w:ascii="Arial" w:hAnsi="Arial" w:cs="Arial"/>
        </w:rPr>
      </w:pPr>
      <w:bookmarkStart w:id="13" w:name="_Toc233525044"/>
      <w:r>
        <w:rPr>
          <w:rFonts w:ascii="Arial" w:hAnsi="Arial" w:cs="Arial"/>
        </w:rPr>
        <w:t>Purpose and objects of the fund</w:t>
      </w:r>
      <w:bookmarkEnd w:id="13"/>
    </w:p>
    <w:p w14:paraId="7CB63B7F" w14:textId="77777777" w:rsidR="00F80B4C" w:rsidRDefault="00F80B4C" w:rsidP="00F80B4C">
      <w:pPr>
        <w:pStyle w:val="OutlineNumbered1"/>
      </w:pPr>
      <w:r>
        <w:t>A *public ancillary fund must be established and maintained, under a will or an instrument of trust, as</w:t>
      </w:r>
      <w:r w:rsidRPr="00A17425">
        <w:t xml:space="preserve"> </w:t>
      </w:r>
      <w:r>
        <w:t>a valid trust under *State law or *Territory law.</w:t>
      </w:r>
    </w:p>
    <w:p w14:paraId="76156A00" w14:textId="77777777" w:rsidR="00F80B4C" w:rsidRDefault="00F80B4C" w:rsidP="00F80B4C">
      <w:pPr>
        <w:pStyle w:val="OutlineNumbered1"/>
      </w:pPr>
      <w:bookmarkStart w:id="14" w:name="_Ref241477152"/>
      <w:r>
        <w:t xml:space="preserve">It must be established and maintained solely as described in item 2 in the table in section 30-15 of the </w:t>
      </w:r>
      <w:r w:rsidRPr="00853A82">
        <w:rPr>
          <w:i/>
        </w:rPr>
        <w:t>Income Tax Assessment Act 1997</w:t>
      </w:r>
      <w:r>
        <w:t>.</w:t>
      </w:r>
      <w:bookmarkEnd w:id="14"/>
    </w:p>
    <w:p w14:paraId="2E906D60" w14:textId="77777777" w:rsidR="00F80B4C" w:rsidRDefault="00F80B4C" w:rsidP="00F80B4C">
      <w:pPr>
        <w:pStyle w:val="OutlineNumbered2"/>
        <w:tabs>
          <w:tab w:val="clear" w:pos="2727"/>
          <w:tab w:val="num" w:pos="1418"/>
        </w:tabs>
        <w:ind w:left="1418" w:hanging="851"/>
      </w:pPr>
      <w:r>
        <w:t xml:space="preserve">Its governing rules must include objects that clearly set out and reflect the purpose of the fund. </w:t>
      </w:r>
    </w:p>
    <w:p w14:paraId="75C0BA96" w14:textId="77777777" w:rsidR="00F80B4C" w:rsidRDefault="00F80B4C" w:rsidP="00F80B4C">
      <w:pPr>
        <w:pStyle w:val="OutlineNumbered2"/>
        <w:tabs>
          <w:tab w:val="clear" w:pos="2727"/>
          <w:tab w:val="num" w:pos="1418"/>
        </w:tabs>
        <w:ind w:left="1418" w:hanging="851"/>
      </w:pPr>
      <w:r>
        <w:lastRenderedPageBreak/>
        <w:t xml:space="preserve">Its governing rules must require that, on the fund winding up or ceasing to be a *public ancillary fund, its net assets must be provided as described in </w:t>
      </w:r>
      <w:bookmarkStart w:id="15" w:name="OLE_LINK3"/>
      <w:bookmarkStart w:id="16" w:name="OLE_LINK11"/>
      <w:r>
        <w:t>paragraph (a) of item 2 in the table in section 30-15</w:t>
      </w:r>
      <w:bookmarkEnd w:id="15"/>
      <w:bookmarkEnd w:id="16"/>
      <w:r>
        <w:t xml:space="preserve"> of the </w:t>
      </w:r>
      <w:r w:rsidRPr="00AC0132">
        <w:rPr>
          <w:i/>
        </w:rPr>
        <w:t>Income Tax Assessment Act</w:t>
      </w:r>
      <w:r>
        <w:rPr>
          <w:i/>
        </w:rPr>
        <w:t> </w:t>
      </w:r>
      <w:r w:rsidRPr="00AC0132">
        <w:rPr>
          <w:i/>
        </w:rPr>
        <w:t>1997</w:t>
      </w:r>
      <w:r>
        <w:t>.</w:t>
      </w:r>
    </w:p>
    <w:p w14:paraId="7DC30DF7" w14:textId="77777777" w:rsidR="00F80B4C" w:rsidRPr="00C4268A" w:rsidRDefault="00F80B4C" w:rsidP="00F80B4C">
      <w:pPr>
        <w:pStyle w:val="Notelevel1"/>
      </w:pPr>
      <w:r>
        <w:t>Note: P</w:t>
      </w:r>
      <w:r w:rsidRPr="002C6663">
        <w:t xml:space="preserve">aragraph (a) of item </w:t>
      </w:r>
      <w:r>
        <w:t>2</w:t>
      </w:r>
      <w:r w:rsidRPr="002C6663">
        <w:t xml:space="preserve"> in the table in section 30-15</w:t>
      </w:r>
      <w:r>
        <w:t xml:space="preserve"> provides that </w:t>
      </w:r>
      <w:r w:rsidRPr="00C4268A">
        <w:t xml:space="preserve">the </w:t>
      </w:r>
      <w:r>
        <w:t xml:space="preserve">sole </w:t>
      </w:r>
      <w:r w:rsidRPr="00C4268A">
        <w:t xml:space="preserve">purpose of </w:t>
      </w:r>
      <w:r>
        <w:t xml:space="preserve">an ancillary fund must be to </w:t>
      </w:r>
      <w:r w:rsidRPr="00C4268A">
        <w:t>provid</w:t>
      </w:r>
      <w:r>
        <w:t>e</w:t>
      </w:r>
      <w:r w:rsidRPr="00C4268A">
        <w:t xml:space="preserve"> money, property or benefits:</w:t>
      </w:r>
      <w:r>
        <w:t xml:space="preserve"> </w:t>
      </w:r>
      <w:r w:rsidRPr="00C4268A">
        <w:t xml:space="preserve">to a fund, authority or institution gifts </w:t>
      </w:r>
      <w:r>
        <w:t xml:space="preserve">to </w:t>
      </w:r>
      <w:r w:rsidRPr="00C4268A">
        <w:t>which are deductible under item</w:t>
      </w:r>
      <w:r>
        <w:t> </w:t>
      </w:r>
      <w:r w:rsidRPr="00C4268A">
        <w:t xml:space="preserve">1 of </w:t>
      </w:r>
      <w:r>
        <w:t>that</w:t>
      </w:r>
      <w:r w:rsidRPr="00C4268A">
        <w:t xml:space="preserve"> table; and </w:t>
      </w:r>
      <w:r>
        <w:t xml:space="preserve">for </w:t>
      </w:r>
      <w:r w:rsidRPr="00C4268A">
        <w:t xml:space="preserve">any purposes set out in </w:t>
      </w:r>
      <w:r>
        <w:t>an</w:t>
      </w:r>
      <w:r w:rsidRPr="00C4268A">
        <w:t xml:space="preserve"> item </w:t>
      </w:r>
      <w:r>
        <w:t>in</w:t>
      </w:r>
      <w:r w:rsidRPr="00C4268A">
        <w:t xml:space="preserve"> </w:t>
      </w:r>
      <w:r>
        <w:t>a</w:t>
      </w:r>
      <w:r w:rsidRPr="00C4268A">
        <w:t xml:space="preserve"> table in Subdivision 30</w:t>
      </w:r>
      <w:r>
        <w:t>-</w:t>
      </w:r>
      <w:r w:rsidRPr="00C4268A">
        <w:t>B</w:t>
      </w:r>
      <w:r>
        <w:t xml:space="preserve"> of the Income Tax Assessment Act 1997</w:t>
      </w:r>
      <w:r w:rsidRPr="00C4268A">
        <w:t xml:space="preserve"> that covers the f</w:t>
      </w:r>
      <w:r>
        <w:t>und, authority or institution.</w:t>
      </w:r>
    </w:p>
    <w:p w14:paraId="3EFBB823" w14:textId="77777777" w:rsidR="00F80B4C" w:rsidRPr="003240CA" w:rsidRDefault="00F80B4C" w:rsidP="00F80B4C">
      <w:pPr>
        <w:pStyle w:val="Heading2"/>
        <w:keepLines/>
        <w:rPr>
          <w:rFonts w:ascii="Arial" w:hAnsi="Arial" w:cs="Arial"/>
        </w:rPr>
      </w:pPr>
      <w:bookmarkStart w:id="17" w:name="_Toc233525045"/>
      <w:r>
        <w:rPr>
          <w:rFonts w:ascii="Arial" w:hAnsi="Arial" w:cs="Arial"/>
        </w:rPr>
        <w:t>Not-for-Profit</w:t>
      </w:r>
      <w:bookmarkEnd w:id="17"/>
    </w:p>
    <w:p w14:paraId="59D3F6D9" w14:textId="77777777" w:rsidR="00F80B4C" w:rsidRDefault="00F80B4C" w:rsidP="00F80B4C">
      <w:pPr>
        <w:pStyle w:val="OutlineNumbered1"/>
        <w:keepNext/>
        <w:keepLines/>
      </w:pPr>
      <w:r>
        <w:t>It must be established and operated as a not-for-profit entity.</w:t>
      </w:r>
    </w:p>
    <w:p w14:paraId="33B1BE65" w14:textId="77777777" w:rsidR="00F80B4C" w:rsidRDefault="00F80B4C" w:rsidP="00F80B4C">
      <w:pPr>
        <w:pStyle w:val="OutlineNumbered2"/>
        <w:tabs>
          <w:tab w:val="clear" w:pos="2727"/>
          <w:tab w:val="num" w:pos="1418"/>
        </w:tabs>
        <w:ind w:left="1418" w:hanging="851"/>
      </w:pPr>
      <w:r>
        <w:t>Its governing rules must clearly set out and reflect that it is established and operated as a not-for-profit entity.</w:t>
      </w:r>
    </w:p>
    <w:p w14:paraId="44E2012F" w14:textId="77777777" w:rsidR="00F80B4C" w:rsidRPr="003240CA" w:rsidRDefault="00F80B4C" w:rsidP="00F80B4C">
      <w:pPr>
        <w:pStyle w:val="Heading2"/>
        <w:rPr>
          <w:rFonts w:ascii="Arial" w:hAnsi="Arial" w:cs="Arial"/>
        </w:rPr>
      </w:pPr>
      <w:bookmarkStart w:id="18" w:name="_Toc233525046"/>
      <w:r w:rsidRPr="003240CA">
        <w:rPr>
          <w:rFonts w:ascii="Arial" w:hAnsi="Arial" w:cs="Arial"/>
        </w:rPr>
        <w:t>Operated in Australia</w:t>
      </w:r>
      <w:bookmarkEnd w:id="18"/>
    </w:p>
    <w:p w14:paraId="2D542F68" w14:textId="77777777" w:rsidR="00F80B4C" w:rsidRDefault="00F80B4C" w:rsidP="00F80B4C">
      <w:pPr>
        <w:pStyle w:val="OutlineNumbered1"/>
        <w:spacing w:after="80"/>
      </w:pPr>
      <w:r>
        <w:t>It must be established and operated only in Australia.</w:t>
      </w:r>
    </w:p>
    <w:p w14:paraId="11AB7FA0" w14:textId="77777777" w:rsidR="00273384" w:rsidRDefault="00273384" w:rsidP="00273384">
      <w:pPr>
        <w:pStyle w:val="OutlineNumbered1"/>
        <w:numPr>
          <w:ilvl w:val="0"/>
          <w:numId w:val="0"/>
        </w:numPr>
        <w:spacing w:after="80"/>
        <w:ind w:left="709"/>
      </w:pPr>
    </w:p>
    <w:p w14:paraId="7B4BE49A" w14:textId="77777777" w:rsidR="00F80B4C" w:rsidRPr="003240CA" w:rsidRDefault="00F80B4C" w:rsidP="00F80B4C">
      <w:pPr>
        <w:pStyle w:val="Heading2"/>
        <w:rPr>
          <w:rFonts w:ascii="Arial" w:hAnsi="Arial" w:cs="Arial"/>
        </w:rPr>
      </w:pPr>
      <w:bookmarkStart w:id="19" w:name="_Toc233525047"/>
      <w:r>
        <w:rPr>
          <w:rFonts w:ascii="Arial" w:hAnsi="Arial" w:cs="Arial"/>
        </w:rPr>
        <w:t>the Trustee</w:t>
      </w:r>
      <w:bookmarkEnd w:id="19"/>
    </w:p>
    <w:p w14:paraId="298DF317" w14:textId="77777777" w:rsidR="00F80B4C" w:rsidRDefault="00F80B4C" w:rsidP="00F80B4C">
      <w:pPr>
        <w:pStyle w:val="OutlineNumbered1"/>
      </w:pPr>
      <w:r>
        <w:t>The trustee of the fund must exercise the same degree of care, diligence and skill that a prudent individual would exercise in managing the affairs of others.</w:t>
      </w:r>
    </w:p>
    <w:p w14:paraId="45B378AB" w14:textId="77777777" w:rsidR="00F80B4C" w:rsidRDefault="00F80B4C" w:rsidP="00F80B4C">
      <w:pPr>
        <w:pStyle w:val="OutlineNumbered1"/>
      </w:pPr>
      <w:bookmarkStart w:id="20" w:name="_Ref233524640"/>
      <w:r>
        <w:t>At all times, a majority of the individuals</w:t>
      </w:r>
      <w:bookmarkStart w:id="21" w:name="OLE_LINK23"/>
      <w:bookmarkStart w:id="22" w:name="OLE_LINK24"/>
      <w:r>
        <w:t xml:space="preserve"> involved in the decision-making of the fund</w:t>
      </w:r>
      <w:bookmarkEnd w:id="21"/>
      <w:bookmarkEnd w:id="22"/>
      <w:r>
        <w:t xml:space="preserve"> must be </w:t>
      </w:r>
      <w:bookmarkStart w:id="23" w:name="OLE_LINK40"/>
      <w:bookmarkStart w:id="24" w:name="OLE_LINK41"/>
      <w:r>
        <w:t xml:space="preserve">individuals </w:t>
      </w:r>
      <w:bookmarkStart w:id="25" w:name="OLE_LINK4"/>
      <w:bookmarkStart w:id="26" w:name="OLE_LINK5"/>
      <w:bookmarkStart w:id="27" w:name="OLE_LINK8"/>
      <w:r>
        <w:t xml:space="preserve">with a </w:t>
      </w:r>
      <w:r w:rsidRPr="00204987">
        <w:t xml:space="preserve">degree of responsibility to the </w:t>
      </w:r>
      <w:r>
        <w:t xml:space="preserve">Australian </w:t>
      </w:r>
      <w:r w:rsidRPr="00204987">
        <w:t>community</w:t>
      </w:r>
      <w:bookmarkEnd w:id="23"/>
      <w:bookmarkEnd w:id="24"/>
      <w:r w:rsidRPr="00204987">
        <w:t xml:space="preserve"> as a whole</w:t>
      </w:r>
      <w:bookmarkEnd w:id="20"/>
      <w:bookmarkEnd w:id="25"/>
      <w:bookmarkEnd w:id="26"/>
      <w:bookmarkEnd w:id="27"/>
      <w:r>
        <w:t>.</w:t>
      </w:r>
    </w:p>
    <w:p w14:paraId="1129249F" w14:textId="77777777" w:rsidR="00F80B4C" w:rsidRDefault="00F80B4C" w:rsidP="00F80B4C">
      <w:pPr>
        <w:pStyle w:val="Notelevel1"/>
      </w:pPr>
      <w:r>
        <w:t xml:space="preserve">Note 1: Those individuals </w:t>
      </w:r>
      <w:r w:rsidRPr="00204987">
        <w:t>with a degree of responsibility to the community as a whole</w:t>
      </w:r>
      <w:r>
        <w:t xml:space="preserve"> are generally known as ‘responsible persons’.  This requirement is stricter than the requirement applying to private ancillary funds.  The </w:t>
      </w:r>
      <w:r w:rsidRPr="00744AB5">
        <w:t>Private Ancillary Fund Guidelines 2009</w:t>
      </w:r>
      <w:r>
        <w:t xml:space="preserve"> require at least one of the individuals involved in the decision-making of the fund to be a responsible person.</w:t>
      </w:r>
    </w:p>
    <w:p w14:paraId="726E9BD6" w14:textId="77777777" w:rsidR="00F80B4C" w:rsidRDefault="00F80B4C" w:rsidP="00F80B4C">
      <w:pPr>
        <w:pStyle w:val="Notelevel1"/>
      </w:pPr>
      <w:r>
        <w:t>Note 2: ‘Individuals</w:t>
      </w:r>
      <w:r w:rsidRPr="00204987">
        <w:t xml:space="preserve"> </w:t>
      </w:r>
      <w:r>
        <w:t>with</w:t>
      </w:r>
      <w:r w:rsidRPr="00204987">
        <w:t xml:space="preserve"> a degree of responsibility to th</w:t>
      </w:r>
      <w:r>
        <w:t>e Australian community as a whole’ would generally include:</w:t>
      </w:r>
      <w:r w:rsidRPr="00204987">
        <w:t xml:space="preserve"> school principals, judges,</w:t>
      </w:r>
      <w:r>
        <w:t xml:space="preserve"> religious practitioners</w:t>
      </w:r>
      <w:r w:rsidRPr="00204987">
        <w:t xml:space="preserve">, solicitors, doctors and other professional persons, mayors, councillors, town clerks and members of parliament. Generally, </w:t>
      </w:r>
      <w:r>
        <w:t>individuals who are accepted</w:t>
      </w:r>
      <w:r w:rsidRPr="00204987">
        <w:t xml:space="preserve"> as having a degree of responsibility to the community as a whole are known to a broad section of the community because they perform a public function or they belong to a professional body (such as the Institute of Chartered Accountants, State Law Societies and Medical Registration Boards) which has a professional code of ethics and rules of conduct. </w:t>
      </w:r>
      <w:r>
        <w:t>Individuals</w:t>
      </w:r>
      <w:r w:rsidRPr="00204987">
        <w:t xml:space="preserve"> who have received formal recognition from the Government for their services to the community (for example, an Order of Australia award) will also </w:t>
      </w:r>
      <w:r>
        <w:t xml:space="preserve">usually </w:t>
      </w:r>
      <w:r w:rsidRPr="00204987">
        <w:t>have the requisite degree of responsibility</w:t>
      </w:r>
      <w:r>
        <w:t>.</w:t>
      </w:r>
    </w:p>
    <w:p w14:paraId="185D43CD" w14:textId="77777777" w:rsidR="00F80B4C" w:rsidRDefault="005F7246" w:rsidP="00F80B4C">
      <w:pPr>
        <w:pStyle w:val="OutlineNumbered2"/>
        <w:tabs>
          <w:tab w:val="clear" w:pos="2727"/>
          <w:tab w:val="num" w:pos="1418"/>
        </w:tabs>
        <w:ind w:left="1418" w:hanging="851"/>
      </w:pPr>
      <w:r>
        <w:lastRenderedPageBreak/>
        <w:t>An individual with a degree of responsibility to the Australian community as a whole includes an individual before whom a statutory declaration may be made</w:t>
      </w:r>
      <w:r w:rsidR="00F80B4C">
        <w:t>.</w:t>
      </w:r>
    </w:p>
    <w:p w14:paraId="4CFEC7E5" w14:textId="77777777" w:rsidR="00F80B4C" w:rsidRDefault="00F80B4C" w:rsidP="00F80B4C">
      <w:pPr>
        <w:pStyle w:val="Notelevel1"/>
      </w:pPr>
      <w:r w:rsidRPr="00821A9D">
        <w:t xml:space="preserve">Example: </w:t>
      </w:r>
      <w:r>
        <w:t>An individual who</w:t>
      </w:r>
      <w:r w:rsidRPr="00821A9D">
        <w:t xml:space="preserve"> before whom a statutory declaration may be made</w:t>
      </w:r>
      <w:r>
        <w:t xml:space="preserve"> </w:t>
      </w:r>
      <w:r w:rsidRPr="00821A9D">
        <w:t xml:space="preserve">include </w:t>
      </w:r>
      <w:r>
        <w:t>individuals</w:t>
      </w:r>
      <w:r w:rsidRPr="00821A9D">
        <w:t xml:space="preserve"> who are licensed or registered to practice in a range of occupations such as a dentist, legal or medical practitioner; a nurse, a pharmacist, a bailiff, a bank officer or officer of a building society or credit union with 5 or more continuous years of service; a clerk of the court; a justice of the peace, a judge, magistrate; a member of various professional associations including a member of Engineers Australia, a member of Chartered Secretaries Australia; a member of the various professional accounting associations in Australia; a marriage celebrant, mayors, town clerks and members of Parliament</w:t>
      </w:r>
      <w:r>
        <w:t>; a government employee with 5 or more years of continuous service; a teacher employed on a full-time basis at a school or tertiary education institution.</w:t>
      </w:r>
    </w:p>
    <w:p w14:paraId="65476D69" w14:textId="77777777" w:rsidR="00F80B4C" w:rsidRDefault="00F80B4C" w:rsidP="00F80B4C">
      <w:pPr>
        <w:pStyle w:val="OutlineNumbered2"/>
        <w:tabs>
          <w:tab w:val="clear" w:pos="2727"/>
          <w:tab w:val="num" w:pos="1418"/>
        </w:tabs>
        <w:ind w:left="1418" w:hanging="851"/>
      </w:pPr>
      <w:bookmarkStart w:id="28" w:name="_Ref241383746"/>
      <w:r>
        <w:t>The individuals referred to in guideline 14 must be actively involved in the decision-making of the fund either by being directors of the trustee or members of any other controlling body of the fund.</w:t>
      </w:r>
      <w:bookmarkEnd w:id="28"/>
    </w:p>
    <w:p w14:paraId="003D5174" w14:textId="77777777" w:rsidR="00F80B4C" w:rsidRDefault="00F80B4C" w:rsidP="00F80B4C">
      <w:pPr>
        <w:pStyle w:val="OutlineNumbered2"/>
        <w:tabs>
          <w:tab w:val="clear" w:pos="2727"/>
          <w:tab w:val="num" w:pos="1418"/>
        </w:tabs>
        <w:ind w:left="1418" w:hanging="851"/>
      </w:pPr>
      <w:r>
        <w:t>This guideline does not apply to the Public Trustee of a state or territory.</w:t>
      </w:r>
    </w:p>
    <w:p w14:paraId="4B6A8FBA" w14:textId="77777777" w:rsidR="009D68AD" w:rsidRDefault="009D68AD" w:rsidP="009D68AD">
      <w:pPr>
        <w:pStyle w:val="OutlineNumbered1"/>
        <w:tabs>
          <w:tab w:val="clear" w:pos="709"/>
          <w:tab w:val="num" w:pos="567"/>
        </w:tabs>
        <w:ind w:left="567"/>
      </w:pPr>
      <w:r>
        <w:t xml:space="preserve">The trustee or any other controlling body of the fund must not exercise any discretion or power while guideline </w:t>
      </w:r>
      <w:r>
        <w:fldChar w:fldCharType="begin"/>
      </w:r>
      <w:r>
        <w:instrText xml:space="preserve"> REF _Ref233524640 \r \h </w:instrText>
      </w:r>
      <w:r>
        <w:fldChar w:fldCharType="separate"/>
      </w:r>
      <w:r>
        <w:t>14</w:t>
      </w:r>
      <w:r>
        <w:fldChar w:fldCharType="end"/>
      </w:r>
      <w:r>
        <w:t xml:space="preserve"> is not being complied with.</w:t>
      </w:r>
    </w:p>
    <w:p w14:paraId="5218C270" w14:textId="77777777" w:rsidR="009D68AD" w:rsidRDefault="009D68AD" w:rsidP="009D68AD">
      <w:pPr>
        <w:pStyle w:val="OutlineNumbered2"/>
        <w:tabs>
          <w:tab w:val="clear" w:pos="2727"/>
          <w:tab w:val="num" w:pos="1418"/>
        </w:tabs>
        <w:ind w:left="1418" w:hanging="851"/>
      </w:pPr>
      <w:r>
        <w:t>However, the trustee or other controlling body may exercise a discretion or power:</w:t>
      </w:r>
    </w:p>
    <w:p w14:paraId="1AE8322F" w14:textId="77777777" w:rsidR="009D68AD" w:rsidRDefault="009D68AD" w:rsidP="009D68AD">
      <w:pPr>
        <w:pStyle w:val="bulletlevel2"/>
        <w:numPr>
          <w:ilvl w:val="0"/>
          <w:numId w:val="14"/>
        </w:numPr>
        <w:tabs>
          <w:tab w:val="clear" w:pos="607"/>
        </w:tabs>
        <w:ind w:left="1980" w:hanging="360"/>
      </w:pPr>
      <w:r>
        <w:t>to appoint a new trustee; or</w:t>
      </w:r>
    </w:p>
    <w:p w14:paraId="58D9F357" w14:textId="77777777" w:rsidR="009D68AD" w:rsidRDefault="009D68AD" w:rsidP="009D68AD">
      <w:pPr>
        <w:pStyle w:val="bulletlevel2"/>
        <w:numPr>
          <w:ilvl w:val="0"/>
          <w:numId w:val="14"/>
        </w:numPr>
        <w:tabs>
          <w:tab w:val="clear" w:pos="607"/>
        </w:tabs>
        <w:ind w:left="1980" w:hanging="360"/>
      </w:pPr>
      <w:r>
        <w:t>to protect the property of the fund; or</w:t>
      </w:r>
    </w:p>
    <w:p w14:paraId="3C592846" w14:textId="77777777" w:rsidR="009D68AD" w:rsidRDefault="009D68AD" w:rsidP="009D68AD">
      <w:pPr>
        <w:pStyle w:val="bulletlevel2"/>
        <w:numPr>
          <w:ilvl w:val="0"/>
          <w:numId w:val="14"/>
        </w:numPr>
        <w:tabs>
          <w:tab w:val="clear" w:pos="607"/>
        </w:tabs>
        <w:ind w:left="1980" w:hanging="360"/>
      </w:pPr>
      <w:r>
        <w:t>to deal with an urgent matter that cannot be postponed.</w:t>
      </w:r>
    </w:p>
    <w:p w14:paraId="436ACCD6" w14:textId="77777777" w:rsidR="00F80B4C" w:rsidRDefault="00F80B4C" w:rsidP="00F80B4C">
      <w:pPr>
        <w:pStyle w:val="OutlineNumbered1"/>
      </w:pPr>
      <w:r>
        <w:t xml:space="preserve">An individual must not be a director of a trustee or a member of any other controlling body of the fund, if he or she has been convicted of a taxation offence (within the meaning of Part III of the </w:t>
      </w:r>
      <w:r w:rsidRPr="00241003">
        <w:rPr>
          <w:i/>
        </w:rPr>
        <w:t>Taxation Administration Act 1953</w:t>
      </w:r>
      <w:r>
        <w:t>) that is an indictable offence.</w:t>
      </w:r>
    </w:p>
    <w:p w14:paraId="73410B8D" w14:textId="77777777" w:rsidR="00F80B4C" w:rsidRPr="00A6743D" w:rsidRDefault="00F80B4C" w:rsidP="00F80B4C">
      <w:pPr>
        <w:pStyle w:val="OutlineNumbered2"/>
        <w:tabs>
          <w:tab w:val="clear" w:pos="2727"/>
          <w:tab w:val="num" w:pos="1418"/>
        </w:tabs>
        <w:ind w:left="1418" w:hanging="851"/>
      </w:pPr>
      <w:r>
        <w:t>If an existing director is convicted of such an offence, he or she must cease to be a director within 1 month after the conviction.</w:t>
      </w:r>
    </w:p>
    <w:p w14:paraId="216509F3" w14:textId="77777777" w:rsidR="00F80B4C" w:rsidRPr="003240CA" w:rsidRDefault="00F80B4C" w:rsidP="00F80B4C">
      <w:pPr>
        <w:pStyle w:val="Heading2"/>
        <w:rPr>
          <w:rFonts w:ascii="Arial" w:hAnsi="Arial" w:cs="Arial"/>
        </w:rPr>
      </w:pPr>
      <w:bookmarkStart w:id="29" w:name="_Toc233525048"/>
      <w:r>
        <w:rPr>
          <w:rFonts w:ascii="Arial" w:hAnsi="Arial" w:cs="Arial"/>
        </w:rPr>
        <w:t>Changes to governing rules</w:t>
      </w:r>
      <w:bookmarkEnd w:id="29"/>
    </w:p>
    <w:p w14:paraId="3C3B6E25" w14:textId="77777777" w:rsidR="00F80B4C" w:rsidRDefault="00F80B4C" w:rsidP="00F80B4C">
      <w:pPr>
        <w:pStyle w:val="OutlineNumbered1"/>
      </w:pPr>
      <w:r>
        <w:t>The trustee must notify the Commissioner in the *approved form (within 21 days) of any change to the fund’s governing rules.</w:t>
      </w:r>
    </w:p>
    <w:p w14:paraId="4EFD4421" w14:textId="77777777" w:rsidR="00F80B4C" w:rsidRPr="009F6F0E" w:rsidRDefault="00F80B4C" w:rsidP="00F80B4C">
      <w:pPr>
        <w:pStyle w:val="Notelevel1"/>
      </w:pPr>
      <w:r>
        <w:t xml:space="preserve">Note: Certain changes to the governing rules may require the fund to seek re-endorsement as a </w:t>
      </w:r>
      <w:r w:rsidRPr="009F6F0E">
        <w:t>deductible gift recipient.</w:t>
      </w:r>
    </w:p>
    <w:p w14:paraId="652B72CA" w14:textId="77777777" w:rsidR="005F7246" w:rsidRPr="009D68AD" w:rsidRDefault="00930D5E" w:rsidP="009D68AD">
      <w:pPr>
        <w:pStyle w:val="Penalty"/>
        <w:ind w:left="1418"/>
        <w:rPr>
          <w:rFonts w:ascii="Arial" w:hAnsi="Arial" w:cs="Arial"/>
          <w:sz w:val="24"/>
          <w:szCs w:val="24"/>
        </w:rPr>
      </w:pPr>
      <w:r w:rsidRPr="009F6F0E">
        <w:rPr>
          <w:rFonts w:ascii="Arial" w:hAnsi="Arial" w:cs="Arial"/>
          <w:sz w:val="24"/>
          <w:szCs w:val="24"/>
        </w:rPr>
        <w:lastRenderedPageBreak/>
        <w:t xml:space="preserve">17.1 </w:t>
      </w:r>
      <w:r w:rsidR="001C30BC" w:rsidRPr="009D68AD">
        <w:rPr>
          <w:rFonts w:ascii="Arial" w:hAnsi="Arial" w:cs="Arial"/>
          <w:sz w:val="24"/>
          <w:szCs w:val="24"/>
        </w:rPr>
        <w:tab/>
      </w:r>
      <w:r w:rsidR="005F7246" w:rsidRPr="009D68AD">
        <w:rPr>
          <w:rFonts w:ascii="Arial" w:hAnsi="Arial" w:cs="Arial"/>
          <w:sz w:val="24"/>
          <w:szCs w:val="24"/>
        </w:rPr>
        <w:t xml:space="preserve">However, the </w:t>
      </w:r>
      <w:r w:rsidR="005F7246" w:rsidRPr="009F6F0E">
        <w:rPr>
          <w:rFonts w:ascii="Arial" w:hAnsi="Arial" w:cs="Arial"/>
          <w:sz w:val="24"/>
          <w:szCs w:val="24"/>
        </w:rPr>
        <w:t xml:space="preserve">trustee does </w:t>
      </w:r>
      <w:r w:rsidR="005F7246" w:rsidRPr="009F6F0E">
        <w:rPr>
          <w:rFonts w:ascii="Arial" w:hAnsi="Arial" w:cs="Arial"/>
          <w:i/>
          <w:sz w:val="24"/>
          <w:szCs w:val="24"/>
        </w:rPr>
        <w:t xml:space="preserve">not </w:t>
      </w:r>
      <w:r w:rsidR="005F7246" w:rsidRPr="009F6F0E">
        <w:rPr>
          <w:rFonts w:ascii="Arial" w:hAnsi="Arial" w:cs="Arial"/>
          <w:sz w:val="24"/>
          <w:szCs w:val="24"/>
        </w:rPr>
        <w:t xml:space="preserve">need to notify the Commissioner under this guideline if the trustee is required to notify the Commissioner of the Australian Charities and Not-for-profits Commission of the same information under Division 65 of the </w:t>
      </w:r>
      <w:r w:rsidR="005F7246" w:rsidRPr="009F6F0E">
        <w:rPr>
          <w:rFonts w:ascii="Arial" w:hAnsi="Arial" w:cs="Arial"/>
          <w:i/>
          <w:sz w:val="24"/>
          <w:szCs w:val="24"/>
        </w:rPr>
        <w:t>Australian Charities and Not-for-profits Commission Act 2012.</w:t>
      </w:r>
    </w:p>
    <w:p w14:paraId="4EDF9031" w14:textId="77777777" w:rsidR="00F80B4C" w:rsidRDefault="00F80B4C" w:rsidP="00F80B4C">
      <w:pPr>
        <w:pStyle w:val="Penalty"/>
        <w:rPr>
          <w:rFonts w:ascii="Arial" w:hAnsi="Arial" w:cs="Arial"/>
          <w:sz w:val="24"/>
          <w:szCs w:val="24"/>
        </w:rPr>
      </w:pPr>
      <w:r w:rsidRPr="009D68AD">
        <w:rPr>
          <w:rFonts w:ascii="Arial" w:hAnsi="Arial" w:cs="Arial"/>
          <w:sz w:val="24"/>
          <w:szCs w:val="24"/>
        </w:rPr>
        <w:t>PENALTY: 5 penalty units.</w:t>
      </w:r>
    </w:p>
    <w:p w14:paraId="71AB7559" w14:textId="77777777" w:rsidR="00273384" w:rsidRPr="009D68AD" w:rsidRDefault="00273384" w:rsidP="00F80B4C">
      <w:pPr>
        <w:pStyle w:val="Penalty"/>
        <w:rPr>
          <w:rFonts w:ascii="Arial" w:hAnsi="Arial" w:cs="Arial"/>
          <w:sz w:val="24"/>
          <w:szCs w:val="24"/>
        </w:rPr>
      </w:pPr>
    </w:p>
    <w:p w14:paraId="59C1D775" w14:textId="77777777" w:rsidR="00F80B4C" w:rsidRPr="006058E6" w:rsidRDefault="00F80B4C" w:rsidP="00F80B4C">
      <w:pPr>
        <w:pStyle w:val="Heading2"/>
        <w:rPr>
          <w:rFonts w:ascii="Arial" w:hAnsi="Arial" w:cs="Arial"/>
        </w:rPr>
      </w:pPr>
      <w:bookmarkStart w:id="30" w:name="_Toc233525049"/>
      <w:r w:rsidRPr="006058E6">
        <w:rPr>
          <w:rFonts w:ascii="Arial" w:hAnsi="Arial" w:cs="Arial"/>
        </w:rPr>
        <w:t>liability</w:t>
      </w:r>
      <w:r w:rsidRPr="000E4E54">
        <w:rPr>
          <w:rFonts w:ascii="Arial" w:hAnsi="Arial" w:cs="Arial"/>
        </w:rPr>
        <w:t xml:space="preserve"> </w:t>
      </w:r>
      <w:r>
        <w:rPr>
          <w:rFonts w:ascii="Arial" w:hAnsi="Arial" w:cs="Arial"/>
        </w:rPr>
        <w:t xml:space="preserve">of </w:t>
      </w:r>
      <w:r w:rsidRPr="006058E6">
        <w:rPr>
          <w:rFonts w:ascii="Arial" w:hAnsi="Arial" w:cs="Arial"/>
        </w:rPr>
        <w:t>Trustee</w:t>
      </w:r>
      <w:bookmarkEnd w:id="30"/>
    </w:p>
    <w:p w14:paraId="7C739491" w14:textId="77777777" w:rsidR="00F80B4C" w:rsidRDefault="00F80B4C" w:rsidP="00F80B4C">
      <w:pPr>
        <w:pStyle w:val="OutlineNumbered1"/>
      </w:pPr>
      <w:r>
        <w:t>The governing rules of a *public ancillary fund must prohibit the fund from indemnifying the trustee, or an employee, officer or *agent of the trustee, for a loss or liability attributable to:</w:t>
      </w:r>
    </w:p>
    <w:p w14:paraId="7917828C" w14:textId="77777777" w:rsidR="00F80B4C" w:rsidRDefault="00F80B4C" w:rsidP="00F80B4C">
      <w:pPr>
        <w:pStyle w:val="bullet"/>
        <w:tabs>
          <w:tab w:val="num" w:pos="1418"/>
        </w:tabs>
        <w:ind w:left="1418" w:hanging="709"/>
      </w:pPr>
      <w:bookmarkStart w:id="31" w:name="OLE_LINK6"/>
      <w:bookmarkStart w:id="32" w:name="OLE_LINK7"/>
      <w:r>
        <w:t>dishonesty of the trustee, employee, officer or agent; or</w:t>
      </w:r>
    </w:p>
    <w:p w14:paraId="15F82913" w14:textId="77777777" w:rsidR="00F80B4C" w:rsidRPr="00600853" w:rsidRDefault="00F80B4C" w:rsidP="00F80B4C">
      <w:pPr>
        <w:pStyle w:val="bullet"/>
        <w:tabs>
          <w:tab w:val="num" w:pos="1418"/>
        </w:tabs>
        <w:ind w:left="1418" w:hanging="709"/>
      </w:pPr>
      <w:r>
        <w:t xml:space="preserve">gross </w:t>
      </w:r>
      <w:r w:rsidRPr="00600853">
        <w:t xml:space="preserve">negligence </w:t>
      </w:r>
      <w:r>
        <w:t xml:space="preserve">or recklessness </w:t>
      </w:r>
      <w:r w:rsidRPr="00600853">
        <w:t>of the trustee, employee, officer or agent; or</w:t>
      </w:r>
    </w:p>
    <w:bookmarkEnd w:id="31"/>
    <w:bookmarkEnd w:id="32"/>
    <w:p w14:paraId="6C4C8D40" w14:textId="77777777" w:rsidR="00F80B4C" w:rsidRDefault="00F80B4C" w:rsidP="00F80B4C">
      <w:pPr>
        <w:pStyle w:val="bullet"/>
        <w:tabs>
          <w:tab w:val="num" w:pos="1418"/>
        </w:tabs>
        <w:ind w:left="1418" w:hanging="709"/>
      </w:pPr>
      <w:r>
        <w:t>a deliberate act or omission known by the trustee,</w:t>
      </w:r>
      <w:r w:rsidRPr="005D5C5A">
        <w:t xml:space="preserve"> </w:t>
      </w:r>
      <w:r>
        <w:t>employee, officer or agent to be a breach of trust.</w:t>
      </w:r>
    </w:p>
    <w:p w14:paraId="4FD3B7CD" w14:textId="77777777" w:rsidR="00F80B4C" w:rsidRPr="00702A8F" w:rsidRDefault="00F80B4C" w:rsidP="00F80B4C">
      <w:pPr>
        <w:pStyle w:val="Notelevel1"/>
        <w:rPr>
          <w:sz w:val="24"/>
          <w:szCs w:val="24"/>
        </w:rPr>
      </w:pPr>
      <w:r w:rsidRPr="007F2830">
        <w:t xml:space="preserve">Note: </w:t>
      </w:r>
      <w:bookmarkStart w:id="33" w:name="OLE_LINK18"/>
      <w:bookmarkStart w:id="34" w:name="OLE_LINK19"/>
      <w:r w:rsidRPr="007F2830">
        <w:t>An administrative penalty under section 426-120 in Schedule 1 to the Taxation Administration Act 1953 cannot be reimbursed from the fund, see subsection 426-120(4)</w:t>
      </w:r>
      <w:bookmarkEnd w:id="33"/>
      <w:bookmarkEnd w:id="34"/>
      <w:r w:rsidRPr="007F2830">
        <w:t>.</w:t>
      </w:r>
    </w:p>
    <w:p w14:paraId="083F0E5D" w14:textId="77777777" w:rsidR="00F80B4C" w:rsidRPr="00565703" w:rsidRDefault="00F80B4C" w:rsidP="00F80B4C">
      <w:pPr>
        <w:pStyle w:val="Heading1"/>
        <w:spacing w:before="480"/>
        <w:rPr>
          <w:rFonts w:ascii="Arial" w:hAnsi="Arial" w:cs="Arial"/>
        </w:rPr>
      </w:pPr>
      <w:bookmarkStart w:id="35" w:name="_Toc233525050"/>
      <w:r w:rsidRPr="00565703">
        <w:rPr>
          <w:rFonts w:ascii="Arial" w:hAnsi="Arial" w:cs="Arial"/>
        </w:rPr>
        <w:t>OPERATION OF A P</w:t>
      </w:r>
      <w:r>
        <w:rPr>
          <w:rFonts w:ascii="Arial" w:hAnsi="Arial" w:cs="Arial"/>
        </w:rPr>
        <w:t>ublic</w:t>
      </w:r>
      <w:r w:rsidRPr="00565703">
        <w:rPr>
          <w:rFonts w:ascii="Arial" w:hAnsi="Arial" w:cs="Arial"/>
        </w:rPr>
        <w:t xml:space="preserve"> ANCILLARY FUND</w:t>
      </w:r>
      <w:bookmarkEnd w:id="35"/>
    </w:p>
    <w:p w14:paraId="7616C5EC" w14:textId="77777777" w:rsidR="00F80B4C" w:rsidRDefault="00F80B4C" w:rsidP="00F80B4C">
      <w:pPr>
        <w:pStyle w:val="Heading2"/>
      </w:pPr>
      <w:bookmarkStart w:id="36" w:name="_Toc233525051"/>
      <w:r>
        <w:rPr>
          <w:rFonts w:ascii="Arial" w:hAnsi="Arial" w:cs="Arial"/>
        </w:rPr>
        <w:t xml:space="preserve">Minimum Annual </w:t>
      </w:r>
      <w:r w:rsidRPr="00565703">
        <w:rPr>
          <w:rFonts w:ascii="Arial" w:hAnsi="Arial" w:cs="Arial"/>
        </w:rPr>
        <w:t>Distribution</w:t>
      </w:r>
      <w:bookmarkEnd w:id="36"/>
    </w:p>
    <w:p w14:paraId="62B3DB27" w14:textId="77777777" w:rsidR="00F80B4C" w:rsidRPr="00F74DD5" w:rsidRDefault="00F80B4C" w:rsidP="00F80B4C">
      <w:pPr>
        <w:pStyle w:val="OutlineNumbered1"/>
      </w:pPr>
      <w:bookmarkStart w:id="37" w:name="_Ref233524850"/>
      <w:r>
        <w:t>During each *financial year, a *public ancillary fund must distribute at least 4 </w:t>
      </w:r>
      <w:r w:rsidR="00930D5E">
        <w:t>per cent (</w:t>
      </w:r>
      <w:r w:rsidR="00930D5E">
        <w:rPr>
          <w:b/>
          <w:i/>
        </w:rPr>
        <w:t>minimum annual distribution rate</w:t>
      </w:r>
      <w:r w:rsidR="00930D5E">
        <w:t>)</w:t>
      </w:r>
      <w:r w:rsidRPr="004059B5">
        <w:t xml:space="preserve"> of the *market value of the fund’s net assets (as at the end of the previous *financial year).</w:t>
      </w:r>
      <w:bookmarkEnd w:id="37"/>
    </w:p>
    <w:p w14:paraId="28EB6114" w14:textId="77777777" w:rsidR="00F80B4C" w:rsidRDefault="00930D5E" w:rsidP="00F80B4C">
      <w:pPr>
        <w:pStyle w:val="Notelevel1"/>
      </w:pPr>
      <w:r>
        <w:t>Note 1</w:t>
      </w:r>
      <w:r w:rsidR="00F80B4C">
        <w:t>: While net assets are used to determine the fund’s minimum distribution, the amount of the distribution itself is not net of any amount (for example, expenses of the fund).</w:t>
      </w:r>
    </w:p>
    <w:p w14:paraId="68F8040B" w14:textId="77777777" w:rsidR="00930D5E" w:rsidRPr="00F74DD5" w:rsidRDefault="00930D5E" w:rsidP="00F80B4C">
      <w:pPr>
        <w:pStyle w:val="Notelevel1"/>
      </w:pPr>
      <w:r>
        <w:t>Note 2: The minimum annual distribution rate may be lowered under Guidelines 19.2 and 19.7 for a financial year.</w:t>
      </w:r>
    </w:p>
    <w:p w14:paraId="0DC01AA7" w14:textId="77777777" w:rsidR="00F80B4C" w:rsidRDefault="00F80B4C" w:rsidP="00F80B4C">
      <w:pPr>
        <w:pStyle w:val="OutlineNumbered2"/>
        <w:tabs>
          <w:tab w:val="clear" w:pos="2727"/>
          <w:tab w:val="num" w:pos="1418"/>
        </w:tabs>
        <w:ind w:left="1418" w:hanging="851"/>
      </w:pPr>
      <w:r>
        <w:t xml:space="preserve">The fund must distribute at least $8,800 (or the remainder of the fund if that is worth less than $8,800) during that *financial year </w:t>
      </w:r>
      <w:r w:rsidR="00930D5E">
        <w:t>if any expenses of the fund in relation to that financial year are paid directly or indirectly from the fund’s assets or income.</w:t>
      </w:r>
    </w:p>
    <w:p w14:paraId="1DCB276D" w14:textId="4B768895" w:rsidR="00F80B4C" w:rsidRPr="009D68AD" w:rsidRDefault="00F80B4C" w:rsidP="009D68AD">
      <w:pPr>
        <w:pStyle w:val="bullet"/>
        <w:numPr>
          <w:ilvl w:val="0"/>
          <w:numId w:val="0"/>
        </w:numPr>
        <w:ind w:left="567"/>
        <w:rPr>
          <w:i/>
          <w:sz w:val="18"/>
          <w:szCs w:val="18"/>
        </w:rPr>
      </w:pPr>
      <w:r w:rsidRPr="009D68AD">
        <w:rPr>
          <w:i/>
          <w:sz w:val="18"/>
          <w:szCs w:val="18"/>
        </w:rPr>
        <w:lastRenderedPageBreak/>
        <w:t xml:space="preserve">Note: This means that if a fund’s expenses are met from outside the fund, its minimum annual distribution is </w:t>
      </w:r>
      <w:r w:rsidR="00930D5E" w:rsidRPr="009D68AD">
        <w:rPr>
          <w:i/>
          <w:sz w:val="18"/>
          <w:szCs w:val="18"/>
        </w:rPr>
        <w:t xml:space="preserve">the amount calculated under Guideline 19. </w:t>
      </w:r>
      <w:r w:rsidR="009F26BB">
        <w:rPr>
          <w:i/>
          <w:sz w:val="18"/>
          <w:szCs w:val="18"/>
        </w:rPr>
        <w:t xml:space="preserve"> </w:t>
      </w:r>
      <w:r w:rsidR="00930D5E" w:rsidRPr="009D68AD">
        <w:rPr>
          <w:i/>
          <w:sz w:val="18"/>
          <w:szCs w:val="18"/>
        </w:rPr>
        <w:t>If any of a fund’s expenses are paid out of the fund’s assets or income, its minimum distribution is $8,800 or the amount calculated under Guideline 19 whichever is greater</w:t>
      </w:r>
      <w:r w:rsidRPr="009D68AD">
        <w:rPr>
          <w:i/>
          <w:sz w:val="18"/>
          <w:szCs w:val="18"/>
        </w:rPr>
        <w:t>.</w:t>
      </w:r>
    </w:p>
    <w:p w14:paraId="15B44144" w14:textId="77777777" w:rsidR="00F80B4C" w:rsidRDefault="00F80B4C" w:rsidP="00F80B4C">
      <w:pPr>
        <w:pStyle w:val="OutlineNumbered2"/>
        <w:tabs>
          <w:tab w:val="clear" w:pos="2727"/>
          <w:tab w:val="num" w:pos="1418"/>
        </w:tabs>
        <w:ind w:left="1418" w:hanging="851"/>
      </w:pPr>
      <w:r>
        <w:t xml:space="preserve">No distribution is required during the *financial year in which the fund is established or during the next 4 financial years. </w:t>
      </w:r>
    </w:p>
    <w:p w14:paraId="3F3877D0" w14:textId="77777777" w:rsidR="00F80B4C" w:rsidRPr="00273384" w:rsidRDefault="00F80B4C" w:rsidP="00273384">
      <w:pPr>
        <w:pStyle w:val="bullet"/>
        <w:numPr>
          <w:ilvl w:val="0"/>
          <w:numId w:val="0"/>
        </w:numPr>
        <w:ind w:left="567"/>
        <w:rPr>
          <w:i/>
          <w:sz w:val="18"/>
          <w:szCs w:val="18"/>
        </w:rPr>
      </w:pPr>
      <w:r w:rsidRPr="00273384">
        <w:rPr>
          <w:i/>
          <w:sz w:val="18"/>
          <w:szCs w:val="18"/>
        </w:rPr>
        <w:t xml:space="preserve">Note: While these guidelines do not set a minimum annual distribution for the first four financial years, the trustee should consider making an appropriate distribution each year in accordance with the purpose of the fund. </w:t>
      </w:r>
    </w:p>
    <w:p w14:paraId="7459438C" w14:textId="77777777" w:rsidR="00F80B4C" w:rsidRDefault="00F80B4C" w:rsidP="00F80B4C">
      <w:pPr>
        <w:pStyle w:val="OutlineNumbered2"/>
        <w:tabs>
          <w:tab w:val="clear" w:pos="2727"/>
          <w:tab w:val="num" w:pos="1418"/>
        </w:tabs>
        <w:ind w:left="1418" w:hanging="851"/>
      </w:pPr>
      <w:r>
        <w:t>A distribution includes the provision of money, property or benefits. If the fund provides property or benefits, the *market value of the property or benefit provided is to be used in determining whether the fund has complied with this guideline.</w:t>
      </w:r>
    </w:p>
    <w:p w14:paraId="1F813BA9" w14:textId="77777777" w:rsidR="00F80B4C" w:rsidRPr="009D68AD" w:rsidRDefault="00F80B4C" w:rsidP="009D68AD">
      <w:pPr>
        <w:pStyle w:val="bullet"/>
        <w:numPr>
          <w:ilvl w:val="0"/>
          <w:numId w:val="0"/>
        </w:numPr>
        <w:ind w:left="567"/>
        <w:rPr>
          <w:i/>
          <w:sz w:val="20"/>
        </w:rPr>
      </w:pPr>
      <w:bookmarkStart w:id="38" w:name="OLE_LINK14"/>
      <w:r w:rsidRPr="009D68AD">
        <w:rPr>
          <w:i/>
          <w:sz w:val="20"/>
        </w:rPr>
        <w:t xml:space="preserve">Example 1: If a public ancillary fund makes a gift of land to a public benevolent institution, it would include the market value of the land in </w:t>
      </w:r>
      <w:bookmarkStart w:id="39" w:name="OLE_LINK1"/>
      <w:bookmarkStart w:id="40" w:name="OLE_LINK2"/>
      <w:r w:rsidRPr="009D68AD">
        <w:rPr>
          <w:i/>
          <w:sz w:val="20"/>
        </w:rPr>
        <w:t>calculating how much it has distributed.</w:t>
      </w:r>
      <w:bookmarkEnd w:id="39"/>
      <w:bookmarkEnd w:id="40"/>
    </w:p>
    <w:bookmarkEnd w:id="38"/>
    <w:p w14:paraId="3BDA8827" w14:textId="77777777" w:rsidR="00F80B4C" w:rsidRPr="009D68AD" w:rsidRDefault="00F80B4C" w:rsidP="009D68AD">
      <w:pPr>
        <w:pStyle w:val="bullet"/>
        <w:numPr>
          <w:ilvl w:val="0"/>
          <w:numId w:val="0"/>
        </w:numPr>
        <w:ind w:left="567"/>
        <w:rPr>
          <w:i/>
          <w:sz w:val="20"/>
        </w:rPr>
      </w:pPr>
      <w:r w:rsidRPr="009D68AD">
        <w:rPr>
          <w:i/>
          <w:sz w:val="20"/>
        </w:rPr>
        <w:t>Example 2: If a public ancillary fund leases office space to a deductible gift recipient at a discount to the market price, the fund is providing a benefit whose market value is equal to the discount.</w:t>
      </w:r>
    </w:p>
    <w:p w14:paraId="49A61E21" w14:textId="77777777" w:rsidR="00F80B4C" w:rsidRPr="009D68AD" w:rsidRDefault="00F80B4C" w:rsidP="009D68AD">
      <w:pPr>
        <w:pStyle w:val="bullet"/>
        <w:numPr>
          <w:ilvl w:val="0"/>
          <w:numId w:val="0"/>
        </w:numPr>
        <w:ind w:left="567"/>
        <w:rPr>
          <w:i/>
          <w:sz w:val="20"/>
        </w:rPr>
      </w:pPr>
      <w:r w:rsidRPr="009D68AD">
        <w:rPr>
          <w:i/>
          <w:sz w:val="20"/>
        </w:rPr>
        <w:t>Example 3: If a public ancillary fund invests in a social impact bond issued by a deductible gift recipient with a return that is less than the market rate of return on a similar corporate bond issue, the fund is providing a benefit whose market value is equal to the interest saved by the deductible gift recipient from issuing the bond at a discounted rate of return.</w:t>
      </w:r>
    </w:p>
    <w:p w14:paraId="04DEA94A" w14:textId="77777777" w:rsidR="00930D5E" w:rsidRPr="009D68AD" w:rsidRDefault="00930D5E" w:rsidP="009D68AD">
      <w:pPr>
        <w:pStyle w:val="bullet"/>
        <w:numPr>
          <w:ilvl w:val="0"/>
          <w:numId w:val="0"/>
        </w:numPr>
        <w:ind w:left="567"/>
        <w:rPr>
          <w:i/>
          <w:sz w:val="20"/>
        </w:rPr>
      </w:pPr>
      <w:r w:rsidRPr="009D68AD">
        <w:rPr>
          <w:i/>
          <w:sz w:val="20"/>
        </w:rPr>
        <w:t>Example 4: If a public ancillary fund lends money to a deductible gift recipient at a discount to the interest rate which would be charged on a comparable loan sourced from a financial institution at arm’s length, the fund is providing a benefit whose market value is equal to the discount.</w:t>
      </w:r>
    </w:p>
    <w:p w14:paraId="6D11326E" w14:textId="77777777" w:rsidR="00930D5E" w:rsidRPr="009D68AD" w:rsidRDefault="00930D5E" w:rsidP="009D68AD">
      <w:pPr>
        <w:pStyle w:val="bullet"/>
        <w:numPr>
          <w:ilvl w:val="0"/>
          <w:numId w:val="0"/>
        </w:numPr>
        <w:ind w:left="567"/>
        <w:rPr>
          <w:i/>
          <w:sz w:val="20"/>
        </w:rPr>
      </w:pPr>
      <w:r w:rsidRPr="009D68AD">
        <w:rPr>
          <w:i/>
          <w:sz w:val="20"/>
        </w:rPr>
        <w:t>Example 5: If a public ancillary fund guarantees a loan provided by a financial institution to a deductible gift recipient, the fund is providing a benefit whose market value is equal to the discount to the interest rate which would be charged on a comparable arm’s length unsecured loan sourced from that financial institution.</w:t>
      </w:r>
    </w:p>
    <w:p w14:paraId="47C888CB" w14:textId="77777777" w:rsidR="00930D5E" w:rsidRPr="009D68AD" w:rsidRDefault="00930D5E" w:rsidP="009D68AD">
      <w:pPr>
        <w:pStyle w:val="bullet"/>
        <w:numPr>
          <w:ilvl w:val="0"/>
          <w:numId w:val="0"/>
        </w:numPr>
        <w:ind w:left="567"/>
        <w:rPr>
          <w:i/>
          <w:sz w:val="20"/>
        </w:rPr>
      </w:pPr>
      <w:r w:rsidRPr="009D68AD">
        <w:rPr>
          <w:i/>
          <w:sz w:val="20"/>
        </w:rPr>
        <w:t>Example 6: Continuing example 5, if the deductible gift recipient defaults on the loan and the fund is called on under the guarantee to make a payment to the financial institution on behalf of the deductible gift recipient, the payment is a distribution (being the provision of money, property or benefits).</w:t>
      </w:r>
    </w:p>
    <w:p w14:paraId="73349DB3" w14:textId="77777777" w:rsidR="00930D5E" w:rsidRPr="009D68AD" w:rsidRDefault="00930D5E" w:rsidP="009D68AD">
      <w:pPr>
        <w:pStyle w:val="bullet"/>
        <w:numPr>
          <w:ilvl w:val="0"/>
          <w:numId w:val="0"/>
        </w:numPr>
        <w:ind w:left="567"/>
        <w:rPr>
          <w:i/>
          <w:sz w:val="20"/>
        </w:rPr>
      </w:pPr>
      <w:r w:rsidRPr="009D68AD">
        <w:rPr>
          <w:i/>
          <w:sz w:val="20"/>
        </w:rPr>
        <w:t xml:space="preserve">Note 1: The Commissioner may approve safe harbour valuation methodologies to assist trustees in calculating the market value of a benefit provided to a deductible gift recipient – see Subdivision 960-M of the </w:t>
      </w:r>
      <w:r w:rsidRPr="00C5648E">
        <w:rPr>
          <w:sz w:val="20"/>
        </w:rPr>
        <w:t>Income Tax Assessment Act 1997</w:t>
      </w:r>
      <w:r w:rsidRPr="009D68AD">
        <w:rPr>
          <w:i/>
          <w:sz w:val="20"/>
        </w:rPr>
        <w:t>.</w:t>
      </w:r>
    </w:p>
    <w:p w14:paraId="4492C095" w14:textId="77777777" w:rsidR="00F80B4C" w:rsidRDefault="00F80B4C" w:rsidP="00F80B4C">
      <w:pPr>
        <w:pStyle w:val="OutlineNumbered2"/>
        <w:tabs>
          <w:tab w:val="clear" w:pos="2727"/>
          <w:tab w:val="num" w:pos="1418"/>
        </w:tabs>
        <w:ind w:left="1418" w:hanging="851"/>
      </w:pPr>
      <w:r>
        <w:t>The penalty for a contravention of this guideline is 30 penalty units if the shortfall is greater than $1,000.</w:t>
      </w:r>
    </w:p>
    <w:p w14:paraId="4CF2E4D4" w14:textId="77777777" w:rsidR="00F80B4C" w:rsidRDefault="00F80B4C" w:rsidP="00F80B4C">
      <w:pPr>
        <w:pStyle w:val="OutlineNumbered2"/>
        <w:tabs>
          <w:tab w:val="clear" w:pos="2727"/>
          <w:tab w:val="num" w:pos="1418"/>
        </w:tabs>
        <w:ind w:left="1418" w:hanging="851"/>
      </w:pPr>
      <w:r>
        <w:t xml:space="preserve">If the Commissioner requests the trustee to rectify a shortfall in the distribution for a *financial year, the trustee must comply with the request within 60 days. If the trustee does not the penalty is </w:t>
      </w:r>
      <w:r w:rsidRPr="00EF1F12">
        <w:lastRenderedPageBreak/>
        <w:t>10 per cent</w:t>
      </w:r>
      <w:r>
        <w:t xml:space="preserve"> of the shortfall as at the end of the 60 days reduced by any penalty (but not below nil) under guideline 19.4.</w:t>
      </w:r>
    </w:p>
    <w:p w14:paraId="1D41648C" w14:textId="77777777" w:rsidR="00F80B4C" w:rsidRDefault="00F80B4C" w:rsidP="00F80B4C">
      <w:pPr>
        <w:pStyle w:val="OutlineNumbered2"/>
        <w:tabs>
          <w:tab w:val="clear" w:pos="2727"/>
          <w:tab w:val="num" w:pos="1418"/>
        </w:tabs>
        <w:ind w:left="1418" w:hanging="851"/>
      </w:pPr>
      <w:r>
        <w:t>A distribution made to rectify a contravention of this guideline does not count towards compliance with this guideline for the year of the rectification.</w:t>
      </w:r>
    </w:p>
    <w:p w14:paraId="70BB05EE" w14:textId="77777777" w:rsidR="00C7413B" w:rsidRPr="009D68AD" w:rsidRDefault="00C7413B" w:rsidP="009D68AD">
      <w:pPr>
        <w:pStyle w:val="OutlineNumbered2"/>
        <w:numPr>
          <w:ilvl w:val="0"/>
          <w:numId w:val="0"/>
        </w:numPr>
        <w:ind w:left="567"/>
        <w:rPr>
          <w:i/>
        </w:rPr>
      </w:pPr>
      <w:r>
        <w:rPr>
          <w:i/>
        </w:rPr>
        <w:t>Accessing a lower minimum distribution rate for a financial year</w:t>
      </w:r>
    </w:p>
    <w:p w14:paraId="51DF68B5" w14:textId="77777777" w:rsidR="00C7413B" w:rsidRPr="009F6F0E" w:rsidRDefault="00C7413B" w:rsidP="00F80B4C">
      <w:pPr>
        <w:pStyle w:val="OutlineNumbered2"/>
        <w:tabs>
          <w:tab w:val="clear" w:pos="2727"/>
          <w:tab w:val="num" w:pos="1418"/>
        </w:tabs>
        <w:ind w:left="1418" w:hanging="851"/>
      </w:pPr>
      <w:r>
        <w:t>Upon application, in the *approved form, the Commissioner may reduce (</w:t>
      </w:r>
      <w:r w:rsidRPr="009F6F0E">
        <w:t>but not to zero) the minimum annual distribution rate for a fund for a *financial year. The reduction may be subject to any conditions the Commissioner thinks fit.</w:t>
      </w:r>
    </w:p>
    <w:p w14:paraId="02C0BB27" w14:textId="77777777" w:rsidR="00C7413B" w:rsidRPr="009D68AD" w:rsidRDefault="00C7413B" w:rsidP="009D68AD">
      <w:pPr>
        <w:pStyle w:val="OutlineNumbered2"/>
        <w:numPr>
          <w:ilvl w:val="1"/>
          <w:numId w:val="23"/>
        </w:numPr>
        <w:ind w:left="2127" w:hanging="1134"/>
        <w:rPr>
          <w:color w:val="auto"/>
        </w:rPr>
      </w:pPr>
      <w:r w:rsidRPr="009D68AD">
        <w:rPr>
          <w:color w:val="auto"/>
        </w:rPr>
        <w:t>Recognising the purpose and object of the fund, the Commissioner must only reduce the minimum annual distribution rate if the Commissioner is satisfied that there are circumstances that warrant the Commissioner reducing the rate.</w:t>
      </w:r>
    </w:p>
    <w:p w14:paraId="36D88103" w14:textId="77777777" w:rsidR="00C7413B" w:rsidRPr="009D68AD" w:rsidRDefault="00C7413B" w:rsidP="009D68AD">
      <w:pPr>
        <w:pStyle w:val="OutlineNumbered2"/>
        <w:numPr>
          <w:ilvl w:val="1"/>
          <w:numId w:val="23"/>
        </w:numPr>
        <w:ind w:left="2127" w:hanging="1134"/>
        <w:rPr>
          <w:color w:val="auto"/>
        </w:rPr>
      </w:pPr>
      <w:r w:rsidRPr="009D68AD">
        <w:rPr>
          <w:color w:val="auto"/>
        </w:rPr>
        <w:t>The Commissioner may reduce the minimum annual distribution rate at any time, including after the relevant financial year has finished.</w:t>
      </w:r>
    </w:p>
    <w:p w14:paraId="2ADA32A0" w14:textId="77777777" w:rsidR="00C7413B" w:rsidRPr="009D68AD" w:rsidRDefault="00C7413B" w:rsidP="009D68AD">
      <w:pPr>
        <w:pStyle w:val="OutlineNumbered2"/>
        <w:numPr>
          <w:ilvl w:val="1"/>
          <w:numId w:val="23"/>
        </w:numPr>
        <w:ind w:left="2127" w:hanging="1134"/>
        <w:rPr>
          <w:color w:val="auto"/>
        </w:rPr>
      </w:pPr>
      <w:r w:rsidRPr="009D68AD">
        <w:rPr>
          <w:color w:val="auto"/>
        </w:rPr>
        <w:t>In determining whether to reduce the rate and what the reduced rate should be, the Commissioner must have regard to:</w:t>
      </w:r>
    </w:p>
    <w:p w14:paraId="0FD4E923" w14:textId="77777777" w:rsidR="00C7413B" w:rsidRPr="009F6F0E" w:rsidRDefault="00124E53" w:rsidP="009D68AD">
      <w:pPr>
        <w:pStyle w:val="bullet"/>
        <w:numPr>
          <w:ilvl w:val="0"/>
          <w:numId w:val="24"/>
        </w:numPr>
        <w:ind w:left="2552"/>
      </w:pPr>
      <w:r w:rsidRPr="009F6F0E">
        <w:t>t</w:t>
      </w:r>
      <w:r w:rsidR="00C7413B" w:rsidRPr="009F6F0E">
        <w:t>he general market conditions in Australia; and</w:t>
      </w:r>
    </w:p>
    <w:p w14:paraId="7600A25A" w14:textId="77777777" w:rsidR="00C7413B" w:rsidRPr="009F6F0E" w:rsidRDefault="00124E53" w:rsidP="009D68AD">
      <w:pPr>
        <w:pStyle w:val="bullet"/>
        <w:numPr>
          <w:ilvl w:val="0"/>
          <w:numId w:val="24"/>
        </w:numPr>
        <w:ind w:left="2552"/>
      </w:pPr>
      <w:r w:rsidRPr="009F6F0E">
        <w:t xml:space="preserve">the past, current and expected levels of returns from the fund’s investments; and </w:t>
      </w:r>
    </w:p>
    <w:p w14:paraId="11615135" w14:textId="77777777" w:rsidR="00124E53" w:rsidRPr="009F6F0E" w:rsidRDefault="00124E53" w:rsidP="009D68AD">
      <w:pPr>
        <w:pStyle w:val="bullet"/>
        <w:numPr>
          <w:ilvl w:val="0"/>
          <w:numId w:val="24"/>
        </w:numPr>
        <w:ind w:left="2552"/>
      </w:pPr>
      <w:r w:rsidRPr="009F6F0E">
        <w:t>the long-term impact on the assets of the fund from not reducing the rate for a *financial year; and</w:t>
      </w:r>
    </w:p>
    <w:p w14:paraId="5D751121" w14:textId="77777777" w:rsidR="00124E53" w:rsidRPr="00D567A7" w:rsidRDefault="00124E53" w:rsidP="009D68AD">
      <w:pPr>
        <w:pStyle w:val="bullet"/>
        <w:numPr>
          <w:ilvl w:val="0"/>
          <w:numId w:val="24"/>
        </w:numPr>
        <w:ind w:left="2552"/>
      </w:pPr>
      <w:r w:rsidRPr="009F6F0E">
        <w:t>the level of distributions made by the fund in previous financial years; and</w:t>
      </w:r>
    </w:p>
    <w:p w14:paraId="6F1F05A3" w14:textId="77777777" w:rsidR="00124E53" w:rsidRPr="009D68AD" w:rsidRDefault="00124E53" w:rsidP="009D68AD">
      <w:pPr>
        <w:pStyle w:val="bullet"/>
        <w:numPr>
          <w:ilvl w:val="0"/>
          <w:numId w:val="24"/>
        </w:numPr>
        <w:ind w:left="2552"/>
      </w:pPr>
      <w:r w:rsidRPr="009D68AD">
        <w:t>the investment strategy and distribution strategy of the fund; and</w:t>
      </w:r>
    </w:p>
    <w:p w14:paraId="14283893" w14:textId="77777777" w:rsidR="00124E53" w:rsidRPr="009D68AD" w:rsidRDefault="00124E53" w:rsidP="009D68AD">
      <w:pPr>
        <w:pStyle w:val="bullet"/>
        <w:numPr>
          <w:ilvl w:val="0"/>
          <w:numId w:val="24"/>
        </w:numPr>
        <w:ind w:left="2552"/>
      </w:pPr>
      <w:r w:rsidRPr="009D68AD">
        <w:t>the size of the fund; and</w:t>
      </w:r>
    </w:p>
    <w:p w14:paraId="660F2AB4" w14:textId="77777777" w:rsidR="00124E53" w:rsidRPr="009D68AD" w:rsidRDefault="00124E53" w:rsidP="009D68AD">
      <w:pPr>
        <w:pStyle w:val="bullet"/>
        <w:numPr>
          <w:ilvl w:val="0"/>
          <w:numId w:val="24"/>
        </w:numPr>
        <w:ind w:left="2552"/>
      </w:pPr>
      <w:r w:rsidRPr="009D68AD">
        <w:t>the compliance history of the fund and the trustee; and</w:t>
      </w:r>
    </w:p>
    <w:p w14:paraId="6EE62A48" w14:textId="77777777" w:rsidR="00124E53" w:rsidRPr="009D68AD" w:rsidRDefault="00124E53" w:rsidP="009D68AD">
      <w:pPr>
        <w:pStyle w:val="bullet"/>
        <w:numPr>
          <w:ilvl w:val="0"/>
          <w:numId w:val="24"/>
        </w:numPr>
        <w:ind w:left="2552"/>
      </w:pPr>
      <w:r w:rsidRPr="009D68AD">
        <w:t>the fees and expenses of the fund; and</w:t>
      </w:r>
    </w:p>
    <w:p w14:paraId="0EF105C5" w14:textId="77777777" w:rsidR="00124E53" w:rsidRPr="009D68AD" w:rsidRDefault="00124E53" w:rsidP="009D68AD">
      <w:pPr>
        <w:pStyle w:val="bullet"/>
        <w:numPr>
          <w:ilvl w:val="0"/>
          <w:numId w:val="24"/>
        </w:numPr>
        <w:ind w:left="2552"/>
      </w:pPr>
      <w:r w:rsidRPr="009D68AD">
        <w:lastRenderedPageBreak/>
        <w:t xml:space="preserve">the terms and other circumstances relating to any gift to the fund under a will; and </w:t>
      </w:r>
    </w:p>
    <w:p w14:paraId="4F77028C" w14:textId="77777777" w:rsidR="00124E53" w:rsidRPr="009D68AD" w:rsidRDefault="00124E53" w:rsidP="009D68AD">
      <w:pPr>
        <w:pStyle w:val="bullet"/>
        <w:numPr>
          <w:ilvl w:val="0"/>
          <w:numId w:val="24"/>
        </w:numPr>
        <w:ind w:left="2552"/>
      </w:pPr>
      <w:r w:rsidRPr="009D68AD">
        <w:t>any other relevant matter that Commissioner considers relevant.</w:t>
      </w:r>
    </w:p>
    <w:p w14:paraId="23A9A69A" w14:textId="590D2F8A" w:rsidR="00124E53" w:rsidRPr="009D68AD" w:rsidRDefault="00124E53" w:rsidP="009D68AD">
      <w:pPr>
        <w:pStyle w:val="bullet"/>
        <w:numPr>
          <w:ilvl w:val="0"/>
          <w:numId w:val="0"/>
        </w:numPr>
        <w:ind w:left="567"/>
        <w:rPr>
          <w:i/>
          <w:sz w:val="18"/>
          <w:szCs w:val="18"/>
        </w:rPr>
      </w:pPr>
      <w:r w:rsidRPr="009D68AD">
        <w:rPr>
          <w:i/>
          <w:sz w:val="18"/>
          <w:szCs w:val="18"/>
        </w:rPr>
        <w:t>Note: Having regard to the general market conditio</w:t>
      </w:r>
      <w:r>
        <w:rPr>
          <w:i/>
          <w:sz w:val="18"/>
          <w:szCs w:val="18"/>
        </w:rPr>
        <w:t>ns in Australia, could include reviewing the Reserve Bank of Australia’s target for the cash rate (which is the overnight money market interest rate), the *base interest rate, current returns of other ancillary funds, and the performance of *approved stock exchanges. It could also include examining changes in conditions over time.</w:t>
      </w:r>
    </w:p>
    <w:p w14:paraId="3E693172" w14:textId="77777777" w:rsidR="00F80B4C" w:rsidRPr="00565703" w:rsidRDefault="00F80B4C" w:rsidP="00F80B4C">
      <w:pPr>
        <w:pStyle w:val="Heading2"/>
        <w:rPr>
          <w:rFonts w:ascii="Arial" w:hAnsi="Arial" w:cs="Arial"/>
        </w:rPr>
      </w:pPr>
      <w:bookmarkStart w:id="41" w:name="_Toc233525052"/>
      <w:r w:rsidRPr="00565703">
        <w:rPr>
          <w:rFonts w:ascii="Arial" w:hAnsi="Arial" w:cs="Arial"/>
        </w:rPr>
        <w:t>Valuation</w:t>
      </w:r>
      <w:bookmarkEnd w:id="41"/>
    </w:p>
    <w:p w14:paraId="649AB189" w14:textId="77777777" w:rsidR="00F80B4C" w:rsidRDefault="00F80B4C" w:rsidP="00F80B4C">
      <w:pPr>
        <w:pStyle w:val="OutlineNumbered1"/>
      </w:pPr>
      <w:r>
        <w:t>The *market value of the fund’s assets (other than land) must be estimated at least annually.</w:t>
      </w:r>
    </w:p>
    <w:p w14:paraId="1D99CDC8" w14:textId="77777777" w:rsidR="00F80B4C" w:rsidRDefault="00F80B4C" w:rsidP="00F80B4C">
      <w:pPr>
        <w:pStyle w:val="Notelevel1"/>
      </w:pPr>
      <w:r>
        <w:t>Note: See section 2B of the Acts Interpretation Act 1901 for the meaning of ‘land’.</w:t>
      </w:r>
    </w:p>
    <w:p w14:paraId="3078328C" w14:textId="77777777" w:rsidR="00F80B4C" w:rsidRDefault="00F80B4C" w:rsidP="00F80B4C">
      <w:pPr>
        <w:pStyle w:val="OutlineNumbered2"/>
        <w:tabs>
          <w:tab w:val="clear" w:pos="2727"/>
          <w:tab w:val="num" w:pos="1418"/>
        </w:tabs>
        <w:ind w:left="1418" w:hanging="851"/>
      </w:pPr>
      <w:r>
        <w:t>Subject to guideline 22, the trustee may estimate the *market value itself or arrange for a qualified valuer or another appropriate entity to make the estimate.</w:t>
      </w:r>
    </w:p>
    <w:p w14:paraId="0E37E3E1" w14:textId="77777777" w:rsidR="00F80B4C" w:rsidRPr="009D68AD" w:rsidRDefault="00F80B4C" w:rsidP="009D68AD">
      <w:pPr>
        <w:pStyle w:val="bullet"/>
        <w:numPr>
          <w:ilvl w:val="0"/>
          <w:numId w:val="0"/>
        </w:numPr>
        <w:ind w:left="567"/>
        <w:rPr>
          <w:i/>
          <w:sz w:val="18"/>
          <w:szCs w:val="18"/>
        </w:rPr>
      </w:pPr>
      <w:r w:rsidRPr="009D68AD">
        <w:rPr>
          <w:i/>
          <w:sz w:val="18"/>
          <w:szCs w:val="18"/>
        </w:rPr>
        <w:t>Note 1: It is not intended that making or arranging for an estimate of market value be onerous or expensive.</w:t>
      </w:r>
    </w:p>
    <w:p w14:paraId="112DD900" w14:textId="77777777" w:rsidR="00F80B4C" w:rsidRPr="009D68AD" w:rsidRDefault="00F80B4C" w:rsidP="009D68AD">
      <w:pPr>
        <w:pStyle w:val="bullet"/>
        <w:numPr>
          <w:ilvl w:val="0"/>
          <w:numId w:val="0"/>
        </w:numPr>
        <w:ind w:left="567"/>
        <w:rPr>
          <w:i/>
          <w:sz w:val="18"/>
          <w:szCs w:val="18"/>
        </w:rPr>
      </w:pPr>
      <w:r w:rsidRPr="009D68AD">
        <w:rPr>
          <w:i/>
          <w:sz w:val="18"/>
          <w:szCs w:val="18"/>
        </w:rPr>
        <w:t>Note 2: A trustee should consider using a qualified valuer if the value of an asset represents a significant proportion of the fund’s value or if the nature of the asset means that the valuation is likely to be difficult or complex.</w:t>
      </w:r>
    </w:p>
    <w:p w14:paraId="26EA9990" w14:textId="77777777" w:rsidR="00F80B4C" w:rsidRPr="009D68AD" w:rsidRDefault="00F80B4C" w:rsidP="009D68AD">
      <w:pPr>
        <w:pStyle w:val="bullet"/>
        <w:numPr>
          <w:ilvl w:val="0"/>
          <w:numId w:val="0"/>
        </w:numPr>
        <w:ind w:left="567"/>
        <w:rPr>
          <w:i/>
          <w:sz w:val="18"/>
          <w:szCs w:val="18"/>
        </w:rPr>
      </w:pPr>
      <w:r w:rsidRPr="009D68AD">
        <w:rPr>
          <w:i/>
          <w:sz w:val="18"/>
          <w:szCs w:val="18"/>
        </w:rPr>
        <w:t>Note 3: The trustee may ask the Commissioner to undertake a valuation. The Commissioner may charge the trustee for undertaking a valuation.</w:t>
      </w:r>
    </w:p>
    <w:p w14:paraId="1111E482" w14:textId="77777777" w:rsidR="00F80B4C" w:rsidRDefault="00F80B4C" w:rsidP="00F80B4C">
      <w:pPr>
        <w:pStyle w:val="OutlineNumbered2"/>
        <w:tabs>
          <w:tab w:val="clear" w:pos="2727"/>
          <w:tab w:val="num" w:pos="1418"/>
        </w:tabs>
        <w:ind w:left="1418" w:hanging="851"/>
      </w:pPr>
      <w:r>
        <w:t>Whoever makes the estimate must base it on reasonably objective and supportable data. The methodology and data used for an estimate should be documented in the fund’s records.</w:t>
      </w:r>
    </w:p>
    <w:p w14:paraId="767815BB" w14:textId="77777777" w:rsidR="00F80B4C" w:rsidRDefault="00F80B4C" w:rsidP="00F80B4C">
      <w:pPr>
        <w:pStyle w:val="OutlineNumbered2"/>
        <w:tabs>
          <w:tab w:val="clear" w:pos="2727"/>
          <w:tab w:val="num" w:pos="1418"/>
        </w:tabs>
        <w:ind w:left="1418" w:hanging="851"/>
      </w:pPr>
      <w:r>
        <w:t>The estimate should be of the *market value as at the end of the relevant *financial year. Unless to do so would be unnecessarily onerous and expensive, the estimate should be conducted within</w:t>
      </w:r>
      <w:bookmarkStart w:id="42" w:name="OLE_LINK42"/>
      <w:bookmarkStart w:id="43" w:name="OLE_LINK43"/>
      <w:r>
        <w:t xml:space="preserve"> 2 months before or after 30 June for each asset.</w:t>
      </w:r>
    </w:p>
    <w:bookmarkEnd w:id="42"/>
    <w:bookmarkEnd w:id="43"/>
    <w:p w14:paraId="77E6A436" w14:textId="77777777" w:rsidR="00F80B4C" w:rsidRDefault="00F80B4C" w:rsidP="00F80B4C">
      <w:pPr>
        <w:pStyle w:val="OutlineNumbered1"/>
      </w:pPr>
      <w:r>
        <w:t>The *market value of land must be estimated at least once</w:t>
      </w:r>
      <w:r w:rsidRPr="007A3AA5">
        <w:t xml:space="preserve"> </w:t>
      </w:r>
      <w:r>
        <w:t>every 3 *financial years.</w:t>
      </w:r>
    </w:p>
    <w:p w14:paraId="6636A06E" w14:textId="77777777" w:rsidR="00F80B4C" w:rsidRDefault="00F80B4C" w:rsidP="00F80B4C">
      <w:pPr>
        <w:pStyle w:val="OutlineNumbered2"/>
        <w:tabs>
          <w:tab w:val="clear" w:pos="2727"/>
          <w:tab w:val="num" w:pos="1418"/>
        </w:tabs>
        <w:ind w:left="1418" w:hanging="851"/>
      </w:pPr>
      <w:r>
        <w:t>The *market value of land must be estimated by a certified and independent valuer or by the Commissioner</w:t>
      </w:r>
      <w:r w:rsidR="0029182A">
        <w:t>.</w:t>
      </w:r>
    </w:p>
    <w:p w14:paraId="58B57CB1" w14:textId="77777777" w:rsidR="00F80B4C" w:rsidRDefault="00F80B4C" w:rsidP="00F80B4C">
      <w:pPr>
        <w:pStyle w:val="OutlineNumbered3"/>
      </w:pPr>
      <w:r>
        <w:t xml:space="preserve">The trustee must obtain from the valuer a written estimate of the *market </w:t>
      </w:r>
      <w:r w:rsidRPr="00A60179">
        <w:t>value of the land</w:t>
      </w:r>
      <w:r>
        <w:t>. The written estimate must also include the valuation methodology and a reference to supporting materials used in making the estimate.</w:t>
      </w:r>
    </w:p>
    <w:p w14:paraId="457D7F3F" w14:textId="77777777" w:rsidR="00F80B4C" w:rsidRPr="009D68AD" w:rsidRDefault="00F80B4C" w:rsidP="009D68AD">
      <w:pPr>
        <w:pStyle w:val="bullet"/>
        <w:numPr>
          <w:ilvl w:val="0"/>
          <w:numId w:val="0"/>
        </w:numPr>
        <w:ind w:left="567"/>
        <w:rPr>
          <w:i/>
          <w:sz w:val="18"/>
          <w:szCs w:val="18"/>
        </w:rPr>
      </w:pPr>
      <w:bookmarkStart w:id="44" w:name="OLE_LINK27"/>
      <w:bookmarkStart w:id="45" w:name="OLE_LINK28"/>
      <w:bookmarkStart w:id="46" w:name="OLE_LINK36"/>
      <w:bookmarkStart w:id="47" w:name="OLE_LINK37"/>
      <w:r w:rsidRPr="009D68AD">
        <w:rPr>
          <w:i/>
          <w:sz w:val="18"/>
          <w:szCs w:val="18"/>
        </w:rPr>
        <w:lastRenderedPageBreak/>
        <w:t>Note: The trustee may ask the Commissioner to undertake the valuation. The Commissioner may charge the trustee for undertaking a valuation.</w:t>
      </w:r>
      <w:bookmarkEnd w:id="44"/>
      <w:bookmarkEnd w:id="45"/>
    </w:p>
    <w:bookmarkEnd w:id="46"/>
    <w:bookmarkEnd w:id="47"/>
    <w:p w14:paraId="7A8771C5" w14:textId="77777777" w:rsidR="00F80B4C" w:rsidRDefault="00F80B4C" w:rsidP="00F80B4C">
      <w:pPr>
        <w:pStyle w:val="OutlineNumbered2"/>
        <w:tabs>
          <w:tab w:val="clear" w:pos="2727"/>
          <w:tab w:val="num" w:pos="1418"/>
        </w:tabs>
        <w:ind w:left="1418" w:hanging="851"/>
      </w:pPr>
      <w:r>
        <w:t>The trustee may use the estimate as the *market value of the land for the next 3 *financial years.</w:t>
      </w:r>
    </w:p>
    <w:p w14:paraId="39248342" w14:textId="77777777" w:rsidR="00F80B4C" w:rsidRDefault="00F80B4C" w:rsidP="00F80B4C">
      <w:pPr>
        <w:pStyle w:val="OutlineNumbered1"/>
      </w:pPr>
      <w:bookmarkStart w:id="48" w:name="_Ref241310299"/>
      <w:r>
        <w:t>If the Commissioner considers the estimate of the *market value of any asset to be unreasonable, the Commissioner may request the trustee to arrange for another valuation to be undertaken. The trustee must comply with the request.</w:t>
      </w:r>
      <w:bookmarkEnd w:id="48"/>
    </w:p>
    <w:p w14:paraId="48CC5C02" w14:textId="77777777" w:rsidR="00F80B4C" w:rsidRPr="00466FFF" w:rsidRDefault="00F80B4C" w:rsidP="00F80B4C">
      <w:pPr>
        <w:pStyle w:val="Notelevel1"/>
      </w:pPr>
      <w:bookmarkStart w:id="49" w:name="OLE_LINK29"/>
      <w:bookmarkStart w:id="50" w:name="OLE_LINK30"/>
      <w:r>
        <w:t>Note: The Commissioner may seek the trustee’s agreement to undertake the valuation or the trustee may ask t</w:t>
      </w:r>
      <w:r w:rsidRPr="00166F12">
        <w:t>he Commissioner to undertake the valuation</w:t>
      </w:r>
      <w:r>
        <w:t>. The Commissioner</w:t>
      </w:r>
      <w:r w:rsidRPr="00166F12">
        <w:t xml:space="preserve"> may charge the trustee for </w:t>
      </w:r>
      <w:r>
        <w:t>undertaking</w:t>
      </w:r>
      <w:r w:rsidRPr="00166F12">
        <w:t xml:space="preserve"> </w:t>
      </w:r>
      <w:r>
        <w:t>a</w:t>
      </w:r>
      <w:r w:rsidRPr="00166F12">
        <w:t xml:space="preserve"> valuation.</w:t>
      </w:r>
    </w:p>
    <w:bookmarkEnd w:id="49"/>
    <w:bookmarkEnd w:id="50"/>
    <w:p w14:paraId="62F29B2E" w14:textId="77777777" w:rsidR="00F80B4C" w:rsidRDefault="00F80B4C" w:rsidP="00F80B4C">
      <w:pPr>
        <w:pStyle w:val="OutlineNumbered1"/>
      </w:pPr>
      <w:r>
        <w:t>Estimates must be completed before the fund is required to give</w:t>
      </w:r>
      <w:r w:rsidRPr="00EB5662">
        <w:t xml:space="preserve"> </w:t>
      </w:r>
      <w:r>
        <w:t>to the Commissioner its *income tax return for the relevant *financial year.</w:t>
      </w:r>
    </w:p>
    <w:p w14:paraId="1038277A" w14:textId="77777777" w:rsidR="00F80B4C" w:rsidRPr="00466FFF" w:rsidRDefault="00F80B4C" w:rsidP="00F80B4C">
      <w:pPr>
        <w:pStyle w:val="Notelevel1"/>
      </w:pPr>
      <w:r>
        <w:t>Note: A public ancillary fund will be required to lodge an income tax return whether or not it is exempt from income tax. The Commissioner will approve an appropriate income tax return form for public ancillary funds.</w:t>
      </w:r>
    </w:p>
    <w:p w14:paraId="554F3F26" w14:textId="77777777" w:rsidR="00F80B4C" w:rsidRPr="00B558DE" w:rsidRDefault="00F80B4C" w:rsidP="00F80B4C">
      <w:pPr>
        <w:pStyle w:val="Heading2"/>
        <w:rPr>
          <w:rFonts w:ascii="Arial" w:hAnsi="Arial" w:cs="Arial"/>
        </w:rPr>
      </w:pPr>
      <w:r w:rsidRPr="00B558DE">
        <w:rPr>
          <w:rFonts w:ascii="Arial" w:hAnsi="Arial" w:cs="Arial"/>
        </w:rPr>
        <w:t>accounts</w:t>
      </w:r>
    </w:p>
    <w:p w14:paraId="5C3667C0" w14:textId="77777777" w:rsidR="00F80B4C" w:rsidRDefault="00F80B4C" w:rsidP="00F80B4C">
      <w:pPr>
        <w:pStyle w:val="OutlineNumbered1"/>
      </w:pPr>
      <w:r>
        <w:t xml:space="preserve">The trustee must keep, or cause to be kept, proper accounts in respect of all receipts and payments of the fund and all </w:t>
      </w:r>
      <w:r w:rsidRPr="00E947DF">
        <w:t>financial</w:t>
      </w:r>
      <w:r>
        <w:t xml:space="preserve"> dealings connected with the fund, and must retain those accounts for a period of at least 5 years after the completion of the transactions or acts to which they relate.</w:t>
      </w:r>
    </w:p>
    <w:p w14:paraId="2E370D83" w14:textId="77777777" w:rsidR="00F80B4C" w:rsidRDefault="00F80B4C" w:rsidP="00F80B4C">
      <w:pPr>
        <w:pStyle w:val="Notelevel1"/>
      </w:pPr>
      <w:r>
        <w:t>Note: See also Subdivision 382-B in Schedule 1 to the Taxation Administration Act 1953 for rules about record keeping obligations of deductible gift recipients.</w:t>
      </w:r>
    </w:p>
    <w:p w14:paraId="110E2F7D" w14:textId="77777777" w:rsidR="00F80B4C" w:rsidRPr="009D68AD" w:rsidRDefault="00F80B4C" w:rsidP="00F80B4C">
      <w:pPr>
        <w:pStyle w:val="Penalty"/>
        <w:rPr>
          <w:rFonts w:ascii="Arial" w:hAnsi="Arial" w:cs="Arial"/>
        </w:rPr>
      </w:pPr>
      <w:r w:rsidRPr="009D68AD">
        <w:rPr>
          <w:rFonts w:ascii="Arial" w:hAnsi="Arial" w:cs="Arial"/>
        </w:rPr>
        <w:t>PENALTY:</w:t>
      </w:r>
      <w:r w:rsidRPr="009D68AD">
        <w:rPr>
          <w:rFonts w:ascii="Arial" w:hAnsi="Arial" w:cs="Arial"/>
        </w:rPr>
        <w:tab/>
        <w:t>10 penalty units.</w:t>
      </w:r>
    </w:p>
    <w:p w14:paraId="68407A2B" w14:textId="77777777" w:rsidR="009D68AD" w:rsidRDefault="009D68AD" w:rsidP="00F80B4C">
      <w:pPr>
        <w:pStyle w:val="Penalty"/>
      </w:pPr>
    </w:p>
    <w:p w14:paraId="0C9BA076" w14:textId="77777777" w:rsidR="00F80B4C" w:rsidRDefault="00F80B4C" w:rsidP="00F80B4C">
      <w:pPr>
        <w:pStyle w:val="OutlineNumbered1"/>
      </w:pPr>
      <w:r>
        <w:t>The trustee must make the accounts available to the Commissioner upon request.</w:t>
      </w:r>
    </w:p>
    <w:p w14:paraId="4967845E" w14:textId="77777777" w:rsidR="00F80B4C" w:rsidRDefault="00F80B4C" w:rsidP="00F80B4C">
      <w:pPr>
        <w:pStyle w:val="Penalty"/>
        <w:rPr>
          <w:rFonts w:ascii="Arial" w:hAnsi="Arial" w:cs="Arial"/>
        </w:rPr>
      </w:pPr>
      <w:r w:rsidRPr="009D68AD">
        <w:rPr>
          <w:rFonts w:ascii="Arial" w:hAnsi="Arial" w:cs="Arial"/>
        </w:rPr>
        <w:t>PENALTY:</w:t>
      </w:r>
      <w:r w:rsidRPr="009D68AD">
        <w:rPr>
          <w:rFonts w:ascii="Arial" w:hAnsi="Arial" w:cs="Arial"/>
        </w:rPr>
        <w:tab/>
        <w:t>10 penalty units.</w:t>
      </w:r>
    </w:p>
    <w:p w14:paraId="081706F6" w14:textId="77777777" w:rsidR="00D06A34" w:rsidRPr="009D68AD" w:rsidRDefault="00D06A34" w:rsidP="00F80B4C">
      <w:pPr>
        <w:pStyle w:val="Penalty"/>
        <w:rPr>
          <w:rFonts w:ascii="Arial" w:hAnsi="Arial" w:cs="Arial"/>
        </w:rPr>
      </w:pPr>
    </w:p>
    <w:p w14:paraId="234DD827" w14:textId="77777777" w:rsidR="00F80B4C" w:rsidRPr="00B558DE" w:rsidRDefault="00F80B4C" w:rsidP="00F80B4C">
      <w:pPr>
        <w:pStyle w:val="Heading2"/>
        <w:rPr>
          <w:rFonts w:ascii="Arial" w:hAnsi="Arial" w:cs="Arial"/>
        </w:rPr>
      </w:pPr>
      <w:r w:rsidRPr="00B558DE">
        <w:rPr>
          <w:rFonts w:ascii="Arial" w:hAnsi="Arial" w:cs="Arial"/>
        </w:rPr>
        <w:t>Financial statements</w:t>
      </w:r>
    </w:p>
    <w:p w14:paraId="7C6A0703" w14:textId="77777777" w:rsidR="00F80B4C" w:rsidRDefault="00F80B4C" w:rsidP="00F80B4C">
      <w:pPr>
        <w:pStyle w:val="OutlineNumbered1"/>
      </w:pPr>
      <w:r>
        <w:t>The trustee must prepare, or cause to be prepared, financial statements showing the financial position of the fund at the end of each *financial year.</w:t>
      </w:r>
    </w:p>
    <w:p w14:paraId="0A9BFCCC" w14:textId="77777777" w:rsidR="00F80B4C" w:rsidRPr="009F6F0E" w:rsidRDefault="00F80B4C" w:rsidP="00F80B4C">
      <w:pPr>
        <w:pStyle w:val="OutlineNumbered2"/>
        <w:tabs>
          <w:tab w:val="clear" w:pos="2727"/>
          <w:tab w:val="num" w:pos="1418"/>
        </w:tabs>
        <w:ind w:left="1418" w:hanging="851"/>
      </w:pPr>
      <w:r>
        <w:lastRenderedPageBreak/>
        <w:t xml:space="preserve">The financial statements must be prepared in accordance with </w:t>
      </w:r>
      <w:r w:rsidRPr="009F6F0E">
        <w:t>the *accounting standards.</w:t>
      </w:r>
    </w:p>
    <w:p w14:paraId="1D3DD795" w14:textId="77777777" w:rsidR="0029182A" w:rsidRPr="001C30BC" w:rsidRDefault="0029182A" w:rsidP="009D68AD">
      <w:pPr>
        <w:pStyle w:val="OutlineNumbered2"/>
        <w:numPr>
          <w:ilvl w:val="0"/>
          <w:numId w:val="0"/>
        </w:numPr>
        <w:ind w:left="1418"/>
        <w:rPr>
          <w:i/>
          <w:sz w:val="18"/>
          <w:szCs w:val="18"/>
        </w:rPr>
      </w:pPr>
      <w:r w:rsidRPr="009D68AD">
        <w:rPr>
          <w:i/>
          <w:sz w:val="18"/>
          <w:szCs w:val="18"/>
        </w:rPr>
        <w:t xml:space="preserve">Note: If a fund is required to prepare, and does prepare, a financial report in accordance with Subdivision 60-C of the Australian </w:t>
      </w:r>
      <w:r w:rsidR="009F6F0E" w:rsidRPr="009D68AD">
        <w:rPr>
          <w:i/>
          <w:sz w:val="18"/>
          <w:szCs w:val="18"/>
        </w:rPr>
        <w:t>Charities</w:t>
      </w:r>
      <w:r w:rsidRPr="009D68AD">
        <w:rPr>
          <w:i/>
          <w:sz w:val="18"/>
          <w:szCs w:val="18"/>
        </w:rPr>
        <w:t xml:space="preserve"> and Not-for-profits Commission Act 2012</w:t>
      </w:r>
      <w:r w:rsidRPr="009D68AD">
        <w:rPr>
          <w:sz w:val="18"/>
          <w:szCs w:val="18"/>
        </w:rPr>
        <w:t xml:space="preserve">, </w:t>
      </w:r>
      <w:r w:rsidRPr="009D68AD">
        <w:rPr>
          <w:i/>
          <w:sz w:val="18"/>
          <w:szCs w:val="18"/>
        </w:rPr>
        <w:t>it will meet this requirement.</w:t>
      </w:r>
    </w:p>
    <w:p w14:paraId="68842ED1" w14:textId="77777777" w:rsidR="00F80B4C" w:rsidRDefault="00F80B4C" w:rsidP="00F80B4C">
      <w:pPr>
        <w:pStyle w:val="OutlineNumbered2"/>
        <w:tabs>
          <w:tab w:val="clear" w:pos="2727"/>
          <w:tab w:val="num" w:pos="1418"/>
        </w:tabs>
        <w:ind w:left="1418" w:hanging="851"/>
      </w:pPr>
      <w:r>
        <w:t>All transactions (except for gifts) between the fund and a founder of the fund, a donor to the fund, the trustee, a director, officer, *agent, *member or employee of the trustee, or an *associate of any of these entities must be disclosed in the financial statements.</w:t>
      </w:r>
    </w:p>
    <w:p w14:paraId="3204F0E7" w14:textId="77777777" w:rsidR="00F80B4C" w:rsidRDefault="00F80B4C" w:rsidP="00F80B4C">
      <w:pPr>
        <w:pStyle w:val="OutlineNumbered2"/>
        <w:tabs>
          <w:tab w:val="clear" w:pos="2727"/>
          <w:tab w:val="num" w:pos="1418"/>
        </w:tabs>
        <w:ind w:left="1418" w:hanging="851"/>
      </w:pPr>
      <w:bookmarkStart w:id="51" w:name="OLE_LINK38"/>
      <w:bookmarkStart w:id="52" w:name="OLE_LINK39"/>
      <w:r>
        <w:t>The financial statements must be prepared before the fund is required to give</w:t>
      </w:r>
      <w:r w:rsidRPr="00370356">
        <w:t xml:space="preserve"> </w:t>
      </w:r>
      <w:r>
        <w:t>to the Commissioner its *income tax return for the relevant *financial year.</w:t>
      </w:r>
    </w:p>
    <w:p w14:paraId="029A93C1" w14:textId="77777777" w:rsidR="00F80B4C" w:rsidRPr="00273384" w:rsidRDefault="00F80B4C" w:rsidP="00F80B4C">
      <w:pPr>
        <w:pStyle w:val="Penalty"/>
        <w:rPr>
          <w:rFonts w:ascii="Arial" w:hAnsi="Arial" w:cs="Arial"/>
          <w:sz w:val="24"/>
          <w:szCs w:val="24"/>
        </w:rPr>
      </w:pPr>
      <w:r w:rsidRPr="00273384">
        <w:rPr>
          <w:rFonts w:ascii="Arial" w:hAnsi="Arial" w:cs="Arial"/>
          <w:sz w:val="24"/>
          <w:szCs w:val="24"/>
        </w:rPr>
        <w:t>PENALTY:</w:t>
      </w:r>
      <w:r w:rsidRPr="00273384">
        <w:rPr>
          <w:rFonts w:ascii="Arial" w:hAnsi="Arial" w:cs="Arial"/>
          <w:sz w:val="24"/>
          <w:szCs w:val="24"/>
        </w:rPr>
        <w:tab/>
        <w:t>10 penalty units.</w:t>
      </w:r>
    </w:p>
    <w:p w14:paraId="7F2311AD" w14:textId="77777777" w:rsidR="0029182A" w:rsidRPr="00273384" w:rsidRDefault="0029182A" w:rsidP="00F80B4C">
      <w:pPr>
        <w:pStyle w:val="Penalty"/>
        <w:rPr>
          <w:rFonts w:ascii="Arial" w:hAnsi="Arial" w:cs="Arial"/>
          <w:sz w:val="24"/>
          <w:szCs w:val="24"/>
        </w:rPr>
      </w:pPr>
    </w:p>
    <w:bookmarkEnd w:id="51"/>
    <w:bookmarkEnd w:id="52"/>
    <w:p w14:paraId="7F6A0D63" w14:textId="5DCBC990" w:rsidR="00F80B4C" w:rsidRPr="00273384" w:rsidRDefault="00F80B4C" w:rsidP="00F80B4C">
      <w:pPr>
        <w:pStyle w:val="OutlineNumbered1"/>
      </w:pPr>
      <w:r w:rsidRPr="00273384">
        <w:t>The trustee must make the financial statements available to the Commissioner upon</w:t>
      </w:r>
      <w:r w:rsidR="009F26BB">
        <w:t xml:space="preserve"> </w:t>
      </w:r>
      <w:r w:rsidR="0029182A" w:rsidRPr="00273384">
        <w:t>request, unless the financial statements have already been given to the Commissioner of the Australian Charities and Not-for-profits Commission.</w:t>
      </w:r>
    </w:p>
    <w:p w14:paraId="2290832E" w14:textId="77777777" w:rsidR="00F80B4C" w:rsidRPr="00273384" w:rsidRDefault="00F80B4C" w:rsidP="00F80B4C">
      <w:pPr>
        <w:pStyle w:val="Penalty"/>
        <w:rPr>
          <w:rFonts w:ascii="Arial" w:hAnsi="Arial" w:cs="Arial"/>
          <w:sz w:val="24"/>
          <w:szCs w:val="24"/>
        </w:rPr>
      </w:pPr>
      <w:r w:rsidRPr="00273384">
        <w:rPr>
          <w:rFonts w:ascii="Arial" w:hAnsi="Arial" w:cs="Arial"/>
          <w:sz w:val="24"/>
          <w:szCs w:val="24"/>
        </w:rPr>
        <w:t>PENALTY:</w:t>
      </w:r>
      <w:r w:rsidRPr="00273384">
        <w:rPr>
          <w:rFonts w:ascii="Arial" w:hAnsi="Arial" w:cs="Arial"/>
          <w:sz w:val="24"/>
          <w:szCs w:val="24"/>
        </w:rPr>
        <w:tab/>
        <w:t>10 penalty units.</w:t>
      </w:r>
    </w:p>
    <w:p w14:paraId="1D054B10" w14:textId="77777777" w:rsidR="00F80B4C" w:rsidRPr="00B558DE" w:rsidRDefault="00F80B4C" w:rsidP="00F80B4C">
      <w:pPr>
        <w:pStyle w:val="Heading2"/>
        <w:keepLines/>
        <w:rPr>
          <w:rFonts w:ascii="Arial" w:hAnsi="Arial" w:cs="Arial"/>
        </w:rPr>
      </w:pPr>
      <w:r w:rsidRPr="00B558DE">
        <w:rPr>
          <w:rFonts w:ascii="Arial" w:hAnsi="Arial" w:cs="Arial"/>
        </w:rPr>
        <w:t>Audit</w:t>
      </w:r>
    </w:p>
    <w:p w14:paraId="6F1D65FF" w14:textId="77777777" w:rsidR="00F80B4C" w:rsidRDefault="00F80B4C" w:rsidP="00F80B4C">
      <w:pPr>
        <w:pStyle w:val="OutlineNumbered1"/>
        <w:keepNext/>
        <w:keepLines/>
      </w:pPr>
      <w:r>
        <w:t>Except as set out below, e</w:t>
      </w:r>
      <w:r w:rsidRPr="004059B5">
        <w:t>ach *financial year</w:t>
      </w:r>
      <w:r>
        <w:t xml:space="preserve"> the trustee must arrange for an auditor to audit:</w:t>
      </w:r>
    </w:p>
    <w:p w14:paraId="55DEE8E3" w14:textId="77777777" w:rsidR="00F80B4C" w:rsidRDefault="00F80B4C" w:rsidP="00F80B4C">
      <w:pPr>
        <w:pStyle w:val="bullet"/>
        <w:keepNext/>
        <w:keepLines/>
        <w:tabs>
          <w:tab w:val="num" w:pos="1418"/>
        </w:tabs>
        <w:ind w:left="1418" w:hanging="709"/>
      </w:pPr>
      <w:r w:rsidRPr="00062AD4">
        <w:t>the financial statements</w:t>
      </w:r>
      <w:r>
        <w:t xml:space="preserve"> of the fund; and</w:t>
      </w:r>
    </w:p>
    <w:p w14:paraId="6399330A" w14:textId="77777777" w:rsidR="00F80B4C" w:rsidRPr="00062AD4" w:rsidRDefault="00F80B4C" w:rsidP="00F80B4C">
      <w:pPr>
        <w:pStyle w:val="bullet"/>
        <w:keepNext/>
        <w:keepLines/>
        <w:tabs>
          <w:tab w:val="num" w:pos="1418"/>
        </w:tabs>
        <w:ind w:left="1418" w:hanging="709"/>
      </w:pPr>
      <w:r w:rsidRPr="00062AD4">
        <w:t>compliance with these Guidelines</w:t>
      </w:r>
      <w:r>
        <w:t xml:space="preserve"> by the fund and the trustee</w:t>
      </w:r>
      <w:r w:rsidRPr="00062AD4">
        <w:t>.</w:t>
      </w:r>
    </w:p>
    <w:p w14:paraId="0747FA07" w14:textId="77777777" w:rsidR="00F80B4C" w:rsidRDefault="00F80B4C" w:rsidP="00F80B4C">
      <w:pPr>
        <w:pStyle w:val="OutlineNumbered2"/>
        <w:tabs>
          <w:tab w:val="clear" w:pos="2727"/>
          <w:tab w:val="num" w:pos="1418"/>
        </w:tabs>
        <w:ind w:left="1418" w:hanging="851"/>
      </w:pPr>
      <w:r>
        <w:t xml:space="preserve">The auditor must be a registered company auditor (within the meaning of the </w:t>
      </w:r>
      <w:r w:rsidRPr="00062AD4">
        <w:rPr>
          <w:i/>
        </w:rPr>
        <w:t>Corporations Act 2001</w:t>
      </w:r>
      <w:r>
        <w:t>).</w:t>
      </w:r>
    </w:p>
    <w:p w14:paraId="6F4F8787" w14:textId="77777777" w:rsidR="00F80B4C" w:rsidRDefault="00F80B4C" w:rsidP="00F80B4C">
      <w:pPr>
        <w:pStyle w:val="OutlineNumbered3"/>
      </w:pPr>
      <w:r>
        <w:t>The Public Trustee of a state or territory may have the Auditor</w:t>
      </w:r>
      <w:r>
        <w:noBreakHyphen/>
        <w:t>General of that state or territory undertake the audit.</w:t>
      </w:r>
    </w:p>
    <w:p w14:paraId="590F2D98" w14:textId="77777777" w:rsidR="00F80B4C" w:rsidRDefault="00F80B4C" w:rsidP="00F80B4C">
      <w:pPr>
        <w:pStyle w:val="OutlineNumbered2"/>
        <w:tabs>
          <w:tab w:val="clear" w:pos="2727"/>
          <w:tab w:val="num" w:pos="1418"/>
        </w:tabs>
        <w:ind w:left="1418" w:hanging="851"/>
      </w:pPr>
      <w:r>
        <w:t>Unless the Commissioner, by written notice, provides otherwise, a public ancillary fund with revenue and assets of less than $1 million in relation to a particular financial year, may instead have its financial statements and compliance with these guidelines reviewed rather than audited.</w:t>
      </w:r>
    </w:p>
    <w:p w14:paraId="3654FB1C" w14:textId="77777777" w:rsidR="00F80B4C" w:rsidRDefault="00F80B4C" w:rsidP="00F80B4C">
      <w:pPr>
        <w:pStyle w:val="OutlineNumbered3"/>
      </w:pPr>
      <w:r>
        <w:lastRenderedPageBreak/>
        <w:t xml:space="preserve">A reviewer must be a registered company auditor (within the meaning of the </w:t>
      </w:r>
      <w:r w:rsidRPr="00062AD4">
        <w:rPr>
          <w:i/>
        </w:rPr>
        <w:t>Corporations Act 2001</w:t>
      </w:r>
      <w:r>
        <w:t xml:space="preserve">).  However, an individual who is taken to be a registered company auditor under section 324BE of the </w:t>
      </w:r>
      <w:r w:rsidRPr="00062AD4">
        <w:rPr>
          <w:i/>
        </w:rPr>
        <w:t>Corporations Act 2001</w:t>
      </w:r>
      <w:r>
        <w:t xml:space="preserve"> is taken to be a registered company auditor for the purpose of this guideline.</w:t>
      </w:r>
    </w:p>
    <w:p w14:paraId="7532214F" w14:textId="77777777" w:rsidR="00F80B4C" w:rsidRDefault="00F80B4C" w:rsidP="00F80B4C">
      <w:pPr>
        <w:pStyle w:val="Notelevel1"/>
        <w:ind w:left="2127"/>
      </w:pPr>
      <w:r w:rsidRPr="00C16411">
        <w:t xml:space="preserve">Note: </w:t>
      </w:r>
      <w:r>
        <w:t>This has the effect of widening the class of individuals who can undertake a review.</w:t>
      </w:r>
    </w:p>
    <w:p w14:paraId="1F34C01F" w14:textId="77777777" w:rsidR="00F80B4C" w:rsidRDefault="00F80B4C" w:rsidP="00F80B4C">
      <w:pPr>
        <w:pStyle w:val="OutlineNumbered2"/>
        <w:tabs>
          <w:tab w:val="clear" w:pos="2727"/>
          <w:tab w:val="num" w:pos="1418"/>
        </w:tabs>
        <w:ind w:left="1418" w:hanging="851"/>
      </w:pPr>
      <w:r>
        <w:t>The auditor or reviewer must undertake the review or audit, and provide the fund with a report,</w:t>
      </w:r>
      <w:r w:rsidRPr="001B4052">
        <w:t xml:space="preserve"> </w:t>
      </w:r>
      <w:r>
        <w:t>in accordance with the *auditing standards.</w:t>
      </w:r>
    </w:p>
    <w:p w14:paraId="45BB38CF" w14:textId="77777777" w:rsidR="00F80B4C" w:rsidRDefault="00F80B4C" w:rsidP="00F80B4C">
      <w:pPr>
        <w:pStyle w:val="OutlineNumbered2"/>
        <w:tabs>
          <w:tab w:val="clear" w:pos="2727"/>
          <w:tab w:val="num" w:pos="1418"/>
        </w:tabs>
        <w:ind w:left="1418" w:hanging="851"/>
      </w:pPr>
      <w:r>
        <w:t>The audit or review must be finalised before the fund is required to give to the Commissioner its *income tax return for the relevant *financial year.</w:t>
      </w:r>
    </w:p>
    <w:p w14:paraId="3A7F24FB" w14:textId="77777777" w:rsidR="00F80B4C" w:rsidRPr="00273384" w:rsidRDefault="00F80B4C" w:rsidP="00F80B4C">
      <w:pPr>
        <w:pStyle w:val="Penalty"/>
        <w:rPr>
          <w:rFonts w:ascii="Arial" w:hAnsi="Arial" w:cs="Arial"/>
          <w:sz w:val="24"/>
          <w:szCs w:val="24"/>
        </w:rPr>
      </w:pPr>
      <w:r w:rsidRPr="00273384">
        <w:rPr>
          <w:rFonts w:ascii="Arial" w:hAnsi="Arial" w:cs="Arial"/>
          <w:sz w:val="24"/>
          <w:szCs w:val="24"/>
        </w:rPr>
        <w:t xml:space="preserve">PENALTY: </w:t>
      </w:r>
      <w:r w:rsidRPr="00273384">
        <w:rPr>
          <w:rFonts w:ascii="Arial" w:hAnsi="Arial" w:cs="Arial"/>
          <w:sz w:val="24"/>
          <w:szCs w:val="24"/>
        </w:rPr>
        <w:tab/>
        <w:t>10 penalty units.</w:t>
      </w:r>
    </w:p>
    <w:p w14:paraId="3ABA8B79" w14:textId="77777777" w:rsidR="00273384" w:rsidRDefault="00273384" w:rsidP="00F80B4C">
      <w:pPr>
        <w:pStyle w:val="Penalty"/>
      </w:pPr>
    </w:p>
    <w:p w14:paraId="21857614" w14:textId="77777777" w:rsidR="00F80B4C" w:rsidRDefault="00F80B4C" w:rsidP="00F80B4C">
      <w:pPr>
        <w:pStyle w:val="OutlineNumbered1"/>
      </w:pPr>
      <w:r>
        <w:t xml:space="preserve">The trustee must make the report available to the Commissioner upon </w:t>
      </w:r>
      <w:r w:rsidR="0029182A">
        <w:t xml:space="preserve"> request, unless the report has already been given to the Commissioner of the Australian Charities and Not-for-profits Commission</w:t>
      </w:r>
      <w:r>
        <w:t>.</w:t>
      </w:r>
    </w:p>
    <w:p w14:paraId="180F9DEE" w14:textId="77777777" w:rsidR="00F80B4C" w:rsidRPr="00273384" w:rsidRDefault="00F80B4C" w:rsidP="00F80B4C">
      <w:pPr>
        <w:pStyle w:val="Penalty"/>
        <w:rPr>
          <w:rFonts w:ascii="Arial" w:hAnsi="Arial" w:cs="Arial"/>
          <w:sz w:val="24"/>
          <w:szCs w:val="24"/>
        </w:rPr>
      </w:pPr>
      <w:r w:rsidRPr="00273384">
        <w:rPr>
          <w:rFonts w:ascii="Arial" w:hAnsi="Arial" w:cs="Arial"/>
          <w:sz w:val="24"/>
          <w:szCs w:val="24"/>
        </w:rPr>
        <w:t xml:space="preserve">PENALTY: </w:t>
      </w:r>
      <w:r w:rsidRPr="00273384">
        <w:rPr>
          <w:rFonts w:ascii="Arial" w:hAnsi="Arial" w:cs="Arial"/>
          <w:sz w:val="24"/>
          <w:szCs w:val="24"/>
        </w:rPr>
        <w:tab/>
        <w:t>10 penalty units.</w:t>
      </w:r>
    </w:p>
    <w:p w14:paraId="2A2A83F0" w14:textId="77777777" w:rsidR="00273384" w:rsidRDefault="00273384" w:rsidP="00F80B4C">
      <w:pPr>
        <w:pStyle w:val="Penalty"/>
      </w:pPr>
    </w:p>
    <w:p w14:paraId="3C1444D0" w14:textId="77777777" w:rsidR="00F80B4C" w:rsidRPr="00B558DE" w:rsidRDefault="00F80B4C" w:rsidP="00F80B4C">
      <w:pPr>
        <w:pStyle w:val="Heading2"/>
        <w:rPr>
          <w:rFonts w:ascii="Arial" w:hAnsi="Arial" w:cs="Arial"/>
        </w:rPr>
      </w:pPr>
      <w:r w:rsidRPr="00B558DE">
        <w:rPr>
          <w:rFonts w:ascii="Arial" w:hAnsi="Arial" w:cs="Arial"/>
        </w:rPr>
        <w:t>Investment strategy</w:t>
      </w:r>
    </w:p>
    <w:p w14:paraId="70A0A2FF" w14:textId="77777777" w:rsidR="00F80B4C" w:rsidRDefault="00F80B4C" w:rsidP="00F80B4C">
      <w:pPr>
        <w:pStyle w:val="OutlineNumbered1"/>
      </w:pPr>
      <w:r>
        <w:t>The trustee must prepare and maintain a current investment strategy for the fund.</w:t>
      </w:r>
    </w:p>
    <w:p w14:paraId="5D99FCC2" w14:textId="77777777" w:rsidR="00F80B4C" w:rsidRDefault="00F80B4C" w:rsidP="00F80B4C">
      <w:pPr>
        <w:pStyle w:val="OutlineNumbered2"/>
        <w:tabs>
          <w:tab w:val="clear" w:pos="2727"/>
          <w:tab w:val="num" w:pos="1418"/>
        </w:tabs>
        <w:ind w:left="1418" w:hanging="851"/>
      </w:pPr>
      <w:r w:rsidRPr="00995275">
        <w:t>An appropriate investment strategy should set out the investment objectives of the fund and detail the investment methods the trustee will adopt to achieve those objectives</w:t>
      </w:r>
      <w:r>
        <w:t>.</w:t>
      </w:r>
    </w:p>
    <w:p w14:paraId="77827C82" w14:textId="77777777" w:rsidR="00F80B4C" w:rsidRDefault="00F80B4C" w:rsidP="00F80B4C">
      <w:pPr>
        <w:pStyle w:val="OutlineNumbered2"/>
        <w:tabs>
          <w:tab w:val="clear" w:pos="2727"/>
          <w:tab w:val="num" w:pos="1418"/>
        </w:tabs>
        <w:ind w:left="1418" w:hanging="851"/>
      </w:pPr>
      <w:r>
        <w:t>The strategy must reflect the purpose and circumstances of the fund and have particular regard to (but not be limited to):</w:t>
      </w:r>
    </w:p>
    <w:p w14:paraId="63EF85DA" w14:textId="77777777" w:rsidR="00F80B4C" w:rsidRPr="00C47D43" w:rsidRDefault="00F80B4C" w:rsidP="009D68AD">
      <w:pPr>
        <w:pStyle w:val="bullet"/>
        <w:tabs>
          <w:tab w:val="clear" w:pos="567"/>
        </w:tabs>
        <w:ind w:left="1843" w:hanging="425"/>
      </w:pPr>
      <w:r w:rsidRPr="00C47D43">
        <w:t>the risk involved in making, holding and realising, and the likely return from, the fund’s investments, having regard to the fund’s objects and its expected cash flow requirements</w:t>
      </w:r>
      <w:r>
        <w:t xml:space="preserve"> </w:t>
      </w:r>
      <w:r w:rsidRPr="00C47D43">
        <w:t xml:space="preserve">(including distribution requirements); </w:t>
      </w:r>
      <w:r>
        <w:t>and</w:t>
      </w:r>
    </w:p>
    <w:p w14:paraId="76EEFB58" w14:textId="77777777" w:rsidR="00F80B4C" w:rsidRPr="00C47D43" w:rsidRDefault="00F80B4C" w:rsidP="009D68AD">
      <w:pPr>
        <w:pStyle w:val="bullet"/>
        <w:tabs>
          <w:tab w:val="clear" w:pos="567"/>
        </w:tabs>
        <w:ind w:left="1843" w:hanging="425"/>
      </w:pPr>
      <w:r w:rsidRPr="00C47D43">
        <w:t xml:space="preserve">the composition of the fund’s investments as a whole, including the extent to which the investments are diverse or </w:t>
      </w:r>
      <w:r w:rsidRPr="00C47D43">
        <w:lastRenderedPageBreak/>
        <w:t xml:space="preserve">involve the fund being exposed to risks from inadequate diversification; </w:t>
      </w:r>
      <w:r>
        <w:t>and</w:t>
      </w:r>
    </w:p>
    <w:p w14:paraId="492D6889" w14:textId="77777777" w:rsidR="00F80B4C" w:rsidRPr="00C47D43" w:rsidRDefault="00F80B4C" w:rsidP="009D68AD">
      <w:pPr>
        <w:pStyle w:val="bullet"/>
        <w:tabs>
          <w:tab w:val="clear" w:pos="567"/>
        </w:tabs>
        <w:ind w:left="1843" w:hanging="425"/>
      </w:pPr>
      <w:r w:rsidRPr="00C47D43">
        <w:t>the liquidity of the fund’s investments, having regard to its expected cash flow requirements (including distribution requirements);</w:t>
      </w:r>
      <w:r>
        <w:t xml:space="preserve"> and</w:t>
      </w:r>
    </w:p>
    <w:p w14:paraId="6E103C7D" w14:textId="77777777" w:rsidR="00F80B4C" w:rsidRPr="00C47D43" w:rsidRDefault="00F80B4C" w:rsidP="009D68AD">
      <w:pPr>
        <w:pStyle w:val="bullet"/>
        <w:tabs>
          <w:tab w:val="clear" w:pos="567"/>
        </w:tabs>
        <w:ind w:left="1843" w:hanging="425"/>
      </w:pPr>
      <w:r w:rsidRPr="00C47D43">
        <w:t>the ability of the fund to discharge its existing and prospective liabilities; and</w:t>
      </w:r>
    </w:p>
    <w:p w14:paraId="7FED76C0" w14:textId="77777777" w:rsidR="0029182A" w:rsidRDefault="00F80B4C" w:rsidP="009D68AD">
      <w:pPr>
        <w:pStyle w:val="bullet"/>
        <w:tabs>
          <w:tab w:val="clear" w:pos="567"/>
        </w:tabs>
        <w:ind w:left="1843" w:hanging="425"/>
      </w:pPr>
      <w:r w:rsidRPr="00C47D43">
        <w:t>the investment requirements imposed by *State laws or *Territory laws</w:t>
      </w:r>
      <w:r w:rsidR="0029182A">
        <w:t>; and</w:t>
      </w:r>
    </w:p>
    <w:p w14:paraId="53F1A0CE" w14:textId="77777777" w:rsidR="0029182A" w:rsidRDefault="0029182A" w:rsidP="009D68AD">
      <w:pPr>
        <w:pStyle w:val="bullet"/>
        <w:tabs>
          <w:tab w:val="clear" w:pos="567"/>
        </w:tabs>
        <w:ind w:left="1843" w:hanging="425"/>
      </w:pPr>
      <w:r>
        <w:t>status of the fund as a *registered charity (where applicable); and</w:t>
      </w:r>
    </w:p>
    <w:p w14:paraId="77B2DED1" w14:textId="77777777" w:rsidR="0029182A" w:rsidRDefault="0029182A" w:rsidP="009D68AD">
      <w:pPr>
        <w:pStyle w:val="bullet"/>
        <w:tabs>
          <w:tab w:val="clear" w:pos="567"/>
        </w:tabs>
        <w:ind w:left="1843" w:hanging="425"/>
      </w:pPr>
      <w:r>
        <w:t>real or perceived material conflicts of interest in holding particular investments (including those relating to individuals involved in the decision-making of the fund); and</w:t>
      </w:r>
    </w:p>
    <w:p w14:paraId="241AEBEB" w14:textId="77777777" w:rsidR="00F80B4C" w:rsidRPr="00C47D43" w:rsidRDefault="0029182A" w:rsidP="009D68AD">
      <w:pPr>
        <w:pStyle w:val="bullet"/>
        <w:tabs>
          <w:tab w:val="clear" w:pos="567"/>
        </w:tabs>
        <w:ind w:left="1843" w:hanging="425"/>
      </w:pPr>
      <w:r>
        <w:t>the terms and other circumstances relating to any gift to the fund under a will</w:t>
      </w:r>
      <w:r w:rsidR="00F80B4C" w:rsidRPr="00C47D43">
        <w:t>.</w:t>
      </w:r>
    </w:p>
    <w:p w14:paraId="37D950BE" w14:textId="77777777" w:rsidR="00F80B4C" w:rsidRPr="00273384" w:rsidRDefault="00F80B4C" w:rsidP="00F80B4C">
      <w:pPr>
        <w:pStyle w:val="Penalty"/>
        <w:rPr>
          <w:rFonts w:ascii="Arial" w:hAnsi="Arial" w:cs="Arial"/>
          <w:sz w:val="24"/>
          <w:szCs w:val="24"/>
        </w:rPr>
      </w:pPr>
      <w:r w:rsidRPr="00273384">
        <w:rPr>
          <w:rFonts w:ascii="Arial" w:hAnsi="Arial" w:cs="Arial"/>
          <w:sz w:val="24"/>
          <w:szCs w:val="24"/>
        </w:rPr>
        <w:t xml:space="preserve">PENALTY: </w:t>
      </w:r>
      <w:r w:rsidRPr="00273384">
        <w:rPr>
          <w:rFonts w:ascii="Arial" w:hAnsi="Arial" w:cs="Arial"/>
          <w:sz w:val="24"/>
          <w:szCs w:val="24"/>
        </w:rPr>
        <w:tab/>
        <w:t>10 penalty units.</w:t>
      </w:r>
    </w:p>
    <w:p w14:paraId="26FB4F9C" w14:textId="77777777" w:rsidR="0029182A" w:rsidRPr="00273384" w:rsidRDefault="0029182A" w:rsidP="00F80B4C">
      <w:pPr>
        <w:pStyle w:val="Penalty"/>
        <w:rPr>
          <w:rFonts w:ascii="Arial" w:hAnsi="Arial" w:cs="Arial"/>
          <w:sz w:val="24"/>
          <w:szCs w:val="24"/>
        </w:rPr>
      </w:pPr>
    </w:p>
    <w:p w14:paraId="1229CB32" w14:textId="77777777" w:rsidR="00F80B4C" w:rsidRPr="00273384" w:rsidRDefault="00F80B4C" w:rsidP="00F80B4C">
      <w:pPr>
        <w:pStyle w:val="OutlineNumbered1"/>
      </w:pPr>
      <w:r w:rsidRPr="00273384">
        <w:t>The trustee must implement the investment strategy, and must ensure that all investment decisions are made in accordance with it.</w:t>
      </w:r>
    </w:p>
    <w:p w14:paraId="6865077E" w14:textId="77777777" w:rsidR="00273384" w:rsidRDefault="00F80B4C" w:rsidP="00273384">
      <w:pPr>
        <w:pStyle w:val="Penalty"/>
        <w:rPr>
          <w:rFonts w:ascii="Arial" w:hAnsi="Arial" w:cs="Arial"/>
          <w:sz w:val="24"/>
          <w:szCs w:val="24"/>
        </w:rPr>
      </w:pPr>
      <w:bookmarkStart w:id="53" w:name="OLE_LINK50"/>
      <w:bookmarkStart w:id="54" w:name="OLE_LINK51"/>
      <w:r w:rsidRPr="00273384">
        <w:rPr>
          <w:rFonts w:ascii="Arial" w:hAnsi="Arial" w:cs="Arial"/>
          <w:sz w:val="24"/>
          <w:szCs w:val="24"/>
        </w:rPr>
        <w:t xml:space="preserve">PENALTY: </w:t>
      </w:r>
      <w:r w:rsidRPr="00273384">
        <w:rPr>
          <w:rFonts w:ascii="Arial" w:hAnsi="Arial" w:cs="Arial"/>
          <w:sz w:val="24"/>
          <w:szCs w:val="24"/>
        </w:rPr>
        <w:tab/>
        <w:t>1</w:t>
      </w:r>
      <w:r w:rsidR="0029182A" w:rsidRPr="00273384">
        <w:rPr>
          <w:rFonts w:ascii="Arial" w:hAnsi="Arial" w:cs="Arial"/>
          <w:sz w:val="24"/>
          <w:szCs w:val="24"/>
        </w:rPr>
        <w:t>5</w:t>
      </w:r>
      <w:r w:rsidRPr="00273384">
        <w:rPr>
          <w:rFonts w:ascii="Arial" w:hAnsi="Arial" w:cs="Arial"/>
          <w:sz w:val="24"/>
          <w:szCs w:val="24"/>
        </w:rPr>
        <w:t xml:space="preserve"> penalty units.</w:t>
      </w:r>
    </w:p>
    <w:p w14:paraId="06DD4DCF" w14:textId="77777777" w:rsidR="00273384" w:rsidRPr="00273384" w:rsidRDefault="00273384" w:rsidP="00273384">
      <w:pPr>
        <w:pStyle w:val="Penalty"/>
        <w:rPr>
          <w:rFonts w:ascii="Arial" w:hAnsi="Arial" w:cs="Arial"/>
          <w:sz w:val="16"/>
          <w:szCs w:val="16"/>
        </w:rPr>
      </w:pPr>
    </w:p>
    <w:bookmarkEnd w:id="53"/>
    <w:bookmarkEnd w:id="54"/>
    <w:p w14:paraId="72FEBA4A" w14:textId="77777777" w:rsidR="00F80B4C" w:rsidRPr="00273384" w:rsidRDefault="00F80B4C" w:rsidP="00F80B4C">
      <w:pPr>
        <w:pStyle w:val="OutlineNumbered1"/>
      </w:pPr>
      <w:r w:rsidRPr="00273384">
        <w:t xml:space="preserve">The investment strategy (and a record of the associated decision-making processes) must be available in a written form so that the trustee, </w:t>
      </w:r>
      <w:r w:rsidR="0029182A" w:rsidRPr="00273384">
        <w:t>an auditor, a reviewer</w:t>
      </w:r>
      <w:r w:rsidRPr="00273384">
        <w:t xml:space="preserve"> or the Commissioner can determine whether the fund has complied with these Guidelines and other *Australian laws.</w:t>
      </w:r>
    </w:p>
    <w:p w14:paraId="313D9CA6" w14:textId="77777777" w:rsidR="00F80B4C" w:rsidRPr="00273384" w:rsidRDefault="00F80B4C" w:rsidP="00F80B4C">
      <w:pPr>
        <w:pStyle w:val="Penalty"/>
        <w:rPr>
          <w:rFonts w:ascii="Arial" w:hAnsi="Arial" w:cs="Arial"/>
          <w:sz w:val="24"/>
          <w:szCs w:val="24"/>
        </w:rPr>
      </w:pPr>
      <w:r w:rsidRPr="00273384">
        <w:rPr>
          <w:rFonts w:ascii="Arial" w:hAnsi="Arial" w:cs="Arial"/>
          <w:sz w:val="24"/>
          <w:szCs w:val="24"/>
        </w:rPr>
        <w:t xml:space="preserve">PENALTY: </w:t>
      </w:r>
      <w:r w:rsidRPr="00273384">
        <w:rPr>
          <w:rFonts w:ascii="Arial" w:hAnsi="Arial" w:cs="Arial"/>
          <w:sz w:val="24"/>
          <w:szCs w:val="24"/>
        </w:rPr>
        <w:tab/>
        <w:t>10 penalty units.</w:t>
      </w:r>
    </w:p>
    <w:p w14:paraId="23AF5836" w14:textId="77777777" w:rsidR="00F80B4C" w:rsidRPr="00B558DE" w:rsidRDefault="00F80B4C" w:rsidP="00F80B4C">
      <w:pPr>
        <w:pStyle w:val="Heading2"/>
        <w:rPr>
          <w:rFonts w:ascii="Arial" w:hAnsi="Arial" w:cs="Arial"/>
        </w:rPr>
      </w:pPr>
      <w:r w:rsidRPr="00B558DE">
        <w:rPr>
          <w:rFonts w:ascii="Arial" w:hAnsi="Arial" w:cs="Arial"/>
        </w:rPr>
        <w:t>Investment LIMITATIONS</w:t>
      </w:r>
    </w:p>
    <w:p w14:paraId="18D7C32C" w14:textId="77777777" w:rsidR="00F80B4C" w:rsidRDefault="00F80B4C" w:rsidP="00F80B4C">
      <w:pPr>
        <w:pStyle w:val="OutlineNumbered1"/>
      </w:pPr>
      <w:bookmarkStart w:id="55" w:name="_Ref233523590"/>
      <w:r>
        <w:t>The</w:t>
      </w:r>
      <w:r w:rsidRPr="00995275">
        <w:t xml:space="preserve"> </w:t>
      </w:r>
      <w:r>
        <w:t>trustee</w:t>
      </w:r>
      <w:r w:rsidRPr="00995275">
        <w:t xml:space="preserve"> must not </w:t>
      </w:r>
      <w:r>
        <w:t>*</w:t>
      </w:r>
      <w:r w:rsidRPr="00995275">
        <w:t xml:space="preserve">borrow </w:t>
      </w:r>
      <w:r>
        <w:t xml:space="preserve">money </w:t>
      </w:r>
      <w:r w:rsidRPr="00995275">
        <w:t>or maintain an existing borrowing of money</w:t>
      </w:r>
      <w:r>
        <w:t>.</w:t>
      </w:r>
      <w:bookmarkEnd w:id="55"/>
    </w:p>
    <w:p w14:paraId="28672143" w14:textId="77777777" w:rsidR="00F80B4C" w:rsidRDefault="00F80B4C" w:rsidP="00F80B4C">
      <w:pPr>
        <w:pStyle w:val="OutlineNumbered2"/>
        <w:tabs>
          <w:tab w:val="clear" w:pos="2727"/>
          <w:tab w:val="num" w:pos="1418"/>
        </w:tabs>
        <w:ind w:left="1418" w:hanging="851"/>
      </w:pPr>
      <w:bookmarkStart w:id="56" w:name="_Ref241318582"/>
      <w:r>
        <w:t>However, this guideline does not prohibit a trustee from *borrowing money if:</w:t>
      </w:r>
    </w:p>
    <w:p w14:paraId="1773DC9C" w14:textId="77777777" w:rsidR="00F80B4C" w:rsidRDefault="00F80B4C" w:rsidP="009D68AD">
      <w:pPr>
        <w:pStyle w:val="bullet"/>
        <w:tabs>
          <w:tab w:val="clear" w:pos="567"/>
        </w:tabs>
        <w:ind w:left="1843" w:hanging="425"/>
      </w:pPr>
      <w:r>
        <w:t xml:space="preserve">the purpose of the borrowing is to enable the trustee to make a distribution to a *deductible gift recipient which the trustee must make under these guidelines and which, apart </w:t>
      </w:r>
      <w:r>
        <w:lastRenderedPageBreak/>
        <w:t>from the borrowing, the trustee would be unable to make; and</w:t>
      </w:r>
    </w:p>
    <w:p w14:paraId="52E31B45" w14:textId="77777777" w:rsidR="00F80B4C" w:rsidRDefault="00F80B4C" w:rsidP="009D68AD">
      <w:pPr>
        <w:pStyle w:val="bullet"/>
        <w:tabs>
          <w:tab w:val="clear" w:pos="567"/>
        </w:tabs>
        <w:ind w:left="1843" w:hanging="425"/>
      </w:pPr>
      <w:r>
        <w:t>the period of the borrowing does not exceed 90 days; and</w:t>
      </w:r>
    </w:p>
    <w:p w14:paraId="6D9A14A8" w14:textId="77777777" w:rsidR="00F80B4C" w:rsidRDefault="00F80B4C" w:rsidP="009D68AD">
      <w:pPr>
        <w:pStyle w:val="bullet"/>
        <w:tabs>
          <w:tab w:val="clear" w:pos="567"/>
        </w:tabs>
        <w:ind w:left="1843" w:hanging="425"/>
      </w:pPr>
      <w:r>
        <w:t>the borrowing, when made, would not result in total borrowings exceeding 10 per cent of the *market value of the fund’s assets.</w:t>
      </w:r>
    </w:p>
    <w:p w14:paraId="4B177521" w14:textId="77777777" w:rsidR="00F80B4C" w:rsidRDefault="00F80B4C" w:rsidP="00F80B4C">
      <w:pPr>
        <w:pStyle w:val="OutlineNumbered2"/>
        <w:tabs>
          <w:tab w:val="clear" w:pos="2727"/>
          <w:tab w:val="num" w:pos="1418"/>
        </w:tabs>
        <w:ind w:left="1418" w:hanging="851"/>
      </w:pPr>
      <w:r>
        <w:t>This guideline also does not prohibit a trustee from *borrowing money if:</w:t>
      </w:r>
    </w:p>
    <w:p w14:paraId="5DF555D1" w14:textId="77777777" w:rsidR="00F80B4C" w:rsidRDefault="00F80B4C" w:rsidP="009D68AD">
      <w:pPr>
        <w:pStyle w:val="bullet"/>
        <w:tabs>
          <w:tab w:val="clear" w:pos="567"/>
        </w:tabs>
        <w:ind w:left="1843" w:hanging="425"/>
      </w:pPr>
      <w:r>
        <w:t>the purpose of the borrowing is to enable the trustee to cover settlement of a transaction for the acquisition of a financial instrument; and</w:t>
      </w:r>
    </w:p>
    <w:p w14:paraId="27EA232C" w14:textId="77777777" w:rsidR="00F80B4C" w:rsidRDefault="00F80B4C" w:rsidP="009D68AD">
      <w:pPr>
        <w:pStyle w:val="bullet"/>
        <w:tabs>
          <w:tab w:val="clear" w:pos="567"/>
        </w:tabs>
        <w:ind w:left="1843" w:hanging="425"/>
      </w:pPr>
      <w:bookmarkStart w:id="57" w:name="OLE_LINK44"/>
      <w:bookmarkStart w:id="58" w:name="OLE_LINK45"/>
      <w:r>
        <w:t>at the time the relevant investment decision was made, it was likely that the borrowing would not be needed; and</w:t>
      </w:r>
      <w:bookmarkEnd w:id="57"/>
      <w:bookmarkEnd w:id="58"/>
    </w:p>
    <w:p w14:paraId="5C540635" w14:textId="77777777" w:rsidR="00F80B4C" w:rsidRDefault="00F80B4C" w:rsidP="009D68AD">
      <w:pPr>
        <w:pStyle w:val="bullet"/>
        <w:tabs>
          <w:tab w:val="clear" w:pos="567"/>
        </w:tabs>
        <w:ind w:left="1843" w:hanging="425"/>
      </w:pPr>
      <w:r>
        <w:t>the period of the borrowing does not exceed 14 days; and</w:t>
      </w:r>
    </w:p>
    <w:p w14:paraId="1E7EF413" w14:textId="77777777" w:rsidR="00F80B4C" w:rsidRDefault="00F80B4C" w:rsidP="009D68AD">
      <w:pPr>
        <w:pStyle w:val="bullet"/>
        <w:tabs>
          <w:tab w:val="clear" w:pos="567"/>
        </w:tabs>
        <w:ind w:left="1843" w:hanging="425"/>
      </w:pPr>
      <w:r>
        <w:t>the borrowing, when made, would not result in total borrowings exceeding 10 per cent of the *market value of the fund’s assets.</w:t>
      </w:r>
    </w:p>
    <w:p w14:paraId="0766480F" w14:textId="77777777" w:rsidR="00F80B4C" w:rsidRDefault="00F80B4C" w:rsidP="00F80B4C">
      <w:pPr>
        <w:pStyle w:val="OutlineNumbered2"/>
        <w:tabs>
          <w:tab w:val="clear" w:pos="2727"/>
          <w:tab w:val="num" w:pos="1418"/>
        </w:tabs>
        <w:ind w:left="1418" w:hanging="851"/>
      </w:pPr>
      <w:r>
        <w:t xml:space="preserve">Guideline </w:t>
      </w:r>
      <w:r>
        <w:fldChar w:fldCharType="begin"/>
      </w:r>
      <w:r>
        <w:instrText xml:space="preserve"> REF _Ref233523590 \r \h </w:instrText>
      </w:r>
      <w:r>
        <w:fldChar w:fldCharType="separate"/>
      </w:r>
      <w:r>
        <w:t>33</w:t>
      </w:r>
      <w:r>
        <w:fldChar w:fldCharType="end"/>
      </w:r>
      <w:r>
        <w:t xml:space="preserve"> also does not apply to the acquisition of a financial instrument excluded by the Commissioner from that guideline.</w:t>
      </w:r>
    </w:p>
    <w:bookmarkEnd w:id="56"/>
    <w:p w14:paraId="79E7220A" w14:textId="77777777" w:rsidR="00F80B4C" w:rsidRDefault="00F80B4C" w:rsidP="00F80B4C">
      <w:pPr>
        <w:pStyle w:val="OutlineNumbered1"/>
      </w:pPr>
      <w:r>
        <w:t xml:space="preserve">The fund’s investments must be made and maintained on an *arm’s length </w:t>
      </w:r>
      <w:r w:rsidR="0029182A">
        <w:t>unless another guideline allows otherwise</w:t>
      </w:r>
      <w:r>
        <w:t>.</w:t>
      </w:r>
    </w:p>
    <w:p w14:paraId="3311DB7C" w14:textId="77777777" w:rsidR="00F80B4C" w:rsidRDefault="00F80B4C" w:rsidP="00F80B4C">
      <w:pPr>
        <w:pStyle w:val="OutlineNumbered1"/>
      </w:pPr>
      <w:bookmarkStart w:id="59" w:name="_Ref241373773"/>
      <w:r>
        <w:t xml:space="preserve">The trustee must not give a </w:t>
      </w:r>
      <w:r w:rsidRPr="005903B4">
        <w:t>security</w:t>
      </w:r>
      <w:r>
        <w:t xml:space="preserve"> over, or in relation to, an asset of the fund.</w:t>
      </w:r>
      <w:bookmarkEnd w:id="59"/>
    </w:p>
    <w:p w14:paraId="4F1DF5A5" w14:textId="77777777" w:rsidR="0029182A" w:rsidRDefault="0029182A" w:rsidP="00F80B4C">
      <w:pPr>
        <w:pStyle w:val="OutlineNumbered2"/>
        <w:tabs>
          <w:tab w:val="clear" w:pos="2727"/>
          <w:tab w:val="num" w:pos="1418"/>
        </w:tabs>
        <w:ind w:left="1418" w:hanging="851"/>
      </w:pPr>
      <w:r>
        <w:t>However, this guidelines does not apply to:</w:t>
      </w:r>
    </w:p>
    <w:p w14:paraId="4B658D5D" w14:textId="77777777" w:rsidR="0029182A" w:rsidRDefault="0029182A" w:rsidP="009F6F0E">
      <w:pPr>
        <w:pStyle w:val="OutlineNumbered2"/>
        <w:numPr>
          <w:ilvl w:val="0"/>
          <w:numId w:val="25"/>
        </w:numPr>
      </w:pPr>
      <w:r>
        <w:t>the acquisition of a financial instrument excluded by the Commissioner from that guideline; or</w:t>
      </w:r>
    </w:p>
    <w:p w14:paraId="11ECFB22" w14:textId="77777777" w:rsidR="00F80B4C" w:rsidRDefault="0029182A" w:rsidP="009F6F0E">
      <w:pPr>
        <w:pStyle w:val="OutlineNumbered2"/>
        <w:numPr>
          <w:ilvl w:val="0"/>
          <w:numId w:val="25"/>
        </w:numPr>
      </w:pPr>
      <w:r>
        <w:t>an agreement to guarantee the repayment of any money lent by a creditor for the sole benefit of one or more *deductible gift recipients</w:t>
      </w:r>
      <w:r w:rsidR="00F80B4C">
        <w:t>.</w:t>
      </w:r>
    </w:p>
    <w:p w14:paraId="4B6B12BB" w14:textId="77777777" w:rsidR="00F80B4C" w:rsidRDefault="00F80B4C" w:rsidP="00F80B4C">
      <w:pPr>
        <w:pStyle w:val="OutlineNumbered1"/>
      </w:pPr>
      <w:r>
        <w:t xml:space="preserve">The fund must not acquire an asset (except by way of gift) from, and must not make a loan or provide any other kind of financial assistance to, a </w:t>
      </w:r>
      <w:bookmarkStart w:id="60" w:name="OLE_LINK31"/>
      <w:bookmarkStart w:id="61" w:name="OLE_LINK32"/>
      <w:r>
        <w:t>founder of the fund, a donor to the fund, the trustee, a director, officer, agent, *member or employee of the trustee, or an *associate of any of these entities</w:t>
      </w:r>
      <w:bookmarkEnd w:id="60"/>
      <w:bookmarkEnd w:id="61"/>
      <w:r>
        <w:t xml:space="preserve"> except:</w:t>
      </w:r>
    </w:p>
    <w:p w14:paraId="65BA5F6E" w14:textId="77777777" w:rsidR="00F80B4C" w:rsidRDefault="00F80B4C" w:rsidP="00F80B4C">
      <w:pPr>
        <w:pStyle w:val="bullet"/>
        <w:tabs>
          <w:tab w:val="num" w:pos="1418"/>
        </w:tabs>
        <w:ind w:left="1418" w:hanging="709"/>
      </w:pPr>
      <w:r>
        <w:lastRenderedPageBreak/>
        <w:t xml:space="preserve">by way of an arm’s length commercial transaction; </w:t>
      </w:r>
    </w:p>
    <w:p w14:paraId="39EBF473" w14:textId="77777777" w:rsidR="00F80B4C" w:rsidRDefault="00F80B4C" w:rsidP="00F80B4C">
      <w:pPr>
        <w:pStyle w:val="bullet"/>
        <w:tabs>
          <w:tab w:val="num" w:pos="1418"/>
        </w:tabs>
        <w:ind w:left="1418" w:hanging="709"/>
      </w:pPr>
      <w:r>
        <w:t xml:space="preserve">on terms more favourable to the fund than would otherwise be expected under an arm’s length transaction. </w:t>
      </w:r>
    </w:p>
    <w:p w14:paraId="2C0DB26D" w14:textId="77777777" w:rsidR="00F80B4C" w:rsidRDefault="00F80B4C" w:rsidP="00F80B4C">
      <w:pPr>
        <w:pStyle w:val="OutlineNumbered1"/>
      </w:pPr>
      <w:r>
        <w:t>The trustee must keep the assets of the fund separate from all other assets.</w:t>
      </w:r>
    </w:p>
    <w:p w14:paraId="2482C07D" w14:textId="77777777" w:rsidR="00F80B4C" w:rsidRDefault="00F80B4C" w:rsidP="00F80B4C">
      <w:pPr>
        <w:pStyle w:val="OutlineNumbered2"/>
        <w:tabs>
          <w:tab w:val="clear" w:pos="2727"/>
          <w:tab w:val="num" w:pos="1418"/>
        </w:tabs>
        <w:ind w:left="1418" w:hanging="851"/>
      </w:pPr>
      <w:r>
        <w:t>However, this guideline does not prevent a licensed trustee company or the Public Trustee of a state or territory from operating common funds for investment purposes.</w:t>
      </w:r>
    </w:p>
    <w:p w14:paraId="471F3A6D" w14:textId="77777777" w:rsidR="00F80B4C" w:rsidRPr="00BA5A53" w:rsidRDefault="00F80B4C" w:rsidP="00F80B4C">
      <w:pPr>
        <w:pStyle w:val="OutlineNumbered1"/>
      </w:pPr>
      <w:bookmarkStart w:id="62" w:name="_Ref233523615"/>
      <w:r w:rsidRPr="00BA5A53">
        <w:t>The fund must not acquire an asset (except by way of gift) if the asset is capable of being a *collectable.</w:t>
      </w:r>
      <w:bookmarkEnd w:id="62"/>
    </w:p>
    <w:p w14:paraId="14113839" w14:textId="77777777" w:rsidR="00F80B4C" w:rsidRPr="00BA5A53" w:rsidRDefault="00F80B4C" w:rsidP="00F80B4C">
      <w:pPr>
        <w:pStyle w:val="OutlineNumbered2"/>
        <w:tabs>
          <w:tab w:val="clear" w:pos="2727"/>
          <w:tab w:val="num" w:pos="1418"/>
        </w:tabs>
        <w:ind w:left="1418" w:hanging="851"/>
      </w:pPr>
      <w:r w:rsidRPr="00BA5A53">
        <w:t>If the fund acquires such an asset by way of gift, it must sell or distribute the asset within 12 months after acquiring it.</w:t>
      </w:r>
    </w:p>
    <w:p w14:paraId="73A6A743" w14:textId="77777777" w:rsidR="00F80B4C" w:rsidRDefault="00F80B4C" w:rsidP="00F80B4C">
      <w:pPr>
        <w:pStyle w:val="OutlineNumbered1"/>
      </w:pPr>
      <w:bookmarkStart w:id="63" w:name="OLE_LINK15"/>
      <w:bookmarkStart w:id="64" w:name="OLE_LINK16"/>
      <w:r>
        <w:t xml:space="preserve">The penalty </w:t>
      </w:r>
      <w:bookmarkEnd w:id="63"/>
      <w:bookmarkEnd w:id="64"/>
      <w:r>
        <w:t xml:space="preserve">in relation to each of guidelines </w:t>
      </w:r>
      <w:r>
        <w:fldChar w:fldCharType="begin"/>
      </w:r>
      <w:r>
        <w:instrText xml:space="preserve"> REF _Ref233523590 \r \h </w:instrText>
      </w:r>
      <w:r>
        <w:fldChar w:fldCharType="separate"/>
      </w:r>
      <w:r>
        <w:t>33</w:t>
      </w:r>
      <w:r>
        <w:fldChar w:fldCharType="end"/>
      </w:r>
      <w:r>
        <w:t xml:space="preserve"> to </w:t>
      </w:r>
      <w:r>
        <w:fldChar w:fldCharType="begin"/>
      </w:r>
      <w:r>
        <w:instrText xml:space="preserve"> REF _Ref233523615 \r \h </w:instrText>
      </w:r>
      <w:r>
        <w:fldChar w:fldCharType="separate"/>
      </w:r>
      <w:r>
        <w:t>38</w:t>
      </w:r>
      <w:r>
        <w:fldChar w:fldCharType="end"/>
      </w:r>
      <w:r>
        <w:t xml:space="preserve"> is 30 penalty units.</w:t>
      </w:r>
    </w:p>
    <w:p w14:paraId="5B6BBD42" w14:textId="77777777" w:rsidR="00F80B4C" w:rsidRDefault="00F80B4C" w:rsidP="00F80B4C">
      <w:pPr>
        <w:pStyle w:val="OutlineNumbered1"/>
      </w:pPr>
      <w:bookmarkStart w:id="65" w:name="_Ref233525896"/>
      <w:r>
        <w:t>The fund must not *carry on a *business.</w:t>
      </w:r>
      <w:bookmarkEnd w:id="65"/>
    </w:p>
    <w:p w14:paraId="4F4879D9" w14:textId="77777777" w:rsidR="00F80B4C" w:rsidRDefault="00F80B4C" w:rsidP="00F80B4C">
      <w:pPr>
        <w:pStyle w:val="OutlineNumbered2"/>
        <w:tabs>
          <w:tab w:val="clear" w:pos="2727"/>
          <w:tab w:val="num" w:pos="1418"/>
        </w:tabs>
        <w:ind w:left="1418" w:hanging="851"/>
      </w:pPr>
      <w:r>
        <w:t xml:space="preserve">However, a fund does not contravene this guideline merely because its investment activities, because of </w:t>
      </w:r>
      <w:r w:rsidRPr="00F83AE8">
        <w:t>re</w:t>
      </w:r>
      <w:r>
        <w:t>petition, volume and regularity, mean that it is *carrying on a *business.</w:t>
      </w:r>
    </w:p>
    <w:p w14:paraId="2A7750C0" w14:textId="77777777" w:rsidR="00F80B4C" w:rsidRDefault="00F80B4C" w:rsidP="00F80B4C">
      <w:pPr>
        <w:pStyle w:val="OutlineNumbered2"/>
        <w:tabs>
          <w:tab w:val="clear" w:pos="2727"/>
          <w:tab w:val="num" w:pos="1418"/>
        </w:tabs>
        <w:ind w:left="1418" w:hanging="851"/>
      </w:pPr>
      <w:r>
        <w:t>A fund also does not contravene this guideline if it undertakes public fundraising appeals.</w:t>
      </w:r>
    </w:p>
    <w:p w14:paraId="3E61A433" w14:textId="77777777" w:rsidR="00F80B4C" w:rsidRDefault="00F80B4C" w:rsidP="00F80B4C">
      <w:pPr>
        <w:pStyle w:val="Notelevel1"/>
      </w:pPr>
      <w:r>
        <w:t xml:space="preserve">Note 1: </w:t>
      </w:r>
      <w:r w:rsidRPr="00E220B0">
        <w:t>The holding of investments</w:t>
      </w:r>
      <w:r>
        <w:t>,</w:t>
      </w:r>
      <w:r w:rsidRPr="00E220B0">
        <w:t xml:space="preserve"> such as </w:t>
      </w:r>
      <w:r>
        <w:t xml:space="preserve">bonds, </w:t>
      </w:r>
      <w:r w:rsidRPr="00E220B0">
        <w:t>shares or rental properties</w:t>
      </w:r>
      <w:r>
        <w:t>,</w:t>
      </w:r>
      <w:r w:rsidRPr="00E220B0">
        <w:t xml:space="preserve"> for the purpose of deriving income that can be distributed to </w:t>
      </w:r>
      <w:r>
        <w:t>deductible gift recipients</w:t>
      </w:r>
      <w:r w:rsidRPr="00E220B0">
        <w:t xml:space="preserve"> is not </w:t>
      </w:r>
      <w:r>
        <w:t>subject to the carrying on a business restrictions</w:t>
      </w:r>
      <w:r w:rsidRPr="00E220B0">
        <w:t>.</w:t>
      </w:r>
    </w:p>
    <w:p w14:paraId="42E5192F" w14:textId="77777777" w:rsidR="00F80B4C" w:rsidRDefault="00F80B4C" w:rsidP="00F80B4C">
      <w:pPr>
        <w:pStyle w:val="Notelevel1"/>
      </w:pPr>
      <w:r>
        <w:t xml:space="preserve">Note 2: Fundraising appeals such as public donation appeals, lamington drives, raffles, and charity balls are not subject to the carrying on a business restrictions. </w:t>
      </w:r>
    </w:p>
    <w:p w14:paraId="6A04060D" w14:textId="77777777" w:rsidR="00F80B4C" w:rsidRDefault="00F80B4C" w:rsidP="00F80B4C">
      <w:pPr>
        <w:pStyle w:val="OutlineNumbered2"/>
        <w:tabs>
          <w:tab w:val="clear" w:pos="2727"/>
          <w:tab w:val="num" w:pos="1418"/>
        </w:tabs>
        <w:ind w:left="1418" w:hanging="851"/>
      </w:pPr>
      <w:r>
        <w:t>The penalty for a contravention of this guideline is an amount equal to 25 per cent of the net profits of the business for each *financial year during all or part of which the contravention continues.</w:t>
      </w:r>
    </w:p>
    <w:p w14:paraId="376902BB" w14:textId="62EA5757" w:rsidR="00F80B4C" w:rsidRPr="00B558DE" w:rsidRDefault="00F80B4C" w:rsidP="00C5648E">
      <w:pPr>
        <w:pStyle w:val="Heading2"/>
        <w:jc w:val="left"/>
        <w:rPr>
          <w:rFonts w:ascii="Arial" w:hAnsi="Arial" w:cs="Arial"/>
        </w:rPr>
      </w:pPr>
      <w:r w:rsidRPr="00B558DE">
        <w:rPr>
          <w:rFonts w:ascii="Arial" w:hAnsi="Arial" w:cs="Arial"/>
        </w:rPr>
        <w:t xml:space="preserve">UNCOMMERCIAL transactions and benefits to </w:t>
      </w:r>
      <w:r w:rsidR="00C5648E">
        <w:rPr>
          <w:rFonts w:ascii="Arial" w:hAnsi="Arial" w:cs="Arial"/>
        </w:rPr>
        <w:t>F</w:t>
      </w:r>
      <w:r w:rsidRPr="00B558DE">
        <w:rPr>
          <w:rFonts w:ascii="Arial" w:hAnsi="Arial" w:cs="Arial"/>
        </w:rPr>
        <w:t>ounder/donor</w:t>
      </w:r>
    </w:p>
    <w:p w14:paraId="529A89E3" w14:textId="77777777" w:rsidR="00F80B4C" w:rsidRDefault="00F80B4C" w:rsidP="00F80B4C">
      <w:pPr>
        <w:pStyle w:val="OutlineNumbered1"/>
      </w:pPr>
      <w:r>
        <w:t>The fund must not enter into any transaction that is uncommercial when entered into, unless the transaction is:</w:t>
      </w:r>
      <w:r>
        <w:tab/>
      </w:r>
    </w:p>
    <w:p w14:paraId="0DA8AE06" w14:textId="77777777" w:rsidR="00F80B4C" w:rsidRDefault="00F80B4C" w:rsidP="00F80B4C">
      <w:pPr>
        <w:pStyle w:val="bullet"/>
        <w:tabs>
          <w:tab w:val="num" w:pos="1418"/>
        </w:tabs>
        <w:ind w:left="1418" w:hanging="709"/>
      </w:pPr>
      <w:r w:rsidRPr="00704A16">
        <w:t xml:space="preserve">with a *deductible gift recipient covered by item 1 in the table in section 30-15 of the </w:t>
      </w:r>
      <w:r w:rsidRPr="00CF30DB">
        <w:rPr>
          <w:i/>
        </w:rPr>
        <w:t>Income Tax Assessment Act 1997</w:t>
      </w:r>
      <w:r>
        <w:t>; and</w:t>
      </w:r>
    </w:p>
    <w:p w14:paraId="1B28C684" w14:textId="77777777" w:rsidR="00F80B4C" w:rsidRDefault="00F80B4C" w:rsidP="00F80B4C">
      <w:pPr>
        <w:pStyle w:val="bullet"/>
        <w:tabs>
          <w:tab w:val="num" w:pos="1418"/>
        </w:tabs>
        <w:ind w:left="1418" w:hanging="709"/>
      </w:pPr>
      <w:r w:rsidRPr="00704A16">
        <w:lastRenderedPageBreak/>
        <w:t>in the course or furtherance of the fund’s purpose.</w:t>
      </w:r>
    </w:p>
    <w:p w14:paraId="0654817C" w14:textId="77777777" w:rsidR="00F80B4C" w:rsidRPr="00704A16" w:rsidRDefault="00F80B4C" w:rsidP="00F80B4C">
      <w:pPr>
        <w:pStyle w:val="OutlineNumbered2"/>
        <w:tabs>
          <w:tab w:val="clear" w:pos="2727"/>
          <w:tab w:val="num" w:pos="1418"/>
        </w:tabs>
        <w:ind w:left="1418" w:hanging="851"/>
      </w:pPr>
      <w:r>
        <w:t xml:space="preserve">However, the fund may enter into an uncommercial transaction if it is on terms more </w:t>
      </w:r>
      <w:r w:rsidRPr="004059B5">
        <w:t>favourable to the fund</w:t>
      </w:r>
      <w:r>
        <w:t xml:space="preserve"> than would otherwise be expected under an arm’s length transaction</w:t>
      </w:r>
      <w:r w:rsidRPr="004059B5">
        <w:t>.</w:t>
      </w:r>
    </w:p>
    <w:p w14:paraId="72F8291E" w14:textId="77777777" w:rsidR="00F80B4C" w:rsidRPr="00273384" w:rsidRDefault="00F80B4C" w:rsidP="00F80B4C">
      <w:pPr>
        <w:pStyle w:val="Penalty"/>
        <w:rPr>
          <w:rFonts w:ascii="Arial" w:hAnsi="Arial" w:cs="Arial"/>
          <w:sz w:val="24"/>
          <w:szCs w:val="24"/>
        </w:rPr>
      </w:pPr>
      <w:r w:rsidRPr="00273384">
        <w:rPr>
          <w:rFonts w:ascii="Arial" w:hAnsi="Arial" w:cs="Arial"/>
          <w:sz w:val="24"/>
          <w:szCs w:val="24"/>
        </w:rPr>
        <w:t xml:space="preserve">PENALTY: </w:t>
      </w:r>
      <w:r w:rsidRPr="00273384">
        <w:rPr>
          <w:rFonts w:ascii="Arial" w:hAnsi="Arial" w:cs="Arial"/>
          <w:sz w:val="24"/>
          <w:szCs w:val="24"/>
        </w:rPr>
        <w:tab/>
        <w:t>30 penalty units.</w:t>
      </w:r>
    </w:p>
    <w:p w14:paraId="354E5125" w14:textId="77777777" w:rsidR="00273384" w:rsidRDefault="00273384" w:rsidP="00F80B4C">
      <w:pPr>
        <w:pStyle w:val="Penalty"/>
      </w:pPr>
    </w:p>
    <w:p w14:paraId="188BCBD7" w14:textId="77777777" w:rsidR="00F80B4C" w:rsidRDefault="00F80B4C" w:rsidP="00F80B4C">
      <w:pPr>
        <w:pStyle w:val="OutlineNumbered1"/>
      </w:pPr>
      <w:r>
        <w:t xml:space="preserve">The fund must not *provide any material benefit </w:t>
      </w:r>
      <w:r w:rsidRPr="004059B5">
        <w:t xml:space="preserve">(except as set out in guideline </w:t>
      </w:r>
      <w:r>
        <w:rPr>
          <w:color w:val="auto"/>
        </w:rPr>
        <w:fldChar w:fldCharType="begin"/>
      </w:r>
      <w:r>
        <w:rPr>
          <w:color w:val="auto"/>
        </w:rPr>
        <w:instrText xml:space="preserve"> REF _Ref233523993 \r \h </w:instrText>
      </w:r>
      <w:r>
        <w:rPr>
          <w:color w:val="auto"/>
        </w:rPr>
      </w:r>
      <w:r>
        <w:rPr>
          <w:color w:val="auto"/>
        </w:rPr>
        <w:fldChar w:fldCharType="separate"/>
      </w:r>
      <w:r>
        <w:rPr>
          <w:color w:val="auto"/>
        </w:rPr>
        <w:t>43</w:t>
      </w:r>
      <w:r>
        <w:rPr>
          <w:color w:val="auto"/>
        </w:rPr>
        <w:fldChar w:fldCharType="end"/>
      </w:r>
      <w:r w:rsidRPr="004059B5">
        <w:t>)</w:t>
      </w:r>
      <w:r>
        <w:t>, directly or indirectly, to:</w:t>
      </w:r>
    </w:p>
    <w:p w14:paraId="4617B0F3" w14:textId="77777777" w:rsidR="00F80B4C" w:rsidRDefault="00F80B4C" w:rsidP="00F80B4C">
      <w:pPr>
        <w:pStyle w:val="bullet"/>
        <w:tabs>
          <w:tab w:val="num" w:pos="1418"/>
        </w:tabs>
        <w:ind w:left="1418" w:hanging="709"/>
      </w:pPr>
      <w:r>
        <w:t xml:space="preserve">the </w:t>
      </w:r>
      <w:r w:rsidRPr="00C06F1C">
        <w:t>trustee</w:t>
      </w:r>
      <w:r>
        <w:t>; or</w:t>
      </w:r>
    </w:p>
    <w:p w14:paraId="15EC3CD0" w14:textId="77777777" w:rsidR="00F80B4C" w:rsidRDefault="00F80B4C" w:rsidP="00F80B4C">
      <w:pPr>
        <w:pStyle w:val="bullet"/>
        <w:tabs>
          <w:tab w:val="num" w:pos="1418"/>
        </w:tabs>
        <w:ind w:left="1418" w:hanging="709"/>
      </w:pPr>
      <w:r>
        <w:t>a *member, director, employee, *agent or officer of the trustee; or</w:t>
      </w:r>
    </w:p>
    <w:p w14:paraId="22E5A592" w14:textId="77777777" w:rsidR="00F80B4C" w:rsidRDefault="00F80B4C" w:rsidP="00F80B4C">
      <w:pPr>
        <w:pStyle w:val="bullet"/>
        <w:tabs>
          <w:tab w:val="num" w:pos="1418"/>
        </w:tabs>
        <w:ind w:left="1418" w:hanging="709"/>
      </w:pPr>
      <w:r>
        <w:t>a donor to the fund; or</w:t>
      </w:r>
    </w:p>
    <w:p w14:paraId="5F0D99BE" w14:textId="77777777" w:rsidR="00F80B4C" w:rsidRDefault="00F80B4C" w:rsidP="00F80B4C">
      <w:pPr>
        <w:pStyle w:val="bullet"/>
        <w:tabs>
          <w:tab w:val="num" w:pos="1418"/>
        </w:tabs>
        <w:ind w:left="1418" w:hanging="709"/>
      </w:pPr>
      <w:r>
        <w:t>a founder of the fund; or</w:t>
      </w:r>
    </w:p>
    <w:p w14:paraId="27D007B5" w14:textId="77777777" w:rsidR="00F80B4C" w:rsidRDefault="00F80B4C" w:rsidP="00F80B4C">
      <w:pPr>
        <w:pStyle w:val="bullet"/>
        <w:tabs>
          <w:tab w:val="num" w:pos="1418"/>
        </w:tabs>
        <w:ind w:left="1418" w:hanging="709"/>
      </w:pPr>
      <w:r>
        <w:t>an *associate of any of those entities (other than a *deductible gift recipient).</w:t>
      </w:r>
    </w:p>
    <w:p w14:paraId="72C483FE" w14:textId="77777777" w:rsidR="00F80B4C" w:rsidRDefault="00273384" w:rsidP="00D06A34">
      <w:pPr>
        <w:pStyle w:val="Penalty"/>
        <w:ind w:left="1134" w:firstLine="0"/>
        <w:rPr>
          <w:rFonts w:ascii="Arial" w:hAnsi="Arial" w:cs="Arial"/>
          <w:sz w:val="24"/>
          <w:szCs w:val="24"/>
        </w:rPr>
      </w:pPr>
      <w:r>
        <w:rPr>
          <w:rFonts w:ascii="Arial" w:hAnsi="Arial" w:cs="Arial"/>
          <w:sz w:val="24"/>
          <w:szCs w:val="24"/>
        </w:rPr>
        <w:t xml:space="preserve">PENALTY: </w:t>
      </w:r>
      <w:r w:rsidR="00F80B4C" w:rsidRPr="00273384">
        <w:rPr>
          <w:rFonts w:ascii="Arial" w:hAnsi="Arial" w:cs="Arial"/>
          <w:sz w:val="24"/>
          <w:szCs w:val="24"/>
        </w:rPr>
        <w:t>An amount equal to the amount or value of the benefit provided.</w:t>
      </w:r>
    </w:p>
    <w:p w14:paraId="78088DEC" w14:textId="77777777" w:rsidR="00273384" w:rsidRPr="00273384" w:rsidRDefault="00273384" w:rsidP="00F80B4C">
      <w:pPr>
        <w:pStyle w:val="Penalty"/>
        <w:rPr>
          <w:rFonts w:ascii="Arial" w:hAnsi="Arial" w:cs="Arial"/>
          <w:sz w:val="24"/>
          <w:szCs w:val="24"/>
        </w:rPr>
      </w:pPr>
    </w:p>
    <w:p w14:paraId="7B399117" w14:textId="77777777" w:rsidR="00F80B4C" w:rsidRPr="00B558DE" w:rsidRDefault="00F80B4C" w:rsidP="00F80B4C">
      <w:pPr>
        <w:pStyle w:val="Heading2"/>
        <w:rPr>
          <w:rFonts w:ascii="Arial" w:hAnsi="Arial" w:cs="Arial"/>
        </w:rPr>
      </w:pPr>
      <w:r w:rsidRPr="00B558DE">
        <w:rPr>
          <w:rFonts w:ascii="Arial" w:hAnsi="Arial" w:cs="Arial"/>
        </w:rPr>
        <w:t>Fees and expenses</w:t>
      </w:r>
    </w:p>
    <w:p w14:paraId="6A801105" w14:textId="77777777" w:rsidR="00F80B4C" w:rsidRDefault="00F80B4C" w:rsidP="00F80B4C">
      <w:pPr>
        <w:pStyle w:val="OutlineNumbered1"/>
      </w:pPr>
      <w:bookmarkStart w:id="66" w:name="_Ref233523993"/>
      <w:r>
        <w:t>The trustee may apply income or capital of a *public ancillary fund:</w:t>
      </w:r>
      <w:bookmarkEnd w:id="66"/>
    </w:p>
    <w:p w14:paraId="4E19DBC9" w14:textId="77777777" w:rsidR="00F80B4C" w:rsidRDefault="00F80B4C" w:rsidP="00F80B4C">
      <w:pPr>
        <w:pStyle w:val="bullet"/>
        <w:tabs>
          <w:tab w:val="num" w:pos="1418"/>
        </w:tabs>
        <w:ind w:left="1418" w:hanging="709"/>
      </w:pPr>
      <w:r>
        <w:t>to reimburse the trustee for reasonable expenses incurred on behalf of the fund; and</w:t>
      </w:r>
    </w:p>
    <w:p w14:paraId="5111883C" w14:textId="77777777" w:rsidR="00F80B4C" w:rsidRDefault="00F80B4C" w:rsidP="00F80B4C">
      <w:pPr>
        <w:pStyle w:val="bullet"/>
        <w:tabs>
          <w:tab w:val="num" w:pos="1418"/>
        </w:tabs>
        <w:ind w:left="1418" w:hanging="709"/>
      </w:pPr>
      <w:r>
        <w:t>to pay fair and reasonable remuneration for the trustee’s services in administering the fund.</w:t>
      </w:r>
    </w:p>
    <w:p w14:paraId="28A433F3" w14:textId="77777777" w:rsidR="00F80B4C" w:rsidRDefault="00F80B4C" w:rsidP="00F80B4C">
      <w:pPr>
        <w:pStyle w:val="Notelevel1"/>
      </w:pPr>
      <w:r w:rsidRPr="00C16411">
        <w:t xml:space="preserve">Note: A trustee incurs reasonable expenses on behalf of a fund when providing </w:t>
      </w:r>
      <w:r>
        <w:t xml:space="preserve">reasonable remuneration </w:t>
      </w:r>
      <w:r w:rsidRPr="00C16411">
        <w:t xml:space="preserve">benefits to </w:t>
      </w:r>
      <w:r>
        <w:t>some of the individuals listed in g</w:t>
      </w:r>
      <w:r w:rsidRPr="00C16411">
        <w:t>uideline 4</w:t>
      </w:r>
      <w:r>
        <w:t>2 (including</w:t>
      </w:r>
      <w:r w:rsidRPr="00C16411">
        <w:t xml:space="preserve"> providing benefits of a minor or incidental nature to an</w:t>
      </w:r>
      <w:r>
        <w:t xml:space="preserve"> employee)</w:t>
      </w:r>
      <w:r w:rsidRPr="00A83B5C">
        <w:rPr>
          <w:i w:val="0"/>
        </w:rPr>
        <w:t>.</w:t>
      </w:r>
    </w:p>
    <w:p w14:paraId="3E69B610" w14:textId="77777777" w:rsidR="00F80B4C" w:rsidRPr="00B558DE" w:rsidRDefault="00F80B4C" w:rsidP="00F80B4C">
      <w:pPr>
        <w:pStyle w:val="Heading2"/>
        <w:rPr>
          <w:rFonts w:ascii="Arial" w:hAnsi="Arial" w:cs="Arial"/>
        </w:rPr>
      </w:pPr>
      <w:r w:rsidRPr="00B558DE">
        <w:rPr>
          <w:rFonts w:ascii="Arial" w:hAnsi="Arial" w:cs="Arial"/>
        </w:rPr>
        <w:t>donors</w:t>
      </w:r>
    </w:p>
    <w:p w14:paraId="787A53E8" w14:textId="77777777" w:rsidR="00F80B4C" w:rsidRDefault="00F80B4C" w:rsidP="00F80B4C">
      <w:pPr>
        <w:pStyle w:val="OutlineNumbered1"/>
      </w:pPr>
      <w:r>
        <w:t>The fund must be public in nature.</w:t>
      </w:r>
      <w:r>
        <w:rPr>
          <w:rStyle w:val="FootnoteReference"/>
        </w:rPr>
        <w:footnoteReference w:id="1"/>
      </w:r>
    </w:p>
    <w:p w14:paraId="07F1F228" w14:textId="77777777" w:rsidR="00F80B4C" w:rsidRDefault="00F80B4C" w:rsidP="00F80B4C">
      <w:pPr>
        <w:pStyle w:val="Notelevel1"/>
      </w:pPr>
      <w:r w:rsidRPr="00C16411">
        <w:lastRenderedPageBreak/>
        <w:t>Note</w:t>
      </w:r>
      <w:r w:rsidR="0029182A">
        <w:t xml:space="preserve"> 1</w:t>
      </w:r>
      <w:r w:rsidRPr="00C16411">
        <w:t xml:space="preserve">: </w:t>
      </w:r>
      <w:r>
        <w:t>A</w:t>
      </w:r>
      <w:r w:rsidRPr="001871D4">
        <w:t xml:space="preserve"> fund will be </w:t>
      </w:r>
      <w:r w:rsidRPr="00146A3E">
        <w:t xml:space="preserve">public in nature where it is the intention of the founders or promoters of the fund that the public will contribute to the fund </w:t>
      </w:r>
      <w:r>
        <w:t>and that the public participates in the administration of the fund.</w:t>
      </w:r>
    </w:p>
    <w:p w14:paraId="67E39A35" w14:textId="77777777" w:rsidR="0029182A" w:rsidRDefault="0029182A" w:rsidP="00F80B4C">
      <w:pPr>
        <w:pStyle w:val="Notelevel1"/>
      </w:pPr>
      <w:r>
        <w:t xml:space="preserve">Note 2: </w:t>
      </w:r>
      <w:r w:rsidR="000D703A">
        <w:t>Due to the public nature of the fund, it will generally be good practice for a trustee to review, amongst other things, the purpose(s) of the fund and any non-binding preferences indicated by donors, before making distributions, unless the governing rules of the fund provide otherwise.</w:t>
      </w:r>
    </w:p>
    <w:p w14:paraId="219FCD81" w14:textId="77777777" w:rsidR="00F80B4C" w:rsidRDefault="00F80B4C" w:rsidP="00F80B4C">
      <w:pPr>
        <w:pStyle w:val="OutlineNumbered1"/>
      </w:pPr>
      <w:r>
        <w:t>The public must be invited to contribute to the fund.</w:t>
      </w:r>
    </w:p>
    <w:p w14:paraId="0A9B9712" w14:textId="77777777" w:rsidR="00273384" w:rsidRDefault="00F80B4C" w:rsidP="00273384">
      <w:pPr>
        <w:pStyle w:val="Notelevel1"/>
      </w:pPr>
      <w:r w:rsidRPr="00F210C6">
        <w:t>Note 1: The features of a *public ancillary fund can be contrasted with those of a private ancillary fund, because these funds can collect donations from the public.</w:t>
      </w:r>
    </w:p>
    <w:p w14:paraId="0DFF52C7" w14:textId="77777777" w:rsidR="00F80B4C" w:rsidRPr="00273384" w:rsidRDefault="00F80B4C" w:rsidP="00273384">
      <w:pPr>
        <w:pStyle w:val="Notelevel1"/>
      </w:pPr>
      <w:r w:rsidRPr="00273384">
        <w:t xml:space="preserve">Note 2: A public ancillary fund may establish sub-funds in relation to contributions from particular donors. However, the fund must be under no obligation to comply with any requests from a donor. </w:t>
      </w:r>
      <w:bookmarkStart w:id="67" w:name="OLE_LINK34"/>
      <w:bookmarkStart w:id="68" w:name="OLE_LINK35"/>
    </w:p>
    <w:bookmarkEnd w:id="67"/>
    <w:bookmarkEnd w:id="68"/>
    <w:p w14:paraId="1717497A" w14:textId="77777777" w:rsidR="00F80B4C" w:rsidRDefault="00F80B4C" w:rsidP="00F80B4C">
      <w:pPr>
        <w:pStyle w:val="OutlineNumbered1"/>
      </w:pPr>
      <w:r>
        <w:t>The fund must issue a receipt (upon request) in respect of each gift it receives.</w:t>
      </w:r>
    </w:p>
    <w:p w14:paraId="736A9519" w14:textId="77777777" w:rsidR="00F80B4C" w:rsidRDefault="00F80B4C" w:rsidP="00F80B4C">
      <w:pPr>
        <w:pStyle w:val="OutlineNumbered2"/>
        <w:tabs>
          <w:tab w:val="clear" w:pos="2727"/>
          <w:tab w:val="num" w:pos="1418"/>
        </w:tabs>
        <w:ind w:left="1418" w:hanging="851"/>
      </w:pPr>
      <w:r>
        <w:t>The receipt must include the name and *ABN of the fund and the name of the donor and must state that the receipt is for a gift received by the fund.</w:t>
      </w:r>
    </w:p>
    <w:p w14:paraId="5AE6E0BC" w14:textId="77777777" w:rsidR="00F80B4C" w:rsidRDefault="00F80B4C" w:rsidP="00F80B4C">
      <w:pPr>
        <w:pStyle w:val="Notelevel1"/>
      </w:pPr>
      <w:r>
        <w:t>Note: See section 30-228 of the Income Tax Assessment Act 1997 for further rules about receipts to be issued by deductible gift recipients.</w:t>
      </w:r>
    </w:p>
    <w:p w14:paraId="6648617D" w14:textId="77777777" w:rsidR="00F80B4C" w:rsidRPr="007D7D02" w:rsidRDefault="00F80B4C" w:rsidP="00F80B4C">
      <w:pPr>
        <w:pStyle w:val="Heading2"/>
        <w:rPr>
          <w:rFonts w:ascii="Arial" w:hAnsi="Arial" w:cs="Arial"/>
        </w:rPr>
      </w:pPr>
      <w:r w:rsidRPr="007D7D02">
        <w:rPr>
          <w:rFonts w:ascii="Arial" w:hAnsi="Arial" w:cs="Arial"/>
        </w:rPr>
        <w:t>Compliance with all relevant laws</w:t>
      </w:r>
    </w:p>
    <w:p w14:paraId="01D0E669" w14:textId="77777777" w:rsidR="00F80B4C" w:rsidRDefault="00F80B4C" w:rsidP="00F80B4C">
      <w:pPr>
        <w:pStyle w:val="OutlineNumbered1"/>
      </w:pPr>
      <w:r>
        <w:t>The fund must comply with all relevant *Australian laws, all legally binding directions given to it by the Commissioner and all the requirements contained in these Guidelines.</w:t>
      </w:r>
    </w:p>
    <w:p w14:paraId="4623F022" w14:textId="77777777" w:rsidR="00F80B4C" w:rsidRDefault="00F80B4C" w:rsidP="00F80B4C">
      <w:pPr>
        <w:pStyle w:val="OutlineNumbered1"/>
      </w:pPr>
      <w:r>
        <w:t>The trustee must ensure that the fund’s distributions to *deductible gift recipients do not put at risk the validity of the trust under *State law or *Territory law.</w:t>
      </w:r>
    </w:p>
    <w:p w14:paraId="6BC025B6" w14:textId="77777777" w:rsidR="00F80B4C" w:rsidRPr="002D5A73" w:rsidRDefault="00F80B4C" w:rsidP="00F80B4C">
      <w:pPr>
        <w:pStyle w:val="Notelevel1"/>
      </w:pPr>
      <w:bookmarkStart w:id="69" w:name="_Toc233525053"/>
      <w:r w:rsidRPr="002D5A73">
        <w:t xml:space="preserve">Note: </w:t>
      </w:r>
      <w:r>
        <w:t>In some states and territories, distributions cannot be lawfully made from a charitable fund to a non</w:t>
      </w:r>
      <w:r>
        <w:noBreakHyphen/>
        <w:t>charitable deductible gift recipient.</w:t>
      </w:r>
    </w:p>
    <w:p w14:paraId="4573B466" w14:textId="77777777" w:rsidR="00F80B4C" w:rsidRPr="00755045" w:rsidRDefault="00F80B4C" w:rsidP="00F80B4C">
      <w:pPr>
        <w:pStyle w:val="Heading1"/>
        <w:spacing w:before="480"/>
        <w:rPr>
          <w:rFonts w:ascii="Arial" w:hAnsi="Arial" w:cs="Arial"/>
        </w:rPr>
      </w:pPr>
      <w:r w:rsidRPr="00755045">
        <w:rPr>
          <w:rFonts w:ascii="Arial" w:hAnsi="Arial" w:cs="Arial"/>
        </w:rPr>
        <w:t>WINDING</w:t>
      </w:r>
      <w:r>
        <w:rPr>
          <w:rFonts w:ascii="Arial" w:hAnsi="Arial" w:cs="Arial"/>
        </w:rPr>
        <w:t xml:space="preserve"> </w:t>
      </w:r>
      <w:r w:rsidRPr="00755045">
        <w:rPr>
          <w:rFonts w:ascii="Arial" w:hAnsi="Arial" w:cs="Arial"/>
        </w:rPr>
        <w:t>UP A P</w:t>
      </w:r>
      <w:r>
        <w:rPr>
          <w:rFonts w:ascii="Arial" w:hAnsi="Arial" w:cs="Arial"/>
        </w:rPr>
        <w:t>ublic</w:t>
      </w:r>
      <w:r w:rsidRPr="00755045">
        <w:rPr>
          <w:rFonts w:ascii="Arial" w:hAnsi="Arial" w:cs="Arial"/>
        </w:rPr>
        <w:t xml:space="preserve"> ANCILLARY FUND</w:t>
      </w:r>
      <w:bookmarkEnd w:id="69"/>
      <w:r>
        <w:rPr>
          <w:rFonts w:ascii="Arial" w:hAnsi="Arial" w:cs="Arial"/>
        </w:rPr>
        <w:t xml:space="preserve"> or transfering funds to aNOTher ancillary fund</w:t>
      </w:r>
    </w:p>
    <w:p w14:paraId="02DC7B82" w14:textId="77777777" w:rsidR="00F80B4C" w:rsidRPr="007D7D02" w:rsidRDefault="00F80B4C" w:rsidP="00F80B4C">
      <w:pPr>
        <w:pStyle w:val="Heading2"/>
        <w:rPr>
          <w:rFonts w:ascii="Arial" w:hAnsi="Arial" w:cs="Arial"/>
        </w:rPr>
      </w:pPr>
      <w:r w:rsidRPr="007D7D02">
        <w:rPr>
          <w:rFonts w:ascii="Arial" w:hAnsi="Arial" w:cs="Arial"/>
        </w:rPr>
        <w:t>Winding up or ceasing to be a p</w:t>
      </w:r>
      <w:r>
        <w:rPr>
          <w:rFonts w:ascii="Arial" w:hAnsi="Arial" w:cs="Arial"/>
        </w:rPr>
        <w:t>ublic</w:t>
      </w:r>
      <w:r w:rsidRPr="007D7D02">
        <w:rPr>
          <w:rFonts w:ascii="Arial" w:hAnsi="Arial" w:cs="Arial"/>
        </w:rPr>
        <w:t xml:space="preserve"> ancillary fund</w:t>
      </w:r>
    </w:p>
    <w:p w14:paraId="5F7AE485" w14:textId="77777777" w:rsidR="00F80B4C" w:rsidRDefault="00F80B4C" w:rsidP="00F80B4C">
      <w:pPr>
        <w:pStyle w:val="OutlineNumbered1"/>
      </w:pPr>
      <w:r>
        <w:t xml:space="preserve">Except as set out in guideline 50, if the fund winds up or ceases to be a *public ancillary fund, all the fund’s net assets must be provided as </w:t>
      </w:r>
      <w:r>
        <w:lastRenderedPageBreak/>
        <w:t>described in paragraph (a) of item 2 in the table in section 30</w:t>
      </w:r>
      <w:r>
        <w:noBreakHyphen/>
        <w:t xml:space="preserve">15 of the </w:t>
      </w:r>
      <w:r w:rsidRPr="004D5C05">
        <w:rPr>
          <w:i/>
        </w:rPr>
        <w:t>Income Tax Assessment Act 1997</w:t>
      </w:r>
      <w:r>
        <w:t>.</w:t>
      </w:r>
    </w:p>
    <w:p w14:paraId="089DA84D" w14:textId="77777777" w:rsidR="00F80B4C" w:rsidRDefault="00F80B4C" w:rsidP="00F80B4C">
      <w:pPr>
        <w:pStyle w:val="Notelevel1"/>
      </w:pPr>
      <w:r>
        <w:t xml:space="preserve">Note: see note to guideline </w:t>
      </w:r>
      <w:r>
        <w:fldChar w:fldCharType="begin"/>
      </w:r>
      <w:r>
        <w:instrText xml:space="preserve"> REF _Ref241477152 \r \h </w:instrText>
      </w:r>
      <w:r>
        <w:fldChar w:fldCharType="separate"/>
      </w:r>
      <w:r>
        <w:t>10</w:t>
      </w:r>
      <w:r>
        <w:fldChar w:fldCharType="end"/>
      </w:r>
      <w:r>
        <w:t>.</w:t>
      </w:r>
    </w:p>
    <w:p w14:paraId="234E3E42" w14:textId="77777777" w:rsidR="00F80B4C" w:rsidRPr="00593847" w:rsidRDefault="00F80B4C" w:rsidP="00F80B4C">
      <w:pPr>
        <w:pStyle w:val="Heading2"/>
        <w:rPr>
          <w:rFonts w:ascii="Arial" w:hAnsi="Arial"/>
          <w:bCs/>
        </w:rPr>
      </w:pPr>
      <w:r>
        <w:rPr>
          <w:rFonts w:ascii="Arial" w:hAnsi="Arial"/>
          <w:bCs/>
        </w:rPr>
        <w:t>Portability</w:t>
      </w:r>
    </w:p>
    <w:p w14:paraId="0BB72ADE" w14:textId="77777777" w:rsidR="00F80B4C" w:rsidRDefault="00F80B4C" w:rsidP="00F80B4C">
      <w:pPr>
        <w:pStyle w:val="OutlineNumbered1"/>
      </w:pPr>
      <w:r>
        <w:t>With the agreement of the Commissioner, a *public ancillary fund may transfer assets to another *ancillary fund if:</w:t>
      </w:r>
    </w:p>
    <w:p w14:paraId="0CF445AB" w14:textId="77777777" w:rsidR="00F80B4C" w:rsidRDefault="00F80B4C" w:rsidP="00F80B4C">
      <w:pPr>
        <w:pStyle w:val="bullet"/>
        <w:ind w:left="1191" w:hanging="471"/>
      </w:pPr>
      <w:r>
        <w:t>it transfers all of its net assets to that ancillary fund (or if the public ancillary fund has sub-funds, it transfers all of the net assets of the sub-fund to that ancillary fund); and</w:t>
      </w:r>
    </w:p>
    <w:p w14:paraId="12215B62" w14:textId="77777777" w:rsidR="00F80B4C" w:rsidRDefault="00F80B4C" w:rsidP="00F80B4C">
      <w:pPr>
        <w:pStyle w:val="bullet"/>
        <w:ind w:left="1191" w:hanging="471"/>
      </w:pPr>
      <w:r>
        <w:t>it has already complied with guidelines 19 to 19.6 (as affected by Part 3) for that financial year (about minimum annual distributions); and</w:t>
      </w:r>
    </w:p>
    <w:p w14:paraId="24BB832A" w14:textId="77777777" w:rsidR="00F80B4C" w:rsidRDefault="00F80B4C" w:rsidP="00F80B4C">
      <w:pPr>
        <w:pStyle w:val="bullet"/>
        <w:ind w:left="1191" w:hanging="471"/>
      </w:pPr>
      <w:r>
        <w:t>the net assets have not previously been transferred to another ancillary fund during the previous 2 financial years.</w:t>
      </w:r>
    </w:p>
    <w:p w14:paraId="48A39D73" w14:textId="77777777" w:rsidR="00F80B4C" w:rsidRPr="00B853C3" w:rsidRDefault="00B853C3" w:rsidP="009D68AD">
      <w:pPr>
        <w:pStyle w:val="OutlineNumbered1"/>
        <w:numPr>
          <w:ilvl w:val="0"/>
          <w:numId w:val="0"/>
        </w:numPr>
        <w:ind w:left="1418" w:hanging="851"/>
        <w:rPr>
          <w:bCs/>
        </w:rPr>
      </w:pPr>
      <w:r w:rsidRPr="009F6F0E">
        <w:rPr>
          <w:bCs/>
        </w:rPr>
        <w:t xml:space="preserve">50.1 </w:t>
      </w:r>
      <w:r w:rsidR="00D567A7">
        <w:rPr>
          <w:bCs/>
        </w:rPr>
        <w:t xml:space="preserve">  </w:t>
      </w:r>
      <w:r w:rsidRPr="009F6F0E">
        <w:rPr>
          <w:bCs/>
        </w:rPr>
        <w:t>The Commissioner must not agree to the transfer of assets between *ancillary funds if the transfer involves moving assets contributed, either directly or indirectly, by the general public from a public ancillary fund to a private ancillary fund.</w:t>
      </w:r>
      <w:r w:rsidR="00F80B4C" w:rsidRPr="009F6F0E">
        <w:rPr>
          <w:bCs/>
        </w:rPr>
        <w:br w:type="page"/>
      </w:r>
    </w:p>
    <w:p w14:paraId="47DC31A6" w14:textId="77777777" w:rsidR="00F80B4C" w:rsidRPr="00755045" w:rsidRDefault="00F80B4C" w:rsidP="00F80B4C">
      <w:pPr>
        <w:pStyle w:val="Scheduletitle"/>
        <w:ind w:left="0" w:firstLine="0"/>
        <w:rPr>
          <w:rStyle w:val="CharAmSchNo"/>
          <w:rFonts w:cs="Arial"/>
        </w:rPr>
      </w:pPr>
      <w:r>
        <w:rPr>
          <w:rStyle w:val="CharAmSchNo"/>
          <w:rFonts w:cs="Arial"/>
        </w:rPr>
        <w:lastRenderedPageBreak/>
        <w:t>PART</w:t>
      </w:r>
      <w:r w:rsidRPr="00755045">
        <w:rPr>
          <w:rStyle w:val="CharAmSchNo"/>
          <w:rFonts w:cs="Arial"/>
        </w:rPr>
        <w:t xml:space="preserve"> </w:t>
      </w:r>
      <w:r>
        <w:rPr>
          <w:rStyle w:val="CharAmSchNo"/>
          <w:rFonts w:cs="Arial"/>
        </w:rPr>
        <w:t>3</w:t>
      </w:r>
      <w:r w:rsidRPr="00755045">
        <w:rPr>
          <w:rStyle w:val="CharAmSchNo"/>
          <w:rFonts w:cs="Arial"/>
        </w:rPr>
        <w:tab/>
        <w:t xml:space="preserve">TRANSITIONAL </w:t>
      </w:r>
      <w:r>
        <w:rPr>
          <w:rStyle w:val="CharAmSchNo"/>
          <w:rFonts w:cs="Arial"/>
        </w:rPr>
        <w:t>RULES</w:t>
      </w:r>
      <w:r w:rsidRPr="00755045">
        <w:rPr>
          <w:rStyle w:val="CharAmSchNo"/>
          <w:rFonts w:cs="Arial"/>
        </w:rPr>
        <w:t xml:space="preserve"> </w:t>
      </w:r>
      <w:r>
        <w:rPr>
          <w:rStyle w:val="CharAmSchNo"/>
          <w:rFonts w:cs="Arial"/>
        </w:rPr>
        <w:t>FOR</w:t>
      </w:r>
      <w:r w:rsidRPr="00755045">
        <w:rPr>
          <w:rStyle w:val="CharAmSchNo"/>
          <w:rFonts w:cs="Arial"/>
        </w:rPr>
        <w:t xml:space="preserve"> </w:t>
      </w:r>
      <w:r>
        <w:rPr>
          <w:rStyle w:val="CharAmSchNo"/>
          <w:rFonts w:cs="Arial"/>
        </w:rPr>
        <w:t xml:space="preserve">PUBLIC ANCILLARY </w:t>
      </w:r>
      <w:r w:rsidRPr="00755045">
        <w:rPr>
          <w:rStyle w:val="CharAmSchNo"/>
          <w:rFonts w:cs="Arial"/>
        </w:rPr>
        <w:t>FUNDS</w:t>
      </w:r>
    </w:p>
    <w:p w14:paraId="65698438" w14:textId="77777777" w:rsidR="00F80B4C" w:rsidRDefault="00F80B4C" w:rsidP="00F80B4C">
      <w:pPr>
        <w:rPr>
          <w:rFonts w:ascii="Arial" w:hAnsi="Arial" w:cs="Arial"/>
        </w:rPr>
      </w:pPr>
    </w:p>
    <w:p w14:paraId="1C024D29" w14:textId="77777777" w:rsidR="00F80B4C" w:rsidRPr="00761430" w:rsidRDefault="00F80B4C" w:rsidP="00F80B4C">
      <w:pPr>
        <w:pStyle w:val="Heading1"/>
        <w:rPr>
          <w:rFonts w:ascii="Arial" w:hAnsi="Arial"/>
          <w:bCs/>
        </w:rPr>
      </w:pPr>
      <w:bookmarkStart w:id="70" w:name="_Toc233525054"/>
      <w:r>
        <w:rPr>
          <w:rFonts w:ascii="Arial" w:hAnsi="Arial"/>
          <w:bCs/>
        </w:rPr>
        <w:t>Introduction</w:t>
      </w:r>
      <w:bookmarkEnd w:id="70"/>
    </w:p>
    <w:p w14:paraId="1F56D831" w14:textId="77777777" w:rsidR="00F80B4C" w:rsidRDefault="00F80B4C" w:rsidP="00F80B4C">
      <w:pPr>
        <w:pStyle w:val="OutlineNumbered1"/>
      </w:pPr>
      <w:r>
        <w:t xml:space="preserve">These transitional rules apply to a *public ancillary fund that was a public fund </w:t>
      </w:r>
      <w:r w:rsidRPr="00A83B5C">
        <w:t xml:space="preserve">endorsed as a *deductible gift recipient in item 2 in the table in section 30-15 of the </w:t>
      </w:r>
      <w:r w:rsidRPr="00A83B5C">
        <w:rPr>
          <w:i/>
        </w:rPr>
        <w:t>Income Tax Assessment Act 1997</w:t>
      </w:r>
      <w:r w:rsidRPr="00A83B5C">
        <w:t xml:space="preserve"> at the end of 31 December 2011.</w:t>
      </w:r>
    </w:p>
    <w:p w14:paraId="61B08F6A" w14:textId="77777777" w:rsidR="00F80B4C" w:rsidRDefault="00F80B4C" w:rsidP="00F80B4C">
      <w:pPr>
        <w:pStyle w:val="OutlineNumbered2"/>
        <w:tabs>
          <w:tab w:val="clear" w:pos="2727"/>
          <w:tab w:val="num" w:pos="1418"/>
        </w:tabs>
        <w:ind w:left="1418" w:hanging="851"/>
      </w:pPr>
      <w:r>
        <w:t>These transitional rules are intended to help a public ancillary fund make the transition into the new regime.</w:t>
      </w:r>
    </w:p>
    <w:p w14:paraId="4D7AB783" w14:textId="77777777" w:rsidR="00F80B4C" w:rsidRPr="00273384" w:rsidRDefault="00F80B4C" w:rsidP="00273384">
      <w:pPr>
        <w:pStyle w:val="Heading1"/>
        <w:spacing w:before="480"/>
        <w:rPr>
          <w:rFonts w:ascii="Arial" w:hAnsi="Arial"/>
          <w:bCs/>
        </w:rPr>
      </w:pPr>
      <w:bookmarkStart w:id="71" w:name="_Toc233525056"/>
      <w:bookmarkStart w:id="72" w:name="OLE_LINK25"/>
      <w:bookmarkStart w:id="73" w:name="OLE_LINK26"/>
      <w:r>
        <w:rPr>
          <w:rFonts w:ascii="Arial" w:hAnsi="Arial"/>
          <w:bCs/>
        </w:rPr>
        <w:t>governing rules inconsistent with these Guidelines</w:t>
      </w:r>
      <w:bookmarkEnd w:id="71"/>
      <w:bookmarkEnd w:id="72"/>
      <w:bookmarkEnd w:id="73"/>
    </w:p>
    <w:p w14:paraId="77DF0CE7" w14:textId="77777777" w:rsidR="00273384" w:rsidRDefault="00CE5143" w:rsidP="00273384">
      <w:pPr>
        <w:pStyle w:val="OutlineNumbered1"/>
        <w:numPr>
          <w:ilvl w:val="0"/>
          <w:numId w:val="0"/>
        </w:numPr>
        <w:spacing w:after="0"/>
        <w:ind w:left="709" w:hanging="567"/>
      </w:pPr>
      <w:bookmarkStart w:id="74" w:name="tempbookmark"/>
      <w:r>
        <w:t>56.</w:t>
      </w:r>
      <w:r>
        <w:tab/>
      </w:r>
      <w:r w:rsidR="00F80B4C">
        <w:t>If a fund does not have a trustee that is a *constitutional</w:t>
      </w:r>
      <w:r w:rsidR="00D567A7">
        <w:t xml:space="preserve"> </w:t>
      </w:r>
      <w:r w:rsidR="00F80B4C">
        <w:t xml:space="preserve">corporation, then guideline 14 does not apply to the fund. Instead, at least a majority of individuals who are trustees of the fund must have a </w:t>
      </w:r>
      <w:r w:rsidR="00F80B4C" w:rsidRPr="00204987">
        <w:t xml:space="preserve">degree of responsibility to the </w:t>
      </w:r>
      <w:r w:rsidR="00F80B4C">
        <w:t xml:space="preserve">Australian </w:t>
      </w:r>
      <w:r w:rsidR="00F80B4C" w:rsidRPr="00204987">
        <w:t>community</w:t>
      </w:r>
      <w:r w:rsidR="00F80B4C">
        <w:t xml:space="preserve"> as a whole.</w:t>
      </w:r>
      <w:bookmarkEnd w:id="74"/>
    </w:p>
    <w:p w14:paraId="42FF04D6" w14:textId="77777777" w:rsidR="00273384" w:rsidRDefault="00273384" w:rsidP="00273384">
      <w:pPr>
        <w:pStyle w:val="OutlineNumbered1"/>
        <w:numPr>
          <w:ilvl w:val="0"/>
          <w:numId w:val="0"/>
        </w:numPr>
        <w:spacing w:after="0"/>
        <w:ind w:left="709" w:hanging="567"/>
      </w:pPr>
    </w:p>
    <w:p w14:paraId="4C695671" w14:textId="77777777" w:rsidR="007500C8" w:rsidRPr="00273384" w:rsidRDefault="00273384" w:rsidP="00273384">
      <w:pPr>
        <w:pStyle w:val="OutlineNumbered1"/>
        <w:numPr>
          <w:ilvl w:val="0"/>
          <w:numId w:val="0"/>
        </w:numPr>
        <w:spacing w:after="0"/>
        <w:ind w:left="709" w:hanging="567"/>
      </w:pPr>
      <w:r>
        <w:t>57.</w:t>
      </w:r>
      <w:r>
        <w:tab/>
      </w:r>
      <w:r w:rsidR="00F80B4C">
        <w:t xml:space="preserve">If a fund has an existing borrowing as at 31 December 2011, the fund may maintain that borrowing despite guideline </w:t>
      </w:r>
      <w:r w:rsidR="00F80B4C">
        <w:fldChar w:fldCharType="begin"/>
      </w:r>
      <w:r w:rsidR="00F80B4C">
        <w:instrText xml:space="preserve"> REF _Ref233523590 \r \h </w:instrText>
      </w:r>
      <w:r w:rsidR="00F80B4C">
        <w:fldChar w:fldCharType="separate"/>
      </w:r>
      <w:r w:rsidR="00F80B4C">
        <w:t>33</w:t>
      </w:r>
      <w:r w:rsidR="00F80B4C">
        <w:fldChar w:fldCharType="end"/>
      </w:r>
      <w:r w:rsidR="00F80B4C">
        <w:t>. However, the fund may not alter the terms of the borrowing without the prior agreement of the Commissioner</w:t>
      </w:r>
    </w:p>
    <w:p w14:paraId="0025F895" w14:textId="77777777" w:rsidR="00715914" w:rsidRPr="007A1328" w:rsidRDefault="00715914" w:rsidP="00715914"/>
    <w:p w14:paraId="4BBE2333" w14:textId="77777777" w:rsidR="00715914" w:rsidRDefault="00715914" w:rsidP="00715914">
      <w:pPr>
        <w:sectPr w:rsidR="00715914" w:rsidSect="007177E0">
          <w:headerReference w:type="even" r:id="rId19"/>
          <w:headerReference w:type="default" r:id="rId20"/>
          <w:footerReference w:type="even" r:id="rId21"/>
          <w:footerReference w:type="default" r:id="rId22"/>
          <w:headerReference w:type="first" r:id="rId23"/>
          <w:pgSz w:w="11907" w:h="16839"/>
          <w:pgMar w:top="2378" w:right="1797" w:bottom="1440" w:left="1797" w:header="720" w:footer="709" w:gutter="0"/>
          <w:pgNumType w:fmt="lowerRoman" w:start="1"/>
          <w:cols w:space="708"/>
          <w:docGrid w:linePitch="360"/>
        </w:sectPr>
      </w:pPr>
    </w:p>
    <w:p w14:paraId="585948C6" w14:textId="77777777" w:rsidR="002F1C9A" w:rsidRPr="001778F8" w:rsidRDefault="002F1C9A" w:rsidP="00F80B4C">
      <w:pPr>
        <w:pStyle w:val="ENotesHeading1"/>
      </w:pPr>
      <w:r>
        <w:lastRenderedPageBreak/>
        <w:t>Endnotes</w:t>
      </w:r>
    </w:p>
    <w:p w14:paraId="7449B5B5" w14:textId="77777777" w:rsidR="002F1C9A" w:rsidRPr="00BC57F4" w:rsidRDefault="002F1C9A" w:rsidP="00F80B4C">
      <w:pPr>
        <w:pStyle w:val="ENotesHeading2"/>
      </w:pPr>
      <w:r w:rsidRPr="00BC57F4">
        <w:t>Endnote 1—About the endnotes</w:t>
      </w:r>
    </w:p>
    <w:p w14:paraId="4ACCE288" w14:textId="77777777" w:rsidR="002F1C9A" w:rsidRPr="00BC57F4" w:rsidRDefault="002F1C9A" w:rsidP="00F80B4C">
      <w:r w:rsidRPr="00BC57F4">
        <w:t>The endnotes provide details of the history of this</w:t>
      </w:r>
      <w:r>
        <w:t xml:space="preserve"> legislation</w:t>
      </w:r>
      <w:r w:rsidRPr="00BC57F4">
        <w:t xml:space="preserve"> and its provisions. The following endnotes are included in each compilation:</w:t>
      </w:r>
    </w:p>
    <w:p w14:paraId="311B45F6" w14:textId="77777777" w:rsidR="002F1C9A" w:rsidRPr="00BC57F4" w:rsidRDefault="002F1C9A" w:rsidP="00F80B4C"/>
    <w:p w14:paraId="7E57BDF0" w14:textId="77777777" w:rsidR="002F1C9A" w:rsidRPr="00BC57F4" w:rsidRDefault="002F1C9A" w:rsidP="00F80B4C">
      <w:r w:rsidRPr="00BC57F4">
        <w:t>Endnote 1—About the endnotes</w:t>
      </w:r>
    </w:p>
    <w:p w14:paraId="071E9CA6" w14:textId="77777777" w:rsidR="002F1C9A" w:rsidRPr="00BC57F4" w:rsidRDefault="002F1C9A" w:rsidP="00F80B4C">
      <w:r w:rsidRPr="00BC57F4">
        <w:t>Endnote 2—Abbreviation key</w:t>
      </w:r>
    </w:p>
    <w:p w14:paraId="3C6C348B" w14:textId="77777777" w:rsidR="002F1C9A" w:rsidRPr="00BC57F4" w:rsidRDefault="002F1C9A" w:rsidP="00F80B4C">
      <w:r w:rsidRPr="00BC57F4">
        <w:t>Endnote 3—Legislation history</w:t>
      </w:r>
    </w:p>
    <w:p w14:paraId="1E2880BB" w14:textId="77777777" w:rsidR="002F1C9A" w:rsidRPr="00BC57F4" w:rsidRDefault="002F1C9A" w:rsidP="00F80B4C">
      <w:r w:rsidRPr="00BC57F4">
        <w:t>Endnote 4—Amendment history</w:t>
      </w:r>
    </w:p>
    <w:p w14:paraId="12DF3D4F" w14:textId="77777777" w:rsidR="002F1C9A" w:rsidRPr="00BC57F4" w:rsidRDefault="002F1C9A" w:rsidP="00F80B4C">
      <w:r w:rsidRPr="00BC57F4">
        <w:t>Endnote 5—Uncommenced amendments</w:t>
      </w:r>
    </w:p>
    <w:p w14:paraId="193FBC18" w14:textId="77777777" w:rsidR="002F1C9A" w:rsidRPr="00BC57F4" w:rsidRDefault="002F1C9A" w:rsidP="00F80B4C">
      <w:r w:rsidRPr="00BC57F4">
        <w:t>Endnote 6—Modifications</w:t>
      </w:r>
    </w:p>
    <w:p w14:paraId="3D1FA7A1" w14:textId="77777777" w:rsidR="002F1C9A" w:rsidRPr="00BC57F4" w:rsidRDefault="002F1C9A" w:rsidP="00F80B4C">
      <w:r w:rsidRPr="00BC57F4">
        <w:t>Endnote 7—Misdescribed amendments</w:t>
      </w:r>
    </w:p>
    <w:p w14:paraId="026EAD33" w14:textId="77777777" w:rsidR="002F1C9A" w:rsidRPr="00BC57F4" w:rsidRDefault="002F1C9A" w:rsidP="00F80B4C">
      <w:r w:rsidRPr="00BC57F4">
        <w:t>Endnote 8—Miscellaneous</w:t>
      </w:r>
    </w:p>
    <w:p w14:paraId="6AF72B9B" w14:textId="77777777" w:rsidR="002F1C9A" w:rsidRPr="00BC57F4" w:rsidRDefault="002F1C9A" w:rsidP="00F80B4C">
      <w:pPr>
        <w:rPr>
          <w:b/>
        </w:rPr>
      </w:pPr>
    </w:p>
    <w:p w14:paraId="2750CE5A" w14:textId="77777777" w:rsidR="002F1C9A" w:rsidRPr="00BC57F4" w:rsidRDefault="002F1C9A" w:rsidP="00F80B4C">
      <w:r w:rsidRPr="00BC57F4">
        <w:t>If there is no information under a particular endnote, the word “none” will appear in square brackets after the endnote heading.</w:t>
      </w:r>
    </w:p>
    <w:p w14:paraId="62091275" w14:textId="77777777" w:rsidR="002F1C9A" w:rsidRPr="00BC57F4" w:rsidRDefault="002F1C9A" w:rsidP="00F80B4C">
      <w:pPr>
        <w:rPr>
          <w:b/>
        </w:rPr>
      </w:pPr>
    </w:p>
    <w:p w14:paraId="11160273" w14:textId="77777777" w:rsidR="002F1C9A" w:rsidRPr="00BC57F4" w:rsidRDefault="002F1C9A" w:rsidP="00F80B4C">
      <w:r w:rsidRPr="00BC57F4">
        <w:rPr>
          <w:b/>
        </w:rPr>
        <w:t>Abbreviation key—</w:t>
      </w:r>
      <w:r>
        <w:rPr>
          <w:b/>
        </w:rPr>
        <w:t>E</w:t>
      </w:r>
      <w:r w:rsidRPr="00BC57F4">
        <w:rPr>
          <w:b/>
        </w:rPr>
        <w:t>ndnote 2</w:t>
      </w:r>
    </w:p>
    <w:p w14:paraId="1468B77E" w14:textId="77777777" w:rsidR="002F1C9A" w:rsidRPr="00BC57F4" w:rsidRDefault="002F1C9A" w:rsidP="00F80B4C">
      <w:r w:rsidRPr="00BC57F4">
        <w:t xml:space="preserve">The abbreviation key in this endnote sets out abbreviations </w:t>
      </w:r>
      <w:r>
        <w:t xml:space="preserve">that may be </w:t>
      </w:r>
      <w:r w:rsidRPr="00BC57F4">
        <w:t>used in the endnotes.</w:t>
      </w:r>
    </w:p>
    <w:p w14:paraId="10541BB7" w14:textId="77777777" w:rsidR="002F1C9A" w:rsidRPr="00BC57F4" w:rsidRDefault="002F1C9A" w:rsidP="00F80B4C"/>
    <w:p w14:paraId="05B80524" w14:textId="77777777" w:rsidR="002F1C9A" w:rsidRPr="00BC57F4" w:rsidRDefault="002F1C9A" w:rsidP="00F80B4C">
      <w:pPr>
        <w:rPr>
          <w:b/>
        </w:rPr>
      </w:pPr>
      <w:r w:rsidRPr="00BC57F4">
        <w:rPr>
          <w:b/>
        </w:rPr>
        <w:t>Legislation history and amendment history—</w:t>
      </w:r>
      <w:r>
        <w:rPr>
          <w:b/>
        </w:rPr>
        <w:t>E</w:t>
      </w:r>
      <w:r w:rsidRPr="00BC57F4">
        <w:rPr>
          <w:b/>
        </w:rPr>
        <w:t>ndnotes 3 and 4</w:t>
      </w:r>
    </w:p>
    <w:p w14:paraId="7FA9D864" w14:textId="77777777" w:rsidR="002F1C9A" w:rsidRPr="00BC57F4" w:rsidRDefault="002F1C9A" w:rsidP="00F80B4C">
      <w:r w:rsidRPr="00BC57F4">
        <w:t>Amending laws are annotated in the legislation history and amendment history.</w:t>
      </w:r>
    </w:p>
    <w:p w14:paraId="31DF7BE0" w14:textId="77777777" w:rsidR="002F1C9A" w:rsidRPr="00BC57F4" w:rsidRDefault="002F1C9A" w:rsidP="00F80B4C"/>
    <w:p w14:paraId="65A00A7A" w14:textId="77777777" w:rsidR="002F1C9A" w:rsidRPr="00BC57F4" w:rsidRDefault="002F1C9A" w:rsidP="00F80B4C">
      <w:r w:rsidRPr="00BC57F4">
        <w:t>The legislation history in endnote 3 provides information about each law that has amended the compiled law</w:t>
      </w:r>
      <w:r>
        <w:t xml:space="preserve">. </w:t>
      </w:r>
      <w:r w:rsidRPr="00BC57F4">
        <w:t xml:space="preserve">The information includes commencement information for amending laws and details of application, saving </w:t>
      </w:r>
      <w:r>
        <w:t>or</w:t>
      </w:r>
      <w:r w:rsidRPr="00BC57F4">
        <w:t xml:space="preserve"> transitional provisions that are not</w:t>
      </w:r>
      <w:r>
        <w:t xml:space="preserve"> included in this compilation.</w:t>
      </w:r>
    </w:p>
    <w:p w14:paraId="47BEDCD0" w14:textId="77777777" w:rsidR="002F1C9A" w:rsidRPr="00BC57F4" w:rsidRDefault="002F1C9A" w:rsidP="00F80B4C"/>
    <w:p w14:paraId="0029E006" w14:textId="77777777" w:rsidR="002F1C9A" w:rsidRPr="00BC57F4" w:rsidRDefault="002F1C9A" w:rsidP="00F80B4C">
      <w:r w:rsidRPr="00BC57F4">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14:paraId="6183EC17" w14:textId="77777777" w:rsidR="002F1C9A" w:rsidRPr="00BC57F4" w:rsidRDefault="002F1C9A" w:rsidP="00F80B4C">
      <w:pPr>
        <w:rPr>
          <w:b/>
        </w:rPr>
      </w:pPr>
    </w:p>
    <w:p w14:paraId="1D052B1D" w14:textId="77777777" w:rsidR="002F1C9A" w:rsidRPr="00BC57F4" w:rsidRDefault="002F1C9A" w:rsidP="00F80B4C">
      <w:pPr>
        <w:rPr>
          <w:b/>
        </w:rPr>
      </w:pPr>
      <w:r w:rsidRPr="00BC57F4">
        <w:rPr>
          <w:b/>
        </w:rPr>
        <w:t>Uncommenced amendments—</w:t>
      </w:r>
      <w:r>
        <w:rPr>
          <w:b/>
        </w:rPr>
        <w:t>E</w:t>
      </w:r>
      <w:r w:rsidRPr="00BC57F4">
        <w:rPr>
          <w:b/>
        </w:rPr>
        <w:t>ndnote 5</w:t>
      </w:r>
    </w:p>
    <w:p w14:paraId="6A53C9F4" w14:textId="77777777" w:rsidR="002F1C9A" w:rsidRDefault="002F1C9A" w:rsidP="00F80B4C">
      <w:r w:rsidRPr="00BC57F4">
        <w:t xml:space="preserve">The effect of uncommenced amendments is not reflected in the text of the compiled law, but the text of the amendments </w:t>
      </w:r>
      <w:r>
        <w:t>is</w:t>
      </w:r>
      <w:r w:rsidRPr="00BC57F4">
        <w:t xml:space="preserve"> included in endnote 5.</w:t>
      </w:r>
    </w:p>
    <w:p w14:paraId="2B778E5A" w14:textId="77777777" w:rsidR="00CC0EF6" w:rsidRPr="00BC57F4" w:rsidRDefault="00CC0EF6" w:rsidP="00F80B4C"/>
    <w:p w14:paraId="249CDE13" w14:textId="77777777" w:rsidR="002F1C9A" w:rsidRPr="00BC57F4" w:rsidRDefault="002F1C9A" w:rsidP="00F80B4C">
      <w:pPr>
        <w:keepNext/>
        <w:rPr>
          <w:b/>
        </w:rPr>
      </w:pPr>
      <w:r w:rsidRPr="00BC57F4">
        <w:rPr>
          <w:b/>
        </w:rPr>
        <w:t>Modifications—</w:t>
      </w:r>
      <w:r>
        <w:rPr>
          <w:b/>
        </w:rPr>
        <w:t>E</w:t>
      </w:r>
      <w:r w:rsidRPr="00BC57F4">
        <w:rPr>
          <w:b/>
        </w:rPr>
        <w:t>ndnote 6</w:t>
      </w:r>
    </w:p>
    <w:p w14:paraId="31004E67" w14:textId="77777777" w:rsidR="002F1C9A" w:rsidRPr="00BC57F4" w:rsidRDefault="002F1C9A" w:rsidP="00F80B4C">
      <w:r w:rsidRPr="00BC57F4">
        <w:t>If the compiled law is affected by a modification that is in force, details of the modification are included in endnote 6.</w:t>
      </w:r>
    </w:p>
    <w:p w14:paraId="73CC948A" w14:textId="77777777" w:rsidR="002F1C9A" w:rsidRPr="00BC57F4" w:rsidRDefault="002F1C9A" w:rsidP="00F80B4C"/>
    <w:p w14:paraId="0A6B6B25" w14:textId="77777777" w:rsidR="002F1C9A" w:rsidRPr="00BC57F4" w:rsidRDefault="002F1C9A" w:rsidP="00F80B4C">
      <w:pPr>
        <w:keepNext/>
      </w:pPr>
      <w:r w:rsidRPr="00BC57F4">
        <w:rPr>
          <w:b/>
        </w:rPr>
        <w:t>Misdescribed amendments—</w:t>
      </w:r>
      <w:r>
        <w:rPr>
          <w:b/>
        </w:rPr>
        <w:t>E</w:t>
      </w:r>
      <w:r w:rsidRPr="00BC57F4">
        <w:rPr>
          <w:b/>
        </w:rPr>
        <w:t>ndnote 7</w:t>
      </w:r>
    </w:p>
    <w:p w14:paraId="55FA2B67" w14:textId="77777777" w:rsidR="002F1C9A" w:rsidRPr="00BC57F4" w:rsidRDefault="002F1C9A" w:rsidP="00F80B4C">
      <w:r w:rsidRPr="00BC57F4">
        <w:t>An amendment is a misdescribed amendment if the effect of the amendment cannot be incorporated into the text of the compilation</w:t>
      </w:r>
      <w:r>
        <w:t>.</w:t>
      </w:r>
      <w:r w:rsidRPr="00BC57F4">
        <w:t xml:space="preserve"> Any misdescribed amendment is included in endnote </w:t>
      </w:r>
      <w:r>
        <w:t>7</w:t>
      </w:r>
      <w:r w:rsidRPr="00BC57F4">
        <w:t>.</w:t>
      </w:r>
    </w:p>
    <w:p w14:paraId="795FFAC3" w14:textId="77777777" w:rsidR="002F1C9A" w:rsidRPr="00BC57F4" w:rsidRDefault="002F1C9A" w:rsidP="00F80B4C"/>
    <w:p w14:paraId="7223FDB4" w14:textId="77777777" w:rsidR="002F1C9A" w:rsidRPr="00BC57F4" w:rsidRDefault="002F1C9A" w:rsidP="00F80B4C">
      <w:pPr>
        <w:rPr>
          <w:b/>
        </w:rPr>
      </w:pPr>
      <w:r w:rsidRPr="00BC57F4">
        <w:rPr>
          <w:b/>
        </w:rPr>
        <w:t>Miscellaneous—</w:t>
      </w:r>
      <w:r>
        <w:rPr>
          <w:b/>
        </w:rPr>
        <w:t>E</w:t>
      </w:r>
      <w:r w:rsidRPr="00BC57F4">
        <w:rPr>
          <w:b/>
        </w:rPr>
        <w:t xml:space="preserve">ndnote </w:t>
      </w:r>
      <w:r>
        <w:rPr>
          <w:b/>
        </w:rPr>
        <w:t>8</w:t>
      </w:r>
    </w:p>
    <w:p w14:paraId="69C8CDC3" w14:textId="77777777" w:rsidR="002F1C9A" w:rsidRPr="00BC57F4" w:rsidRDefault="002F1C9A" w:rsidP="00F80B4C">
      <w:r w:rsidRPr="00BC57F4">
        <w:lastRenderedPageBreak/>
        <w:t xml:space="preserve">Endnote </w:t>
      </w:r>
      <w:r>
        <w:t>8</w:t>
      </w:r>
      <w:r w:rsidRPr="00BC57F4">
        <w:t xml:space="preserve"> includes any additional information </w:t>
      </w:r>
      <w:r>
        <w:t>that may</w:t>
      </w:r>
      <w:r w:rsidRPr="00BC57F4">
        <w:t xml:space="preserve"> be helpful for a reader of the compilation.</w:t>
      </w:r>
    </w:p>
    <w:p w14:paraId="578A96EB" w14:textId="77777777" w:rsidR="002F1C9A" w:rsidRPr="00BC57F4" w:rsidRDefault="002F1C9A" w:rsidP="00F80B4C">
      <w:pPr>
        <w:pStyle w:val="ENotesHeading2"/>
        <w:pageBreakBefore/>
        <w:outlineLvl w:val="9"/>
      </w:pPr>
      <w:r w:rsidRPr="00BC57F4">
        <w:lastRenderedPageBreak/>
        <w:t>Endnote 2—Abbreviation key</w:t>
      </w:r>
    </w:p>
    <w:p w14:paraId="7ACC907B" w14:textId="77777777" w:rsidR="002F1C9A" w:rsidRDefault="002F1C9A" w:rsidP="00F80B4C">
      <w:pPr>
        <w:pStyle w:val="Tabletext"/>
      </w:pPr>
    </w:p>
    <w:tbl>
      <w:tblPr>
        <w:tblW w:w="0" w:type="auto"/>
        <w:tblInd w:w="113" w:type="dxa"/>
        <w:tblLayout w:type="fixed"/>
        <w:tblLook w:val="0000" w:firstRow="0" w:lastRow="0" w:firstColumn="0" w:lastColumn="0" w:noHBand="0" w:noVBand="0"/>
      </w:tblPr>
      <w:tblGrid>
        <w:gridCol w:w="3543"/>
        <w:gridCol w:w="3543"/>
      </w:tblGrid>
      <w:tr w:rsidR="002F1C9A" w:rsidRPr="002F1C9A" w14:paraId="55A46AF9" w14:textId="77777777" w:rsidTr="00F80B4C">
        <w:tc>
          <w:tcPr>
            <w:tcW w:w="3543" w:type="dxa"/>
            <w:shd w:val="clear" w:color="auto" w:fill="auto"/>
          </w:tcPr>
          <w:p w14:paraId="14CFBA18" w14:textId="77777777" w:rsidR="002F1C9A" w:rsidRPr="002F1C9A" w:rsidRDefault="002F1C9A" w:rsidP="00F80B4C">
            <w:pPr>
              <w:pStyle w:val="ENoteTableText"/>
              <w:rPr>
                <w:sz w:val="20"/>
              </w:rPr>
            </w:pPr>
            <w:r w:rsidRPr="002F1C9A">
              <w:rPr>
                <w:sz w:val="20"/>
              </w:rPr>
              <w:t>ad = added or inserted</w:t>
            </w:r>
          </w:p>
        </w:tc>
        <w:tc>
          <w:tcPr>
            <w:tcW w:w="3543" w:type="dxa"/>
            <w:shd w:val="clear" w:color="auto" w:fill="auto"/>
          </w:tcPr>
          <w:p w14:paraId="0022E47E" w14:textId="77777777" w:rsidR="002F1C9A" w:rsidRPr="002F1C9A" w:rsidRDefault="002F1C9A" w:rsidP="00F80B4C">
            <w:pPr>
              <w:pStyle w:val="ENoteTableText"/>
              <w:rPr>
                <w:sz w:val="20"/>
              </w:rPr>
            </w:pPr>
            <w:r w:rsidRPr="002F1C9A">
              <w:rPr>
                <w:sz w:val="20"/>
              </w:rPr>
              <w:t>pres = present</w:t>
            </w:r>
          </w:p>
        </w:tc>
      </w:tr>
      <w:tr w:rsidR="002F1C9A" w:rsidRPr="002F1C9A" w14:paraId="026065B0" w14:textId="77777777" w:rsidTr="00F80B4C">
        <w:tc>
          <w:tcPr>
            <w:tcW w:w="3543" w:type="dxa"/>
            <w:shd w:val="clear" w:color="auto" w:fill="auto"/>
          </w:tcPr>
          <w:p w14:paraId="1FA8AAF3" w14:textId="77777777" w:rsidR="002F1C9A" w:rsidRPr="002F1C9A" w:rsidRDefault="002F1C9A" w:rsidP="00F80B4C">
            <w:pPr>
              <w:pStyle w:val="ENoteTableText"/>
              <w:rPr>
                <w:sz w:val="20"/>
              </w:rPr>
            </w:pPr>
            <w:r w:rsidRPr="002F1C9A">
              <w:rPr>
                <w:sz w:val="20"/>
              </w:rPr>
              <w:t>am = amended</w:t>
            </w:r>
          </w:p>
        </w:tc>
        <w:tc>
          <w:tcPr>
            <w:tcW w:w="3543" w:type="dxa"/>
            <w:shd w:val="clear" w:color="auto" w:fill="auto"/>
          </w:tcPr>
          <w:p w14:paraId="24B301FF" w14:textId="77777777" w:rsidR="002F1C9A" w:rsidRPr="002F1C9A" w:rsidRDefault="002F1C9A" w:rsidP="00F80B4C">
            <w:pPr>
              <w:pStyle w:val="ENoteTableText"/>
              <w:rPr>
                <w:sz w:val="20"/>
              </w:rPr>
            </w:pPr>
            <w:r w:rsidRPr="002F1C9A">
              <w:rPr>
                <w:sz w:val="20"/>
              </w:rPr>
              <w:t>prev = previous</w:t>
            </w:r>
          </w:p>
        </w:tc>
      </w:tr>
      <w:tr w:rsidR="002F1C9A" w:rsidRPr="002F1C9A" w14:paraId="542430E6" w14:textId="77777777" w:rsidTr="00F80B4C">
        <w:tc>
          <w:tcPr>
            <w:tcW w:w="3543" w:type="dxa"/>
            <w:shd w:val="clear" w:color="auto" w:fill="auto"/>
          </w:tcPr>
          <w:p w14:paraId="4729C071" w14:textId="77777777" w:rsidR="002F1C9A" w:rsidRPr="002F1C9A" w:rsidRDefault="002F1C9A" w:rsidP="00F80B4C">
            <w:pPr>
              <w:pStyle w:val="ENoteTableText"/>
              <w:rPr>
                <w:sz w:val="20"/>
              </w:rPr>
            </w:pPr>
            <w:r w:rsidRPr="002F1C9A">
              <w:rPr>
                <w:sz w:val="20"/>
              </w:rPr>
              <w:t>c = clause(s)</w:t>
            </w:r>
          </w:p>
        </w:tc>
        <w:tc>
          <w:tcPr>
            <w:tcW w:w="3543" w:type="dxa"/>
            <w:shd w:val="clear" w:color="auto" w:fill="auto"/>
          </w:tcPr>
          <w:p w14:paraId="27C88F0A" w14:textId="77777777" w:rsidR="002F1C9A" w:rsidRPr="002F1C9A" w:rsidRDefault="002F1C9A" w:rsidP="00F80B4C">
            <w:pPr>
              <w:pStyle w:val="ENoteTableText"/>
              <w:rPr>
                <w:sz w:val="20"/>
              </w:rPr>
            </w:pPr>
            <w:r w:rsidRPr="002F1C9A">
              <w:rPr>
                <w:sz w:val="20"/>
              </w:rPr>
              <w:t>(prev) = previously</w:t>
            </w:r>
          </w:p>
        </w:tc>
      </w:tr>
      <w:tr w:rsidR="002F1C9A" w:rsidRPr="002F1C9A" w14:paraId="4CA8F758" w14:textId="77777777" w:rsidTr="00F80B4C">
        <w:tc>
          <w:tcPr>
            <w:tcW w:w="3543" w:type="dxa"/>
            <w:shd w:val="clear" w:color="auto" w:fill="auto"/>
          </w:tcPr>
          <w:p w14:paraId="0B74BF39" w14:textId="77777777" w:rsidR="002F1C9A" w:rsidRPr="002F1C9A" w:rsidRDefault="002F1C9A" w:rsidP="00F80B4C">
            <w:pPr>
              <w:pStyle w:val="ENoteTableText"/>
              <w:rPr>
                <w:sz w:val="20"/>
              </w:rPr>
            </w:pPr>
            <w:r w:rsidRPr="002F1C9A">
              <w:rPr>
                <w:sz w:val="20"/>
              </w:rPr>
              <w:t>Ch = Chapter(s)</w:t>
            </w:r>
          </w:p>
        </w:tc>
        <w:tc>
          <w:tcPr>
            <w:tcW w:w="3543" w:type="dxa"/>
            <w:shd w:val="clear" w:color="auto" w:fill="auto"/>
          </w:tcPr>
          <w:p w14:paraId="18D8B51E" w14:textId="77777777" w:rsidR="002F1C9A" w:rsidRPr="002F1C9A" w:rsidRDefault="002F1C9A" w:rsidP="00F80B4C">
            <w:pPr>
              <w:pStyle w:val="ENoteTableText"/>
              <w:rPr>
                <w:sz w:val="20"/>
              </w:rPr>
            </w:pPr>
            <w:r w:rsidRPr="002F1C9A">
              <w:rPr>
                <w:sz w:val="20"/>
              </w:rPr>
              <w:t>Pt = Part(s)</w:t>
            </w:r>
          </w:p>
        </w:tc>
      </w:tr>
      <w:tr w:rsidR="002F1C9A" w:rsidRPr="002F1C9A" w14:paraId="1A899739" w14:textId="77777777" w:rsidTr="00F80B4C">
        <w:tc>
          <w:tcPr>
            <w:tcW w:w="3543" w:type="dxa"/>
            <w:shd w:val="clear" w:color="auto" w:fill="auto"/>
          </w:tcPr>
          <w:p w14:paraId="0925D4B2" w14:textId="77777777" w:rsidR="002F1C9A" w:rsidRPr="002F1C9A" w:rsidRDefault="002F1C9A" w:rsidP="00F80B4C">
            <w:pPr>
              <w:pStyle w:val="ENoteTableText"/>
              <w:rPr>
                <w:sz w:val="20"/>
              </w:rPr>
            </w:pPr>
            <w:r w:rsidRPr="002F1C9A">
              <w:rPr>
                <w:sz w:val="20"/>
              </w:rPr>
              <w:t>def = definition(s)</w:t>
            </w:r>
          </w:p>
        </w:tc>
        <w:tc>
          <w:tcPr>
            <w:tcW w:w="3543" w:type="dxa"/>
            <w:shd w:val="clear" w:color="auto" w:fill="auto"/>
          </w:tcPr>
          <w:p w14:paraId="0B5D6F75" w14:textId="77777777" w:rsidR="002F1C9A" w:rsidRPr="002F1C9A" w:rsidRDefault="002F1C9A" w:rsidP="00F80B4C">
            <w:pPr>
              <w:pStyle w:val="ENoteTableText"/>
              <w:rPr>
                <w:sz w:val="20"/>
              </w:rPr>
            </w:pPr>
            <w:r w:rsidRPr="002F1C9A">
              <w:rPr>
                <w:sz w:val="20"/>
              </w:rPr>
              <w:t>r = regulation(s)/rule(s)</w:t>
            </w:r>
          </w:p>
        </w:tc>
      </w:tr>
      <w:tr w:rsidR="002F1C9A" w:rsidRPr="002F1C9A" w14:paraId="5A3C94CE" w14:textId="77777777" w:rsidTr="00F80B4C">
        <w:tc>
          <w:tcPr>
            <w:tcW w:w="3543" w:type="dxa"/>
            <w:shd w:val="clear" w:color="auto" w:fill="auto"/>
          </w:tcPr>
          <w:p w14:paraId="2B7B36A2" w14:textId="77777777" w:rsidR="002F1C9A" w:rsidRPr="002F1C9A" w:rsidRDefault="002F1C9A" w:rsidP="00F80B4C">
            <w:pPr>
              <w:pStyle w:val="ENoteTableText"/>
              <w:rPr>
                <w:sz w:val="20"/>
              </w:rPr>
            </w:pPr>
            <w:r w:rsidRPr="002F1C9A">
              <w:rPr>
                <w:sz w:val="20"/>
              </w:rPr>
              <w:t>Dict = Dictionary</w:t>
            </w:r>
          </w:p>
        </w:tc>
        <w:tc>
          <w:tcPr>
            <w:tcW w:w="3543" w:type="dxa"/>
            <w:shd w:val="clear" w:color="auto" w:fill="auto"/>
          </w:tcPr>
          <w:p w14:paraId="30EB9EEC" w14:textId="77777777" w:rsidR="002F1C9A" w:rsidRPr="002F1C9A" w:rsidRDefault="002F1C9A" w:rsidP="00F80B4C">
            <w:pPr>
              <w:pStyle w:val="ENoteTableText"/>
              <w:rPr>
                <w:sz w:val="20"/>
              </w:rPr>
            </w:pPr>
            <w:r w:rsidRPr="002F1C9A">
              <w:rPr>
                <w:sz w:val="20"/>
              </w:rPr>
              <w:t>Reg = Regulation/Regulations</w:t>
            </w:r>
          </w:p>
        </w:tc>
      </w:tr>
      <w:tr w:rsidR="002F1C9A" w:rsidRPr="002F1C9A" w14:paraId="36BF7FC0" w14:textId="77777777" w:rsidTr="00F80B4C">
        <w:tc>
          <w:tcPr>
            <w:tcW w:w="3543" w:type="dxa"/>
            <w:shd w:val="clear" w:color="auto" w:fill="auto"/>
          </w:tcPr>
          <w:p w14:paraId="61259134" w14:textId="77777777" w:rsidR="002F1C9A" w:rsidRPr="002F1C9A" w:rsidRDefault="002F1C9A" w:rsidP="00F80B4C">
            <w:pPr>
              <w:pStyle w:val="ENoteTableText"/>
              <w:rPr>
                <w:sz w:val="20"/>
              </w:rPr>
            </w:pPr>
            <w:r w:rsidRPr="002F1C9A">
              <w:rPr>
                <w:sz w:val="20"/>
              </w:rPr>
              <w:t>disallowed = disallowed by Parliament</w:t>
            </w:r>
          </w:p>
        </w:tc>
        <w:tc>
          <w:tcPr>
            <w:tcW w:w="3543" w:type="dxa"/>
            <w:shd w:val="clear" w:color="auto" w:fill="auto"/>
          </w:tcPr>
          <w:p w14:paraId="79406715" w14:textId="77777777" w:rsidR="002F1C9A" w:rsidRPr="002F1C9A" w:rsidRDefault="002F1C9A" w:rsidP="00F80B4C">
            <w:pPr>
              <w:pStyle w:val="ENoteTableText"/>
              <w:rPr>
                <w:sz w:val="20"/>
              </w:rPr>
            </w:pPr>
            <w:r w:rsidRPr="002F1C9A">
              <w:rPr>
                <w:sz w:val="20"/>
              </w:rPr>
              <w:t>reloc = relocated</w:t>
            </w:r>
          </w:p>
        </w:tc>
      </w:tr>
      <w:tr w:rsidR="002F1C9A" w:rsidRPr="002F1C9A" w14:paraId="6AEF736B" w14:textId="77777777" w:rsidTr="00F80B4C">
        <w:tc>
          <w:tcPr>
            <w:tcW w:w="3543" w:type="dxa"/>
            <w:shd w:val="clear" w:color="auto" w:fill="auto"/>
          </w:tcPr>
          <w:p w14:paraId="6B94AA9C" w14:textId="77777777" w:rsidR="002F1C9A" w:rsidRPr="002F1C9A" w:rsidRDefault="002F1C9A" w:rsidP="00F80B4C">
            <w:pPr>
              <w:pStyle w:val="ENoteTableText"/>
              <w:rPr>
                <w:sz w:val="20"/>
              </w:rPr>
            </w:pPr>
            <w:r w:rsidRPr="002F1C9A">
              <w:rPr>
                <w:sz w:val="20"/>
              </w:rPr>
              <w:t>Div = Division(s)</w:t>
            </w:r>
          </w:p>
        </w:tc>
        <w:tc>
          <w:tcPr>
            <w:tcW w:w="3543" w:type="dxa"/>
            <w:shd w:val="clear" w:color="auto" w:fill="auto"/>
          </w:tcPr>
          <w:p w14:paraId="416215E9" w14:textId="77777777" w:rsidR="002F1C9A" w:rsidRPr="002F1C9A" w:rsidRDefault="002F1C9A" w:rsidP="00F80B4C">
            <w:pPr>
              <w:pStyle w:val="ENoteTableText"/>
              <w:rPr>
                <w:sz w:val="20"/>
              </w:rPr>
            </w:pPr>
            <w:r w:rsidRPr="002F1C9A">
              <w:rPr>
                <w:sz w:val="20"/>
              </w:rPr>
              <w:t>renum = renumbered</w:t>
            </w:r>
          </w:p>
        </w:tc>
      </w:tr>
      <w:tr w:rsidR="002F1C9A" w:rsidRPr="002F1C9A" w14:paraId="4EC95CD0" w14:textId="77777777" w:rsidTr="00F80B4C">
        <w:tc>
          <w:tcPr>
            <w:tcW w:w="3543" w:type="dxa"/>
            <w:shd w:val="clear" w:color="auto" w:fill="auto"/>
          </w:tcPr>
          <w:p w14:paraId="7F2BBFA9" w14:textId="77777777" w:rsidR="002F1C9A" w:rsidRPr="002F1C9A" w:rsidRDefault="002F1C9A" w:rsidP="00F80B4C">
            <w:pPr>
              <w:pStyle w:val="ENoteTableText"/>
              <w:rPr>
                <w:sz w:val="20"/>
              </w:rPr>
            </w:pPr>
            <w:r w:rsidRPr="002F1C9A">
              <w:rPr>
                <w:sz w:val="20"/>
              </w:rPr>
              <w:t>exp = expired or ceased to have effect</w:t>
            </w:r>
          </w:p>
        </w:tc>
        <w:tc>
          <w:tcPr>
            <w:tcW w:w="3543" w:type="dxa"/>
            <w:shd w:val="clear" w:color="auto" w:fill="auto"/>
          </w:tcPr>
          <w:p w14:paraId="4C64B6E5" w14:textId="77777777" w:rsidR="002F1C9A" w:rsidRPr="002F1C9A" w:rsidRDefault="002F1C9A" w:rsidP="00F80B4C">
            <w:pPr>
              <w:pStyle w:val="ENoteTableText"/>
              <w:rPr>
                <w:sz w:val="20"/>
              </w:rPr>
            </w:pPr>
            <w:r w:rsidRPr="002F1C9A">
              <w:rPr>
                <w:sz w:val="20"/>
              </w:rPr>
              <w:t>rep = repealed</w:t>
            </w:r>
          </w:p>
        </w:tc>
      </w:tr>
      <w:tr w:rsidR="002F1C9A" w:rsidRPr="002F1C9A" w14:paraId="19749E4A" w14:textId="77777777" w:rsidTr="00F80B4C">
        <w:tc>
          <w:tcPr>
            <w:tcW w:w="3543" w:type="dxa"/>
            <w:shd w:val="clear" w:color="auto" w:fill="auto"/>
          </w:tcPr>
          <w:p w14:paraId="1DFA6770" w14:textId="77777777" w:rsidR="002F1C9A" w:rsidRPr="002F1C9A" w:rsidRDefault="002F1C9A" w:rsidP="00F80B4C">
            <w:pPr>
              <w:pStyle w:val="ENoteTableText"/>
              <w:rPr>
                <w:sz w:val="20"/>
              </w:rPr>
            </w:pPr>
            <w:r w:rsidRPr="002F1C9A">
              <w:rPr>
                <w:sz w:val="20"/>
              </w:rPr>
              <w:t>hdg = heading(s)</w:t>
            </w:r>
          </w:p>
        </w:tc>
        <w:tc>
          <w:tcPr>
            <w:tcW w:w="3543" w:type="dxa"/>
            <w:shd w:val="clear" w:color="auto" w:fill="auto"/>
          </w:tcPr>
          <w:p w14:paraId="2A5EFF4B" w14:textId="77777777" w:rsidR="002F1C9A" w:rsidRPr="002F1C9A" w:rsidRDefault="002F1C9A" w:rsidP="00F80B4C">
            <w:pPr>
              <w:pStyle w:val="ENoteTableText"/>
              <w:rPr>
                <w:sz w:val="20"/>
              </w:rPr>
            </w:pPr>
            <w:r w:rsidRPr="002F1C9A">
              <w:rPr>
                <w:sz w:val="20"/>
              </w:rPr>
              <w:t>rs = repealed and substituted</w:t>
            </w:r>
          </w:p>
        </w:tc>
      </w:tr>
      <w:tr w:rsidR="002F1C9A" w:rsidRPr="002F1C9A" w14:paraId="275FD2CE" w14:textId="77777777" w:rsidTr="00F80B4C">
        <w:tc>
          <w:tcPr>
            <w:tcW w:w="3543" w:type="dxa"/>
            <w:shd w:val="clear" w:color="auto" w:fill="auto"/>
          </w:tcPr>
          <w:p w14:paraId="29E93FA5" w14:textId="77777777" w:rsidR="002F1C9A" w:rsidRPr="002F1C9A" w:rsidRDefault="002F1C9A" w:rsidP="002B7E58">
            <w:pPr>
              <w:pStyle w:val="ENoteTableText"/>
              <w:rPr>
                <w:sz w:val="20"/>
              </w:rPr>
            </w:pPr>
            <w:r w:rsidRPr="002F1C9A">
              <w:rPr>
                <w:sz w:val="20"/>
              </w:rPr>
              <w:t xml:space="preserve">LI = </w:t>
            </w:r>
            <w:r w:rsidR="002B7E58">
              <w:rPr>
                <w:sz w:val="20"/>
              </w:rPr>
              <w:t>l</w:t>
            </w:r>
            <w:r w:rsidRPr="002F1C9A">
              <w:rPr>
                <w:sz w:val="20"/>
              </w:rPr>
              <w:t xml:space="preserve">egislative </w:t>
            </w:r>
            <w:r w:rsidR="002B7E58">
              <w:rPr>
                <w:sz w:val="20"/>
              </w:rPr>
              <w:t>i</w:t>
            </w:r>
            <w:r w:rsidRPr="002F1C9A">
              <w:rPr>
                <w:sz w:val="20"/>
              </w:rPr>
              <w:t>nstrument</w:t>
            </w:r>
          </w:p>
        </w:tc>
        <w:tc>
          <w:tcPr>
            <w:tcW w:w="3543" w:type="dxa"/>
            <w:shd w:val="clear" w:color="auto" w:fill="auto"/>
          </w:tcPr>
          <w:p w14:paraId="743B70B5" w14:textId="77777777" w:rsidR="002F1C9A" w:rsidRPr="002F1C9A" w:rsidRDefault="002F1C9A" w:rsidP="00F80B4C">
            <w:pPr>
              <w:pStyle w:val="ENoteTableText"/>
              <w:rPr>
                <w:sz w:val="20"/>
              </w:rPr>
            </w:pPr>
            <w:r w:rsidRPr="002F1C9A">
              <w:rPr>
                <w:sz w:val="20"/>
              </w:rPr>
              <w:t>s = section(s)</w:t>
            </w:r>
          </w:p>
        </w:tc>
      </w:tr>
      <w:tr w:rsidR="002F1C9A" w:rsidRPr="002F1C9A" w14:paraId="440D04FB" w14:textId="77777777" w:rsidTr="00F80B4C">
        <w:tc>
          <w:tcPr>
            <w:tcW w:w="3543" w:type="dxa"/>
            <w:shd w:val="clear" w:color="auto" w:fill="auto"/>
          </w:tcPr>
          <w:p w14:paraId="2226F6D7" w14:textId="77777777" w:rsidR="002F1C9A" w:rsidRPr="002F1C9A" w:rsidRDefault="002F1C9A" w:rsidP="00F80B4C">
            <w:pPr>
              <w:pStyle w:val="ENoteTableText"/>
              <w:rPr>
                <w:sz w:val="20"/>
              </w:rPr>
            </w:pPr>
            <w:r w:rsidRPr="002F1C9A">
              <w:rPr>
                <w:sz w:val="20"/>
              </w:rPr>
              <w:t xml:space="preserve">LIA = </w:t>
            </w:r>
            <w:r w:rsidRPr="002F1C9A">
              <w:rPr>
                <w:i/>
                <w:sz w:val="20"/>
              </w:rPr>
              <w:t>Legislative Instruments Act 2003</w:t>
            </w:r>
          </w:p>
        </w:tc>
        <w:tc>
          <w:tcPr>
            <w:tcW w:w="3543" w:type="dxa"/>
            <w:shd w:val="clear" w:color="auto" w:fill="auto"/>
          </w:tcPr>
          <w:p w14:paraId="4BD84CF4" w14:textId="77777777" w:rsidR="002F1C9A" w:rsidRPr="002F1C9A" w:rsidRDefault="002F1C9A" w:rsidP="00F80B4C">
            <w:pPr>
              <w:pStyle w:val="ENoteTableText"/>
              <w:rPr>
                <w:sz w:val="20"/>
              </w:rPr>
            </w:pPr>
            <w:r w:rsidRPr="002F1C9A">
              <w:rPr>
                <w:sz w:val="20"/>
              </w:rPr>
              <w:t>Sch = Schedule(s)</w:t>
            </w:r>
          </w:p>
        </w:tc>
      </w:tr>
      <w:tr w:rsidR="002F1C9A" w:rsidRPr="002F1C9A" w14:paraId="30E92FF3" w14:textId="77777777" w:rsidTr="00F80B4C">
        <w:tc>
          <w:tcPr>
            <w:tcW w:w="3543" w:type="dxa"/>
            <w:shd w:val="clear" w:color="auto" w:fill="auto"/>
          </w:tcPr>
          <w:p w14:paraId="4284F0F1" w14:textId="77777777" w:rsidR="002F1C9A" w:rsidRPr="002F1C9A" w:rsidRDefault="002F1C9A" w:rsidP="00F80B4C">
            <w:pPr>
              <w:pStyle w:val="ENoteTableText"/>
              <w:rPr>
                <w:sz w:val="20"/>
              </w:rPr>
            </w:pPr>
            <w:r w:rsidRPr="002F1C9A">
              <w:rPr>
                <w:sz w:val="20"/>
              </w:rPr>
              <w:t>mod = modified/modification</w:t>
            </w:r>
          </w:p>
        </w:tc>
        <w:tc>
          <w:tcPr>
            <w:tcW w:w="3543" w:type="dxa"/>
            <w:shd w:val="clear" w:color="auto" w:fill="auto"/>
          </w:tcPr>
          <w:p w14:paraId="011C2CA4" w14:textId="77777777" w:rsidR="002F1C9A" w:rsidRPr="002F1C9A" w:rsidRDefault="002F1C9A" w:rsidP="00F80B4C">
            <w:pPr>
              <w:pStyle w:val="ENoteTableText"/>
              <w:rPr>
                <w:sz w:val="20"/>
              </w:rPr>
            </w:pPr>
            <w:r w:rsidRPr="002F1C9A">
              <w:rPr>
                <w:sz w:val="20"/>
              </w:rPr>
              <w:t>Sdiv = Subdivision(s)</w:t>
            </w:r>
          </w:p>
        </w:tc>
      </w:tr>
      <w:tr w:rsidR="002F1C9A" w:rsidRPr="002F1C9A" w14:paraId="2C5DD35B" w14:textId="77777777" w:rsidTr="00F80B4C">
        <w:tc>
          <w:tcPr>
            <w:tcW w:w="3543" w:type="dxa"/>
            <w:shd w:val="clear" w:color="auto" w:fill="auto"/>
          </w:tcPr>
          <w:p w14:paraId="7CE142BC" w14:textId="77777777" w:rsidR="002F1C9A" w:rsidRPr="002F1C9A" w:rsidRDefault="002F1C9A" w:rsidP="002F1C9A">
            <w:pPr>
              <w:pStyle w:val="ENoteTableText"/>
              <w:rPr>
                <w:sz w:val="20"/>
              </w:rPr>
            </w:pPr>
            <w:r w:rsidRPr="002F1C9A">
              <w:rPr>
                <w:sz w:val="20"/>
              </w:rPr>
              <w:t xml:space="preserve">No </w:t>
            </w:r>
            <w:r>
              <w:rPr>
                <w:sz w:val="20"/>
              </w:rPr>
              <w:t>=</w:t>
            </w:r>
            <w:r w:rsidRPr="002F1C9A">
              <w:rPr>
                <w:sz w:val="20"/>
              </w:rPr>
              <w:t xml:space="preserve"> Number(s)</w:t>
            </w:r>
          </w:p>
        </w:tc>
        <w:tc>
          <w:tcPr>
            <w:tcW w:w="3543" w:type="dxa"/>
            <w:shd w:val="clear" w:color="auto" w:fill="auto"/>
          </w:tcPr>
          <w:p w14:paraId="68CA1A3F" w14:textId="77777777" w:rsidR="002F1C9A" w:rsidRPr="002F1C9A" w:rsidRDefault="002F1C9A" w:rsidP="00F80B4C">
            <w:pPr>
              <w:pStyle w:val="ENoteTableText"/>
              <w:rPr>
                <w:sz w:val="20"/>
              </w:rPr>
            </w:pPr>
            <w:r w:rsidRPr="002F1C9A">
              <w:rPr>
                <w:sz w:val="20"/>
              </w:rPr>
              <w:t>SLI = Select Legislative Instrument</w:t>
            </w:r>
          </w:p>
        </w:tc>
      </w:tr>
      <w:tr w:rsidR="002F1C9A" w:rsidRPr="002F1C9A" w14:paraId="18C7D879" w14:textId="77777777" w:rsidTr="00F80B4C">
        <w:tc>
          <w:tcPr>
            <w:tcW w:w="3543" w:type="dxa"/>
            <w:shd w:val="clear" w:color="auto" w:fill="auto"/>
          </w:tcPr>
          <w:p w14:paraId="26821630" w14:textId="77777777" w:rsidR="002F1C9A" w:rsidRPr="002F1C9A" w:rsidRDefault="002F1C9A" w:rsidP="00F80B4C">
            <w:pPr>
              <w:pStyle w:val="ENoteTableText"/>
              <w:rPr>
                <w:sz w:val="20"/>
              </w:rPr>
            </w:pPr>
            <w:r w:rsidRPr="002F1C9A">
              <w:rPr>
                <w:sz w:val="20"/>
              </w:rPr>
              <w:t>o = order(s)</w:t>
            </w:r>
          </w:p>
        </w:tc>
        <w:tc>
          <w:tcPr>
            <w:tcW w:w="3543" w:type="dxa"/>
            <w:shd w:val="clear" w:color="auto" w:fill="auto"/>
          </w:tcPr>
          <w:p w14:paraId="6799F7E4" w14:textId="77777777" w:rsidR="002F1C9A" w:rsidRPr="002F1C9A" w:rsidRDefault="002F1C9A" w:rsidP="00F80B4C">
            <w:pPr>
              <w:pStyle w:val="ENoteTableText"/>
              <w:rPr>
                <w:sz w:val="20"/>
              </w:rPr>
            </w:pPr>
            <w:r w:rsidRPr="002F1C9A">
              <w:rPr>
                <w:sz w:val="20"/>
              </w:rPr>
              <w:t>SR = Statutory Rules</w:t>
            </w:r>
          </w:p>
        </w:tc>
      </w:tr>
      <w:tr w:rsidR="002F1C9A" w:rsidRPr="002F1C9A" w14:paraId="216E450F" w14:textId="77777777" w:rsidTr="00F80B4C">
        <w:tc>
          <w:tcPr>
            <w:tcW w:w="3543" w:type="dxa"/>
            <w:shd w:val="clear" w:color="auto" w:fill="auto"/>
          </w:tcPr>
          <w:p w14:paraId="45C849FC" w14:textId="77777777" w:rsidR="002F1C9A" w:rsidRPr="002F1C9A" w:rsidRDefault="002F1C9A" w:rsidP="00F80B4C">
            <w:pPr>
              <w:pStyle w:val="ENoteTableText"/>
              <w:rPr>
                <w:sz w:val="20"/>
              </w:rPr>
            </w:pPr>
            <w:r w:rsidRPr="002F1C9A">
              <w:rPr>
                <w:sz w:val="20"/>
              </w:rPr>
              <w:t>Ord = Ordinance</w:t>
            </w:r>
          </w:p>
        </w:tc>
        <w:tc>
          <w:tcPr>
            <w:tcW w:w="3543" w:type="dxa"/>
            <w:shd w:val="clear" w:color="auto" w:fill="auto"/>
          </w:tcPr>
          <w:p w14:paraId="2FCB32F2" w14:textId="77777777" w:rsidR="002F1C9A" w:rsidRPr="002F1C9A" w:rsidRDefault="002F1C9A" w:rsidP="00F80B4C">
            <w:pPr>
              <w:pStyle w:val="ENoteTableText"/>
              <w:rPr>
                <w:sz w:val="20"/>
              </w:rPr>
            </w:pPr>
            <w:r w:rsidRPr="002F1C9A">
              <w:rPr>
                <w:sz w:val="20"/>
              </w:rPr>
              <w:t>Sub-Ch = Sub-Chapter(s)</w:t>
            </w:r>
          </w:p>
        </w:tc>
      </w:tr>
      <w:tr w:rsidR="002F1C9A" w:rsidRPr="002F1C9A" w14:paraId="5EBB2312" w14:textId="77777777" w:rsidTr="00F80B4C">
        <w:tc>
          <w:tcPr>
            <w:tcW w:w="3543" w:type="dxa"/>
            <w:shd w:val="clear" w:color="auto" w:fill="auto"/>
          </w:tcPr>
          <w:p w14:paraId="1E5C0D71" w14:textId="77777777" w:rsidR="002F1C9A" w:rsidRPr="002F1C9A" w:rsidRDefault="002F1C9A" w:rsidP="00F80B4C">
            <w:pPr>
              <w:pStyle w:val="ENoteTableText"/>
              <w:rPr>
                <w:sz w:val="20"/>
              </w:rPr>
            </w:pPr>
            <w:r w:rsidRPr="002F1C9A">
              <w:rPr>
                <w:sz w:val="20"/>
              </w:rPr>
              <w:t>orig = original</w:t>
            </w:r>
          </w:p>
        </w:tc>
        <w:tc>
          <w:tcPr>
            <w:tcW w:w="3543" w:type="dxa"/>
            <w:shd w:val="clear" w:color="auto" w:fill="auto"/>
          </w:tcPr>
          <w:p w14:paraId="4C7C7C58" w14:textId="77777777" w:rsidR="002F1C9A" w:rsidRPr="002F1C9A" w:rsidRDefault="002F1C9A" w:rsidP="00F80B4C">
            <w:pPr>
              <w:pStyle w:val="ENoteTableText"/>
              <w:rPr>
                <w:sz w:val="20"/>
              </w:rPr>
            </w:pPr>
            <w:r w:rsidRPr="002F1C9A">
              <w:rPr>
                <w:sz w:val="20"/>
              </w:rPr>
              <w:t>SubPt = Subpart(s)</w:t>
            </w:r>
          </w:p>
        </w:tc>
      </w:tr>
      <w:tr w:rsidR="002F1C9A" w:rsidRPr="002F1C9A" w14:paraId="4E3ED488" w14:textId="77777777" w:rsidTr="00F80B4C">
        <w:tc>
          <w:tcPr>
            <w:tcW w:w="3543" w:type="dxa"/>
            <w:shd w:val="clear" w:color="auto" w:fill="auto"/>
          </w:tcPr>
          <w:p w14:paraId="4C3D40FB" w14:textId="77777777" w:rsidR="002F1C9A" w:rsidRPr="002F1C9A" w:rsidRDefault="002F1C9A" w:rsidP="00F80B4C">
            <w:pPr>
              <w:pStyle w:val="ENoteTableText"/>
              <w:rPr>
                <w:sz w:val="20"/>
              </w:rPr>
            </w:pPr>
            <w:r w:rsidRPr="002F1C9A">
              <w:rPr>
                <w:sz w:val="20"/>
              </w:rPr>
              <w:t>par = paragraph(s)/subparagraph(s)</w:t>
            </w:r>
          </w:p>
        </w:tc>
        <w:tc>
          <w:tcPr>
            <w:tcW w:w="3543" w:type="dxa"/>
            <w:shd w:val="clear" w:color="auto" w:fill="auto"/>
          </w:tcPr>
          <w:p w14:paraId="64F2B60C" w14:textId="77777777" w:rsidR="002F1C9A" w:rsidRPr="002F1C9A" w:rsidRDefault="002F1C9A" w:rsidP="00F80B4C">
            <w:pPr>
              <w:pStyle w:val="ENoteTableText"/>
              <w:rPr>
                <w:sz w:val="20"/>
              </w:rPr>
            </w:pPr>
          </w:p>
        </w:tc>
      </w:tr>
      <w:tr w:rsidR="002F1C9A" w:rsidRPr="002F1C9A" w14:paraId="4FB434CC" w14:textId="77777777" w:rsidTr="00F80B4C">
        <w:tc>
          <w:tcPr>
            <w:tcW w:w="3543" w:type="dxa"/>
            <w:shd w:val="clear" w:color="auto" w:fill="auto"/>
          </w:tcPr>
          <w:p w14:paraId="5B6C4E01" w14:textId="77777777" w:rsidR="002F1C9A" w:rsidRPr="002F1C9A" w:rsidRDefault="002F1C9A" w:rsidP="002B7E58">
            <w:pPr>
              <w:pStyle w:val="ENoteTableText"/>
              <w:tabs>
                <w:tab w:val="left" w:pos="454"/>
              </w:tabs>
              <w:rPr>
                <w:sz w:val="20"/>
              </w:rPr>
            </w:pPr>
            <w:r w:rsidRPr="002F1C9A">
              <w:rPr>
                <w:sz w:val="20"/>
              </w:rPr>
              <w:tab/>
              <w:t>/sub</w:t>
            </w:r>
            <w:r w:rsidR="002B7E58">
              <w:rPr>
                <w:sz w:val="20"/>
              </w:rPr>
              <w:t>-</w:t>
            </w:r>
            <w:r w:rsidRPr="002F1C9A">
              <w:rPr>
                <w:sz w:val="20"/>
              </w:rPr>
              <w:t>subparagraph(s)</w:t>
            </w:r>
          </w:p>
        </w:tc>
        <w:tc>
          <w:tcPr>
            <w:tcW w:w="3543" w:type="dxa"/>
            <w:shd w:val="clear" w:color="auto" w:fill="auto"/>
          </w:tcPr>
          <w:p w14:paraId="64F96C14" w14:textId="77777777" w:rsidR="002F1C9A" w:rsidRPr="002F1C9A" w:rsidRDefault="002F1C9A" w:rsidP="00F80B4C">
            <w:pPr>
              <w:pStyle w:val="ENoteTableText"/>
              <w:rPr>
                <w:sz w:val="20"/>
              </w:rPr>
            </w:pPr>
          </w:p>
        </w:tc>
      </w:tr>
    </w:tbl>
    <w:p w14:paraId="4F5A67C6" w14:textId="30E85048" w:rsidR="00ED6B56" w:rsidRDefault="00ED6B56" w:rsidP="00F80B4C">
      <w:pPr>
        <w:pStyle w:val="Tabletext"/>
      </w:pPr>
    </w:p>
    <w:p w14:paraId="4389EB53" w14:textId="77777777" w:rsidR="00ED6B56" w:rsidRPr="00ED6B56" w:rsidRDefault="00ED6B56" w:rsidP="00ED6B56">
      <w:pPr>
        <w:rPr>
          <w:lang w:eastAsia="en-AU"/>
        </w:rPr>
      </w:pPr>
    </w:p>
    <w:p w14:paraId="63994317" w14:textId="77777777" w:rsidR="00ED6B56" w:rsidRPr="00ED6B56" w:rsidRDefault="00ED6B56" w:rsidP="00ED6B56">
      <w:pPr>
        <w:rPr>
          <w:lang w:eastAsia="en-AU"/>
        </w:rPr>
      </w:pPr>
    </w:p>
    <w:p w14:paraId="33C6934F" w14:textId="77777777" w:rsidR="00ED6B56" w:rsidRPr="00ED6B56" w:rsidRDefault="00ED6B56" w:rsidP="00ED6B56">
      <w:pPr>
        <w:rPr>
          <w:lang w:eastAsia="en-AU"/>
        </w:rPr>
      </w:pPr>
    </w:p>
    <w:p w14:paraId="0A53CA33" w14:textId="77777777" w:rsidR="00ED6B56" w:rsidRPr="00ED6B56" w:rsidRDefault="00ED6B56" w:rsidP="00ED6B56">
      <w:pPr>
        <w:rPr>
          <w:lang w:eastAsia="en-AU"/>
        </w:rPr>
      </w:pPr>
    </w:p>
    <w:p w14:paraId="231C392B" w14:textId="77777777" w:rsidR="00ED6B56" w:rsidRPr="00ED6B56" w:rsidRDefault="00ED6B56" w:rsidP="00ED6B56">
      <w:pPr>
        <w:rPr>
          <w:lang w:eastAsia="en-AU"/>
        </w:rPr>
      </w:pPr>
    </w:p>
    <w:p w14:paraId="39F3FDE6" w14:textId="77777777" w:rsidR="00ED6B56" w:rsidRPr="00ED6B56" w:rsidRDefault="00ED6B56" w:rsidP="00ED6B56">
      <w:pPr>
        <w:rPr>
          <w:lang w:eastAsia="en-AU"/>
        </w:rPr>
      </w:pPr>
    </w:p>
    <w:p w14:paraId="63124FE0" w14:textId="77777777" w:rsidR="00ED6B56" w:rsidRPr="00ED6B56" w:rsidRDefault="00ED6B56" w:rsidP="00ED6B56">
      <w:pPr>
        <w:rPr>
          <w:lang w:eastAsia="en-AU"/>
        </w:rPr>
      </w:pPr>
    </w:p>
    <w:p w14:paraId="203BB67D" w14:textId="77777777" w:rsidR="00ED6B56" w:rsidRPr="00ED6B56" w:rsidRDefault="00ED6B56" w:rsidP="00ED6B56">
      <w:pPr>
        <w:rPr>
          <w:lang w:eastAsia="en-AU"/>
        </w:rPr>
      </w:pPr>
    </w:p>
    <w:p w14:paraId="4EC04B8A" w14:textId="77777777" w:rsidR="00ED6B56" w:rsidRPr="00ED6B56" w:rsidRDefault="00ED6B56" w:rsidP="00ED6B56">
      <w:pPr>
        <w:rPr>
          <w:lang w:eastAsia="en-AU"/>
        </w:rPr>
      </w:pPr>
    </w:p>
    <w:p w14:paraId="34B24E60" w14:textId="77777777" w:rsidR="00ED6B56" w:rsidRPr="00ED6B56" w:rsidRDefault="00ED6B56" w:rsidP="00ED6B56">
      <w:pPr>
        <w:rPr>
          <w:lang w:eastAsia="en-AU"/>
        </w:rPr>
      </w:pPr>
    </w:p>
    <w:p w14:paraId="5B5C986C" w14:textId="377590D7" w:rsidR="00ED6B56" w:rsidRDefault="00ED6B56" w:rsidP="00ED6B56">
      <w:pPr>
        <w:rPr>
          <w:lang w:eastAsia="en-AU"/>
        </w:rPr>
      </w:pPr>
    </w:p>
    <w:p w14:paraId="34426B63" w14:textId="77777777" w:rsidR="002F1C9A" w:rsidRPr="00ED6B56" w:rsidRDefault="002F1C9A" w:rsidP="00ED6B56">
      <w:pPr>
        <w:jc w:val="center"/>
        <w:rPr>
          <w:lang w:eastAsia="en-AU"/>
        </w:rPr>
      </w:pPr>
    </w:p>
    <w:p w14:paraId="5A4C05D3" w14:textId="77777777" w:rsidR="002F1C9A" w:rsidRDefault="002F1C9A" w:rsidP="00F80B4C">
      <w:pPr>
        <w:pStyle w:val="ENotesHeading2"/>
        <w:pageBreakBefore/>
      </w:pPr>
      <w:r>
        <w:lastRenderedPageBreak/>
        <w:t>Endnote 3—Legislation history</w:t>
      </w:r>
    </w:p>
    <w:p w14:paraId="318842E6" w14:textId="77777777" w:rsidR="002F1C9A" w:rsidRDefault="002F1C9A" w:rsidP="00F80B4C">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2F1C9A" w:rsidRPr="0098546F" w14:paraId="5CFD86E3" w14:textId="77777777" w:rsidTr="00F80B4C">
        <w:trPr>
          <w:cantSplit/>
          <w:tblHeader/>
        </w:trPr>
        <w:tc>
          <w:tcPr>
            <w:tcW w:w="1809" w:type="dxa"/>
            <w:tcBorders>
              <w:top w:val="single" w:sz="12" w:space="0" w:color="auto"/>
              <w:bottom w:val="single" w:sz="12" w:space="0" w:color="auto"/>
            </w:tcBorders>
            <w:shd w:val="clear" w:color="auto" w:fill="auto"/>
          </w:tcPr>
          <w:p w14:paraId="537B43D3" w14:textId="77777777" w:rsidR="002F1C9A" w:rsidRPr="00E117A3" w:rsidRDefault="002B7E58" w:rsidP="00F80B4C">
            <w:pPr>
              <w:pStyle w:val="ENoteTableHeading"/>
            </w:pPr>
            <w:r>
              <w:t>Name</w:t>
            </w:r>
          </w:p>
        </w:tc>
        <w:tc>
          <w:tcPr>
            <w:tcW w:w="1809" w:type="dxa"/>
            <w:tcBorders>
              <w:top w:val="single" w:sz="12" w:space="0" w:color="auto"/>
              <w:bottom w:val="single" w:sz="12" w:space="0" w:color="auto"/>
            </w:tcBorders>
            <w:shd w:val="clear" w:color="auto" w:fill="auto"/>
          </w:tcPr>
          <w:p w14:paraId="3AE5E06D" w14:textId="77777777" w:rsidR="002F1C9A" w:rsidRPr="00E117A3" w:rsidRDefault="002F1C9A" w:rsidP="00F80B4C">
            <w:pPr>
              <w:pStyle w:val="ENoteTableHeading"/>
            </w:pPr>
            <w:r>
              <w:t>FRLI registration</w:t>
            </w:r>
            <w:r w:rsidR="00500974">
              <w:t xml:space="preserve"> o</w:t>
            </w:r>
            <w:r w:rsidR="002B7E58">
              <w:t>r gazettal</w:t>
            </w:r>
          </w:p>
        </w:tc>
        <w:tc>
          <w:tcPr>
            <w:tcW w:w="1809" w:type="dxa"/>
            <w:tcBorders>
              <w:top w:val="single" w:sz="12" w:space="0" w:color="auto"/>
              <w:bottom w:val="single" w:sz="12" w:space="0" w:color="auto"/>
            </w:tcBorders>
            <w:shd w:val="clear" w:color="auto" w:fill="auto"/>
          </w:tcPr>
          <w:p w14:paraId="1FDF8938" w14:textId="77777777" w:rsidR="002F1C9A" w:rsidRPr="00E117A3" w:rsidRDefault="002F1C9A" w:rsidP="00F80B4C">
            <w:pPr>
              <w:pStyle w:val="ENoteTableHeading"/>
            </w:pPr>
            <w:r>
              <w:t>Commencement</w:t>
            </w:r>
          </w:p>
        </w:tc>
        <w:tc>
          <w:tcPr>
            <w:tcW w:w="1809" w:type="dxa"/>
            <w:tcBorders>
              <w:top w:val="single" w:sz="12" w:space="0" w:color="auto"/>
              <w:bottom w:val="single" w:sz="12" w:space="0" w:color="auto"/>
            </w:tcBorders>
            <w:shd w:val="clear" w:color="auto" w:fill="auto"/>
          </w:tcPr>
          <w:p w14:paraId="5D9FF818" w14:textId="77777777" w:rsidR="002F1C9A" w:rsidRPr="00E117A3" w:rsidRDefault="002F1C9A" w:rsidP="00F80B4C">
            <w:pPr>
              <w:pStyle w:val="ENoteTableHeading"/>
            </w:pPr>
            <w:r w:rsidRPr="00E117A3">
              <w:t>Application, saving and transitional provisions</w:t>
            </w:r>
          </w:p>
        </w:tc>
      </w:tr>
      <w:tr w:rsidR="002F1C9A" w:rsidRPr="00E117A3" w14:paraId="467570FA" w14:textId="77777777" w:rsidTr="00F80B4C">
        <w:trPr>
          <w:cantSplit/>
        </w:trPr>
        <w:tc>
          <w:tcPr>
            <w:tcW w:w="1809" w:type="dxa"/>
            <w:tcBorders>
              <w:top w:val="single" w:sz="12" w:space="0" w:color="auto"/>
              <w:bottom w:val="single" w:sz="4" w:space="0" w:color="auto"/>
            </w:tcBorders>
            <w:shd w:val="clear" w:color="auto" w:fill="auto"/>
          </w:tcPr>
          <w:p w14:paraId="052C87F6" w14:textId="77777777" w:rsidR="002F1C9A" w:rsidRPr="00E117A3" w:rsidRDefault="00B16C43" w:rsidP="00F80B4C">
            <w:pPr>
              <w:pStyle w:val="ENoteTableText"/>
            </w:pPr>
            <w:r>
              <w:t>Public Ancillary Fund Guidelines 2011</w:t>
            </w:r>
          </w:p>
        </w:tc>
        <w:tc>
          <w:tcPr>
            <w:tcW w:w="1809" w:type="dxa"/>
            <w:tcBorders>
              <w:top w:val="single" w:sz="12" w:space="0" w:color="auto"/>
              <w:bottom w:val="single" w:sz="4" w:space="0" w:color="auto"/>
            </w:tcBorders>
            <w:shd w:val="clear" w:color="auto" w:fill="auto"/>
          </w:tcPr>
          <w:p w14:paraId="1868A583" w14:textId="4AB9BCDC" w:rsidR="002F1C9A" w:rsidRPr="00E117A3" w:rsidRDefault="008B6ACC" w:rsidP="008B6ACC">
            <w:pPr>
              <w:pStyle w:val="ENoteTableText"/>
            </w:pPr>
            <w:r>
              <w:t>F2011L02758</w:t>
            </w:r>
          </w:p>
        </w:tc>
        <w:tc>
          <w:tcPr>
            <w:tcW w:w="1809" w:type="dxa"/>
            <w:tcBorders>
              <w:top w:val="single" w:sz="12" w:space="0" w:color="auto"/>
              <w:bottom w:val="single" w:sz="4" w:space="0" w:color="auto"/>
            </w:tcBorders>
            <w:shd w:val="clear" w:color="auto" w:fill="auto"/>
          </w:tcPr>
          <w:p w14:paraId="01A24E76" w14:textId="77777777" w:rsidR="002F1C9A" w:rsidRPr="00E117A3" w:rsidRDefault="00B16C43" w:rsidP="00F80B4C">
            <w:pPr>
              <w:pStyle w:val="ENoteTableText"/>
            </w:pPr>
            <w:r>
              <w:t>1 January 2012</w:t>
            </w:r>
          </w:p>
        </w:tc>
        <w:tc>
          <w:tcPr>
            <w:tcW w:w="1809" w:type="dxa"/>
            <w:tcBorders>
              <w:top w:val="single" w:sz="12" w:space="0" w:color="auto"/>
              <w:bottom w:val="single" w:sz="4" w:space="0" w:color="auto"/>
            </w:tcBorders>
            <w:shd w:val="clear" w:color="auto" w:fill="auto"/>
          </w:tcPr>
          <w:p w14:paraId="4AA8BD5D" w14:textId="77777777" w:rsidR="002F1C9A" w:rsidRPr="00E117A3" w:rsidRDefault="002F1C9A" w:rsidP="00F80B4C">
            <w:pPr>
              <w:pStyle w:val="ENoteTableText"/>
            </w:pPr>
          </w:p>
        </w:tc>
      </w:tr>
      <w:tr w:rsidR="002F1C9A" w14:paraId="1E5B8AA6" w14:textId="77777777" w:rsidTr="00F80B4C">
        <w:trPr>
          <w:cantSplit/>
        </w:trPr>
        <w:tc>
          <w:tcPr>
            <w:tcW w:w="1809" w:type="dxa"/>
            <w:tcBorders>
              <w:bottom w:val="single" w:sz="12" w:space="0" w:color="auto"/>
            </w:tcBorders>
            <w:shd w:val="clear" w:color="auto" w:fill="auto"/>
          </w:tcPr>
          <w:p w14:paraId="227C041C" w14:textId="781A1EFE" w:rsidR="002F1C9A" w:rsidRPr="00E117A3" w:rsidRDefault="00FF0922" w:rsidP="00F80B4C">
            <w:pPr>
              <w:pStyle w:val="ENoteTableText"/>
            </w:pPr>
            <w:r>
              <w:t>Private Ancillary Fund and Public Ancillary Fund Amendment Guidelines 2016</w:t>
            </w:r>
          </w:p>
        </w:tc>
        <w:tc>
          <w:tcPr>
            <w:tcW w:w="1809" w:type="dxa"/>
            <w:tcBorders>
              <w:bottom w:val="single" w:sz="12" w:space="0" w:color="auto"/>
            </w:tcBorders>
            <w:shd w:val="clear" w:color="auto" w:fill="auto"/>
          </w:tcPr>
          <w:p w14:paraId="1CB2B358" w14:textId="77777777" w:rsidR="006E5689" w:rsidRDefault="006E5689" w:rsidP="006E5689">
            <w:pPr>
              <w:pStyle w:val="ENoteTableText"/>
            </w:pPr>
            <w:r>
              <w:t>F2016L00651</w:t>
            </w:r>
          </w:p>
          <w:p w14:paraId="0AB65F1F" w14:textId="4F92DEBD" w:rsidR="002F1C9A" w:rsidRPr="00E117A3" w:rsidRDefault="006E5689" w:rsidP="006E5689">
            <w:pPr>
              <w:pStyle w:val="ENoteTableText"/>
            </w:pPr>
            <w:r>
              <w:t>(4 May 2016)</w:t>
            </w:r>
            <w:bookmarkStart w:id="75" w:name="_GoBack"/>
            <w:bookmarkEnd w:id="75"/>
          </w:p>
        </w:tc>
        <w:tc>
          <w:tcPr>
            <w:tcW w:w="1809" w:type="dxa"/>
            <w:tcBorders>
              <w:bottom w:val="single" w:sz="12" w:space="0" w:color="auto"/>
            </w:tcBorders>
            <w:shd w:val="clear" w:color="auto" w:fill="auto"/>
          </w:tcPr>
          <w:p w14:paraId="116BDD8A" w14:textId="64CF9FB9" w:rsidR="002F1C9A" w:rsidRPr="00E117A3" w:rsidRDefault="008B6ACC" w:rsidP="00766E40">
            <w:pPr>
              <w:pStyle w:val="ENoteTableText"/>
            </w:pPr>
            <w:r>
              <w:t>5</w:t>
            </w:r>
            <w:r w:rsidR="00766E40">
              <w:t xml:space="preserve"> May 2016</w:t>
            </w:r>
          </w:p>
        </w:tc>
        <w:tc>
          <w:tcPr>
            <w:tcW w:w="1809" w:type="dxa"/>
            <w:tcBorders>
              <w:bottom w:val="single" w:sz="12" w:space="0" w:color="auto"/>
            </w:tcBorders>
            <w:shd w:val="clear" w:color="auto" w:fill="auto"/>
          </w:tcPr>
          <w:p w14:paraId="721EB03A" w14:textId="77777777" w:rsidR="002F1C9A" w:rsidRPr="00E117A3" w:rsidRDefault="002F1C9A" w:rsidP="00F80B4C">
            <w:pPr>
              <w:pStyle w:val="ENoteTableText"/>
            </w:pPr>
          </w:p>
        </w:tc>
      </w:tr>
    </w:tbl>
    <w:p w14:paraId="38E2B33C" w14:textId="77777777" w:rsidR="002F1C9A" w:rsidRDefault="002F1C9A" w:rsidP="00F80B4C"/>
    <w:p w14:paraId="6C02CFB9" w14:textId="77777777" w:rsidR="002F1C9A" w:rsidRDefault="002F1C9A" w:rsidP="00F80B4C">
      <w:pPr>
        <w:pStyle w:val="ENotesHeading2"/>
        <w:pageBreakBefore/>
      </w:pPr>
      <w:r>
        <w:lastRenderedPageBreak/>
        <w:t>Endnote 4—Amendment history</w:t>
      </w:r>
    </w:p>
    <w:p w14:paraId="42E7DE9F" w14:textId="6C2882C7" w:rsidR="002F1C9A" w:rsidRDefault="009F26BB" w:rsidP="00F80B4C">
      <w:pPr>
        <w:pStyle w:val="Tabletext"/>
      </w:pPr>
      <w:r w:rsidRPr="009F26BB">
        <w:t>ad. = added or inserted      am. = amended      rep. = repealed      rs. = repealed and substituted</w:t>
      </w:r>
    </w:p>
    <w:tbl>
      <w:tblPr>
        <w:tblW w:w="7082" w:type="dxa"/>
        <w:tblInd w:w="113" w:type="dxa"/>
        <w:tblLayout w:type="fixed"/>
        <w:tblLook w:val="0000" w:firstRow="0" w:lastRow="0" w:firstColumn="0" w:lastColumn="0" w:noHBand="0" w:noVBand="0"/>
      </w:tblPr>
      <w:tblGrid>
        <w:gridCol w:w="2139"/>
        <w:gridCol w:w="4943"/>
      </w:tblGrid>
      <w:tr w:rsidR="002F1C9A" w:rsidRPr="0098546F" w14:paraId="2B5EA63C" w14:textId="77777777" w:rsidTr="00F80B4C">
        <w:trPr>
          <w:cantSplit/>
          <w:tblHeader/>
        </w:trPr>
        <w:tc>
          <w:tcPr>
            <w:tcW w:w="2139" w:type="dxa"/>
            <w:tcBorders>
              <w:top w:val="single" w:sz="12" w:space="0" w:color="auto"/>
              <w:bottom w:val="single" w:sz="12" w:space="0" w:color="auto"/>
            </w:tcBorders>
            <w:shd w:val="clear" w:color="auto" w:fill="auto"/>
          </w:tcPr>
          <w:p w14:paraId="545461B0" w14:textId="77777777" w:rsidR="002F1C9A" w:rsidRPr="00E117A3" w:rsidRDefault="002F1C9A" w:rsidP="00F80B4C">
            <w:pPr>
              <w:pStyle w:val="ENoteTableHeading"/>
            </w:pPr>
            <w:r w:rsidRPr="00E117A3">
              <w:t>Provision affected</w:t>
            </w:r>
          </w:p>
        </w:tc>
        <w:tc>
          <w:tcPr>
            <w:tcW w:w="4943" w:type="dxa"/>
            <w:tcBorders>
              <w:top w:val="single" w:sz="12" w:space="0" w:color="auto"/>
              <w:bottom w:val="single" w:sz="12" w:space="0" w:color="auto"/>
            </w:tcBorders>
            <w:shd w:val="clear" w:color="auto" w:fill="auto"/>
          </w:tcPr>
          <w:p w14:paraId="4434744E" w14:textId="77777777" w:rsidR="002F1C9A" w:rsidRPr="00E117A3" w:rsidRDefault="002F1C9A" w:rsidP="00F80B4C">
            <w:pPr>
              <w:pStyle w:val="ENoteTableHeading"/>
            </w:pPr>
            <w:r w:rsidRPr="00E117A3">
              <w:t>How affected</w:t>
            </w:r>
          </w:p>
        </w:tc>
      </w:tr>
      <w:tr w:rsidR="002F1C9A" w:rsidRPr="00E117A3" w14:paraId="749794FC" w14:textId="77777777" w:rsidTr="00F80B4C">
        <w:trPr>
          <w:cantSplit/>
        </w:trPr>
        <w:tc>
          <w:tcPr>
            <w:tcW w:w="2139" w:type="dxa"/>
            <w:tcBorders>
              <w:top w:val="single" w:sz="12" w:space="0" w:color="auto"/>
            </w:tcBorders>
            <w:shd w:val="clear" w:color="auto" w:fill="auto"/>
          </w:tcPr>
          <w:p w14:paraId="691C13BA" w14:textId="048D50E5" w:rsidR="002F1C9A" w:rsidRPr="00C5648E" w:rsidRDefault="00462318">
            <w:pPr>
              <w:pStyle w:val="ENoteTableText"/>
              <w:rPr>
                <w:b/>
              </w:rPr>
            </w:pPr>
            <w:r>
              <w:t xml:space="preserve">Guideline </w:t>
            </w:r>
            <w:r w:rsidR="009F26BB">
              <w:t>8</w:t>
            </w:r>
          </w:p>
        </w:tc>
        <w:tc>
          <w:tcPr>
            <w:tcW w:w="4943" w:type="dxa"/>
            <w:tcBorders>
              <w:top w:val="single" w:sz="12" w:space="0" w:color="auto"/>
            </w:tcBorders>
            <w:shd w:val="clear" w:color="auto" w:fill="auto"/>
          </w:tcPr>
          <w:p w14:paraId="752DAECB" w14:textId="267FFDCD" w:rsidR="009F26BB" w:rsidRPr="00E117A3" w:rsidRDefault="0023149E">
            <w:pPr>
              <w:pStyle w:val="ENoteTableText"/>
            </w:pPr>
            <w:r>
              <w:t xml:space="preserve">am. </w:t>
            </w:r>
            <w:r w:rsidR="0067464C">
              <w:t xml:space="preserve">No. </w:t>
            </w:r>
            <w:r w:rsidR="00440B0E">
              <w:t>F2016L00651</w:t>
            </w:r>
            <w:r w:rsidR="0067464C">
              <w:t>, 2016</w:t>
            </w:r>
          </w:p>
        </w:tc>
      </w:tr>
      <w:tr w:rsidR="002F1C9A" w14:paraId="3862EA37" w14:textId="77777777" w:rsidTr="00F80B4C">
        <w:trPr>
          <w:cantSplit/>
        </w:trPr>
        <w:tc>
          <w:tcPr>
            <w:tcW w:w="2139" w:type="dxa"/>
            <w:shd w:val="clear" w:color="auto" w:fill="auto"/>
          </w:tcPr>
          <w:p w14:paraId="763B6F52" w14:textId="5F0B6B3F" w:rsidR="002F1C9A" w:rsidRPr="00E117A3" w:rsidRDefault="00462318">
            <w:pPr>
              <w:pStyle w:val="ENoteTableText"/>
            </w:pPr>
            <w:r>
              <w:t xml:space="preserve">Guideline </w:t>
            </w:r>
            <w:r w:rsidR="00DE064C">
              <w:t>8</w:t>
            </w:r>
            <w:r w:rsidR="0067464C">
              <w:t xml:space="preserve"> (note)</w:t>
            </w:r>
          </w:p>
        </w:tc>
        <w:tc>
          <w:tcPr>
            <w:tcW w:w="4943" w:type="dxa"/>
            <w:shd w:val="clear" w:color="auto" w:fill="auto"/>
          </w:tcPr>
          <w:p w14:paraId="612A8CA8" w14:textId="68B22DD7" w:rsidR="002F1C9A" w:rsidRPr="00E117A3" w:rsidRDefault="002C5CB4">
            <w:pPr>
              <w:pStyle w:val="ENoteTableText"/>
            </w:pPr>
            <w:r>
              <w:t>am</w:t>
            </w:r>
            <w:r w:rsidR="0067464C">
              <w:t xml:space="preserve">. No. </w:t>
            </w:r>
            <w:r w:rsidR="00440B0E">
              <w:t>F2016L00651</w:t>
            </w:r>
            <w:r w:rsidR="0067464C">
              <w:t>, 2016</w:t>
            </w:r>
          </w:p>
        </w:tc>
      </w:tr>
      <w:tr w:rsidR="002F1C9A" w14:paraId="665D95D3" w14:textId="77777777" w:rsidTr="00C5648E">
        <w:trPr>
          <w:cantSplit/>
        </w:trPr>
        <w:tc>
          <w:tcPr>
            <w:tcW w:w="2139" w:type="dxa"/>
            <w:shd w:val="clear" w:color="auto" w:fill="auto"/>
          </w:tcPr>
          <w:p w14:paraId="45C00A02" w14:textId="50844155" w:rsidR="002F1C9A" w:rsidRPr="00E117A3" w:rsidRDefault="00462318">
            <w:pPr>
              <w:pStyle w:val="ENoteTableText"/>
            </w:pPr>
            <w:r>
              <w:t xml:space="preserve">Guideline </w:t>
            </w:r>
            <w:r w:rsidR="0023149E">
              <w:t>12</w:t>
            </w:r>
            <w:r w:rsidR="0067464C">
              <w:t xml:space="preserve"> (note)</w:t>
            </w:r>
          </w:p>
        </w:tc>
        <w:tc>
          <w:tcPr>
            <w:tcW w:w="4943" w:type="dxa"/>
            <w:shd w:val="clear" w:color="auto" w:fill="auto"/>
          </w:tcPr>
          <w:p w14:paraId="734CDA3F" w14:textId="02A998BD" w:rsidR="002F1C9A" w:rsidRPr="00C5648E" w:rsidRDefault="0023149E" w:rsidP="00F80B4C">
            <w:pPr>
              <w:pStyle w:val="ENoteTableText"/>
              <w:rPr>
                <w:rFonts w:eastAsiaTheme="minorHAnsi" w:cstheme="minorBidi"/>
                <w:sz w:val="22"/>
                <w:lang w:eastAsia="en-US"/>
              </w:rPr>
            </w:pPr>
            <w:r>
              <w:t>r</w:t>
            </w:r>
            <w:r w:rsidR="0067464C">
              <w:t>ep</w:t>
            </w:r>
            <w:r>
              <w:t xml:space="preserve">. </w:t>
            </w:r>
            <w:r w:rsidR="0067464C">
              <w:t xml:space="preserve">No. </w:t>
            </w:r>
            <w:r w:rsidR="00440B0E">
              <w:t>F2016L00651</w:t>
            </w:r>
            <w:r w:rsidR="0067464C">
              <w:t>, 2016</w:t>
            </w:r>
          </w:p>
        </w:tc>
      </w:tr>
      <w:tr w:rsidR="0023149E" w14:paraId="4D9B6182" w14:textId="77777777" w:rsidTr="00C5648E">
        <w:trPr>
          <w:cantSplit/>
        </w:trPr>
        <w:tc>
          <w:tcPr>
            <w:tcW w:w="2139" w:type="dxa"/>
            <w:shd w:val="clear" w:color="auto" w:fill="auto"/>
          </w:tcPr>
          <w:p w14:paraId="149E4A36" w14:textId="4D27C86A" w:rsidR="0023149E" w:rsidRPr="00E117A3" w:rsidRDefault="00462318">
            <w:pPr>
              <w:pStyle w:val="ENoteTableText"/>
            </w:pPr>
            <w:r>
              <w:t xml:space="preserve">Guideline </w:t>
            </w:r>
            <w:r w:rsidR="0023149E">
              <w:t>14.1</w:t>
            </w:r>
          </w:p>
        </w:tc>
        <w:tc>
          <w:tcPr>
            <w:tcW w:w="4943" w:type="dxa"/>
            <w:shd w:val="clear" w:color="auto" w:fill="auto"/>
          </w:tcPr>
          <w:p w14:paraId="1791C0BA" w14:textId="42FBA4E0" w:rsidR="0023149E" w:rsidRPr="00E117A3" w:rsidRDefault="002C5CB4">
            <w:pPr>
              <w:pStyle w:val="ENoteTableText"/>
            </w:pPr>
            <w:r>
              <w:t>am</w:t>
            </w:r>
            <w:r w:rsidR="0023149E">
              <w:t xml:space="preserve">. </w:t>
            </w:r>
            <w:r w:rsidR="0067464C">
              <w:t xml:space="preserve">No. </w:t>
            </w:r>
            <w:r w:rsidR="00440B0E">
              <w:t>F2016L00651</w:t>
            </w:r>
            <w:r w:rsidR="0067464C">
              <w:t>, 2016</w:t>
            </w:r>
          </w:p>
        </w:tc>
      </w:tr>
      <w:tr w:rsidR="0023149E" w14:paraId="2F201B04" w14:textId="77777777" w:rsidTr="00C5648E">
        <w:trPr>
          <w:cantSplit/>
        </w:trPr>
        <w:tc>
          <w:tcPr>
            <w:tcW w:w="2139" w:type="dxa"/>
            <w:shd w:val="clear" w:color="auto" w:fill="auto"/>
          </w:tcPr>
          <w:p w14:paraId="5A65180E" w14:textId="132A4708" w:rsidR="0023149E" w:rsidRDefault="00462318">
            <w:pPr>
              <w:pStyle w:val="ENoteTableText"/>
            </w:pPr>
            <w:r>
              <w:t xml:space="preserve">Guideline </w:t>
            </w:r>
            <w:r w:rsidR="0023149E">
              <w:t>17.1.</w:t>
            </w:r>
          </w:p>
        </w:tc>
        <w:tc>
          <w:tcPr>
            <w:tcW w:w="4943" w:type="dxa"/>
            <w:shd w:val="clear" w:color="auto" w:fill="auto"/>
          </w:tcPr>
          <w:p w14:paraId="7358C23A" w14:textId="184B2BE0" w:rsidR="0023149E" w:rsidRDefault="0023149E" w:rsidP="00F80B4C">
            <w:pPr>
              <w:pStyle w:val="ENoteTableText"/>
            </w:pPr>
            <w:r>
              <w:t xml:space="preserve">ad. </w:t>
            </w:r>
            <w:r w:rsidR="0067464C">
              <w:t xml:space="preserve">No. </w:t>
            </w:r>
            <w:r w:rsidR="00440B0E">
              <w:t>F2016L00651</w:t>
            </w:r>
            <w:r w:rsidR="0067464C">
              <w:t>, 2016</w:t>
            </w:r>
          </w:p>
        </w:tc>
      </w:tr>
      <w:tr w:rsidR="0023149E" w14:paraId="5DA4BFD5" w14:textId="77777777" w:rsidTr="00C5648E">
        <w:trPr>
          <w:cantSplit/>
        </w:trPr>
        <w:tc>
          <w:tcPr>
            <w:tcW w:w="2139" w:type="dxa"/>
            <w:shd w:val="clear" w:color="auto" w:fill="auto"/>
          </w:tcPr>
          <w:p w14:paraId="6ED0B61C" w14:textId="6A67A81B" w:rsidR="0023149E" w:rsidRDefault="00462318">
            <w:pPr>
              <w:pStyle w:val="ENoteTableText"/>
            </w:pPr>
            <w:r>
              <w:t xml:space="preserve">Guideline </w:t>
            </w:r>
            <w:r w:rsidR="0023149E">
              <w:t>19</w:t>
            </w:r>
          </w:p>
        </w:tc>
        <w:tc>
          <w:tcPr>
            <w:tcW w:w="4943" w:type="dxa"/>
            <w:shd w:val="clear" w:color="auto" w:fill="auto"/>
          </w:tcPr>
          <w:p w14:paraId="57E74090" w14:textId="7F791822" w:rsidR="0023149E" w:rsidRDefault="0023149E" w:rsidP="00F80B4C">
            <w:pPr>
              <w:pStyle w:val="ENoteTableText"/>
            </w:pPr>
            <w:r>
              <w:t xml:space="preserve">am. </w:t>
            </w:r>
            <w:r w:rsidR="0067464C">
              <w:t xml:space="preserve">No. </w:t>
            </w:r>
            <w:r w:rsidR="00440B0E">
              <w:t>F2016L00651</w:t>
            </w:r>
            <w:r w:rsidR="0067464C">
              <w:t>, 2016</w:t>
            </w:r>
          </w:p>
        </w:tc>
      </w:tr>
      <w:tr w:rsidR="0023149E" w14:paraId="5F23E975" w14:textId="77777777" w:rsidTr="00C5648E">
        <w:trPr>
          <w:cantSplit/>
        </w:trPr>
        <w:tc>
          <w:tcPr>
            <w:tcW w:w="2139" w:type="dxa"/>
            <w:shd w:val="clear" w:color="auto" w:fill="auto"/>
          </w:tcPr>
          <w:p w14:paraId="027D8109" w14:textId="1D1E3597" w:rsidR="0023149E" w:rsidRDefault="00462318">
            <w:pPr>
              <w:pStyle w:val="ENoteTableText"/>
            </w:pPr>
            <w:r>
              <w:t xml:space="preserve">Guideline </w:t>
            </w:r>
            <w:r w:rsidR="00DE064C">
              <w:t>19</w:t>
            </w:r>
            <w:r w:rsidR="0067464C">
              <w:t xml:space="preserve"> (note 1)</w:t>
            </w:r>
          </w:p>
        </w:tc>
        <w:tc>
          <w:tcPr>
            <w:tcW w:w="4943" w:type="dxa"/>
            <w:shd w:val="clear" w:color="auto" w:fill="auto"/>
          </w:tcPr>
          <w:p w14:paraId="23CBDE82" w14:textId="0261A82C" w:rsidR="0023149E" w:rsidRDefault="0023149E" w:rsidP="00F80B4C">
            <w:pPr>
              <w:pStyle w:val="ENoteTableText"/>
            </w:pPr>
            <w:r>
              <w:t xml:space="preserve">am. </w:t>
            </w:r>
            <w:r w:rsidR="0067464C">
              <w:t xml:space="preserve">No. </w:t>
            </w:r>
            <w:r w:rsidR="00440B0E">
              <w:t>F2016L00651</w:t>
            </w:r>
            <w:r w:rsidR="0067464C">
              <w:t>, 2016</w:t>
            </w:r>
          </w:p>
        </w:tc>
      </w:tr>
      <w:tr w:rsidR="0023149E" w14:paraId="0E050494" w14:textId="77777777" w:rsidTr="00C5648E">
        <w:trPr>
          <w:cantSplit/>
        </w:trPr>
        <w:tc>
          <w:tcPr>
            <w:tcW w:w="2139" w:type="dxa"/>
            <w:shd w:val="clear" w:color="auto" w:fill="auto"/>
          </w:tcPr>
          <w:p w14:paraId="1E4458AB" w14:textId="670CE15D" w:rsidR="0023149E" w:rsidRDefault="00462318">
            <w:pPr>
              <w:pStyle w:val="ENoteTableText"/>
            </w:pPr>
            <w:r>
              <w:t xml:space="preserve">Guideline </w:t>
            </w:r>
            <w:r w:rsidR="0023149E">
              <w:t xml:space="preserve">19 </w:t>
            </w:r>
            <w:r w:rsidR="0067464C">
              <w:t>(note 2)</w:t>
            </w:r>
          </w:p>
        </w:tc>
        <w:tc>
          <w:tcPr>
            <w:tcW w:w="4943" w:type="dxa"/>
            <w:shd w:val="clear" w:color="auto" w:fill="auto"/>
          </w:tcPr>
          <w:p w14:paraId="3F0A6D04" w14:textId="1C065DEB" w:rsidR="0023149E" w:rsidRDefault="0023149E" w:rsidP="00F80B4C">
            <w:pPr>
              <w:pStyle w:val="ENoteTableText"/>
            </w:pPr>
            <w:r>
              <w:t xml:space="preserve">ad. </w:t>
            </w:r>
            <w:r w:rsidR="0067464C">
              <w:t xml:space="preserve">No. </w:t>
            </w:r>
            <w:r w:rsidR="00440B0E">
              <w:t>F2016L00651</w:t>
            </w:r>
            <w:r w:rsidR="0067464C">
              <w:t>, 2016</w:t>
            </w:r>
          </w:p>
        </w:tc>
      </w:tr>
      <w:tr w:rsidR="0023149E" w14:paraId="518E2C02" w14:textId="77777777" w:rsidTr="00C5648E">
        <w:trPr>
          <w:cantSplit/>
        </w:trPr>
        <w:tc>
          <w:tcPr>
            <w:tcW w:w="2139" w:type="dxa"/>
            <w:shd w:val="clear" w:color="auto" w:fill="auto"/>
          </w:tcPr>
          <w:p w14:paraId="2D7EFD91" w14:textId="5CCC501B" w:rsidR="0023149E" w:rsidRDefault="00462318">
            <w:pPr>
              <w:pStyle w:val="ENoteTableText"/>
            </w:pPr>
            <w:r>
              <w:t xml:space="preserve">Guideline </w:t>
            </w:r>
            <w:r w:rsidR="0023149E">
              <w:t>19.1.</w:t>
            </w:r>
          </w:p>
        </w:tc>
        <w:tc>
          <w:tcPr>
            <w:tcW w:w="4943" w:type="dxa"/>
            <w:shd w:val="clear" w:color="auto" w:fill="auto"/>
          </w:tcPr>
          <w:p w14:paraId="7BD26589" w14:textId="2FF65220" w:rsidR="0023149E" w:rsidRDefault="0023149E" w:rsidP="00F80B4C">
            <w:pPr>
              <w:pStyle w:val="ENoteTableText"/>
            </w:pPr>
            <w:r>
              <w:t xml:space="preserve">am. </w:t>
            </w:r>
            <w:r w:rsidR="0067464C">
              <w:t xml:space="preserve">No. </w:t>
            </w:r>
            <w:r w:rsidR="00440B0E">
              <w:t>F2016L00651</w:t>
            </w:r>
            <w:r w:rsidR="0067464C">
              <w:t>, 2016</w:t>
            </w:r>
          </w:p>
        </w:tc>
      </w:tr>
      <w:tr w:rsidR="0023149E" w14:paraId="1217D523" w14:textId="77777777" w:rsidTr="00C5648E">
        <w:trPr>
          <w:cantSplit/>
        </w:trPr>
        <w:tc>
          <w:tcPr>
            <w:tcW w:w="2139" w:type="dxa"/>
            <w:shd w:val="clear" w:color="auto" w:fill="auto"/>
          </w:tcPr>
          <w:p w14:paraId="550058B5" w14:textId="0A3A3326" w:rsidR="0023149E" w:rsidRDefault="00462318">
            <w:pPr>
              <w:pStyle w:val="ENoteTableText"/>
            </w:pPr>
            <w:r>
              <w:t xml:space="preserve">Guideline </w:t>
            </w:r>
            <w:r w:rsidR="00DE064C">
              <w:t>19.1</w:t>
            </w:r>
            <w:r w:rsidR="0067464C">
              <w:t xml:space="preserve"> (note)</w:t>
            </w:r>
          </w:p>
        </w:tc>
        <w:tc>
          <w:tcPr>
            <w:tcW w:w="4943" w:type="dxa"/>
            <w:shd w:val="clear" w:color="auto" w:fill="auto"/>
          </w:tcPr>
          <w:p w14:paraId="09580DD8" w14:textId="3D49D8AF" w:rsidR="0023149E" w:rsidRDefault="0023149E" w:rsidP="00F80B4C">
            <w:pPr>
              <w:pStyle w:val="ENoteTableText"/>
            </w:pPr>
            <w:r>
              <w:t xml:space="preserve">am. </w:t>
            </w:r>
            <w:r w:rsidR="0067464C">
              <w:t xml:space="preserve">No. </w:t>
            </w:r>
            <w:r w:rsidR="00440B0E">
              <w:t>F2016L00651</w:t>
            </w:r>
            <w:r w:rsidR="0067464C">
              <w:t>, 2016</w:t>
            </w:r>
          </w:p>
        </w:tc>
      </w:tr>
      <w:tr w:rsidR="0023149E" w14:paraId="48D85EE0" w14:textId="77777777" w:rsidTr="00C5648E">
        <w:trPr>
          <w:cantSplit/>
        </w:trPr>
        <w:tc>
          <w:tcPr>
            <w:tcW w:w="2139" w:type="dxa"/>
            <w:shd w:val="clear" w:color="auto" w:fill="auto"/>
          </w:tcPr>
          <w:p w14:paraId="6F3C1A51" w14:textId="11D8E0F9" w:rsidR="0023149E" w:rsidRDefault="00462318" w:rsidP="00F80B4C">
            <w:pPr>
              <w:pStyle w:val="ENoteTableText"/>
            </w:pPr>
            <w:r>
              <w:t xml:space="preserve">Guideline </w:t>
            </w:r>
            <w:r w:rsidR="0023149E">
              <w:t>19.3</w:t>
            </w:r>
          </w:p>
        </w:tc>
        <w:tc>
          <w:tcPr>
            <w:tcW w:w="4943" w:type="dxa"/>
            <w:shd w:val="clear" w:color="auto" w:fill="auto"/>
          </w:tcPr>
          <w:p w14:paraId="6FCA8EE2" w14:textId="0E03D0AB" w:rsidR="0023149E" w:rsidRDefault="0023149E" w:rsidP="00F80B4C">
            <w:pPr>
              <w:pStyle w:val="ENoteTableText"/>
            </w:pPr>
            <w:r>
              <w:t xml:space="preserve">am. </w:t>
            </w:r>
            <w:r w:rsidR="0067464C">
              <w:t xml:space="preserve">No. </w:t>
            </w:r>
            <w:r w:rsidR="00440B0E">
              <w:t>F2016L00651</w:t>
            </w:r>
            <w:r w:rsidR="0067464C">
              <w:t>, 2016</w:t>
            </w:r>
          </w:p>
        </w:tc>
      </w:tr>
      <w:tr w:rsidR="002C5CB4" w14:paraId="598A6031" w14:textId="77777777" w:rsidTr="0023149E">
        <w:trPr>
          <w:cantSplit/>
        </w:trPr>
        <w:tc>
          <w:tcPr>
            <w:tcW w:w="2139" w:type="dxa"/>
            <w:shd w:val="clear" w:color="auto" w:fill="auto"/>
          </w:tcPr>
          <w:p w14:paraId="7B865198" w14:textId="75D075E6" w:rsidR="002C5CB4" w:rsidRDefault="002C5CB4" w:rsidP="00F80B4C">
            <w:pPr>
              <w:pStyle w:val="ENoteTableText"/>
            </w:pPr>
            <w:r>
              <w:t>Guideline 19.3 (note 1)</w:t>
            </w:r>
          </w:p>
        </w:tc>
        <w:tc>
          <w:tcPr>
            <w:tcW w:w="4943" w:type="dxa"/>
            <w:shd w:val="clear" w:color="auto" w:fill="auto"/>
          </w:tcPr>
          <w:p w14:paraId="6AF5249C" w14:textId="2CB35671" w:rsidR="002C5CB4" w:rsidRDefault="002C5CB4" w:rsidP="00F80B4C">
            <w:pPr>
              <w:pStyle w:val="ENoteTableText"/>
            </w:pPr>
            <w:r>
              <w:t xml:space="preserve">ad. No. </w:t>
            </w:r>
            <w:r w:rsidR="00440B0E">
              <w:t>F2016L00651</w:t>
            </w:r>
            <w:r>
              <w:t>, 2016</w:t>
            </w:r>
          </w:p>
        </w:tc>
      </w:tr>
      <w:tr w:rsidR="0023149E" w14:paraId="6773AA27" w14:textId="77777777" w:rsidTr="00C5648E">
        <w:trPr>
          <w:cantSplit/>
        </w:trPr>
        <w:tc>
          <w:tcPr>
            <w:tcW w:w="2139" w:type="dxa"/>
            <w:shd w:val="clear" w:color="auto" w:fill="auto"/>
          </w:tcPr>
          <w:p w14:paraId="4291E137" w14:textId="786C9F49" w:rsidR="0023149E" w:rsidRDefault="00462318" w:rsidP="00F80B4C">
            <w:pPr>
              <w:pStyle w:val="ENoteTableText"/>
            </w:pPr>
            <w:r>
              <w:t xml:space="preserve">Guideline </w:t>
            </w:r>
            <w:r w:rsidR="0023149E">
              <w:t>19.7</w:t>
            </w:r>
          </w:p>
        </w:tc>
        <w:tc>
          <w:tcPr>
            <w:tcW w:w="4943" w:type="dxa"/>
            <w:shd w:val="clear" w:color="auto" w:fill="auto"/>
          </w:tcPr>
          <w:p w14:paraId="7179C47C" w14:textId="07794779" w:rsidR="0023149E" w:rsidRDefault="0023149E" w:rsidP="00F80B4C">
            <w:pPr>
              <w:pStyle w:val="ENoteTableText"/>
            </w:pPr>
            <w:r>
              <w:t xml:space="preserve">ad. </w:t>
            </w:r>
            <w:r w:rsidR="0067464C">
              <w:t xml:space="preserve">No. </w:t>
            </w:r>
            <w:r w:rsidR="00440B0E">
              <w:t>F2016L00651</w:t>
            </w:r>
            <w:r w:rsidR="0067464C">
              <w:t>, 2016</w:t>
            </w:r>
          </w:p>
        </w:tc>
      </w:tr>
      <w:tr w:rsidR="0023149E" w14:paraId="43211C91" w14:textId="77777777" w:rsidTr="00C5648E">
        <w:trPr>
          <w:cantSplit/>
        </w:trPr>
        <w:tc>
          <w:tcPr>
            <w:tcW w:w="2139" w:type="dxa"/>
            <w:shd w:val="clear" w:color="auto" w:fill="auto"/>
          </w:tcPr>
          <w:p w14:paraId="5711CF15" w14:textId="474294D8" w:rsidR="0023149E" w:rsidRDefault="00462318" w:rsidP="00F80B4C">
            <w:pPr>
              <w:pStyle w:val="ENoteTableText"/>
            </w:pPr>
            <w:r>
              <w:t xml:space="preserve">Guideline </w:t>
            </w:r>
            <w:r w:rsidR="0023149E">
              <w:t>19.7.1</w:t>
            </w:r>
          </w:p>
        </w:tc>
        <w:tc>
          <w:tcPr>
            <w:tcW w:w="4943" w:type="dxa"/>
            <w:shd w:val="clear" w:color="auto" w:fill="auto"/>
          </w:tcPr>
          <w:p w14:paraId="61422F65" w14:textId="69DD50A2" w:rsidR="0023149E" w:rsidRDefault="00DE064C" w:rsidP="00F80B4C">
            <w:pPr>
              <w:pStyle w:val="ENoteTableText"/>
            </w:pPr>
            <w:r>
              <w:t xml:space="preserve">ad. </w:t>
            </w:r>
            <w:r w:rsidR="0067464C">
              <w:t xml:space="preserve">No. </w:t>
            </w:r>
            <w:r w:rsidR="00440B0E">
              <w:t>F2016L00651</w:t>
            </w:r>
            <w:r w:rsidR="0067464C">
              <w:t>, 2016</w:t>
            </w:r>
          </w:p>
        </w:tc>
      </w:tr>
      <w:tr w:rsidR="0023149E" w14:paraId="7859917C" w14:textId="77777777" w:rsidTr="00C5648E">
        <w:trPr>
          <w:cantSplit/>
        </w:trPr>
        <w:tc>
          <w:tcPr>
            <w:tcW w:w="2139" w:type="dxa"/>
            <w:shd w:val="clear" w:color="auto" w:fill="auto"/>
          </w:tcPr>
          <w:p w14:paraId="43CA9F61" w14:textId="57BD3E99" w:rsidR="0023149E" w:rsidRDefault="00462318" w:rsidP="00F80B4C">
            <w:pPr>
              <w:pStyle w:val="ENoteTableText"/>
            </w:pPr>
            <w:r>
              <w:t xml:space="preserve">Guideline </w:t>
            </w:r>
            <w:r w:rsidR="0023149E">
              <w:t>19.7.2</w:t>
            </w:r>
          </w:p>
        </w:tc>
        <w:tc>
          <w:tcPr>
            <w:tcW w:w="4943" w:type="dxa"/>
            <w:shd w:val="clear" w:color="auto" w:fill="auto"/>
          </w:tcPr>
          <w:p w14:paraId="4F512DDF" w14:textId="2E573B0B" w:rsidR="0023149E" w:rsidRDefault="00DE064C" w:rsidP="00F80B4C">
            <w:pPr>
              <w:pStyle w:val="ENoteTableText"/>
            </w:pPr>
            <w:r>
              <w:t xml:space="preserve">ad. </w:t>
            </w:r>
            <w:r w:rsidR="0067464C">
              <w:t xml:space="preserve">No. </w:t>
            </w:r>
            <w:r w:rsidR="00440B0E">
              <w:t>F2016L00651</w:t>
            </w:r>
            <w:r w:rsidR="0067464C">
              <w:t>, 2016</w:t>
            </w:r>
          </w:p>
        </w:tc>
      </w:tr>
      <w:tr w:rsidR="0023149E" w14:paraId="1F4C34E3" w14:textId="77777777" w:rsidTr="00C5648E">
        <w:trPr>
          <w:cantSplit/>
        </w:trPr>
        <w:tc>
          <w:tcPr>
            <w:tcW w:w="2139" w:type="dxa"/>
            <w:shd w:val="clear" w:color="auto" w:fill="auto"/>
          </w:tcPr>
          <w:p w14:paraId="15CE6078" w14:textId="25B6DD24" w:rsidR="0023149E" w:rsidRDefault="00462318" w:rsidP="00F80B4C">
            <w:pPr>
              <w:pStyle w:val="ENoteTableText"/>
            </w:pPr>
            <w:r>
              <w:t xml:space="preserve">Guideline </w:t>
            </w:r>
            <w:r w:rsidR="00DE064C">
              <w:t>19.7.3</w:t>
            </w:r>
          </w:p>
        </w:tc>
        <w:tc>
          <w:tcPr>
            <w:tcW w:w="4943" w:type="dxa"/>
            <w:shd w:val="clear" w:color="auto" w:fill="auto"/>
          </w:tcPr>
          <w:p w14:paraId="2957906B" w14:textId="6001CB55" w:rsidR="0023149E" w:rsidRDefault="00DE064C" w:rsidP="00F80B4C">
            <w:pPr>
              <w:pStyle w:val="ENoteTableText"/>
            </w:pPr>
            <w:r>
              <w:t xml:space="preserve">ad. </w:t>
            </w:r>
            <w:r w:rsidR="0067464C">
              <w:t xml:space="preserve">No. </w:t>
            </w:r>
            <w:r w:rsidR="00440B0E">
              <w:t>F2016L00651</w:t>
            </w:r>
            <w:r w:rsidR="0067464C">
              <w:t>, 2016</w:t>
            </w:r>
          </w:p>
        </w:tc>
      </w:tr>
      <w:tr w:rsidR="00DE064C" w14:paraId="45413657" w14:textId="77777777" w:rsidTr="00DE064C">
        <w:trPr>
          <w:cantSplit/>
        </w:trPr>
        <w:tc>
          <w:tcPr>
            <w:tcW w:w="2139" w:type="dxa"/>
            <w:shd w:val="clear" w:color="auto" w:fill="auto"/>
          </w:tcPr>
          <w:p w14:paraId="7AAC11AD" w14:textId="3AC99AC1" w:rsidR="00DE064C" w:rsidRDefault="00462318">
            <w:pPr>
              <w:pStyle w:val="ENoteTableText"/>
            </w:pPr>
            <w:r>
              <w:t xml:space="preserve">Guideline </w:t>
            </w:r>
            <w:r w:rsidR="00DE064C">
              <w:t>19.7.3</w:t>
            </w:r>
            <w:r w:rsidR="0067464C">
              <w:t xml:space="preserve"> (note 1)</w:t>
            </w:r>
          </w:p>
        </w:tc>
        <w:tc>
          <w:tcPr>
            <w:tcW w:w="4943" w:type="dxa"/>
            <w:shd w:val="clear" w:color="auto" w:fill="auto"/>
          </w:tcPr>
          <w:p w14:paraId="362F078B" w14:textId="6B9A2782" w:rsidR="00DE064C" w:rsidRDefault="00DE064C" w:rsidP="00F80B4C">
            <w:pPr>
              <w:pStyle w:val="ENoteTableText"/>
            </w:pPr>
            <w:r>
              <w:t xml:space="preserve">ad. </w:t>
            </w:r>
            <w:r w:rsidR="0067464C">
              <w:t xml:space="preserve">No. </w:t>
            </w:r>
            <w:r w:rsidR="00440B0E">
              <w:t>F2016L00651</w:t>
            </w:r>
            <w:r w:rsidR="0067464C">
              <w:t>, 2016</w:t>
            </w:r>
          </w:p>
        </w:tc>
      </w:tr>
      <w:tr w:rsidR="0023149E" w14:paraId="709D171A" w14:textId="77777777" w:rsidTr="00C5648E">
        <w:trPr>
          <w:cantSplit/>
        </w:trPr>
        <w:tc>
          <w:tcPr>
            <w:tcW w:w="2139" w:type="dxa"/>
            <w:shd w:val="clear" w:color="auto" w:fill="auto"/>
          </w:tcPr>
          <w:p w14:paraId="2D6E23C9" w14:textId="4EF276B8" w:rsidR="0023149E" w:rsidRDefault="00462318">
            <w:pPr>
              <w:pStyle w:val="ENoteTableText"/>
            </w:pPr>
            <w:r>
              <w:t xml:space="preserve">Guideline </w:t>
            </w:r>
            <w:r w:rsidR="00DE064C">
              <w:t>20.1</w:t>
            </w:r>
            <w:r w:rsidR="0067464C">
              <w:t xml:space="preserve"> (note 3)</w:t>
            </w:r>
          </w:p>
        </w:tc>
        <w:tc>
          <w:tcPr>
            <w:tcW w:w="4943" w:type="dxa"/>
            <w:shd w:val="clear" w:color="auto" w:fill="auto"/>
          </w:tcPr>
          <w:p w14:paraId="755FA07F" w14:textId="2C615750" w:rsidR="0023149E" w:rsidRDefault="00DE064C" w:rsidP="00F80B4C">
            <w:pPr>
              <w:pStyle w:val="ENoteTableText"/>
            </w:pPr>
            <w:r>
              <w:t xml:space="preserve">am. </w:t>
            </w:r>
            <w:r w:rsidR="0067464C">
              <w:t xml:space="preserve">No. </w:t>
            </w:r>
            <w:r w:rsidR="00440B0E">
              <w:t>F2016L00651</w:t>
            </w:r>
            <w:r w:rsidR="0067464C">
              <w:t>, 2016</w:t>
            </w:r>
          </w:p>
        </w:tc>
      </w:tr>
      <w:tr w:rsidR="00DE064C" w14:paraId="33DFEC77" w14:textId="77777777" w:rsidTr="00C5648E">
        <w:trPr>
          <w:cantSplit/>
        </w:trPr>
        <w:tc>
          <w:tcPr>
            <w:tcW w:w="2139" w:type="dxa"/>
            <w:shd w:val="clear" w:color="auto" w:fill="auto"/>
          </w:tcPr>
          <w:p w14:paraId="66395D52" w14:textId="4F0BFA8E" w:rsidR="00DE064C" w:rsidRDefault="00462318" w:rsidP="00F80B4C">
            <w:pPr>
              <w:pStyle w:val="ENoteTableText"/>
            </w:pPr>
            <w:r>
              <w:t xml:space="preserve">Guideline </w:t>
            </w:r>
            <w:r w:rsidR="00DE064C">
              <w:t>21.1</w:t>
            </w:r>
          </w:p>
        </w:tc>
        <w:tc>
          <w:tcPr>
            <w:tcW w:w="4943" w:type="dxa"/>
            <w:shd w:val="clear" w:color="auto" w:fill="auto"/>
          </w:tcPr>
          <w:p w14:paraId="41BE12B1" w14:textId="3EDB7C89" w:rsidR="00DE064C" w:rsidRDefault="00DE064C" w:rsidP="00F80B4C">
            <w:pPr>
              <w:pStyle w:val="ENoteTableText"/>
            </w:pPr>
            <w:r>
              <w:t xml:space="preserve">am. </w:t>
            </w:r>
            <w:r w:rsidR="0067464C">
              <w:t xml:space="preserve">No. </w:t>
            </w:r>
            <w:r w:rsidR="00440B0E">
              <w:t>F2016L00651</w:t>
            </w:r>
            <w:r w:rsidR="0067464C">
              <w:t>, 2016</w:t>
            </w:r>
          </w:p>
        </w:tc>
      </w:tr>
      <w:tr w:rsidR="00DE064C" w14:paraId="21756EFA" w14:textId="77777777" w:rsidTr="00C5648E">
        <w:trPr>
          <w:cantSplit/>
        </w:trPr>
        <w:tc>
          <w:tcPr>
            <w:tcW w:w="2139" w:type="dxa"/>
            <w:shd w:val="clear" w:color="auto" w:fill="auto"/>
          </w:tcPr>
          <w:p w14:paraId="6074426E" w14:textId="09308DE7" w:rsidR="00DE064C" w:rsidRDefault="00462318">
            <w:pPr>
              <w:pStyle w:val="ENoteTableText"/>
            </w:pPr>
            <w:r>
              <w:t xml:space="preserve">Guideline </w:t>
            </w:r>
            <w:r w:rsidR="00DE064C">
              <w:t>21.1.1</w:t>
            </w:r>
            <w:r w:rsidR="0067464C">
              <w:t xml:space="preserve"> (note)</w:t>
            </w:r>
          </w:p>
        </w:tc>
        <w:tc>
          <w:tcPr>
            <w:tcW w:w="4943" w:type="dxa"/>
            <w:shd w:val="clear" w:color="auto" w:fill="auto"/>
          </w:tcPr>
          <w:p w14:paraId="67256A8C" w14:textId="50CA8B07" w:rsidR="00DE064C" w:rsidRDefault="00DE064C" w:rsidP="00F80B4C">
            <w:pPr>
              <w:pStyle w:val="ENoteTableText"/>
            </w:pPr>
            <w:r>
              <w:t xml:space="preserve">am. </w:t>
            </w:r>
            <w:r w:rsidR="0067464C">
              <w:t xml:space="preserve">No. </w:t>
            </w:r>
            <w:r w:rsidR="00440B0E">
              <w:t>F2016L00651</w:t>
            </w:r>
            <w:r w:rsidR="0067464C">
              <w:t>, 2016</w:t>
            </w:r>
          </w:p>
        </w:tc>
      </w:tr>
      <w:tr w:rsidR="00DE064C" w14:paraId="52A8792C" w14:textId="77777777" w:rsidTr="00C5648E">
        <w:trPr>
          <w:cantSplit/>
        </w:trPr>
        <w:tc>
          <w:tcPr>
            <w:tcW w:w="2139" w:type="dxa"/>
            <w:shd w:val="clear" w:color="auto" w:fill="auto"/>
          </w:tcPr>
          <w:p w14:paraId="04BF5A69" w14:textId="0A1483B5" w:rsidR="00DE064C" w:rsidRDefault="00462318">
            <w:pPr>
              <w:pStyle w:val="ENoteTableText"/>
            </w:pPr>
            <w:r>
              <w:t xml:space="preserve">Guideline </w:t>
            </w:r>
            <w:r w:rsidR="00DE064C">
              <w:t>22</w:t>
            </w:r>
            <w:r w:rsidR="0067464C">
              <w:t xml:space="preserve"> (note)</w:t>
            </w:r>
          </w:p>
        </w:tc>
        <w:tc>
          <w:tcPr>
            <w:tcW w:w="4943" w:type="dxa"/>
            <w:shd w:val="clear" w:color="auto" w:fill="auto"/>
          </w:tcPr>
          <w:p w14:paraId="3BFC21C6" w14:textId="2DB57DF8" w:rsidR="00DE064C" w:rsidRDefault="00DE064C" w:rsidP="00F80B4C">
            <w:pPr>
              <w:pStyle w:val="ENoteTableText"/>
            </w:pPr>
            <w:r>
              <w:t xml:space="preserve">am. </w:t>
            </w:r>
            <w:r w:rsidR="0067464C">
              <w:t xml:space="preserve">No. </w:t>
            </w:r>
            <w:r w:rsidR="00440B0E">
              <w:t>F2016L00651</w:t>
            </w:r>
            <w:r w:rsidR="0067464C">
              <w:t>, 2016</w:t>
            </w:r>
          </w:p>
        </w:tc>
      </w:tr>
      <w:tr w:rsidR="00DE064C" w14:paraId="4448C776" w14:textId="77777777" w:rsidTr="00C5648E">
        <w:trPr>
          <w:cantSplit/>
        </w:trPr>
        <w:tc>
          <w:tcPr>
            <w:tcW w:w="2139" w:type="dxa"/>
            <w:shd w:val="clear" w:color="auto" w:fill="auto"/>
          </w:tcPr>
          <w:p w14:paraId="7165B0DE" w14:textId="49BBDDCE" w:rsidR="00DE064C" w:rsidRDefault="00462318">
            <w:pPr>
              <w:pStyle w:val="ENoteTableText"/>
            </w:pPr>
            <w:r>
              <w:t xml:space="preserve">Guideline </w:t>
            </w:r>
            <w:r w:rsidR="0067464C">
              <w:t>26.1 (note)</w:t>
            </w:r>
          </w:p>
        </w:tc>
        <w:tc>
          <w:tcPr>
            <w:tcW w:w="4943" w:type="dxa"/>
            <w:shd w:val="clear" w:color="auto" w:fill="auto"/>
          </w:tcPr>
          <w:p w14:paraId="653F3107" w14:textId="0D4AF65A" w:rsidR="00DE064C" w:rsidRDefault="00DE064C" w:rsidP="00F80B4C">
            <w:pPr>
              <w:pStyle w:val="ENoteTableText"/>
            </w:pPr>
            <w:r>
              <w:t xml:space="preserve">ad. </w:t>
            </w:r>
            <w:r w:rsidR="0067464C">
              <w:t xml:space="preserve">No. </w:t>
            </w:r>
            <w:r w:rsidR="00440B0E">
              <w:t>F2016L00651</w:t>
            </w:r>
            <w:r w:rsidR="0067464C">
              <w:t>, 2016</w:t>
            </w:r>
          </w:p>
        </w:tc>
      </w:tr>
      <w:tr w:rsidR="00DE064C" w14:paraId="5B0AB058" w14:textId="77777777" w:rsidTr="00C5648E">
        <w:trPr>
          <w:cantSplit/>
        </w:trPr>
        <w:tc>
          <w:tcPr>
            <w:tcW w:w="2139" w:type="dxa"/>
            <w:shd w:val="clear" w:color="auto" w:fill="auto"/>
          </w:tcPr>
          <w:p w14:paraId="2BEA1C24" w14:textId="2DB601B7" w:rsidR="00DE064C" w:rsidRDefault="00462318" w:rsidP="00F80B4C">
            <w:pPr>
              <w:pStyle w:val="ENoteTableText"/>
            </w:pPr>
            <w:r>
              <w:t xml:space="preserve">Guideline </w:t>
            </w:r>
            <w:r w:rsidR="00DE064C">
              <w:t>27</w:t>
            </w:r>
          </w:p>
        </w:tc>
        <w:tc>
          <w:tcPr>
            <w:tcW w:w="4943" w:type="dxa"/>
            <w:shd w:val="clear" w:color="auto" w:fill="auto"/>
          </w:tcPr>
          <w:p w14:paraId="4F4667D8" w14:textId="2974D10B" w:rsidR="00DE064C" w:rsidRDefault="00DE064C" w:rsidP="00F80B4C">
            <w:pPr>
              <w:pStyle w:val="ENoteTableText"/>
            </w:pPr>
            <w:r>
              <w:t xml:space="preserve">am. </w:t>
            </w:r>
            <w:r w:rsidR="0067464C">
              <w:t xml:space="preserve">No. </w:t>
            </w:r>
            <w:r w:rsidR="00440B0E">
              <w:t>F2016L00651</w:t>
            </w:r>
            <w:r w:rsidR="0067464C">
              <w:t>, 2016</w:t>
            </w:r>
          </w:p>
        </w:tc>
      </w:tr>
      <w:tr w:rsidR="00DE064C" w14:paraId="2BCD78F1" w14:textId="77777777" w:rsidTr="00C5648E">
        <w:trPr>
          <w:cantSplit/>
        </w:trPr>
        <w:tc>
          <w:tcPr>
            <w:tcW w:w="2139" w:type="dxa"/>
            <w:shd w:val="clear" w:color="auto" w:fill="auto"/>
          </w:tcPr>
          <w:p w14:paraId="3A56B9DE" w14:textId="75EC2617" w:rsidR="00DE064C" w:rsidRDefault="00462318" w:rsidP="00F80B4C">
            <w:pPr>
              <w:pStyle w:val="ENoteTableText"/>
            </w:pPr>
            <w:r>
              <w:t xml:space="preserve">Guideline </w:t>
            </w:r>
            <w:r w:rsidR="00DE064C">
              <w:t>29</w:t>
            </w:r>
          </w:p>
        </w:tc>
        <w:tc>
          <w:tcPr>
            <w:tcW w:w="4943" w:type="dxa"/>
            <w:shd w:val="clear" w:color="auto" w:fill="auto"/>
          </w:tcPr>
          <w:p w14:paraId="2C253E22" w14:textId="4F72C95F" w:rsidR="00DE064C" w:rsidRDefault="00DE064C" w:rsidP="00F80B4C">
            <w:pPr>
              <w:pStyle w:val="ENoteTableText"/>
            </w:pPr>
            <w:r>
              <w:t xml:space="preserve">am. </w:t>
            </w:r>
            <w:r w:rsidR="0067464C">
              <w:t xml:space="preserve">No. </w:t>
            </w:r>
            <w:r w:rsidR="00440B0E">
              <w:t>F2016L00651</w:t>
            </w:r>
            <w:r w:rsidR="0067464C">
              <w:t>, 2016</w:t>
            </w:r>
          </w:p>
        </w:tc>
      </w:tr>
      <w:tr w:rsidR="00DE064C" w14:paraId="39FEE9A8" w14:textId="77777777" w:rsidTr="00C5648E">
        <w:trPr>
          <w:cantSplit/>
        </w:trPr>
        <w:tc>
          <w:tcPr>
            <w:tcW w:w="2139" w:type="dxa"/>
            <w:shd w:val="clear" w:color="auto" w:fill="auto"/>
          </w:tcPr>
          <w:p w14:paraId="4524D36F" w14:textId="56CFB026" w:rsidR="00DE064C" w:rsidRDefault="00462318" w:rsidP="00F80B4C">
            <w:pPr>
              <w:pStyle w:val="ENoteTableText"/>
            </w:pPr>
            <w:r>
              <w:t xml:space="preserve">Guideline </w:t>
            </w:r>
            <w:r w:rsidR="00DE064C">
              <w:t>30.2</w:t>
            </w:r>
          </w:p>
        </w:tc>
        <w:tc>
          <w:tcPr>
            <w:tcW w:w="4943" w:type="dxa"/>
            <w:shd w:val="clear" w:color="auto" w:fill="auto"/>
          </w:tcPr>
          <w:p w14:paraId="30D01694" w14:textId="113877A2" w:rsidR="00DE064C" w:rsidRDefault="00DE064C" w:rsidP="00F80B4C">
            <w:pPr>
              <w:pStyle w:val="ENoteTableText"/>
            </w:pPr>
            <w:r>
              <w:t xml:space="preserve">am. </w:t>
            </w:r>
            <w:r w:rsidR="0067464C">
              <w:t xml:space="preserve">No. </w:t>
            </w:r>
            <w:r w:rsidR="00440B0E">
              <w:t>F2016L00651</w:t>
            </w:r>
            <w:r w:rsidR="0067464C">
              <w:t>, 2016</w:t>
            </w:r>
          </w:p>
        </w:tc>
      </w:tr>
      <w:tr w:rsidR="00DE064C" w14:paraId="114263AD" w14:textId="77777777" w:rsidTr="00C5648E">
        <w:trPr>
          <w:cantSplit/>
        </w:trPr>
        <w:tc>
          <w:tcPr>
            <w:tcW w:w="2139" w:type="dxa"/>
            <w:shd w:val="clear" w:color="auto" w:fill="auto"/>
          </w:tcPr>
          <w:p w14:paraId="03EC7D67" w14:textId="1EE465A0" w:rsidR="00DE064C" w:rsidRDefault="00462318" w:rsidP="00F80B4C">
            <w:pPr>
              <w:pStyle w:val="ENoteTableText"/>
            </w:pPr>
            <w:r>
              <w:t xml:space="preserve">Guideline </w:t>
            </w:r>
            <w:r w:rsidR="00DE064C">
              <w:t>31</w:t>
            </w:r>
          </w:p>
        </w:tc>
        <w:tc>
          <w:tcPr>
            <w:tcW w:w="4943" w:type="dxa"/>
            <w:shd w:val="clear" w:color="auto" w:fill="auto"/>
          </w:tcPr>
          <w:p w14:paraId="22938AD9" w14:textId="75A91419" w:rsidR="00DE064C" w:rsidRDefault="00DE064C" w:rsidP="00F80B4C">
            <w:pPr>
              <w:pStyle w:val="ENoteTableText"/>
            </w:pPr>
            <w:r>
              <w:t xml:space="preserve">am. </w:t>
            </w:r>
            <w:r w:rsidR="0067464C">
              <w:t xml:space="preserve">No. </w:t>
            </w:r>
            <w:r w:rsidR="00440B0E">
              <w:t>F2016L00651</w:t>
            </w:r>
            <w:r w:rsidR="0067464C">
              <w:t>, 2016</w:t>
            </w:r>
          </w:p>
        </w:tc>
      </w:tr>
      <w:tr w:rsidR="0067464C" w14:paraId="304A0CD7" w14:textId="77777777" w:rsidTr="00C5648E">
        <w:trPr>
          <w:cantSplit/>
        </w:trPr>
        <w:tc>
          <w:tcPr>
            <w:tcW w:w="2139" w:type="dxa"/>
            <w:shd w:val="clear" w:color="auto" w:fill="auto"/>
          </w:tcPr>
          <w:p w14:paraId="5C973D6E" w14:textId="42AEC06A" w:rsidR="0067464C" w:rsidRDefault="00462318" w:rsidP="00F80B4C">
            <w:pPr>
              <w:pStyle w:val="ENoteTableText"/>
            </w:pPr>
            <w:r>
              <w:t xml:space="preserve">Guideline </w:t>
            </w:r>
            <w:r w:rsidR="0067464C">
              <w:t>32</w:t>
            </w:r>
          </w:p>
        </w:tc>
        <w:tc>
          <w:tcPr>
            <w:tcW w:w="4943" w:type="dxa"/>
            <w:shd w:val="clear" w:color="auto" w:fill="auto"/>
          </w:tcPr>
          <w:p w14:paraId="311C9342" w14:textId="0A06C792" w:rsidR="0067464C" w:rsidRDefault="0067464C" w:rsidP="00F80B4C">
            <w:pPr>
              <w:pStyle w:val="ENoteTableText"/>
            </w:pPr>
            <w:r>
              <w:t xml:space="preserve">am. No. </w:t>
            </w:r>
            <w:r w:rsidR="00440B0E">
              <w:t>F2016L00651</w:t>
            </w:r>
            <w:r>
              <w:t>, 2016</w:t>
            </w:r>
          </w:p>
        </w:tc>
      </w:tr>
      <w:tr w:rsidR="0067464C" w14:paraId="3F498A28" w14:textId="77777777" w:rsidTr="00C5648E">
        <w:trPr>
          <w:cantSplit/>
        </w:trPr>
        <w:tc>
          <w:tcPr>
            <w:tcW w:w="2139" w:type="dxa"/>
            <w:shd w:val="clear" w:color="auto" w:fill="auto"/>
          </w:tcPr>
          <w:p w14:paraId="1C43E46F" w14:textId="2F871F23" w:rsidR="0067464C" w:rsidRDefault="00462318" w:rsidP="00F80B4C">
            <w:pPr>
              <w:pStyle w:val="ENoteTableText"/>
            </w:pPr>
            <w:r>
              <w:t xml:space="preserve">Guideline </w:t>
            </w:r>
            <w:r w:rsidR="0067464C">
              <w:t>34</w:t>
            </w:r>
          </w:p>
        </w:tc>
        <w:tc>
          <w:tcPr>
            <w:tcW w:w="4943" w:type="dxa"/>
            <w:shd w:val="clear" w:color="auto" w:fill="auto"/>
          </w:tcPr>
          <w:p w14:paraId="739F3F3A" w14:textId="6FC37532" w:rsidR="0067464C" w:rsidRDefault="0067464C" w:rsidP="00F80B4C">
            <w:pPr>
              <w:pStyle w:val="ENoteTableText"/>
            </w:pPr>
            <w:r>
              <w:t xml:space="preserve">am. No. </w:t>
            </w:r>
            <w:r w:rsidR="00440B0E">
              <w:t>F2016L00651</w:t>
            </w:r>
            <w:r>
              <w:t>, 2016</w:t>
            </w:r>
          </w:p>
        </w:tc>
      </w:tr>
      <w:tr w:rsidR="0067464C" w14:paraId="77FAEEC6" w14:textId="77777777" w:rsidTr="00C5648E">
        <w:trPr>
          <w:cantSplit/>
        </w:trPr>
        <w:tc>
          <w:tcPr>
            <w:tcW w:w="2139" w:type="dxa"/>
            <w:shd w:val="clear" w:color="auto" w:fill="auto"/>
          </w:tcPr>
          <w:p w14:paraId="6076D1BC" w14:textId="7652E146" w:rsidR="0067464C" w:rsidRDefault="00462318" w:rsidP="00F80B4C">
            <w:pPr>
              <w:pStyle w:val="ENoteTableText"/>
            </w:pPr>
            <w:r>
              <w:t xml:space="preserve">Guideline </w:t>
            </w:r>
            <w:r w:rsidR="0067464C">
              <w:t>35.1</w:t>
            </w:r>
          </w:p>
        </w:tc>
        <w:tc>
          <w:tcPr>
            <w:tcW w:w="4943" w:type="dxa"/>
            <w:shd w:val="clear" w:color="auto" w:fill="auto"/>
          </w:tcPr>
          <w:p w14:paraId="49590AAA" w14:textId="51A332BA" w:rsidR="0067464C" w:rsidRDefault="002C5CB4" w:rsidP="00F80B4C">
            <w:pPr>
              <w:pStyle w:val="ENoteTableText"/>
            </w:pPr>
            <w:r>
              <w:t>am</w:t>
            </w:r>
            <w:r w:rsidR="0067464C">
              <w:t xml:space="preserve">. No. </w:t>
            </w:r>
            <w:r w:rsidR="00440B0E">
              <w:t>F2016L00651</w:t>
            </w:r>
            <w:r w:rsidR="0067464C">
              <w:t>, 2016</w:t>
            </w:r>
          </w:p>
        </w:tc>
      </w:tr>
      <w:tr w:rsidR="0067464C" w14:paraId="11480C1A" w14:textId="77777777" w:rsidTr="00C5648E">
        <w:trPr>
          <w:cantSplit/>
        </w:trPr>
        <w:tc>
          <w:tcPr>
            <w:tcW w:w="2139" w:type="dxa"/>
            <w:shd w:val="clear" w:color="auto" w:fill="auto"/>
          </w:tcPr>
          <w:p w14:paraId="3944A142" w14:textId="6B9A568A" w:rsidR="0067464C" w:rsidRDefault="00462318">
            <w:pPr>
              <w:pStyle w:val="ENoteTableText"/>
            </w:pPr>
            <w:r>
              <w:t xml:space="preserve">Guideline </w:t>
            </w:r>
            <w:r w:rsidR="0067464C">
              <w:t>44 (note 1)</w:t>
            </w:r>
          </w:p>
        </w:tc>
        <w:tc>
          <w:tcPr>
            <w:tcW w:w="4943" w:type="dxa"/>
            <w:shd w:val="clear" w:color="auto" w:fill="auto"/>
          </w:tcPr>
          <w:p w14:paraId="18EB2DC8" w14:textId="68E293DF" w:rsidR="0067464C" w:rsidRDefault="0067464C" w:rsidP="00F80B4C">
            <w:pPr>
              <w:pStyle w:val="ENoteTableText"/>
            </w:pPr>
            <w:r>
              <w:t xml:space="preserve">am. No. </w:t>
            </w:r>
            <w:r w:rsidR="00440B0E">
              <w:t>F2016L00651</w:t>
            </w:r>
            <w:r>
              <w:t>, 2016</w:t>
            </w:r>
          </w:p>
        </w:tc>
      </w:tr>
      <w:tr w:rsidR="0067464C" w14:paraId="144B7DF9" w14:textId="77777777" w:rsidTr="00C5648E">
        <w:trPr>
          <w:cantSplit/>
        </w:trPr>
        <w:tc>
          <w:tcPr>
            <w:tcW w:w="2139" w:type="dxa"/>
            <w:shd w:val="clear" w:color="auto" w:fill="auto"/>
          </w:tcPr>
          <w:p w14:paraId="7F76D8A7" w14:textId="03C175A5" w:rsidR="0067464C" w:rsidRDefault="00462318">
            <w:pPr>
              <w:pStyle w:val="ENoteTableText"/>
            </w:pPr>
            <w:r>
              <w:t xml:space="preserve">Guideline </w:t>
            </w:r>
            <w:r w:rsidR="0067464C">
              <w:t>44 (note 2)</w:t>
            </w:r>
          </w:p>
        </w:tc>
        <w:tc>
          <w:tcPr>
            <w:tcW w:w="4943" w:type="dxa"/>
            <w:shd w:val="clear" w:color="auto" w:fill="auto"/>
          </w:tcPr>
          <w:p w14:paraId="0D626F10" w14:textId="2BC79F16" w:rsidR="0067464C" w:rsidRDefault="0067464C" w:rsidP="00F80B4C">
            <w:pPr>
              <w:pStyle w:val="ENoteTableText"/>
            </w:pPr>
            <w:r>
              <w:t xml:space="preserve">ad. No. </w:t>
            </w:r>
            <w:r w:rsidR="00440B0E">
              <w:t>F2016L00651</w:t>
            </w:r>
            <w:r>
              <w:t>, 2016</w:t>
            </w:r>
          </w:p>
        </w:tc>
      </w:tr>
      <w:tr w:rsidR="0067464C" w14:paraId="6A44B938" w14:textId="77777777" w:rsidTr="00C5648E">
        <w:trPr>
          <w:cantSplit/>
        </w:trPr>
        <w:tc>
          <w:tcPr>
            <w:tcW w:w="2139" w:type="dxa"/>
            <w:shd w:val="clear" w:color="auto" w:fill="auto"/>
          </w:tcPr>
          <w:p w14:paraId="2D473B82" w14:textId="3F0D91B9" w:rsidR="0067464C" w:rsidRDefault="00462318" w:rsidP="0067464C">
            <w:pPr>
              <w:pStyle w:val="ENoteTableText"/>
            </w:pPr>
            <w:r>
              <w:t xml:space="preserve">Guideline </w:t>
            </w:r>
            <w:r w:rsidR="0067464C">
              <w:t>50.1</w:t>
            </w:r>
          </w:p>
        </w:tc>
        <w:tc>
          <w:tcPr>
            <w:tcW w:w="4943" w:type="dxa"/>
            <w:shd w:val="clear" w:color="auto" w:fill="auto"/>
          </w:tcPr>
          <w:p w14:paraId="20C2BFCC" w14:textId="33C72629" w:rsidR="0067464C" w:rsidRDefault="0067464C" w:rsidP="00F80B4C">
            <w:pPr>
              <w:pStyle w:val="ENoteTableText"/>
            </w:pPr>
            <w:r>
              <w:t xml:space="preserve">ad. No. </w:t>
            </w:r>
            <w:r w:rsidR="00440B0E">
              <w:t>F2016L00651</w:t>
            </w:r>
            <w:r>
              <w:t>, 2016</w:t>
            </w:r>
          </w:p>
        </w:tc>
      </w:tr>
      <w:tr w:rsidR="0067464C" w14:paraId="2A3040A4" w14:textId="77777777" w:rsidTr="00C5648E">
        <w:trPr>
          <w:cantSplit/>
        </w:trPr>
        <w:tc>
          <w:tcPr>
            <w:tcW w:w="2139" w:type="dxa"/>
            <w:shd w:val="clear" w:color="auto" w:fill="auto"/>
          </w:tcPr>
          <w:p w14:paraId="1F5C351B" w14:textId="33F64876" w:rsidR="0067464C" w:rsidRDefault="00462318" w:rsidP="0067464C">
            <w:pPr>
              <w:pStyle w:val="ENoteTableText"/>
            </w:pPr>
            <w:r>
              <w:t xml:space="preserve">Guideline </w:t>
            </w:r>
            <w:r w:rsidR="0067464C">
              <w:t>52</w:t>
            </w:r>
          </w:p>
        </w:tc>
        <w:tc>
          <w:tcPr>
            <w:tcW w:w="4943" w:type="dxa"/>
            <w:shd w:val="clear" w:color="auto" w:fill="auto"/>
          </w:tcPr>
          <w:p w14:paraId="2F6E012F" w14:textId="483CFBDA" w:rsidR="0067464C" w:rsidRDefault="0067464C" w:rsidP="00F80B4C">
            <w:pPr>
              <w:pStyle w:val="ENoteTableText"/>
            </w:pPr>
            <w:r>
              <w:t xml:space="preserve">rep. No. </w:t>
            </w:r>
            <w:r w:rsidR="00440B0E">
              <w:t>F2016L00651</w:t>
            </w:r>
            <w:r>
              <w:t>, 2016</w:t>
            </w:r>
          </w:p>
        </w:tc>
      </w:tr>
      <w:tr w:rsidR="0067464C" w14:paraId="775CE273" w14:textId="77777777" w:rsidTr="00C5648E">
        <w:trPr>
          <w:cantSplit/>
        </w:trPr>
        <w:tc>
          <w:tcPr>
            <w:tcW w:w="2139" w:type="dxa"/>
            <w:shd w:val="clear" w:color="auto" w:fill="auto"/>
          </w:tcPr>
          <w:p w14:paraId="44B27828" w14:textId="4EEC4DCA" w:rsidR="0067464C" w:rsidRDefault="00462318" w:rsidP="0067464C">
            <w:pPr>
              <w:pStyle w:val="ENoteTableText"/>
            </w:pPr>
            <w:r>
              <w:t xml:space="preserve">Guideline </w:t>
            </w:r>
            <w:r w:rsidR="0067464C">
              <w:t>53</w:t>
            </w:r>
          </w:p>
        </w:tc>
        <w:tc>
          <w:tcPr>
            <w:tcW w:w="4943" w:type="dxa"/>
            <w:shd w:val="clear" w:color="auto" w:fill="auto"/>
          </w:tcPr>
          <w:p w14:paraId="0DB86DE7" w14:textId="3F490626" w:rsidR="0067464C" w:rsidRDefault="0067464C" w:rsidP="00F80B4C">
            <w:pPr>
              <w:pStyle w:val="ENoteTableText"/>
            </w:pPr>
            <w:r>
              <w:t xml:space="preserve">rep. No. </w:t>
            </w:r>
            <w:r w:rsidR="00440B0E">
              <w:t>F2016L00651</w:t>
            </w:r>
            <w:r>
              <w:t>, 2016</w:t>
            </w:r>
          </w:p>
        </w:tc>
      </w:tr>
      <w:tr w:rsidR="0067464C" w14:paraId="515FEFCE" w14:textId="77777777" w:rsidTr="00C5648E">
        <w:trPr>
          <w:cantSplit/>
        </w:trPr>
        <w:tc>
          <w:tcPr>
            <w:tcW w:w="2139" w:type="dxa"/>
            <w:shd w:val="clear" w:color="auto" w:fill="auto"/>
          </w:tcPr>
          <w:p w14:paraId="39317C44" w14:textId="1C52CAA7" w:rsidR="0067464C" w:rsidRDefault="00462318" w:rsidP="0067464C">
            <w:pPr>
              <w:pStyle w:val="ENoteTableText"/>
            </w:pPr>
            <w:r>
              <w:t xml:space="preserve">Guideline </w:t>
            </w:r>
            <w:r w:rsidR="0067464C">
              <w:t>54</w:t>
            </w:r>
          </w:p>
        </w:tc>
        <w:tc>
          <w:tcPr>
            <w:tcW w:w="4943" w:type="dxa"/>
            <w:shd w:val="clear" w:color="auto" w:fill="auto"/>
          </w:tcPr>
          <w:p w14:paraId="3A790FCD" w14:textId="43761590" w:rsidR="0067464C" w:rsidRDefault="0067464C" w:rsidP="00F80B4C">
            <w:pPr>
              <w:pStyle w:val="ENoteTableText"/>
            </w:pPr>
            <w:r>
              <w:t xml:space="preserve">rep. No. </w:t>
            </w:r>
            <w:r w:rsidR="00440B0E">
              <w:t>F2016L00651</w:t>
            </w:r>
            <w:r>
              <w:t>, 2016</w:t>
            </w:r>
          </w:p>
        </w:tc>
      </w:tr>
      <w:tr w:rsidR="0067464C" w14:paraId="79E17009" w14:textId="77777777" w:rsidTr="00F80B4C">
        <w:trPr>
          <w:cantSplit/>
        </w:trPr>
        <w:tc>
          <w:tcPr>
            <w:tcW w:w="2139" w:type="dxa"/>
            <w:tcBorders>
              <w:bottom w:val="single" w:sz="12" w:space="0" w:color="auto"/>
            </w:tcBorders>
            <w:shd w:val="clear" w:color="auto" w:fill="auto"/>
          </w:tcPr>
          <w:p w14:paraId="78E29DEA" w14:textId="6DE1C5F7" w:rsidR="0067464C" w:rsidRDefault="00462318" w:rsidP="0067464C">
            <w:pPr>
              <w:pStyle w:val="ENoteTableText"/>
            </w:pPr>
            <w:r>
              <w:t xml:space="preserve">Guideline </w:t>
            </w:r>
            <w:r w:rsidR="0067464C">
              <w:t>55</w:t>
            </w:r>
          </w:p>
        </w:tc>
        <w:tc>
          <w:tcPr>
            <w:tcW w:w="4943" w:type="dxa"/>
            <w:tcBorders>
              <w:bottom w:val="single" w:sz="12" w:space="0" w:color="auto"/>
            </w:tcBorders>
            <w:shd w:val="clear" w:color="auto" w:fill="auto"/>
          </w:tcPr>
          <w:p w14:paraId="28D120BB" w14:textId="655F02F9" w:rsidR="0067464C" w:rsidRDefault="0067464C" w:rsidP="00F80B4C">
            <w:pPr>
              <w:pStyle w:val="ENoteTableText"/>
            </w:pPr>
            <w:r>
              <w:t xml:space="preserve">rep. No. </w:t>
            </w:r>
            <w:r w:rsidR="00440B0E">
              <w:t>F2016L00651</w:t>
            </w:r>
            <w:r>
              <w:t>, 2016</w:t>
            </w:r>
          </w:p>
        </w:tc>
      </w:tr>
    </w:tbl>
    <w:p w14:paraId="2F49B1EB" w14:textId="77777777" w:rsidR="002F1C9A" w:rsidRDefault="002F1C9A" w:rsidP="00F80B4C">
      <w:pPr>
        <w:pStyle w:val="Tabletext"/>
      </w:pPr>
    </w:p>
    <w:p w14:paraId="393B5E49" w14:textId="77777777" w:rsidR="002F1C9A" w:rsidRDefault="002F1C9A" w:rsidP="00F80B4C">
      <w:pPr>
        <w:pStyle w:val="ENotesHeading2"/>
        <w:pageBreakBefore/>
      </w:pPr>
      <w:r>
        <w:lastRenderedPageBreak/>
        <w:t>Endnote 5—Uncommenced amendments</w:t>
      </w:r>
    </w:p>
    <w:p w14:paraId="359CEF29" w14:textId="77777777" w:rsidR="002F1C9A" w:rsidRDefault="002F1C9A" w:rsidP="008A7932">
      <w:pPr>
        <w:pStyle w:val="ENotesHeading2"/>
      </w:pPr>
      <w:r>
        <w:t>Endn</w:t>
      </w:r>
      <w:r w:rsidRPr="00786FBC">
        <w:t xml:space="preserve">ote </w:t>
      </w:r>
      <w:r>
        <w:t>6</w:t>
      </w:r>
      <w:r w:rsidRPr="00786FBC">
        <w:t>—Modifications</w:t>
      </w:r>
    </w:p>
    <w:p w14:paraId="608FCD29" w14:textId="77777777" w:rsidR="002F1C9A" w:rsidRPr="00723CF8" w:rsidRDefault="002F1C9A" w:rsidP="008A7932">
      <w:pPr>
        <w:pStyle w:val="ENotesHeading2"/>
      </w:pPr>
      <w:r>
        <w:t>Endnote 7</w:t>
      </w:r>
      <w:r w:rsidRPr="00723CF8">
        <w:t xml:space="preserve">—Misdescribed </w:t>
      </w:r>
      <w:r>
        <w:t>a</w:t>
      </w:r>
      <w:r w:rsidRPr="00723CF8">
        <w:t>mendments</w:t>
      </w:r>
    </w:p>
    <w:p w14:paraId="07BE92DD" w14:textId="77777777" w:rsidR="002F1C9A" w:rsidRDefault="002F1C9A" w:rsidP="008A7932">
      <w:pPr>
        <w:pStyle w:val="ENotesHeading2"/>
      </w:pPr>
      <w:r>
        <w:t>Endnote 8—Miscellaneous</w:t>
      </w:r>
    </w:p>
    <w:p w14:paraId="3514CA27" w14:textId="77777777" w:rsidR="002F1C9A" w:rsidRDefault="002F1C9A" w:rsidP="00F80B4C"/>
    <w:p w14:paraId="799C17E6" w14:textId="77777777" w:rsidR="002F1C9A" w:rsidRDefault="002F1C9A" w:rsidP="00F80B4C"/>
    <w:p w14:paraId="744DDBAC" w14:textId="77777777" w:rsidR="002F1C9A" w:rsidRDefault="002F1C9A" w:rsidP="00F80B4C"/>
    <w:p w14:paraId="69F13EC2" w14:textId="77777777" w:rsidR="002F1C9A" w:rsidRPr="00C4473E" w:rsidRDefault="002F1C9A" w:rsidP="00F80B4C"/>
    <w:p w14:paraId="67017A42" w14:textId="77777777" w:rsidR="002F1C9A" w:rsidRPr="00A37893" w:rsidRDefault="002F1C9A" w:rsidP="00F80B4C"/>
    <w:p w14:paraId="3EBC1164" w14:textId="77777777" w:rsidR="002F1C9A" w:rsidRDefault="002F1C9A" w:rsidP="00F80B4C">
      <w:pPr>
        <w:sectPr w:rsidR="002F1C9A" w:rsidSect="004C79CF">
          <w:headerReference w:type="even" r:id="rId24"/>
          <w:headerReference w:type="default" r:id="rId25"/>
          <w:footerReference w:type="even" r:id="rId26"/>
          <w:footerReference w:type="default" r:id="rId27"/>
          <w:pgSz w:w="11907" w:h="16839" w:code="9"/>
          <w:pgMar w:top="1440" w:right="1797" w:bottom="1440" w:left="1797" w:header="720" w:footer="709" w:gutter="0"/>
          <w:cols w:space="708"/>
          <w:docGrid w:linePitch="360"/>
        </w:sectPr>
      </w:pPr>
    </w:p>
    <w:p w14:paraId="4FF3F3E2" w14:textId="77777777" w:rsidR="007177E0" w:rsidRPr="00152412" w:rsidRDefault="007177E0" w:rsidP="002F1C9A"/>
    <w:sectPr w:rsidR="007177E0" w:rsidRPr="00152412" w:rsidSect="002F1C9A">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0E8B2" w14:textId="77777777" w:rsidR="009F26BB" w:rsidRDefault="009F26BB" w:rsidP="00715914">
      <w:pPr>
        <w:spacing w:line="240" w:lineRule="auto"/>
      </w:pPr>
      <w:r>
        <w:separator/>
      </w:r>
    </w:p>
  </w:endnote>
  <w:endnote w:type="continuationSeparator" w:id="0">
    <w:p w14:paraId="0B5DE195" w14:textId="77777777" w:rsidR="009F26BB" w:rsidRDefault="009F26B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7D81A" w14:textId="77777777" w:rsidR="009F26BB" w:rsidRDefault="008B6ACC" w:rsidP="00B16C43">
    <w:pPr>
      <w:pStyle w:val="SecurityClassificationFooter"/>
    </w:pPr>
    <w:fldSimple w:instr=" DOCPROPERTY SecurityClassification \* MERGEFORMAT ">
      <w:r w:rsidR="009F26BB">
        <w:t>Sensitive:  Legal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F42D5" w14:textId="77777777" w:rsidR="009F26BB" w:rsidRDefault="009F26BB" w:rsidP="001A4A0C">
    <w:pPr>
      <w:pStyle w:val="Footer"/>
      <w:spacing w:before="120"/>
      <w:jc w:val="center"/>
    </w:pPr>
    <w:r w:rsidRPr="00CB7761">
      <w:t>Prepared by</w:t>
    </w:r>
    <w:r>
      <w:t xml:space="preserve"> The Treasury</w:t>
    </w:r>
  </w:p>
  <w:p w14:paraId="6F438D03" w14:textId="019F8079" w:rsidR="009F26BB" w:rsidRDefault="009F26BB" w:rsidP="00B16C43">
    <w:pPr>
      <w:pStyle w:val="SecurityClassification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74D3A" w14:textId="77777777" w:rsidR="009F26BB" w:rsidRPr="00E33C1C" w:rsidRDefault="009F26BB" w:rsidP="007177E0">
    <w:pPr>
      <w:pBdr>
        <w:top w:val="single" w:sz="6" w:space="1" w:color="auto"/>
      </w:pBdr>
      <w:spacing w:before="120" w:line="0" w:lineRule="atLeast"/>
      <w:rPr>
        <w:sz w:val="16"/>
        <w:szCs w:val="16"/>
      </w:rPr>
    </w:pPr>
  </w:p>
  <w:tbl>
    <w:tblPr>
      <w:tblW w:w="0" w:type="auto"/>
      <w:tblLayout w:type="fixed"/>
      <w:tblLook w:val="04A0" w:firstRow="1" w:lastRow="0" w:firstColumn="1" w:lastColumn="0" w:noHBand="0" w:noVBand="1"/>
    </w:tblPr>
    <w:tblGrid>
      <w:gridCol w:w="709"/>
      <w:gridCol w:w="1384"/>
    </w:tblGrid>
    <w:tr w:rsidR="009F26BB" w14:paraId="7BE2CC7E" w14:textId="77777777" w:rsidTr="00F80B4C">
      <w:tc>
        <w:tcPr>
          <w:tcW w:w="709" w:type="dxa"/>
          <w:tcBorders>
            <w:top w:val="nil"/>
            <w:left w:val="nil"/>
            <w:bottom w:val="nil"/>
            <w:right w:val="nil"/>
          </w:tcBorders>
        </w:tcPr>
        <w:p w14:paraId="037A9286" w14:textId="77777777" w:rsidR="009F26BB" w:rsidRDefault="009F26BB" w:rsidP="00F80B4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E5689">
            <w:rPr>
              <w:i/>
              <w:noProof/>
              <w:sz w:val="18"/>
            </w:rPr>
            <w:t>xx</w:t>
          </w:r>
          <w:r w:rsidRPr="00ED79B6">
            <w:rPr>
              <w:i/>
              <w:sz w:val="18"/>
            </w:rPr>
            <w:fldChar w:fldCharType="end"/>
          </w:r>
        </w:p>
      </w:tc>
      <w:tc>
        <w:tcPr>
          <w:tcW w:w="1384" w:type="dxa"/>
          <w:tcBorders>
            <w:top w:val="nil"/>
            <w:left w:val="nil"/>
            <w:bottom w:val="nil"/>
            <w:right w:val="nil"/>
          </w:tcBorders>
        </w:tcPr>
        <w:p w14:paraId="1053DA1A" w14:textId="77777777" w:rsidR="009F26BB" w:rsidRDefault="009F26BB" w:rsidP="00F80B4C">
          <w:pPr>
            <w:spacing w:line="0" w:lineRule="atLeast"/>
            <w:jc w:val="right"/>
            <w:rPr>
              <w:sz w:val="18"/>
            </w:rPr>
          </w:pPr>
        </w:p>
      </w:tc>
    </w:tr>
  </w:tbl>
  <w:p w14:paraId="46CBEEB1" w14:textId="04427412" w:rsidR="009F26BB" w:rsidRPr="00ED79B6" w:rsidRDefault="009F26BB" w:rsidP="00B16C43">
    <w:pPr>
      <w:pStyle w:val="SecurityClassification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D0658" w14:textId="77777777" w:rsidR="009F26BB" w:rsidRPr="00E33C1C" w:rsidRDefault="009F26BB" w:rsidP="007177E0">
    <w:pPr>
      <w:pBdr>
        <w:top w:val="single" w:sz="6" w:space="1" w:color="auto"/>
      </w:pBdr>
      <w:spacing w:before="120" w:line="0" w:lineRule="atLeast"/>
      <w:rPr>
        <w:sz w:val="16"/>
        <w:szCs w:val="16"/>
      </w:rPr>
    </w:pPr>
  </w:p>
  <w:tbl>
    <w:tblPr>
      <w:tblW w:w="8472" w:type="dxa"/>
      <w:tblLayout w:type="fixed"/>
      <w:tblLook w:val="04A0" w:firstRow="1" w:lastRow="0" w:firstColumn="1" w:lastColumn="0" w:noHBand="0" w:noVBand="1"/>
    </w:tblPr>
    <w:tblGrid>
      <w:gridCol w:w="1383"/>
      <w:gridCol w:w="6380"/>
      <w:gridCol w:w="709"/>
    </w:tblGrid>
    <w:tr w:rsidR="009F26BB" w14:paraId="32D9190F" w14:textId="77777777" w:rsidTr="00B33709">
      <w:tc>
        <w:tcPr>
          <w:tcW w:w="1383" w:type="dxa"/>
          <w:tcBorders>
            <w:top w:val="nil"/>
            <w:left w:val="nil"/>
            <w:bottom w:val="nil"/>
            <w:right w:val="nil"/>
          </w:tcBorders>
        </w:tcPr>
        <w:p w14:paraId="71190202" w14:textId="77777777" w:rsidR="009F26BB" w:rsidRDefault="009F26BB" w:rsidP="00F80B4C">
          <w:pPr>
            <w:spacing w:line="0" w:lineRule="atLeast"/>
            <w:rPr>
              <w:sz w:val="18"/>
            </w:rPr>
          </w:pPr>
        </w:p>
      </w:tc>
      <w:tc>
        <w:tcPr>
          <w:tcW w:w="6380" w:type="dxa"/>
          <w:tcBorders>
            <w:top w:val="nil"/>
            <w:left w:val="nil"/>
            <w:bottom w:val="nil"/>
            <w:right w:val="nil"/>
          </w:tcBorders>
        </w:tcPr>
        <w:p w14:paraId="676EEEBA" w14:textId="7A51390B" w:rsidR="009F26BB" w:rsidRPr="00910EED" w:rsidRDefault="009F26BB" w:rsidP="00A10B7E">
          <w:pPr>
            <w:spacing w:line="0" w:lineRule="atLeast"/>
            <w:jc w:val="center"/>
            <w:rPr>
              <w:i/>
              <w:sz w:val="18"/>
            </w:rPr>
          </w:pPr>
          <w:r>
            <w:rPr>
              <w:i/>
            </w:rPr>
            <w:t>Publi</w:t>
          </w:r>
          <w:r w:rsidR="002369F8">
            <w:rPr>
              <w:i/>
            </w:rPr>
            <w:t>c Ancillary Fund Guidelines 2011</w:t>
          </w:r>
        </w:p>
      </w:tc>
      <w:tc>
        <w:tcPr>
          <w:tcW w:w="709" w:type="dxa"/>
          <w:tcBorders>
            <w:top w:val="nil"/>
            <w:left w:val="nil"/>
            <w:bottom w:val="nil"/>
            <w:right w:val="nil"/>
          </w:tcBorders>
        </w:tcPr>
        <w:p w14:paraId="25C933E8" w14:textId="77777777" w:rsidR="009F26BB" w:rsidRDefault="009F26BB" w:rsidP="00F80B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E5689">
            <w:rPr>
              <w:i/>
              <w:noProof/>
              <w:sz w:val="18"/>
            </w:rPr>
            <w:t>xix</w:t>
          </w:r>
          <w:r w:rsidRPr="00ED79B6">
            <w:rPr>
              <w:i/>
              <w:sz w:val="18"/>
            </w:rPr>
            <w:fldChar w:fldCharType="end"/>
          </w:r>
        </w:p>
      </w:tc>
    </w:tr>
    <w:tr w:rsidR="009F26BB" w14:paraId="0592FCD2" w14:textId="77777777" w:rsidTr="00B33709">
      <w:tc>
        <w:tcPr>
          <w:tcW w:w="8472" w:type="dxa"/>
          <w:gridSpan w:val="3"/>
        </w:tcPr>
        <w:p w14:paraId="4DA31CC1" w14:textId="77777777" w:rsidR="009F26BB" w:rsidRDefault="009F26BB" w:rsidP="00F80B4C">
          <w:pPr>
            <w:rPr>
              <w:sz w:val="18"/>
            </w:rPr>
          </w:pPr>
        </w:p>
      </w:tc>
    </w:tr>
  </w:tbl>
  <w:p w14:paraId="72F9BC8F" w14:textId="6D0E719E" w:rsidR="009F26BB" w:rsidRPr="00ED79B6" w:rsidRDefault="009F26BB" w:rsidP="00B16C43">
    <w:pPr>
      <w:pStyle w:val="SecurityClassification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AF5D3" w14:textId="77777777" w:rsidR="009F26BB" w:rsidRPr="00E33C1C" w:rsidRDefault="009F26BB" w:rsidP="00F80B4C">
    <w:pPr>
      <w:pBdr>
        <w:top w:val="single" w:sz="6" w:space="1" w:color="auto"/>
      </w:pBdr>
      <w:spacing w:line="0" w:lineRule="atLeast"/>
      <w:rPr>
        <w:sz w:val="16"/>
        <w:szCs w:val="16"/>
      </w:rPr>
    </w:pPr>
  </w:p>
  <w:tbl>
    <w:tblPr>
      <w:tblW w:w="0" w:type="auto"/>
      <w:tblLayout w:type="fixed"/>
      <w:tblLook w:val="04A0" w:firstRow="1" w:lastRow="0" w:firstColumn="1" w:lastColumn="0" w:noHBand="0" w:noVBand="1"/>
    </w:tblPr>
    <w:tblGrid>
      <w:gridCol w:w="709"/>
      <w:gridCol w:w="6379"/>
      <w:gridCol w:w="1384"/>
    </w:tblGrid>
    <w:tr w:rsidR="009F26BB" w14:paraId="01C5D4BE" w14:textId="77777777" w:rsidTr="00910EED">
      <w:tc>
        <w:tcPr>
          <w:tcW w:w="709" w:type="dxa"/>
          <w:tcBorders>
            <w:top w:val="nil"/>
            <w:left w:val="nil"/>
            <w:bottom w:val="nil"/>
            <w:right w:val="nil"/>
          </w:tcBorders>
        </w:tcPr>
        <w:p w14:paraId="41D56B55" w14:textId="77777777" w:rsidR="009F26BB" w:rsidRDefault="009F26BB" w:rsidP="00F80B4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E5689">
            <w:rPr>
              <w:i/>
              <w:noProof/>
              <w:sz w:val="18"/>
            </w:rPr>
            <w:t>24</w:t>
          </w:r>
          <w:r w:rsidRPr="00ED79B6">
            <w:rPr>
              <w:i/>
              <w:sz w:val="18"/>
            </w:rPr>
            <w:fldChar w:fldCharType="end"/>
          </w:r>
        </w:p>
      </w:tc>
      <w:tc>
        <w:tcPr>
          <w:tcW w:w="6379" w:type="dxa"/>
          <w:tcBorders>
            <w:top w:val="nil"/>
            <w:left w:val="nil"/>
            <w:bottom w:val="nil"/>
            <w:right w:val="nil"/>
          </w:tcBorders>
        </w:tcPr>
        <w:p w14:paraId="338360E4" w14:textId="77777777" w:rsidR="009F26BB" w:rsidRPr="00910EED" w:rsidRDefault="009F26BB" w:rsidP="00F80B4C">
          <w:pPr>
            <w:spacing w:line="0" w:lineRule="atLeast"/>
            <w:jc w:val="center"/>
            <w:rPr>
              <w:i/>
              <w:sz w:val="18"/>
            </w:rPr>
          </w:pPr>
          <w:r>
            <w:rPr>
              <w:i/>
            </w:rPr>
            <w:t>Public Ancillary Fund Guidelines 2011</w:t>
          </w:r>
        </w:p>
      </w:tc>
      <w:tc>
        <w:tcPr>
          <w:tcW w:w="1384" w:type="dxa"/>
          <w:tcBorders>
            <w:top w:val="nil"/>
            <w:left w:val="nil"/>
            <w:bottom w:val="nil"/>
            <w:right w:val="nil"/>
          </w:tcBorders>
        </w:tcPr>
        <w:p w14:paraId="5228C978" w14:textId="77777777" w:rsidR="009F26BB" w:rsidRDefault="009F26BB" w:rsidP="00F80B4C">
          <w:pPr>
            <w:spacing w:line="0" w:lineRule="atLeast"/>
            <w:jc w:val="right"/>
            <w:rPr>
              <w:sz w:val="18"/>
            </w:rPr>
          </w:pPr>
        </w:p>
      </w:tc>
    </w:tr>
    <w:tr w:rsidR="009F26BB" w14:paraId="335A9157" w14:textId="77777777" w:rsidTr="00F80B4C">
      <w:tc>
        <w:tcPr>
          <w:tcW w:w="8472" w:type="dxa"/>
          <w:gridSpan w:val="3"/>
        </w:tcPr>
        <w:p w14:paraId="1D7F2FD4" w14:textId="77777777" w:rsidR="009F26BB" w:rsidRDefault="009F26BB" w:rsidP="00F80B4C">
          <w:pPr>
            <w:jc w:val="right"/>
            <w:rPr>
              <w:sz w:val="18"/>
            </w:rPr>
          </w:pPr>
        </w:p>
      </w:tc>
    </w:tr>
  </w:tbl>
  <w:p w14:paraId="34867F5D" w14:textId="1E923BCD" w:rsidR="009F26BB" w:rsidRPr="00ED79B6" w:rsidRDefault="009F26BB" w:rsidP="00B16C43">
    <w:pPr>
      <w:pStyle w:val="SecurityClassification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7D150" w14:textId="77777777" w:rsidR="009F26BB" w:rsidRPr="00E33C1C" w:rsidRDefault="009F26BB" w:rsidP="00F80B4C">
    <w:pPr>
      <w:pBdr>
        <w:top w:val="single" w:sz="6" w:space="1" w:color="auto"/>
      </w:pBdr>
      <w:spacing w:line="0" w:lineRule="atLeast"/>
      <w:rPr>
        <w:sz w:val="16"/>
        <w:szCs w:val="16"/>
      </w:rPr>
    </w:pPr>
  </w:p>
  <w:tbl>
    <w:tblPr>
      <w:tblW w:w="0" w:type="auto"/>
      <w:tblLook w:val="04A0" w:firstRow="1" w:lastRow="0" w:firstColumn="1" w:lastColumn="0" w:noHBand="0" w:noVBand="1"/>
    </w:tblPr>
    <w:tblGrid>
      <w:gridCol w:w="1384"/>
      <w:gridCol w:w="6379"/>
      <w:gridCol w:w="709"/>
    </w:tblGrid>
    <w:tr w:rsidR="009F26BB" w14:paraId="67158008" w14:textId="77777777" w:rsidTr="00F80B4C">
      <w:tc>
        <w:tcPr>
          <w:tcW w:w="1384" w:type="dxa"/>
          <w:tcBorders>
            <w:top w:val="nil"/>
            <w:left w:val="nil"/>
            <w:bottom w:val="nil"/>
            <w:right w:val="nil"/>
          </w:tcBorders>
        </w:tcPr>
        <w:p w14:paraId="73A5AF98" w14:textId="77777777" w:rsidR="009F26BB" w:rsidRDefault="009F26BB" w:rsidP="00F80B4C">
          <w:pPr>
            <w:spacing w:line="0" w:lineRule="atLeast"/>
            <w:rPr>
              <w:sz w:val="18"/>
            </w:rPr>
          </w:pPr>
        </w:p>
      </w:tc>
      <w:tc>
        <w:tcPr>
          <w:tcW w:w="6379" w:type="dxa"/>
          <w:tcBorders>
            <w:top w:val="nil"/>
            <w:left w:val="nil"/>
            <w:bottom w:val="nil"/>
            <w:right w:val="nil"/>
          </w:tcBorders>
        </w:tcPr>
        <w:p w14:paraId="364E49A3" w14:textId="77777777" w:rsidR="009F26BB" w:rsidRPr="00910EED" w:rsidRDefault="009F26BB" w:rsidP="00F80B4C">
          <w:pPr>
            <w:spacing w:line="0" w:lineRule="atLeast"/>
            <w:jc w:val="center"/>
            <w:rPr>
              <w:i/>
              <w:sz w:val="18"/>
            </w:rPr>
          </w:pPr>
          <w:r>
            <w:rPr>
              <w:i/>
            </w:rPr>
            <w:t>Public Ancillary Fund Guidelines 2011</w:t>
          </w:r>
        </w:p>
      </w:tc>
      <w:tc>
        <w:tcPr>
          <w:tcW w:w="709" w:type="dxa"/>
          <w:tcBorders>
            <w:top w:val="nil"/>
            <w:left w:val="nil"/>
            <w:bottom w:val="nil"/>
            <w:right w:val="nil"/>
          </w:tcBorders>
        </w:tcPr>
        <w:p w14:paraId="746BCFF2" w14:textId="77777777" w:rsidR="009F26BB" w:rsidRDefault="009F26BB" w:rsidP="00F80B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E5689">
            <w:rPr>
              <w:i/>
              <w:noProof/>
              <w:sz w:val="18"/>
            </w:rPr>
            <w:t>23</w:t>
          </w:r>
          <w:r w:rsidRPr="00ED79B6">
            <w:rPr>
              <w:i/>
              <w:sz w:val="18"/>
            </w:rPr>
            <w:fldChar w:fldCharType="end"/>
          </w:r>
        </w:p>
      </w:tc>
    </w:tr>
    <w:tr w:rsidR="009F26BB" w14:paraId="56BD726B" w14:textId="77777777" w:rsidTr="00F80B4C">
      <w:tc>
        <w:tcPr>
          <w:tcW w:w="8472" w:type="dxa"/>
          <w:gridSpan w:val="3"/>
        </w:tcPr>
        <w:p w14:paraId="3EDD9C2E" w14:textId="77777777" w:rsidR="009F26BB" w:rsidRDefault="009F26BB" w:rsidP="00F80B4C">
          <w:pPr>
            <w:rPr>
              <w:sz w:val="18"/>
            </w:rPr>
          </w:pPr>
        </w:p>
      </w:tc>
    </w:tr>
  </w:tbl>
  <w:p w14:paraId="3CDB4751" w14:textId="6A03AEF3" w:rsidR="009F26BB" w:rsidRPr="00ED79B6" w:rsidRDefault="009F26BB" w:rsidP="00B16C43">
    <w:pPr>
      <w:pStyle w:val="SecurityClassification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04A85" w14:textId="77777777" w:rsidR="009F26BB" w:rsidRPr="00E33C1C" w:rsidRDefault="009F26BB" w:rsidP="007177E0">
    <w:pPr>
      <w:pBdr>
        <w:top w:val="single" w:sz="6" w:space="1" w:color="auto"/>
      </w:pBdr>
      <w:spacing w:before="120" w:line="0" w:lineRule="atLeast"/>
      <w:rPr>
        <w:sz w:val="16"/>
        <w:szCs w:val="16"/>
      </w:rPr>
    </w:pPr>
  </w:p>
  <w:tbl>
    <w:tblPr>
      <w:tblW w:w="0" w:type="auto"/>
      <w:tblLayout w:type="fixed"/>
      <w:tblLook w:val="04A0" w:firstRow="1" w:lastRow="0" w:firstColumn="1" w:lastColumn="0" w:noHBand="0" w:noVBand="1"/>
    </w:tblPr>
    <w:tblGrid>
      <w:gridCol w:w="709"/>
      <w:gridCol w:w="6379"/>
      <w:gridCol w:w="1384"/>
    </w:tblGrid>
    <w:tr w:rsidR="009F26BB" w14:paraId="3F03F53D" w14:textId="77777777" w:rsidTr="00B33709">
      <w:tc>
        <w:tcPr>
          <w:tcW w:w="709" w:type="dxa"/>
          <w:tcBorders>
            <w:top w:val="nil"/>
            <w:left w:val="nil"/>
            <w:bottom w:val="nil"/>
            <w:right w:val="nil"/>
          </w:tcBorders>
        </w:tcPr>
        <w:p w14:paraId="7AC7A0DC" w14:textId="77777777" w:rsidR="009F26BB" w:rsidRDefault="009F26BB" w:rsidP="00F80B4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w:t>
          </w:r>
          <w:r w:rsidRPr="00ED79B6">
            <w:rPr>
              <w:i/>
              <w:sz w:val="18"/>
            </w:rPr>
            <w:fldChar w:fldCharType="end"/>
          </w:r>
        </w:p>
      </w:tc>
      <w:tc>
        <w:tcPr>
          <w:tcW w:w="6379" w:type="dxa"/>
          <w:tcBorders>
            <w:top w:val="nil"/>
            <w:left w:val="nil"/>
            <w:bottom w:val="nil"/>
            <w:right w:val="nil"/>
          </w:tcBorders>
        </w:tcPr>
        <w:p w14:paraId="5773223D" w14:textId="77777777" w:rsidR="009F26BB" w:rsidRDefault="009F26BB" w:rsidP="00F80B4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[title] 2012</w:t>
          </w:r>
          <w:r w:rsidRPr="007A1328">
            <w:rPr>
              <w:i/>
              <w:sz w:val="18"/>
            </w:rPr>
            <w:fldChar w:fldCharType="end"/>
          </w:r>
        </w:p>
      </w:tc>
      <w:tc>
        <w:tcPr>
          <w:tcW w:w="1383" w:type="dxa"/>
          <w:tcBorders>
            <w:top w:val="nil"/>
            <w:left w:val="nil"/>
            <w:bottom w:val="nil"/>
            <w:right w:val="nil"/>
          </w:tcBorders>
        </w:tcPr>
        <w:p w14:paraId="76F563D6" w14:textId="77777777" w:rsidR="009F26BB" w:rsidRDefault="009F26BB" w:rsidP="00F80B4C">
          <w:pPr>
            <w:spacing w:line="0" w:lineRule="atLeast"/>
            <w:jc w:val="right"/>
            <w:rPr>
              <w:sz w:val="18"/>
            </w:rPr>
          </w:pPr>
        </w:p>
      </w:tc>
    </w:tr>
    <w:tr w:rsidR="009F26BB" w14:paraId="66D173A3" w14:textId="77777777" w:rsidTr="00B33709">
      <w:tc>
        <w:tcPr>
          <w:tcW w:w="8472" w:type="dxa"/>
          <w:gridSpan w:val="3"/>
        </w:tcPr>
        <w:p w14:paraId="15E3FF9A" w14:textId="1B08BAA3" w:rsidR="009F26BB" w:rsidRDefault="009F26BB" w:rsidP="00F80B4C">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Q:\Word\Compilations\Legislative Instrument Compilation template 22 Aug 2013.dotx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6E5689">
            <w:rPr>
              <w:i/>
              <w:noProof/>
              <w:sz w:val="18"/>
            </w:rPr>
            <w:t>5/5/2016 11:56 AM</w:t>
          </w:r>
          <w:r w:rsidRPr="00ED79B6">
            <w:rPr>
              <w:i/>
              <w:sz w:val="18"/>
            </w:rPr>
            <w:fldChar w:fldCharType="end"/>
          </w:r>
        </w:p>
      </w:tc>
    </w:tr>
  </w:tbl>
  <w:p w14:paraId="0C4E1301" w14:textId="77777777" w:rsidR="009F26BB" w:rsidRPr="00ED79B6" w:rsidRDefault="008B6ACC" w:rsidP="00B16C43">
    <w:pPr>
      <w:pStyle w:val="SecurityClassificationFooter"/>
    </w:pPr>
    <w:fldSimple w:instr=" DOCPROPERTY SecurityClassification \* MERGEFORMAT ">
      <w:r w:rsidR="009F26BB">
        <w:t>Sensitive:  Legal</w:t>
      </w:r>
    </w:fldSimple>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738A6" w14:textId="77777777" w:rsidR="009F26BB" w:rsidRPr="00E33C1C" w:rsidRDefault="009F26BB" w:rsidP="007177E0">
    <w:pPr>
      <w:pBdr>
        <w:top w:val="single" w:sz="6" w:space="1" w:color="auto"/>
      </w:pBdr>
      <w:spacing w:before="120" w:line="0" w:lineRule="atLeast"/>
      <w:rPr>
        <w:sz w:val="16"/>
        <w:szCs w:val="16"/>
      </w:rPr>
    </w:pPr>
  </w:p>
  <w:tbl>
    <w:tblPr>
      <w:tblW w:w="0" w:type="auto"/>
      <w:tblLook w:val="04A0" w:firstRow="1" w:lastRow="0" w:firstColumn="1" w:lastColumn="0" w:noHBand="0" w:noVBand="1"/>
    </w:tblPr>
    <w:tblGrid>
      <w:gridCol w:w="1384"/>
      <w:gridCol w:w="6379"/>
      <w:gridCol w:w="709"/>
    </w:tblGrid>
    <w:tr w:rsidR="009F26BB" w14:paraId="7B7D51CE" w14:textId="77777777" w:rsidTr="00F80B4C">
      <w:tc>
        <w:tcPr>
          <w:tcW w:w="1384" w:type="dxa"/>
          <w:tcBorders>
            <w:top w:val="nil"/>
            <w:left w:val="nil"/>
            <w:bottom w:val="nil"/>
            <w:right w:val="nil"/>
          </w:tcBorders>
        </w:tcPr>
        <w:p w14:paraId="25E51F42" w14:textId="77777777" w:rsidR="009F26BB" w:rsidRDefault="009F26BB" w:rsidP="00F80B4C">
          <w:pPr>
            <w:spacing w:line="0" w:lineRule="atLeast"/>
            <w:rPr>
              <w:sz w:val="18"/>
            </w:rPr>
          </w:pPr>
        </w:p>
      </w:tc>
      <w:tc>
        <w:tcPr>
          <w:tcW w:w="6379" w:type="dxa"/>
          <w:tcBorders>
            <w:top w:val="nil"/>
            <w:left w:val="nil"/>
            <w:bottom w:val="nil"/>
            <w:right w:val="nil"/>
          </w:tcBorders>
        </w:tcPr>
        <w:p w14:paraId="61ECF07B" w14:textId="77777777" w:rsidR="009F26BB" w:rsidRDefault="009F26BB" w:rsidP="00F80B4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[title] 2012</w:t>
          </w:r>
          <w:r w:rsidRPr="007A1328">
            <w:rPr>
              <w:i/>
              <w:sz w:val="18"/>
            </w:rPr>
            <w:fldChar w:fldCharType="end"/>
          </w:r>
        </w:p>
      </w:tc>
      <w:tc>
        <w:tcPr>
          <w:tcW w:w="709" w:type="dxa"/>
          <w:tcBorders>
            <w:top w:val="nil"/>
            <w:left w:val="nil"/>
            <w:bottom w:val="nil"/>
            <w:right w:val="nil"/>
          </w:tcBorders>
        </w:tcPr>
        <w:p w14:paraId="59D27FCA" w14:textId="77777777" w:rsidR="009F26BB" w:rsidRDefault="009F26BB" w:rsidP="00F80B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9</w:t>
          </w:r>
          <w:r w:rsidRPr="00ED79B6">
            <w:rPr>
              <w:i/>
              <w:sz w:val="18"/>
            </w:rPr>
            <w:fldChar w:fldCharType="end"/>
          </w:r>
        </w:p>
      </w:tc>
    </w:tr>
    <w:tr w:rsidR="009F26BB" w14:paraId="63CEA9E2" w14:textId="77777777" w:rsidTr="00F80B4C">
      <w:tc>
        <w:tcPr>
          <w:tcW w:w="8472" w:type="dxa"/>
          <w:gridSpan w:val="3"/>
        </w:tcPr>
        <w:p w14:paraId="11B83B7B" w14:textId="38ECC918" w:rsidR="009F26BB" w:rsidRDefault="009F26BB" w:rsidP="00F80B4C">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Q:\Word\Compilations\Legislative Instrument Compilation template 22 Aug 2013.dotx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6E5689">
            <w:rPr>
              <w:i/>
              <w:noProof/>
              <w:sz w:val="18"/>
            </w:rPr>
            <w:t>5/5/2016 11:56 AM</w:t>
          </w:r>
          <w:r w:rsidRPr="00ED79B6">
            <w:rPr>
              <w:i/>
              <w:sz w:val="18"/>
            </w:rPr>
            <w:fldChar w:fldCharType="end"/>
          </w:r>
        </w:p>
      </w:tc>
    </w:tr>
  </w:tbl>
  <w:p w14:paraId="0A5838E4" w14:textId="77777777" w:rsidR="009F26BB" w:rsidRPr="00ED79B6" w:rsidRDefault="008B6ACC" w:rsidP="00B16C43">
    <w:pPr>
      <w:pStyle w:val="SecurityClassificationFooter"/>
    </w:pPr>
    <w:fldSimple w:instr=" DOCPROPERTY SecurityClassification \* MERGEFORMAT ">
      <w:r w:rsidR="009F26BB">
        <w:t>Sensitive:  Legal</w:t>
      </w:r>
    </w:fldSimple>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2B329" w14:textId="77777777" w:rsidR="009F26BB" w:rsidRPr="00E33C1C" w:rsidRDefault="009F26BB" w:rsidP="007500C8">
    <w:pPr>
      <w:pBdr>
        <w:top w:val="single" w:sz="6" w:space="1" w:color="auto"/>
      </w:pBdr>
      <w:spacing w:line="0" w:lineRule="atLeast"/>
      <w:rPr>
        <w:sz w:val="16"/>
        <w:szCs w:val="16"/>
      </w:rPr>
    </w:pPr>
  </w:p>
  <w:tbl>
    <w:tblPr>
      <w:tblW w:w="0" w:type="auto"/>
      <w:tblLook w:val="04A0" w:firstRow="1" w:lastRow="0" w:firstColumn="1" w:lastColumn="0" w:noHBand="0" w:noVBand="1"/>
    </w:tblPr>
    <w:tblGrid>
      <w:gridCol w:w="1384"/>
      <w:gridCol w:w="6379"/>
      <w:gridCol w:w="709"/>
    </w:tblGrid>
    <w:tr w:rsidR="009F26BB" w14:paraId="0CA507BD" w14:textId="77777777" w:rsidTr="00B33709">
      <w:tc>
        <w:tcPr>
          <w:tcW w:w="1384" w:type="dxa"/>
          <w:tcBorders>
            <w:top w:val="nil"/>
            <w:left w:val="nil"/>
            <w:bottom w:val="nil"/>
            <w:right w:val="nil"/>
          </w:tcBorders>
        </w:tcPr>
        <w:p w14:paraId="00001818" w14:textId="77777777" w:rsidR="009F26BB" w:rsidRDefault="009F26BB" w:rsidP="00F80B4C">
          <w:pPr>
            <w:spacing w:line="0" w:lineRule="atLeast"/>
            <w:rPr>
              <w:sz w:val="18"/>
            </w:rPr>
          </w:pPr>
        </w:p>
      </w:tc>
      <w:tc>
        <w:tcPr>
          <w:tcW w:w="6379" w:type="dxa"/>
          <w:tcBorders>
            <w:top w:val="nil"/>
            <w:left w:val="nil"/>
            <w:bottom w:val="nil"/>
            <w:right w:val="nil"/>
          </w:tcBorders>
        </w:tcPr>
        <w:p w14:paraId="1EA90F49" w14:textId="77777777" w:rsidR="009F26BB" w:rsidRDefault="009F26BB" w:rsidP="00F80B4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[title] 2012</w:t>
          </w:r>
          <w:r w:rsidRPr="007A1328">
            <w:rPr>
              <w:i/>
              <w:sz w:val="18"/>
            </w:rPr>
            <w:fldChar w:fldCharType="end"/>
          </w:r>
        </w:p>
      </w:tc>
      <w:tc>
        <w:tcPr>
          <w:tcW w:w="709" w:type="dxa"/>
          <w:tcBorders>
            <w:top w:val="nil"/>
            <w:left w:val="nil"/>
            <w:bottom w:val="nil"/>
            <w:right w:val="nil"/>
          </w:tcBorders>
        </w:tcPr>
        <w:p w14:paraId="56BC30B2" w14:textId="77777777" w:rsidR="009F26BB" w:rsidRDefault="009F26BB" w:rsidP="00F80B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9F26BB" w14:paraId="0FD97804" w14:textId="77777777" w:rsidTr="00B33709">
      <w:tc>
        <w:tcPr>
          <w:tcW w:w="8472" w:type="dxa"/>
          <w:gridSpan w:val="3"/>
        </w:tcPr>
        <w:p w14:paraId="3226A6CB" w14:textId="6EEB7B4D" w:rsidR="009F26BB" w:rsidRDefault="009F26BB" w:rsidP="00F80B4C">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Q:\Word\Compilations\Legislative Instrument Compilation template 22 Aug 2013.dotx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6E5689">
            <w:rPr>
              <w:i/>
              <w:noProof/>
              <w:sz w:val="18"/>
            </w:rPr>
            <w:t>5/5/2016 11:56 AM</w:t>
          </w:r>
          <w:r w:rsidRPr="00ED79B6">
            <w:rPr>
              <w:i/>
              <w:sz w:val="18"/>
            </w:rPr>
            <w:fldChar w:fldCharType="end"/>
          </w:r>
        </w:p>
      </w:tc>
    </w:tr>
  </w:tbl>
  <w:p w14:paraId="24DDE2C2" w14:textId="77777777" w:rsidR="009F26BB" w:rsidRPr="00ED79B6" w:rsidRDefault="008B6ACC" w:rsidP="00B16C43">
    <w:pPr>
      <w:pStyle w:val="SecurityClassificationFooter"/>
    </w:pPr>
    <w:fldSimple w:instr=" DOCPROPERTY SecurityClassification \* MERGEFORMAT ">
      <w:r w:rsidR="009F26BB">
        <w:t>Sensitive:  Legal</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BFA14" w14:textId="77777777" w:rsidR="009F26BB" w:rsidRDefault="009F26BB" w:rsidP="00715914">
      <w:pPr>
        <w:spacing w:line="240" w:lineRule="auto"/>
      </w:pPr>
      <w:r>
        <w:separator/>
      </w:r>
    </w:p>
  </w:footnote>
  <w:footnote w:type="continuationSeparator" w:id="0">
    <w:p w14:paraId="755326E5" w14:textId="77777777" w:rsidR="009F26BB" w:rsidRDefault="009F26BB" w:rsidP="00715914">
      <w:pPr>
        <w:spacing w:line="240" w:lineRule="auto"/>
      </w:pPr>
      <w:r>
        <w:continuationSeparator/>
      </w:r>
    </w:p>
  </w:footnote>
  <w:footnote w:id="1">
    <w:p w14:paraId="61E18E5E" w14:textId="77777777" w:rsidR="009F26BB" w:rsidRDefault="009F26BB" w:rsidP="00F80B4C">
      <w:pPr>
        <w:pStyle w:val="FootnoteText"/>
      </w:pPr>
      <w:r>
        <w:rPr>
          <w:rStyle w:val="FootnoteReference"/>
        </w:rPr>
        <w:footnoteRef/>
      </w:r>
      <w:r>
        <w:t xml:space="preserve"> </w:t>
      </w:r>
      <w:r w:rsidRPr="00F210C6">
        <w:rPr>
          <w:i/>
        </w:rPr>
        <w:t>Bray v Federal Commissioner of Taxation</w:t>
      </w:r>
      <w:r>
        <w:t xml:space="preserve"> (1978) 140 CLR 560.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36783" w14:textId="77777777" w:rsidR="009F26BB" w:rsidRDefault="009F26BB" w:rsidP="00F80B4C">
    <w:pPr>
      <w:pStyle w:val="Header"/>
      <w:pBdr>
        <w:bottom w:val="single" w:sz="4" w:space="1" w:color="auto"/>
      </w:pBdr>
      <w:tabs>
        <w:tab w:val="clear" w:pos="4150"/>
        <w:tab w:val="clear" w:pos="8307"/>
      </w:tabs>
    </w:pPr>
  </w:p>
  <w:p w14:paraId="2126FD49" w14:textId="77777777" w:rsidR="009F26BB" w:rsidRPr="005F1388" w:rsidRDefault="009F26BB" w:rsidP="00F80B4C">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87C4F" w14:textId="77777777" w:rsidR="009F26BB" w:rsidRPr="007A1328" w:rsidRDefault="008B6ACC" w:rsidP="00B16C43">
    <w:pPr>
      <w:pStyle w:val="SecurityClassificationHeader"/>
    </w:pPr>
    <w:fldSimple w:instr=" DOCPROPERTY SecurityClassification \* MERGEFORMAT ">
      <w:r w:rsidR="009F26BB">
        <w:t>Sensitive:  Legal</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4D7E6" w14:textId="77777777" w:rsidR="009F26BB" w:rsidRPr="00B16C43" w:rsidRDefault="008B6ACC" w:rsidP="00B16C43">
    <w:pPr>
      <w:pStyle w:val="SecurityClassificationHeader"/>
    </w:pPr>
    <w:fldSimple w:instr=" DOCPROPERTY SecurityClassification \* MERGEFORMAT ">
      <w:r w:rsidR="009F26BB">
        <w:t>Sensitive:  Legal</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0E519" w14:textId="1673A1AF" w:rsidR="009F26BB" w:rsidRPr="00ED79B6" w:rsidRDefault="009F26BB" w:rsidP="00B16C43">
    <w:pPr>
      <w:pStyle w:val="SecurityClassification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F4A31" w14:textId="1BFE424E" w:rsidR="009F26BB" w:rsidRPr="00ED79B6" w:rsidRDefault="009F26BB" w:rsidP="00B16C43">
    <w:pPr>
      <w:pStyle w:val="SecurityClassification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802C4" w14:textId="77777777" w:rsidR="009F26BB" w:rsidRPr="00ED79B6" w:rsidRDefault="008B6ACC" w:rsidP="00B16C43">
    <w:pPr>
      <w:pStyle w:val="SecurityClassificationHeader"/>
    </w:pPr>
    <w:fldSimple w:instr=" DOCPROPERTY SecurityClassification \* MERGEFORMAT ">
      <w:r w:rsidR="009F26BB">
        <w:t>Sensitive:  Legal</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1093B" w14:textId="77777777" w:rsidR="009F26BB" w:rsidRPr="00965EE7" w:rsidRDefault="009F26BB" w:rsidP="00F80B4C">
    <w:pPr>
      <w:rPr>
        <w:b/>
        <w:sz w:val="20"/>
      </w:rPr>
    </w:pPr>
    <w:r w:rsidRPr="00965EE7">
      <w:rPr>
        <w:b/>
        <w:sz w:val="20"/>
      </w:rPr>
      <w:t>Endnotes</w:t>
    </w:r>
  </w:p>
  <w:p w14:paraId="2B1BFE5E" w14:textId="77777777" w:rsidR="009F26BB" w:rsidRPr="007A1328" w:rsidRDefault="009F26BB" w:rsidP="00F80B4C">
    <w:pPr>
      <w:rPr>
        <w:sz w:val="20"/>
      </w:rPr>
    </w:pPr>
  </w:p>
  <w:p w14:paraId="6BFA1F22" w14:textId="77777777" w:rsidR="009F26BB" w:rsidRPr="007A1328" w:rsidRDefault="009F26BB" w:rsidP="00F80B4C">
    <w:pPr>
      <w:rPr>
        <w:b/>
        <w:sz w:val="24"/>
      </w:rPr>
    </w:pPr>
  </w:p>
  <w:p w14:paraId="75894406" w14:textId="77777777" w:rsidR="009F26BB" w:rsidRPr="00C4473E" w:rsidRDefault="009F26BB" w:rsidP="00F80B4C">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E5689">
      <w:rPr>
        <w:noProof/>
        <w:szCs w:val="22"/>
      </w:rPr>
      <w:t>Endnote 3—Legislation history</w:t>
    </w:r>
    <w:r w:rsidRPr="00C4473E">
      <w:rPr>
        <w:szCs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BDF77" w14:textId="77777777" w:rsidR="009F26BB" w:rsidRPr="00965EE7" w:rsidRDefault="009F26BB" w:rsidP="00F80B4C">
    <w:pPr>
      <w:jc w:val="right"/>
      <w:rPr>
        <w:b/>
        <w:sz w:val="20"/>
      </w:rPr>
    </w:pPr>
    <w:r w:rsidRPr="00965EE7">
      <w:rPr>
        <w:b/>
        <w:sz w:val="20"/>
      </w:rPr>
      <w:t>Endnotes</w:t>
    </w:r>
  </w:p>
  <w:p w14:paraId="3258BFDC" w14:textId="77777777" w:rsidR="009F26BB" w:rsidRPr="007A1328" w:rsidRDefault="009F26BB" w:rsidP="00F80B4C">
    <w:pPr>
      <w:jc w:val="right"/>
      <w:rPr>
        <w:sz w:val="20"/>
      </w:rPr>
    </w:pPr>
  </w:p>
  <w:p w14:paraId="11C5167E" w14:textId="77777777" w:rsidR="009F26BB" w:rsidRPr="007A1328" w:rsidRDefault="009F26BB" w:rsidP="00F80B4C">
    <w:pPr>
      <w:jc w:val="right"/>
      <w:rPr>
        <w:b/>
        <w:sz w:val="24"/>
      </w:rPr>
    </w:pPr>
  </w:p>
  <w:p w14:paraId="50FCA2C2" w14:textId="77777777" w:rsidR="009F26BB" w:rsidRPr="00C4473E" w:rsidRDefault="009F26BB" w:rsidP="00F80B4C">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E5689">
      <w:rPr>
        <w:noProof/>
        <w:szCs w:val="22"/>
      </w:rPr>
      <w:t>Endnote 2—Abbreviation key</w:t>
    </w:r>
    <w:r w:rsidRPr="00C4473E">
      <w:rPr>
        <w:szCs w:val="22"/>
      </w:rPr>
      <w:fldChar w:fldCharType="end"/>
    </w:r>
  </w:p>
  <w:p w14:paraId="06FCD528" w14:textId="77777777" w:rsidR="009F26BB" w:rsidRDefault="009F26B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25DA5" w14:textId="77777777" w:rsidR="009F26BB" w:rsidRDefault="008B6ACC" w:rsidP="00B16C43">
    <w:pPr>
      <w:pStyle w:val="SecurityClassificationHeader"/>
    </w:pPr>
    <w:fldSimple w:instr=" DOCPROPERTY SecurityClassification \* MERGEFORMAT ">
      <w:r w:rsidR="009F26BB">
        <w:t>Sensitive:  Legal</w:t>
      </w:r>
    </w:fldSimple>
  </w:p>
  <w:p w14:paraId="2EEF5C8F" w14:textId="77777777" w:rsidR="009F26BB" w:rsidRDefault="009F26B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FBE96B8" w14:textId="77777777" w:rsidR="009F26BB" w:rsidRDefault="009F26BB"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3DA8D03C" w14:textId="77777777" w:rsidR="009F26BB" w:rsidRPr="007A1328" w:rsidRDefault="009F26B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0495AE7" w14:textId="77777777" w:rsidR="009F26BB" w:rsidRPr="007A1328" w:rsidRDefault="009F26BB" w:rsidP="00715914">
    <w:pPr>
      <w:rPr>
        <w:b/>
        <w:sz w:val="24"/>
      </w:rPr>
    </w:pPr>
  </w:p>
  <w:p w14:paraId="6930FFDF" w14:textId="77777777" w:rsidR="009F26BB" w:rsidRPr="007A1328" w:rsidRDefault="009F26BB"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b/>
        <w:bCs/>
        <w:noProof/>
        <w:sz w:val="24"/>
        <w:lang w:val="en-US"/>
      </w:rPr>
      <w:t>Error! No text of specified style in document.</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F5750" w14:textId="77777777" w:rsidR="009F26BB" w:rsidRDefault="008B6ACC" w:rsidP="00B16C43">
    <w:pPr>
      <w:pStyle w:val="SecurityClassificationHeader"/>
    </w:pPr>
    <w:fldSimple w:instr=" DOCPROPERTY SecurityClassification \* MERGEFORMAT ">
      <w:r w:rsidR="009F26BB">
        <w:t>Sensitive:  Legal</w:t>
      </w:r>
    </w:fldSimple>
  </w:p>
  <w:p w14:paraId="1C057B0C" w14:textId="77777777" w:rsidR="009F26BB" w:rsidRPr="007A1328" w:rsidRDefault="009F26B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94E2CD1" w14:textId="77777777" w:rsidR="009F26BB" w:rsidRPr="007A1328" w:rsidRDefault="009F26B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6719FCE7" w14:textId="77777777" w:rsidR="009F26BB" w:rsidRPr="007A1328" w:rsidRDefault="009F26B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B0825D9" w14:textId="77777777" w:rsidR="009F26BB" w:rsidRPr="007A1328" w:rsidRDefault="009F26BB" w:rsidP="00715914">
    <w:pPr>
      <w:jc w:val="right"/>
      <w:rPr>
        <w:b/>
        <w:sz w:val="24"/>
      </w:rPr>
    </w:pPr>
  </w:p>
  <w:p w14:paraId="32A0E04E" w14:textId="77777777" w:rsidR="009F26BB" w:rsidRPr="007A1328" w:rsidRDefault="009F26BB"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b/>
        <w:bCs/>
        <w:noProof/>
        <w:sz w:val="24"/>
        <w:lang w:val="en-US"/>
      </w:rPr>
      <w:t>Error! No text of specified style in document.</w:t>
    </w:r>
    <w:r w:rsidRPr="007A1328">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304C7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6CAFE8"/>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D2B4F04"/>
    <w:multiLevelType w:val="multilevel"/>
    <w:tmpl w:val="DE5CE83C"/>
    <w:lvl w:ilvl="0">
      <w:start w:val="7"/>
      <w:numFmt w:val="decimal"/>
      <w:pStyle w:val="OutlineNumbered1"/>
      <w:lvlText w:val="%1."/>
      <w:lvlJc w:val="left"/>
      <w:pPr>
        <w:tabs>
          <w:tab w:val="num" w:pos="709"/>
        </w:tabs>
        <w:ind w:left="709" w:hanging="567"/>
      </w:pPr>
      <w:rPr>
        <w:rFonts w:hint="default"/>
        <w:i w:val="0"/>
      </w:rPr>
    </w:lvl>
    <w:lvl w:ilvl="1">
      <w:start w:val="1"/>
      <w:numFmt w:val="decimal"/>
      <w:pStyle w:val="OutlineNumbered2"/>
      <w:lvlText w:val="%1.%2."/>
      <w:lvlJc w:val="left"/>
      <w:pPr>
        <w:tabs>
          <w:tab w:val="num" w:pos="2727"/>
        </w:tabs>
        <w:ind w:left="2727" w:hanging="567"/>
      </w:pPr>
      <w:rPr>
        <w:rFonts w:hint="default"/>
      </w:rPr>
    </w:lvl>
    <w:lvl w:ilvl="2">
      <w:start w:val="1"/>
      <w:numFmt w:val="decimal"/>
      <w:pStyle w:val="OutlineNumbered3"/>
      <w:lvlText w:val="%1.%2.%3."/>
      <w:lvlJc w:val="left"/>
      <w:pPr>
        <w:tabs>
          <w:tab w:val="num" w:pos="1701"/>
        </w:tabs>
        <w:ind w:left="1701" w:hanging="567"/>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181F0E90"/>
    <w:multiLevelType w:val="singleLevel"/>
    <w:tmpl w:val="79902AC2"/>
    <w:lvl w:ilvl="0">
      <w:start w:val="1"/>
      <w:numFmt w:val="decimal"/>
      <w:pStyle w:val="ListNumber"/>
      <w:lvlText w:val="%1."/>
      <w:lvlJc w:val="left"/>
      <w:pPr>
        <w:tabs>
          <w:tab w:val="num" w:pos="360"/>
        </w:tabs>
        <w:ind w:left="360" w:hanging="360"/>
      </w:pPr>
    </w:lvl>
  </w:abstractNum>
  <w:abstractNum w:abstractNumId="13">
    <w:nsid w:val="1ACB1658"/>
    <w:multiLevelType w:val="multilevel"/>
    <w:tmpl w:val="BC64EDC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abstractNum w:abstractNumId="14">
    <w:nsid w:val="209247A2"/>
    <w:multiLevelType w:val="multilevel"/>
    <w:tmpl w:val="F9468ABE"/>
    <w:lvl w:ilvl="0">
      <w:start w:val="1"/>
      <w:numFmt w:val="bullet"/>
      <w:lvlText w:val="•"/>
      <w:lvlJc w:val="left"/>
      <w:pPr>
        <w:tabs>
          <w:tab w:val="num" w:pos="607"/>
        </w:tabs>
        <w:ind w:left="607" w:hanging="472"/>
      </w:pPr>
      <w:rPr>
        <w:rFonts w:ascii="Times New Roman" w:hAnsi="Times New Roman" w:cs="Times New Roman"/>
      </w:rPr>
    </w:lvl>
    <w:lvl w:ilvl="1">
      <w:start w:val="1"/>
      <w:numFmt w:val="bullet"/>
      <w:pStyle w:val="dash0"/>
      <w:lvlText w:val="–"/>
      <w:lvlJc w:val="left"/>
      <w:pPr>
        <w:tabs>
          <w:tab w:val="num" w:pos="1079"/>
        </w:tabs>
        <w:ind w:left="1079" w:hanging="472"/>
      </w:pPr>
      <w:rPr>
        <w:rFonts w:ascii="Times New Roman" w:hAnsi="Times New Roman" w:cs="Times New Roman"/>
      </w:rPr>
    </w:lvl>
    <w:lvl w:ilvl="2">
      <w:start w:val="1"/>
      <w:numFmt w:val="bullet"/>
      <w:lvlText w:val=":"/>
      <w:lvlJc w:val="left"/>
      <w:pPr>
        <w:tabs>
          <w:tab w:val="num" w:pos="1551"/>
        </w:tabs>
        <w:ind w:left="1551" w:hanging="472"/>
      </w:pPr>
      <w:rPr>
        <w:rFonts w:ascii="Times New Roman" w:hAnsi="Times New Roman" w:cs="Times New Roman"/>
      </w:rPr>
    </w:lvl>
    <w:lvl w:ilvl="3">
      <w:start w:val="1"/>
      <w:numFmt w:val="decimal"/>
      <w:lvlText w:val="(%4)"/>
      <w:lvlJc w:val="left"/>
      <w:pPr>
        <w:tabs>
          <w:tab w:val="num" w:pos="1575"/>
        </w:tabs>
        <w:ind w:left="1575" w:hanging="360"/>
      </w:pPr>
    </w:lvl>
    <w:lvl w:ilvl="4">
      <w:start w:val="1"/>
      <w:numFmt w:val="lowerLetter"/>
      <w:lvlText w:val="(%5)"/>
      <w:lvlJc w:val="left"/>
      <w:pPr>
        <w:tabs>
          <w:tab w:val="num" w:pos="1935"/>
        </w:tabs>
        <w:ind w:left="1935" w:hanging="360"/>
      </w:pPr>
    </w:lvl>
    <w:lvl w:ilvl="5">
      <w:start w:val="1"/>
      <w:numFmt w:val="lowerRoman"/>
      <w:lvlText w:val="(%6)"/>
      <w:lvlJc w:val="left"/>
      <w:pPr>
        <w:tabs>
          <w:tab w:val="num" w:pos="2295"/>
        </w:tabs>
        <w:ind w:left="2295" w:hanging="360"/>
      </w:pPr>
    </w:lvl>
    <w:lvl w:ilvl="6">
      <w:start w:val="1"/>
      <w:numFmt w:val="decimal"/>
      <w:lvlText w:val="%7."/>
      <w:lvlJc w:val="left"/>
      <w:pPr>
        <w:tabs>
          <w:tab w:val="num" w:pos="2655"/>
        </w:tabs>
        <w:ind w:left="2655" w:hanging="360"/>
      </w:pPr>
    </w:lvl>
    <w:lvl w:ilvl="7">
      <w:start w:val="1"/>
      <w:numFmt w:val="lowerLetter"/>
      <w:lvlText w:val="%8."/>
      <w:lvlJc w:val="left"/>
      <w:pPr>
        <w:tabs>
          <w:tab w:val="num" w:pos="3015"/>
        </w:tabs>
        <w:ind w:left="3015" w:hanging="360"/>
      </w:pPr>
    </w:lvl>
    <w:lvl w:ilvl="8">
      <w:start w:val="1"/>
      <w:numFmt w:val="lowerRoman"/>
      <w:lvlText w:val="%9."/>
      <w:lvlJc w:val="left"/>
      <w:pPr>
        <w:tabs>
          <w:tab w:val="num" w:pos="3375"/>
        </w:tabs>
        <w:ind w:left="3375" w:hanging="360"/>
      </w:pPr>
    </w:lvl>
  </w:abstractNum>
  <w:abstractNum w:abstractNumId="15">
    <w:nsid w:val="244F1A1A"/>
    <w:multiLevelType w:val="hybridMultilevel"/>
    <w:tmpl w:val="372C256A"/>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6">
    <w:nsid w:val="2BB207F8"/>
    <w:multiLevelType w:val="hybridMultilevel"/>
    <w:tmpl w:val="EE782A9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F950960"/>
    <w:multiLevelType w:val="multilevel"/>
    <w:tmpl w:val="D2DE0810"/>
    <w:name w:val="DotPointList"/>
    <w:lvl w:ilvl="0">
      <w:start w:val="1"/>
      <w:numFmt w:val="bullet"/>
      <w:lvlRestart w:val="0"/>
      <w:pStyle w:val="dotpoint2"/>
      <w:lvlText w:val="•"/>
      <w:lvlJc w:val="left"/>
      <w:pPr>
        <w:tabs>
          <w:tab w:val="num" w:pos="284"/>
        </w:tabs>
        <w:ind w:left="284" w:hanging="284"/>
      </w:pPr>
      <w:rPr>
        <w:b w:val="0"/>
        <w:i w:val="0"/>
        <w:color w:val="000000"/>
      </w:rPr>
    </w:lvl>
    <w:lvl w:ilvl="1">
      <w:start w:val="1"/>
      <w:numFmt w:val="bullet"/>
      <w:pStyle w:val="dotpoint2"/>
      <w:lvlText w:val="–"/>
      <w:lvlJc w:val="left"/>
      <w:pPr>
        <w:tabs>
          <w:tab w:val="num" w:pos="567"/>
        </w:tabs>
        <w:ind w:left="567" w:hanging="283"/>
      </w:pPr>
      <w:rPr>
        <w:b w:val="0"/>
        <w:i w:val="0"/>
        <w:color w:val="000000"/>
      </w:rPr>
    </w:lvl>
    <w:lvl w:ilvl="2">
      <w:start w:val="1"/>
      <w:numFmt w:val="decimal"/>
      <w:lvlText w:val="%3"/>
      <w:lvlJc w:val="left"/>
      <w:pPr>
        <w:tabs>
          <w:tab w:val="num" w:pos="-283"/>
        </w:tabs>
        <w:ind w:left="-283" w:hanging="567"/>
      </w:pPr>
      <w:rPr>
        <w:b w:val="0"/>
        <w:i w:val="0"/>
        <w:color w:val="000000"/>
      </w:rPr>
    </w:lvl>
    <w:lvl w:ilvl="3">
      <w:start w:val="1"/>
      <w:numFmt w:val="decimal"/>
      <w:lvlText w:val="%4"/>
      <w:lvlJc w:val="left"/>
      <w:pPr>
        <w:tabs>
          <w:tab w:val="num" w:pos="284"/>
        </w:tabs>
        <w:ind w:left="284" w:hanging="567"/>
      </w:pPr>
      <w:rPr>
        <w:b w:val="0"/>
        <w:i w:val="0"/>
        <w:color w:val="000000"/>
      </w:rPr>
    </w:lvl>
    <w:lvl w:ilvl="4">
      <w:start w:val="1"/>
      <w:numFmt w:val="decimal"/>
      <w:lvlText w:val="%5"/>
      <w:lvlJc w:val="left"/>
      <w:pPr>
        <w:tabs>
          <w:tab w:val="num" w:pos="851"/>
        </w:tabs>
        <w:ind w:left="851" w:hanging="567"/>
      </w:pPr>
      <w:rPr>
        <w:b w:val="0"/>
        <w:i w:val="0"/>
        <w:color w:val="000000"/>
      </w:rPr>
    </w:lvl>
    <w:lvl w:ilvl="5">
      <w:start w:val="1"/>
      <w:numFmt w:val="decimal"/>
      <w:lvlText w:val="%6"/>
      <w:lvlJc w:val="left"/>
      <w:pPr>
        <w:tabs>
          <w:tab w:val="num" w:pos="1418"/>
        </w:tabs>
        <w:ind w:left="1418" w:hanging="567"/>
      </w:pPr>
      <w:rPr>
        <w:b w:val="0"/>
        <w:i w:val="0"/>
        <w:color w:val="000000"/>
      </w:rPr>
    </w:lvl>
    <w:lvl w:ilvl="6">
      <w:start w:val="1"/>
      <w:numFmt w:val="decimal"/>
      <w:lvlText w:val="%7"/>
      <w:lvlJc w:val="left"/>
      <w:pPr>
        <w:tabs>
          <w:tab w:val="num" w:pos="1985"/>
        </w:tabs>
        <w:ind w:left="1985" w:hanging="567"/>
      </w:pPr>
      <w:rPr>
        <w:b w:val="0"/>
        <w:i w:val="0"/>
        <w:color w:val="000000"/>
      </w:rPr>
    </w:lvl>
    <w:lvl w:ilvl="7">
      <w:start w:val="1"/>
      <w:numFmt w:val="decimal"/>
      <w:lvlText w:val="%8"/>
      <w:lvlJc w:val="left"/>
      <w:pPr>
        <w:tabs>
          <w:tab w:val="num" w:pos="2552"/>
        </w:tabs>
        <w:ind w:left="2552" w:hanging="567"/>
      </w:pPr>
      <w:rPr>
        <w:b w:val="0"/>
        <w:i w:val="0"/>
        <w:color w:val="000000"/>
      </w:rPr>
    </w:lvl>
    <w:lvl w:ilvl="8">
      <w:start w:val="1"/>
      <w:numFmt w:val="decimal"/>
      <w:lvlText w:val="%9"/>
      <w:lvlJc w:val="left"/>
      <w:pPr>
        <w:tabs>
          <w:tab w:val="num" w:pos="3119"/>
        </w:tabs>
        <w:ind w:left="3119" w:hanging="567"/>
      </w:pPr>
      <w:rPr>
        <w:b w:val="0"/>
        <w:i w:val="0"/>
        <w:color w:val="000000"/>
      </w:rPr>
    </w:lvl>
  </w:abstractNum>
  <w:abstractNum w:abstractNumId="19">
    <w:nsid w:val="407229D3"/>
    <w:multiLevelType w:val="multilevel"/>
    <w:tmpl w:val="B51EB574"/>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pStyle w:val="Diagram"/>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pStyle w:val="Diagram"/>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pStyle w:val="TableHeadingoutsidetable"/>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nsid w:val="45E64FF7"/>
    <w:multiLevelType w:val="hybridMultilevel"/>
    <w:tmpl w:val="E8AEE056"/>
    <w:lvl w:ilvl="0" w:tplc="BE6A5ED6">
      <w:start w:val="1"/>
      <w:numFmt w:val="decimal"/>
      <w:lvlText w:val="17.%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D8D2AA5"/>
    <w:multiLevelType w:val="hybridMultilevel"/>
    <w:tmpl w:val="7A8E3C7A"/>
    <w:lvl w:ilvl="0" w:tplc="BE6A5ED6">
      <w:start w:val="1"/>
      <w:numFmt w:val="decimal"/>
      <w:lvlText w:val="17.%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58447DB"/>
    <w:multiLevelType w:val="hybridMultilevel"/>
    <w:tmpl w:val="E55CB818"/>
    <w:lvl w:ilvl="0" w:tplc="9812854A">
      <w:start w:val="1"/>
      <w:numFmt w:val="decimal"/>
      <w:lvlText w:val="19.%1"/>
      <w:lvlJc w:val="left"/>
      <w:pPr>
        <w:ind w:left="2138" w:hanging="360"/>
      </w:pPr>
      <w:rPr>
        <w:rFonts w:ascii="Arial" w:hAnsi="Arial" w:hint="default"/>
      </w:rPr>
    </w:lvl>
    <w:lvl w:ilvl="1" w:tplc="B3B0FA02">
      <w:start w:val="1"/>
      <w:numFmt w:val="decimal"/>
      <w:lvlText w:val="19.7.%2"/>
      <w:lvlJc w:val="left"/>
      <w:pPr>
        <w:ind w:left="1353" w:hanging="360"/>
      </w:pPr>
      <w:rPr>
        <w:rFonts w:ascii="Arial" w:hAnsi="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9006E7F"/>
    <w:multiLevelType w:val="hybridMultilevel"/>
    <w:tmpl w:val="75526C1A"/>
    <w:lvl w:ilvl="0" w:tplc="7B8C2884">
      <w:start w:val="1"/>
      <w:numFmt w:val="decimal"/>
      <w:lvlText w:val="50.%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3"/>
  </w:num>
  <w:num w:numId="14">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9"/>
  </w:num>
  <w:num w:numId="17">
    <w:abstractNumId w:val="18"/>
  </w:num>
  <w:num w:numId="18">
    <w:abstractNumId w:val="11"/>
  </w:num>
  <w:num w:numId="19">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1"/>
  </w:num>
  <w:num w:numId="23">
    <w:abstractNumId w:val="22"/>
  </w:num>
  <w:num w:numId="24">
    <w:abstractNumId w:val="16"/>
  </w:num>
  <w:num w:numId="25">
    <w:abstractNumId w:val="1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True"/>
  </w:docVars>
  <w:rsids>
    <w:rsidRoot w:val="009D45C2"/>
    <w:rsid w:val="000136AF"/>
    <w:rsid w:val="00023112"/>
    <w:rsid w:val="0004763F"/>
    <w:rsid w:val="00051CF8"/>
    <w:rsid w:val="0005365D"/>
    <w:rsid w:val="000614BF"/>
    <w:rsid w:val="00087C19"/>
    <w:rsid w:val="000D05EF"/>
    <w:rsid w:val="000D08B9"/>
    <w:rsid w:val="000D0C5E"/>
    <w:rsid w:val="000D703A"/>
    <w:rsid w:val="000E2261"/>
    <w:rsid w:val="000E7BB5"/>
    <w:rsid w:val="000F21C1"/>
    <w:rsid w:val="000F6EF2"/>
    <w:rsid w:val="0010745C"/>
    <w:rsid w:val="00124E53"/>
    <w:rsid w:val="00142B62"/>
    <w:rsid w:val="00152412"/>
    <w:rsid w:val="00157B8B"/>
    <w:rsid w:val="00166C2F"/>
    <w:rsid w:val="0017524C"/>
    <w:rsid w:val="001809D7"/>
    <w:rsid w:val="001939E1"/>
    <w:rsid w:val="00194C3E"/>
    <w:rsid w:val="00195382"/>
    <w:rsid w:val="001A4A0C"/>
    <w:rsid w:val="001C30BC"/>
    <w:rsid w:val="001C69C4"/>
    <w:rsid w:val="001D37EF"/>
    <w:rsid w:val="001E3590"/>
    <w:rsid w:val="001E7407"/>
    <w:rsid w:val="001F533F"/>
    <w:rsid w:val="001F5D5E"/>
    <w:rsid w:val="001F6219"/>
    <w:rsid w:val="00202FD4"/>
    <w:rsid w:val="00206C4D"/>
    <w:rsid w:val="00212236"/>
    <w:rsid w:val="00217783"/>
    <w:rsid w:val="0022002C"/>
    <w:rsid w:val="0023149E"/>
    <w:rsid w:val="002369F8"/>
    <w:rsid w:val="0024010F"/>
    <w:rsid w:val="00240749"/>
    <w:rsid w:val="002564A4"/>
    <w:rsid w:val="0026736C"/>
    <w:rsid w:val="00273384"/>
    <w:rsid w:val="00281308"/>
    <w:rsid w:val="0029182A"/>
    <w:rsid w:val="00297ECB"/>
    <w:rsid w:val="002A7BCF"/>
    <w:rsid w:val="002B0B63"/>
    <w:rsid w:val="002B2772"/>
    <w:rsid w:val="002B7E58"/>
    <w:rsid w:val="002C5CB4"/>
    <w:rsid w:val="002D043A"/>
    <w:rsid w:val="002D52D9"/>
    <w:rsid w:val="002D6224"/>
    <w:rsid w:val="002E04D4"/>
    <w:rsid w:val="002F1C9A"/>
    <w:rsid w:val="00304F8B"/>
    <w:rsid w:val="003217A5"/>
    <w:rsid w:val="00335BC6"/>
    <w:rsid w:val="003415D3"/>
    <w:rsid w:val="00352B0F"/>
    <w:rsid w:val="00360459"/>
    <w:rsid w:val="00371193"/>
    <w:rsid w:val="003967B9"/>
    <w:rsid w:val="003C6231"/>
    <w:rsid w:val="003D0BFE"/>
    <w:rsid w:val="003D5700"/>
    <w:rsid w:val="003E341B"/>
    <w:rsid w:val="004116CD"/>
    <w:rsid w:val="00417EB9"/>
    <w:rsid w:val="00421ED5"/>
    <w:rsid w:val="00424CA9"/>
    <w:rsid w:val="00425793"/>
    <w:rsid w:val="00427678"/>
    <w:rsid w:val="00431E9B"/>
    <w:rsid w:val="004379E3"/>
    <w:rsid w:val="00440B0E"/>
    <w:rsid w:val="0044291A"/>
    <w:rsid w:val="00462318"/>
    <w:rsid w:val="00467661"/>
    <w:rsid w:val="00472DBE"/>
    <w:rsid w:val="00496F97"/>
    <w:rsid w:val="004C79CF"/>
    <w:rsid w:val="004D7216"/>
    <w:rsid w:val="004E370A"/>
    <w:rsid w:val="004E7BEC"/>
    <w:rsid w:val="004F702B"/>
    <w:rsid w:val="00500974"/>
    <w:rsid w:val="00500CC6"/>
    <w:rsid w:val="00505D3D"/>
    <w:rsid w:val="00506AF6"/>
    <w:rsid w:val="00510C57"/>
    <w:rsid w:val="00516B8D"/>
    <w:rsid w:val="00537FBC"/>
    <w:rsid w:val="005741D6"/>
    <w:rsid w:val="00584811"/>
    <w:rsid w:val="00585784"/>
    <w:rsid w:val="00587031"/>
    <w:rsid w:val="00593AA6"/>
    <w:rsid w:val="00594161"/>
    <w:rsid w:val="00594749"/>
    <w:rsid w:val="005B4067"/>
    <w:rsid w:val="005C0CFA"/>
    <w:rsid w:val="005C3F41"/>
    <w:rsid w:val="005D2D09"/>
    <w:rsid w:val="005D3B89"/>
    <w:rsid w:val="005F7246"/>
    <w:rsid w:val="00600219"/>
    <w:rsid w:val="00620076"/>
    <w:rsid w:val="00636DE3"/>
    <w:rsid w:val="006451CF"/>
    <w:rsid w:val="0067464C"/>
    <w:rsid w:val="00677CC2"/>
    <w:rsid w:val="006905DE"/>
    <w:rsid w:val="006912B4"/>
    <w:rsid w:val="0069207B"/>
    <w:rsid w:val="006B78FE"/>
    <w:rsid w:val="006C7F8C"/>
    <w:rsid w:val="006E2776"/>
    <w:rsid w:val="006E5689"/>
    <w:rsid w:val="006E6246"/>
    <w:rsid w:val="006F318F"/>
    <w:rsid w:val="00700B2C"/>
    <w:rsid w:val="007050A2"/>
    <w:rsid w:val="00713084"/>
    <w:rsid w:val="00714F20"/>
    <w:rsid w:val="0071590F"/>
    <w:rsid w:val="00715914"/>
    <w:rsid w:val="007177E0"/>
    <w:rsid w:val="00731E00"/>
    <w:rsid w:val="00735CA6"/>
    <w:rsid w:val="007418AC"/>
    <w:rsid w:val="007440B7"/>
    <w:rsid w:val="007500C8"/>
    <w:rsid w:val="00766E40"/>
    <w:rsid w:val="007715C9"/>
    <w:rsid w:val="00774EDD"/>
    <w:rsid w:val="007757EC"/>
    <w:rsid w:val="00793915"/>
    <w:rsid w:val="007C2253"/>
    <w:rsid w:val="007C45A2"/>
    <w:rsid w:val="007E163D"/>
    <w:rsid w:val="007E667A"/>
    <w:rsid w:val="008117E9"/>
    <w:rsid w:val="00821111"/>
    <w:rsid w:val="00840B83"/>
    <w:rsid w:val="008477E0"/>
    <w:rsid w:val="00856A31"/>
    <w:rsid w:val="00867B37"/>
    <w:rsid w:val="008754D0"/>
    <w:rsid w:val="00886456"/>
    <w:rsid w:val="008A46E1"/>
    <w:rsid w:val="008A7932"/>
    <w:rsid w:val="008B2706"/>
    <w:rsid w:val="008B6ACC"/>
    <w:rsid w:val="008D0EE0"/>
    <w:rsid w:val="008E2885"/>
    <w:rsid w:val="008E534A"/>
    <w:rsid w:val="008F54E7"/>
    <w:rsid w:val="00903422"/>
    <w:rsid w:val="00910EED"/>
    <w:rsid w:val="00930D5E"/>
    <w:rsid w:val="00932377"/>
    <w:rsid w:val="00935B36"/>
    <w:rsid w:val="009469C4"/>
    <w:rsid w:val="00947D5A"/>
    <w:rsid w:val="009532A5"/>
    <w:rsid w:val="00957E53"/>
    <w:rsid w:val="00966CB9"/>
    <w:rsid w:val="00983541"/>
    <w:rsid w:val="009843DA"/>
    <w:rsid w:val="009868E9"/>
    <w:rsid w:val="009928CC"/>
    <w:rsid w:val="009938CC"/>
    <w:rsid w:val="009B5FE1"/>
    <w:rsid w:val="009B64BC"/>
    <w:rsid w:val="009D45C2"/>
    <w:rsid w:val="009D68AD"/>
    <w:rsid w:val="009F26BB"/>
    <w:rsid w:val="009F6F0E"/>
    <w:rsid w:val="00A10B7E"/>
    <w:rsid w:val="00A12128"/>
    <w:rsid w:val="00A22C98"/>
    <w:rsid w:val="00A231E2"/>
    <w:rsid w:val="00A2530E"/>
    <w:rsid w:val="00A26407"/>
    <w:rsid w:val="00A40724"/>
    <w:rsid w:val="00A64071"/>
    <w:rsid w:val="00A64912"/>
    <w:rsid w:val="00A70A74"/>
    <w:rsid w:val="00A71519"/>
    <w:rsid w:val="00A9630D"/>
    <w:rsid w:val="00AD5641"/>
    <w:rsid w:val="00AE71AD"/>
    <w:rsid w:val="00AF06CF"/>
    <w:rsid w:val="00B07CDB"/>
    <w:rsid w:val="00B14AB3"/>
    <w:rsid w:val="00B16A31"/>
    <w:rsid w:val="00B16C43"/>
    <w:rsid w:val="00B17DFD"/>
    <w:rsid w:val="00B308FE"/>
    <w:rsid w:val="00B33709"/>
    <w:rsid w:val="00B33B3C"/>
    <w:rsid w:val="00B63834"/>
    <w:rsid w:val="00B75849"/>
    <w:rsid w:val="00B80199"/>
    <w:rsid w:val="00B853C3"/>
    <w:rsid w:val="00BA220B"/>
    <w:rsid w:val="00BA3A57"/>
    <w:rsid w:val="00BA62CD"/>
    <w:rsid w:val="00BB4E1A"/>
    <w:rsid w:val="00BC015E"/>
    <w:rsid w:val="00BC3AE3"/>
    <w:rsid w:val="00BC76AC"/>
    <w:rsid w:val="00BE719A"/>
    <w:rsid w:val="00BE720A"/>
    <w:rsid w:val="00BF0D73"/>
    <w:rsid w:val="00BF2465"/>
    <w:rsid w:val="00C25E7F"/>
    <w:rsid w:val="00C2746F"/>
    <w:rsid w:val="00C324A0"/>
    <w:rsid w:val="00C343BC"/>
    <w:rsid w:val="00C42BF8"/>
    <w:rsid w:val="00C50043"/>
    <w:rsid w:val="00C5648E"/>
    <w:rsid w:val="00C7413B"/>
    <w:rsid w:val="00C7573B"/>
    <w:rsid w:val="00CA7AB1"/>
    <w:rsid w:val="00CB7A36"/>
    <w:rsid w:val="00CC0EF6"/>
    <w:rsid w:val="00CC7F86"/>
    <w:rsid w:val="00CD187E"/>
    <w:rsid w:val="00CE051D"/>
    <w:rsid w:val="00CE493D"/>
    <w:rsid w:val="00CE5143"/>
    <w:rsid w:val="00CF0BB2"/>
    <w:rsid w:val="00CF35C7"/>
    <w:rsid w:val="00CF3EE8"/>
    <w:rsid w:val="00D06A34"/>
    <w:rsid w:val="00D13441"/>
    <w:rsid w:val="00D150E7"/>
    <w:rsid w:val="00D351AD"/>
    <w:rsid w:val="00D43FF6"/>
    <w:rsid w:val="00D567A7"/>
    <w:rsid w:val="00D70DFB"/>
    <w:rsid w:val="00D766DF"/>
    <w:rsid w:val="00DA186E"/>
    <w:rsid w:val="00DB251C"/>
    <w:rsid w:val="00DC0CC5"/>
    <w:rsid w:val="00DC4F88"/>
    <w:rsid w:val="00DE064C"/>
    <w:rsid w:val="00DE09CF"/>
    <w:rsid w:val="00E05704"/>
    <w:rsid w:val="00E12B87"/>
    <w:rsid w:val="00E338EF"/>
    <w:rsid w:val="00E33C41"/>
    <w:rsid w:val="00E44430"/>
    <w:rsid w:val="00E700BF"/>
    <w:rsid w:val="00E74DC7"/>
    <w:rsid w:val="00E8075A"/>
    <w:rsid w:val="00E8502F"/>
    <w:rsid w:val="00E94D5E"/>
    <w:rsid w:val="00E95C79"/>
    <w:rsid w:val="00EA10AC"/>
    <w:rsid w:val="00EA7100"/>
    <w:rsid w:val="00EA7F9F"/>
    <w:rsid w:val="00EC0EC0"/>
    <w:rsid w:val="00ED2BB6"/>
    <w:rsid w:val="00ED6B56"/>
    <w:rsid w:val="00EF2E3A"/>
    <w:rsid w:val="00F072A7"/>
    <w:rsid w:val="00F078DC"/>
    <w:rsid w:val="00F22885"/>
    <w:rsid w:val="00F349F1"/>
    <w:rsid w:val="00F4350D"/>
    <w:rsid w:val="00F567F7"/>
    <w:rsid w:val="00F73BD6"/>
    <w:rsid w:val="00F80B4C"/>
    <w:rsid w:val="00F83989"/>
    <w:rsid w:val="00F85099"/>
    <w:rsid w:val="00F90AAD"/>
    <w:rsid w:val="00F9379C"/>
    <w:rsid w:val="00F9632C"/>
    <w:rsid w:val="00FA1E52"/>
    <w:rsid w:val="00FB3581"/>
    <w:rsid w:val="00FF09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CB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0"/>
    <w:lsdException w:name="toc 6" w:uiPriority="0"/>
    <w:lsdException w:name="toc 7" w:uiPriority="39"/>
    <w:lsdException w:name="toc 8" w:uiPriority="0"/>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envelope addres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00BF"/>
    <w:pPr>
      <w:spacing w:line="260" w:lineRule="atLeast"/>
    </w:pPr>
    <w:rPr>
      <w:sz w:val="22"/>
    </w:rPr>
  </w:style>
  <w:style w:type="paragraph" w:styleId="Heading1">
    <w:name w:val="heading 1"/>
    <w:basedOn w:val="Normal"/>
    <w:next w:val="Normal"/>
    <w:link w:val="Heading1Char"/>
    <w:qFormat/>
    <w:rsid w:val="00F80B4C"/>
    <w:pPr>
      <w:keepNext/>
      <w:spacing w:before="240" w:after="360" w:line="260" w:lineRule="exact"/>
      <w:jc w:val="both"/>
      <w:outlineLvl w:val="0"/>
    </w:pPr>
    <w:rPr>
      <w:rFonts w:eastAsia="Times New Roman" w:cs="Times New Roman"/>
      <w:b/>
      <w:caps/>
      <w:color w:val="000000"/>
      <w:sz w:val="28"/>
      <w:szCs w:val="24"/>
      <w:lang w:eastAsia="en-AU"/>
    </w:rPr>
  </w:style>
  <w:style w:type="paragraph" w:styleId="Heading2">
    <w:name w:val="heading 2"/>
    <w:basedOn w:val="Normal"/>
    <w:next w:val="Normal"/>
    <w:link w:val="Heading2Char"/>
    <w:qFormat/>
    <w:rsid w:val="00F80B4C"/>
    <w:pPr>
      <w:keepNext/>
      <w:spacing w:before="120" w:after="240" w:line="260" w:lineRule="exact"/>
      <w:jc w:val="both"/>
      <w:outlineLvl w:val="1"/>
    </w:pPr>
    <w:rPr>
      <w:rFonts w:eastAsia="Times New Roman" w:cs="Times New Roman"/>
      <w:b/>
      <w:caps/>
      <w:color w:val="000000"/>
      <w:sz w:val="24"/>
      <w:szCs w:val="24"/>
      <w:lang w:eastAsia="en-AU"/>
    </w:rPr>
  </w:style>
  <w:style w:type="paragraph" w:styleId="Heading3">
    <w:name w:val="heading 3"/>
    <w:basedOn w:val="Normal"/>
    <w:next w:val="Normal"/>
    <w:link w:val="Heading3Char"/>
    <w:qFormat/>
    <w:rsid w:val="00F80B4C"/>
    <w:pPr>
      <w:keepNext/>
      <w:spacing w:before="60" w:after="240" w:line="260" w:lineRule="exact"/>
      <w:jc w:val="both"/>
      <w:outlineLvl w:val="2"/>
    </w:pPr>
    <w:rPr>
      <w:rFonts w:eastAsia="Times New Roman" w:cs="Times New Roman"/>
      <w:b/>
      <w:color w:val="000000"/>
      <w:sz w:val="24"/>
      <w:szCs w:val="24"/>
      <w:lang w:eastAsia="en-AU"/>
    </w:rPr>
  </w:style>
  <w:style w:type="paragraph" w:styleId="Heading4">
    <w:name w:val="heading 4"/>
    <w:basedOn w:val="Normal"/>
    <w:next w:val="Normal"/>
    <w:link w:val="Heading4Char"/>
    <w:qFormat/>
    <w:rsid w:val="00F80B4C"/>
    <w:pPr>
      <w:keepNext/>
      <w:spacing w:after="240" w:line="260" w:lineRule="exact"/>
      <w:jc w:val="both"/>
      <w:outlineLvl w:val="3"/>
    </w:pPr>
    <w:rPr>
      <w:rFonts w:eastAsia="Times New Roman" w:cs="Times New Roman"/>
      <w:b/>
      <w:i/>
      <w:color w:val="000000"/>
      <w:sz w:val="24"/>
      <w:szCs w:val="24"/>
      <w:lang w:eastAsia="en-AU"/>
    </w:rPr>
  </w:style>
  <w:style w:type="paragraph" w:styleId="Heading5">
    <w:name w:val="heading 5"/>
    <w:basedOn w:val="Normal"/>
    <w:next w:val="Normal"/>
    <w:link w:val="Heading5Char"/>
    <w:qFormat/>
    <w:rsid w:val="00F80B4C"/>
    <w:pPr>
      <w:spacing w:before="240" w:after="60" w:line="260" w:lineRule="exact"/>
      <w:jc w:val="both"/>
      <w:outlineLvl w:val="4"/>
    </w:pPr>
    <w:rPr>
      <w:rFonts w:eastAsia="Times New Roman" w:cs="Times New Roman"/>
      <w:bCs/>
      <w:i/>
      <w:iCs/>
      <w:color w:val="000000"/>
      <w:sz w:val="24"/>
      <w:szCs w:val="26"/>
      <w:lang w:eastAsia="en-AU"/>
    </w:rPr>
  </w:style>
  <w:style w:type="paragraph" w:styleId="Heading6">
    <w:name w:val="heading 6"/>
    <w:basedOn w:val="Normal"/>
    <w:next w:val="Normal"/>
    <w:link w:val="Heading6Char"/>
    <w:qFormat/>
    <w:rsid w:val="00F80B4C"/>
    <w:pPr>
      <w:spacing w:before="240" w:after="60" w:line="260" w:lineRule="exact"/>
      <w:jc w:val="both"/>
      <w:outlineLvl w:val="5"/>
    </w:pPr>
    <w:rPr>
      <w:rFonts w:eastAsia="Times New Roman" w:cs="Times New Roman"/>
      <w:b/>
      <w:bCs/>
      <w:color w:val="000000"/>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0B4C"/>
    <w:rPr>
      <w:rFonts w:eastAsia="Times New Roman" w:cs="Times New Roman"/>
      <w:b/>
      <w:caps/>
      <w:color w:val="000000"/>
      <w:sz w:val="28"/>
      <w:szCs w:val="24"/>
      <w:lang w:eastAsia="en-AU"/>
    </w:rPr>
  </w:style>
  <w:style w:type="character" w:customStyle="1" w:styleId="Heading2Char">
    <w:name w:val="Heading 2 Char"/>
    <w:basedOn w:val="DefaultParagraphFont"/>
    <w:link w:val="Heading2"/>
    <w:rsid w:val="00F80B4C"/>
    <w:rPr>
      <w:rFonts w:eastAsia="Times New Roman" w:cs="Times New Roman"/>
      <w:b/>
      <w:caps/>
      <w:color w:val="000000"/>
      <w:sz w:val="24"/>
      <w:szCs w:val="24"/>
      <w:lang w:eastAsia="en-AU"/>
    </w:rPr>
  </w:style>
  <w:style w:type="character" w:customStyle="1" w:styleId="Heading3Char">
    <w:name w:val="Heading 3 Char"/>
    <w:basedOn w:val="DefaultParagraphFont"/>
    <w:link w:val="Heading3"/>
    <w:rsid w:val="00F80B4C"/>
    <w:rPr>
      <w:rFonts w:eastAsia="Times New Roman" w:cs="Times New Roman"/>
      <w:b/>
      <w:color w:val="000000"/>
      <w:sz w:val="24"/>
      <w:szCs w:val="24"/>
      <w:lang w:eastAsia="en-AU"/>
    </w:rPr>
  </w:style>
  <w:style w:type="character" w:customStyle="1" w:styleId="Heading4Char">
    <w:name w:val="Heading 4 Char"/>
    <w:basedOn w:val="DefaultParagraphFont"/>
    <w:link w:val="Heading4"/>
    <w:rsid w:val="00F80B4C"/>
    <w:rPr>
      <w:rFonts w:eastAsia="Times New Roman" w:cs="Times New Roman"/>
      <w:b/>
      <w:i/>
      <w:color w:val="000000"/>
      <w:sz w:val="24"/>
      <w:szCs w:val="24"/>
      <w:lang w:eastAsia="en-AU"/>
    </w:rPr>
  </w:style>
  <w:style w:type="character" w:customStyle="1" w:styleId="Heading5Char">
    <w:name w:val="Heading 5 Char"/>
    <w:basedOn w:val="DefaultParagraphFont"/>
    <w:link w:val="Heading5"/>
    <w:rsid w:val="00F80B4C"/>
    <w:rPr>
      <w:rFonts w:eastAsia="Times New Roman" w:cs="Times New Roman"/>
      <w:bCs/>
      <w:i/>
      <w:iCs/>
      <w:color w:val="000000"/>
      <w:sz w:val="24"/>
      <w:szCs w:val="26"/>
      <w:lang w:eastAsia="en-AU"/>
    </w:rPr>
  </w:style>
  <w:style w:type="character" w:customStyle="1" w:styleId="Heading6Char">
    <w:name w:val="Heading 6 Char"/>
    <w:basedOn w:val="DefaultParagraphFont"/>
    <w:link w:val="Heading6"/>
    <w:rsid w:val="00F80B4C"/>
    <w:rPr>
      <w:rFonts w:eastAsia="Times New Roman" w:cs="Times New Roman"/>
      <w:b/>
      <w:bCs/>
      <w:color w:val="000000"/>
      <w:sz w:val="22"/>
      <w:szCs w:val="22"/>
      <w:lang w:eastAsia="en-AU"/>
    </w:rPr>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2B0B63"/>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Step">
    <w:name w:val="BoxStep"/>
    <w:aliases w:val="bs"/>
    <w:basedOn w:val="BoxText"/>
    <w:qFormat/>
    <w:rsid w:val="00A231E2"/>
    <w:pPr>
      <w:ind w:left="1985" w:hanging="851"/>
    </w:p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5D3B89"/>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5D3B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3B89"/>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5D3B89"/>
    <w:pPr>
      <w:tabs>
        <w:tab w:val="right" w:pos="340"/>
      </w:tabs>
      <w:spacing w:before="60" w:line="240" w:lineRule="auto"/>
      <w:ind w:left="454" w:hanging="454"/>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semiHidden/>
    <w:unhideWhenUsed/>
    <w:rsid w:val="00A7151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semiHidden/>
    <w:unhideWhenUsed/>
    <w:rsid w:val="00A7151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7151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71519"/>
    <w:pPr>
      <w:keepLines/>
      <w:tabs>
        <w:tab w:val="right" w:pos="8278"/>
      </w:tabs>
      <w:spacing w:before="80" w:line="240" w:lineRule="auto"/>
      <w:ind w:left="2183" w:right="567" w:hanging="1332"/>
    </w:pPr>
    <w:rPr>
      <w:b/>
      <w:kern w:val="28"/>
      <w:sz w:val="20"/>
    </w:rPr>
  </w:style>
  <w:style w:type="paragraph" w:styleId="TOC5">
    <w:name w:val="toc 5"/>
    <w:basedOn w:val="OPCParaBase"/>
    <w:next w:val="Normal"/>
    <w:semiHidden/>
    <w:unhideWhenUsed/>
    <w:rsid w:val="00A71519"/>
    <w:pPr>
      <w:keepLines/>
      <w:tabs>
        <w:tab w:val="right" w:pos="8278"/>
      </w:tabs>
      <w:spacing w:before="40" w:line="240" w:lineRule="auto"/>
      <w:ind w:left="2098" w:right="567" w:hanging="680"/>
    </w:pPr>
    <w:rPr>
      <w:kern w:val="28"/>
      <w:sz w:val="18"/>
    </w:rPr>
  </w:style>
  <w:style w:type="paragraph" w:styleId="TOC6">
    <w:name w:val="toc 6"/>
    <w:basedOn w:val="OPCParaBase"/>
    <w:next w:val="Normal"/>
    <w:semiHidden/>
    <w:unhideWhenUsed/>
    <w:rsid w:val="00A7151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71519"/>
    <w:pPr>
      <w:keepLines/>
      <w:tabs>
        <w:tab w:val="right" w:pos="8278"/>
      </w:tabs>
      <w:spacing w:before="120" w:line="240" w:lineRule="auto"/>
      <w:ind w:left="1253" w:right="567" w:hanging="828"/>
    </w:pPr>
    <w:rPr>
      <w:kern w:val="28"/>
      <w:sz w:val="24"/>
    </w:rPr>
  </w:style>
  <w:style w:type="paragraph" w:styleId="TOC8">
    <w:name w:val="toc 8"/>
    <w:basedOn w:val="OPCParaBase"/>
    <w:next w:val="Normal"/>
    <w:semiHidden/>
    <w:unhideWhenUsed/>
    <w:rsid w:val="00A7151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7151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ActHead10">
    <w:name w:val="ActHead 10"/>
    <w:aliases w:val="sp"/>
    <w:basedOn w:val="OPCParaBase"/>
    <w:next w:val="ActHead3"/>
    <w:rsid w:val="0026736C"/>
    <w:pPr>
      <w:keepNext/>
      <w:spacing w:before="280" w:line="240" w:lineRule="auto"/>
      <w:outlineLvl w:val="1"/>
    </w:pPr>
    <w:rPr>
      <w:b/>
      <w:sz w:val="32"/>
      <w:szCs w:val="30"/>
    </w:rPr>
  </w:style>
  <w:style w:type="paragraph" w:customStyle="1" w:styleId="SignCoverPageEnd">
    <w:name w:val="SignCoverPageEnd"/>
    <w:basedOn w:val="OPCParaBase"/>
    <w:next w:val="Normal"/>
    <w:rsid w:val="00B16A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TableHeading">
    <w:name w:val="TableHeading"/>
    <w:aliases w:val="th"/>
    <w:basedOn w:val="OPCParaBase"/>
    <w:next w:val="Tabletext"/>
    <w:rsid w:val="00202FD4"/>
    <w:pPr>
      <w:keepNext/>
      <w:spacing w:before="60" w:line="240" w:lineRule="atLeast"/>
    </w:pPr>
    <w:rPr>
      <w:b/>
      <w:sz w:val="20"/>
    </w:rPr>
  </w:style>
  <w:style w:type="paragraph" w:customStyle="1" w:styleId="NoteToSubpara">
    <w:name w:val="NoteToSubpara"/>
    <w:aliases w:val="nts"/>
    <w:basedOn w:val="OPCParaBase"/>
    <w:rsid w:val="00821111"/>
    <w:pPr>
      <w:spacing w:before="40" w:line="198" w:lineRule="exact"/>
      <w:ind w:left="2835" w:hanging="709"/>
    </w:pPr>
    <w:rPr>
      <w:sz w:val="18"/>
    </w:rPr>
  </w:style>
  <w:style w:type="paragraph" w:customStyle="1" w:styleId="ENoteTableHeading">
    <w:name w:val="ENoteTableHeading"/>
    <w:aliases w:val="enth"/>
    <w:basedOn w:val="OPCParaBase"/>
    <w:rsid w:val="00E8502F"/>
    <w:pPr>
      <w:keepNext/>
      <w:spacing w:before="60" w:line="240" w:lineRule="atLeast"/>
    </w:pPr>
    <w:rPr>
      <w:rFonts w:ascii="Arial" w:hAnsi="Arial"/>
      <w:b/>
      <w:sz w:val="16"/>
    </w:rPr>
  </w:style>
  <w:style w:type="paragraph" w:customStyle="1" w:styleId="ENoteTableText">
    <w:name w:val="ENoteTableText"/>
    <w:aliases w:val="entt"/>
    <w:basedOn w:val="OPCParaBase"/>
    <w:rsid w:val="00E700BF"/>
    <w:pPr>
      <w:spacing w:before="60" w:line="240" w:lineRule="atLeast"/>
    </w:pPr>
    <w:rPr>
      <w:sz w:val="16"/>
    </w:rPr>
  </w:style>
  <w:style w:type="paragraph" w:customStyle="1" w:styleId="ENoteTTi">
    <w:name w:val="ENoteTTi"/>
    <w:aliases w:val="entti"/>
    <w:basedOn w:val="OPCParaBase"/>
    <w:rsid w:val="00E44430"/>
    <w:pPr>
      <w:keepNext/>
      <w:spacing w:before="60" w:line="240" w:lineRule="atLeast"/>
      <w:ind w:left="170"/>
    </w:pPr>
    <w:rPr>
      <w:sz w:val="16"/>
    </w:rPr>
  </w:style>
  <w:style w:type="paragraph" w:customStyle="1" w:styleId="ENoteTTIndentHeading">
    <w:name w:val="ENoteTTIndentHeading"/>
    <w:aliases w:val="enTTHi"/>
    <w:basedOn w:val="OPCParaBase"/>
    <w:rsid w:val="000E7BB5"/>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EA10AC"/>
    <w:pPr>
      <w:spacing w:before="120"/>
      <w:outlineLvl w:val="1"/>
    </w:pPr>
    <w:rPr>
      <w:b/>
      <w:sz w:val="28"/>
      <w:szCs w:val="28"/>
    </w:rPr>
  </w:style>
  <w:style w:type="paragraph" w:customStyle="1" w:styleId="ENotesHeading2">
    <w:name w:val="ENotesHeading 2"/>
    <w:aliases w:val="Enh2,ENh2"/>
    <w:basedOn w:val="OPCParaBase"/>
    <w:next w:val="Normal"/>
    <w:rsid w:val="00B75849"/>
    <w:pPr>
      <w:spacing w:before="120" w:after="120"/>
      <w:outlineLvl w:val="2"/>
    </w:pPr>
    <w:rPr>
      <w:b/>
      <w:sz w:val="24"/>
      <w:szCs w:val="28"/>
    </w:rPr>
  </w:style>
  <w:style w:type="paragraph" w:customStyle="1" w:styleId="MadeunderText">
    <w:name w:val="MadeunderText"/>
    <w:basedOn w:val="OPCParaBase"/>
    <w:next w:val="CompiledMadeUnder"/>
    <w:rsid w:val="002E04D4"/>
    <w:pPr>
      <w:spacing w:before="240"/>
    </w:pPr>
    <w:rPr>
      <w:sz w:val="24"/>
      <w:szCs w:val="24"/>
    </w:rPr>
  </w:style>
  <w:style w:type="paragraph" w:customStyle="1" w:styleId="ENotesHeading3">
    <w:name w:val="ENotesHeading 3"/>
    <w:aliases w:val="Enh3"/>
    <w:basedOn w:val="OPCParaBase"/>
    <w:next w:val="Normal"/>
    <w:rsid w:val="008477E0"/>
    <w:pPr>
      <w:keepNext/>
      <w:spacing w:before="120" w:line="240" w:lineRule="auto"/>
      <w:outlineLvl w:val="4"/>
    </w:pPr>
    <w:rPr>
      <w:b/>
      <w:szCs w:val="24"/>
    </w:rPr>
  </w:style>
  <w:style w:type="paragraph" w:customStyle="1" w:styleId="SubPartCASA">
    <w:name w:val="SubPart(CASA)"/>
    <w:aliases w:val="csp"/>
    <w:basedOn w:val="OPCParaBase"/>
    <w:next w:val="ActHead3"/>
    <w:rsid w:val="009938CC"/>
    <w:pPr>
      <w:keepNext/>
      <w:keepLines/>
      <w:spacing w:before="280"/>
      <w:outlineLvl w:val="1"/>
    </w:pPr>
    <w:rPr>
      <w:b/>
      <w:kern w:val="28"/>
      <w:sz w:val="32"/>
    </w:rPr>
  </w:style>
  <w:style w:type="character" w:customStyle="1" w:styleId="CharSubPartTextCASA">
    <w:name w:val="CharSubPartText(CASA)"/>
    <w:basedOn w:val="OPCCharBase"/>
    <w:uiPriority w:val="1"/>
    <w:rsid w:val="003217A5"/>
  </w:style>
  <w:style w:type="character" w:customStyle="1" w:styleId="CharSubPartNoCASA">
    <w:name w:val="CharSubPartNo(CASA)"/>
    <w:basedOn w:val="OPCCharBase"/>
    <w:uiPriority w:val="1"/>
    <w:rsid w:val="00E95C79"/>
  </w:style>
  <w:style w:type="paragraph" w:customStyle="1" w:styleId="ENoteTTIndentHeadingSub">
    <w:name w:val="ENoteTTIndentHeadingSub"/>
    <w:aliases w:val="enTTHis"/>
    <w:basedOn w:val="OPCParaBase"/>
    <w:rsid w:val="00500CC6"/>
    <w:pPr>
      <w:keepNext/>
      <w:spacing w:before="60" w:line="240" w:lineRule="atLeast"/>
      <w:ind w:left="340"/>
    </w:pPr>
    <w:rPr>
      <w:b/>
      <w:sz w:val="16"/>
    </w:rPr>
  </w:style>
  <w:style w:type="paragraph" w:customStyle="1" w:styleId="ENoteTTiSub">
    <w:name w:val="ENoteTTiSub"/>
    <w:aliases w:val="enttis"/>
    <w:basedOn w:val="OPCParaBase"/>
    <w:rsid w:val="00CA7AB1"/>
    <w:pPr>
      <w:keepNext/>
      <w:spacing w:before="60" w:line="240" w:lineRule="atLeast"/>
      <w:ind w:left="340"/>
    </w:pPr>
    <w:rPr>
      <w:sz w:val="16"/>
    </w:rPr>
  </w:style>
  <w:style w:type="paragraph" w:customStyle="1" w:styleId="SubDivisionMigration">
    <w:name w:val="SubDivisionMigration"/>
    <w:aliases w:val="sdm"/>
    <w:basedOn w:val="OPCParaBase"/>
    <w:rsid w:val="004D72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CF8"/>
    <w:pPr>
      <w:keepNext/>
      <w:keepLines/>
      <w:spacing w:before="240" w:line="240" w:lineRule="auto"/>
      <w:ind w:left="1134" w:hanging="1134"/>
    </w:pPr>
    <w:rPr>
      <w:b/>
      <w:sz w:val="28"/>
    </w:rPr>
  </w:style>
  <w:style w:type="paragraph" w:customStyle="1" w:styleId="notetext">
    <w:name w:val="note(text)"/>
    <w:aliases w:val="n"/>
    <w:basedOn w:val="OPCParaBase"/>
    <w:rsid w:val="00421ED5"/>
    <w:pPr>
      <w:spacing w:before="122" w:line="240" w:lineRule="auto"/>
      <w:ind w:left="1985" w:hanging="851"/>
    </w:pPr>
    <w:rPr>
      <w:sz w:val="18"/>
    </w:rPr>
  </w:style>
  <w:style w:type="paragraph" w:customStyle="1" w:styleId="SecurityClassificationHeader">
    <w:name w:val="Security Classification Header"/>
    <w:link w:val="SecurityClassificationHeaderChar"/>
    <w:rsid w:val="00B16C43"/>
    <w:pPr>
      <w:spacing w:before="240" w:after="60"/>
      <w:jc w:val="center"/>
    </w:pPr>
    <w:rPr>
      <w:rFonts w:eastAsia="Times New Roman" w:cs="Times New Roman"/>
      <w:b/>
      <w:caps/>
      <w:sz w:val="24"/>
      <w:lang w:eastAsia="en-AU"/>
    </w:rPr>
  </w:style>
  <w:style w:type="character" w:customStyle="1" w:styleId="SecurityClassificationHeaderChar">
    <w:name w:val="Security Classification Header Char"/>
    <w:basedOn w:val="HeaderChar"/>
    <w:link w:val="SecurityClassificationHeader"/>
    <w:rsid w:val="00B16C43"/>
    <w:rPr>
      <w:rFonts w:eastAsia="Times New Roman" w:cs="Times New Roman"/>
      <w:b/>
      <w:caps/>
      <w:sz w:val="24"/>
      <w:lang w:eastAsia="en-AU"/>
    </w:rPr>
  </w:style>
  <w:style w:type="paragraph" w:customStyle="1" w:styleId="SecurityClassificationFooter">
    <w:name w:val="Security Classification Footer"/>
    <w:link w:val="SecurityClassificationFooterChar"/>
    <w:rsid w:val="00B16C43"/>
    <w:pPr>
      <w:spacing w:before="60" w:after="240"/>
      <w:jc w:val="center"/>
    </w:pPr>
    <w:rPr>
      <w:rFonts w:eastAsia="Times New Roman" w:cs="Times New Roman"/>
      <w:b/>
      <w:caps/>
      <w:sz w:val="24"/>
      <w:lang w:eastAsia="en-AU"/>
    </w:rPr>
  </w:style>
  <w:style w:type="character" w:customStyle="1" w:styleId="SecurityClassificationFooterChar">
    <w:name w:val="Security Classification Footer Char"/>
    <w:basedOn w:val="HeaderChar"/>
    <w:link w:val="SecurityClassificationFooter"/>
    <w:rsid w:val="00B16C43"/>
    <w:rPr>
      <w:rFonts w:eastAsia="Times New Roman" w:cs="Times New Roman"/>
      <w:b/>
      <w:caps/>
      <w:sz w:val="24"/>
      <w:lang w:eastAsia="en-AU"/>
    </w:rPr>
  </w:style>
  <w:style w:type="paragraph" w:customStyle="1" w:styleId="DLMSecurityHeader">
    <w:name w:val="DLM Security Header"/>
    <w:link w:val="DLMSecurityHeaderChar"/>
    <w:rsid w:val="00B16C43"/>
    <w:pPr>
      <w:spacing w:before="60" w:after="240"/>
      <w:jc w:val="center"/>
    </w:pPr>
    <w:rPr>
      <w:rFonts w:eastAsia="Times New Roman" w:cs="Times New Roman"/>
      <w:b/>
      <w:caps/>
      <w:sz w:val="24"/>
      <w:lang w:eastAsia="en-AU"/>
    </w:rPr>
  </w:style>
  <w:style w:type="character" w:customStyle="1" w:styleId="DLMSecurityHeaderChar">
    <w:name w:val="DLM Security Header Char"/>
    <w:basedOn w:val="HeaderChar"/>
    <w:link w:val="DLMSecurityHeader"/>
    <w:rsid w:val="00B16C43"/>
    <w:rPr>
      <w:rFonts w:eastAsia="Times New Roman" w:cs="Times New Roman"/>
      <w:b/>
      <w:caps/>
      <w:sz w:val="24"/>
      <w:lang w:eastAsia="en-AU"/>
    </w:rPr>
  </w:style>
  <w:style w:type="paragraph" w:customStyle="1" w:styleId="DLMSecurityFooter">
    <w:name w:val="DLM Security Footer"/>
    <w:link w:val="DLMSecurityFooterChar"/>
    <w:rsid w:val="00B16C43"/>
    <w:pPr>
      <w:spacing w:before="240" w:after="60"/>
      <w:jc w:val="center"/>
    </w:pPr>
    <w:rPr>
      <w:rFonts w:eastAsia="Times New Roman" w:cs="Times New Roman"/>
      <w:b/>
      <w:caps/>
      <w:sz w:val="24"/>
      <w:lang w:eastAsia="en-AU"/>
    </w:rPr>
  </w:style>
  <w:style w:type="character" w:customStyle="1" w:styleId="DLMSecurityFooterChar">
    <w:name w:val="DLM Security Footer Char"/>
    <w:basedOn w:val="HeaderChar"/>
    <w:link w:val="DLMSecurityFooter"/>
    <w:rsid w:val="00B16C43"/>
    <w:rPr>
      <w:rFonts w:eastAsia="Times New Roman" w:cs="Times New Roman"/>
      <w:b/>
      <w:caps/>
      <w:sz w:val="24"/>
      <w:lang w:eastAsia="en-AU"/>
    </w:rPr>
  </w:style>
  <w:style w:type="paragraph" w:customStyle="1" w:styleId="SingleParagraph">
    <w:name w:val="Single Paragraph"/>
    <w:basedOn w:val="Normal"/>
    <w:rsid w:val="00F80B4C"/>
    <w:pPr>
      <w:spacing w:line="260" w:lineRule="exact"/>
      <w:jc w:val="both"/>
    </w:pPr>
    <w:rPr>
      <w:rFonts w:eastAsia="Times New Roman" w:cs="Times New Roman"/>
      <w:color w:val="000000"/>
      <w:sz w:val="24"/>
      <w:szCs w:val="24"/>
      <w:lang w:eastAsia="en-AU"/>
    </w:rPr>
  </w:style>
  <w:style w:type="paragraph" w:customStyle="1" w:styleId="ChartMainHeading">
    <w:name w:val="Chart Main Heading"/>
    <w:basedOn w:val="SingleParagraph"/>
    <w:next w:val="Normal"/>
    <w:rsid w:val="00F80B4C"/>
    <w:pPr>
      <w:jc w:val="center"/>
    </w:pPr>
    <w:rPr>
      <w:b/>
      <w:caps/>
    </w:rPr>
  </w:style>
  <w:style w:type="paragraph" w:customStyle="1" w:styleId="ChartSecondHeading">
    <w:name w:val="Chart Second Heading"/>
    <w:basedOn w:val="SingleParagraph"/>
    <w:next w:val="Normal"/>
    <w:rsid w:val="00F80B4C"/>
    <w:pPr>
      <w:jc w:val="center"/>
    </w:pPr>
    <w:rPr>
      <w:b/>
    </w:rPr>
  </w:style>
  <w:style w:type="paragraph" w:customStyle="1" w:styleId="TableMainHeading">
    <w:name w:val="Table Main Heading"/>
    <w:basedOn w:val="ChartMainHeading"/>
    <w:rsid w:val="00F80B4C"/>
  </w:style>
  <w:style w:type="paragraph" w:styleId="Title">
    <w:name w:val="Title"/>
    <w:basedOn w:val="Normal"/>
    <w:next w:val="Normal"/>
    <w:link w:val="TitleChar"/>
    <w:qFormat/>
    <w:rsid w:val="00F80B4C"/>
    <w:pPr>
      <w:spacing w:before="240" w:line="240" w:lineRule="auto"/>
    </w:pPr>
    <w:rPr>
      <w:rFonts w:ascii="Arial" w:eastAsia="Times New Roman" w:hAnsi="Arial" w:cs="Times New Roman"/>
      <w:b/>
      <w:sz w:val="40"/>
      <w:lang w:eastAsia="en-AU"/>
    </w:rPr>
  </w:style>
  <w:style w:type="character" w:customStyle="1" w:styleId="TitleChar">
    <w:name w:val="Title Char"/>
    <w:basedOn w:val="DefaultParagraphFont"/>
    <w:link w:val="Title"/>
    <w:rsid w:val="00F80B4C"/>
    <w:rPr>
      <w:rFonts w:ascii="Arial" w:eastAsia="Times New Roman" w:hAnsi="Arial" w:cs="Times New Roman"/>
      <w:b/>
      <w:sz w:val="40"/>
      <w:lang w:eastAsia="en-AU"/>
    </w:rPr>
  </w:style>
  <w:style w:type="paragraph" w:customStyle="1" w:styleId="ContentsHead">
    <w:name w:val="ContentsHead"/>
    <w:basedOn w:val="Normal"/>
    <w:next w:val="Normal"/>
    <w:rsid w:val="00F80B4C"/>
    <w:pPr>
      <w:spacing w:before="240" w:after="240" w:line="260" w:lineRule="exact"/>
      <w:jc w:val="both"/>
    </w:pPr>
    <w:rPr>
      <w:rFonts w:ascii="Arial" w:eastAsia="Times New Roman" w:hAnsi="Arial" w:cs="Times New Roman"/>
      <w:b/>
      <w:color w:val="000000"/>
      <w:sz w:val="28"/>
      <w:szCs w:val="24"/>
      <w:lang w:eastAsia="en-AU"/>
    </w:rPr>
  </w:style>
  <w:style w:type="paragraph" w:customStyle="1" w:styleId="HeaderContentsPage">
    <w:name w:val="HeaderContents&quot;Page&quot;"/>
    <w:basedOn w:val="Normal"/>
    <w:rsid w:val="00F80B4C"/>
    <w:pPr>
      <w:spacing w:before="120" w:after="120" w:line="240" w:lineRule="auto"/>
      <w:jc w:val="right"/>
    </w:pPr>
    <w:rPr>
      <w:rFonts w:ascii="Arial" w:eastAsia="Times New Roman" w:hAnsi="Arial" w:cs="Times New Roman"/>
      <w:sz w:val="20"/>
      <w:lang w:eastAsia="en-AU"/>
    </w:rPr>
  </w:style>
  <w:style w:type="paragraph" w:customStyle="1" w:styleId="HR">
    <w:name w:val="HR"/>
    <w:aliases w:val="Regulation Heading"/>
    <w:basedOn w:val="Normal"/>
    <w:rsid w:val="00F80B4C"/>
    <w:pPr>
      <w:keepNext/>
      <w:tabs>
        <w:tab w:val="left" w:pos="964"/>
      </w:tabs>
      <w:spacing w:before="360" w:line="240" w:lineRule="auto"/>
      <w:ind w:left="964" w:hanging="964"/>
      <w:jc w:val="both"/>
    </w:pPr>
    <w:rPr>
      <w:rFonts w:ascii="Arial" w:eastAsia="Times New Roman" w:hAnsi="Arial" w:cs="Times New Roman"/>
      <w:b/>
      <w:color w:val="000000"/>
      <w:sz w:val="24"/>
      <w:szCs w:val="24"/>
      <w:lang w:eastAsia="en-AU"/>
    </w:rPr>
  </w:style>
  <w:style w:type="paragraph" w:customStyle="1" w:styleId="R1">
    <w:name w:val="R1"/>
    <w:aliases w:val="1. or 1.(1)"/>
    <w:basedOn w:val="Normal"/>
    <w:next w:val="Normal"/>
    <w:rsid w:val="00F80B4C"/>
    <w:pPr>
      <w:tabs>
        <w:tab w:val="right" w:pos="794"/>
        <w:tab w:val="left" w:pos="964"/>
      </w:tabs>
      <w:spacing w:before="120" w:after="240" w:line="260" w:lineRule="exact"/>
      <w:ind w:left="964" w:hanging="964"/>
      <w:jc w:val="both"/>
    </w:pPr>
    <w:rPr>
      <w:rFonts w:eastAsia="Times New Roman" w:cs="Times New Roman"/>
      <w:color w:val="000000"/>
      <w:sz w:val="24"/>
      <w:szCs w:val="24"/>
      <w:lang w:eastAsia="en-AU"/>
    </w:rPr>
  </w:style>
  <w:style w:type="paragraph" w:customStyle="1" w:styleId="ZR1">
    <w:name w:val="ZR1"/>
    <w:basedOn w:val="R1"/>
    <w:rsid w:val="00F80B4C"/>
    <w:pPr>
      <w:keepNext/>
    </w:pPr>
  </w:style>
  <w:style w:type="paragraph" w:customStyle="1" w:styleId="definition0">
    <w:name w:val="definition"/>
    <w:basedOn w:val="Normal"/>
    <w:rsid w:val="00F80B4C"/>
    <w:pPr>
      <w:spacing w:before="80" w:after="240" w:line="260" w:lineRule="exact"/>
      <w:ind w:left="964"/>
      <w:jc w:val="both"/>
    </w:pPr>
    <w:rPr>
      <w:rFonts w:eastAsia="Times New Roman" w:cs="Times New Roman"/>
      <w:color w:val="000000"/>
      <w:sz w:val="24"/>
      <w:szCs w:val="24"/>
      <w:lang w:eastAsia="en-AU"/>
    </w:rPr>
  </w:style>
  <w:style w:type="paragraph" w:customStyle="1" w:styleId="Note">
    <w:name w:val="Note"/>
    <w:basedOn w:val="Normal"/>
    <w:rsid w:val="00F80B4C"/>
    <w:pPr>
      <w:tabs>
        <w:tab w:val="left" w:pos="1559"/>
      </w:tabs>
      <w:spacing w:before="120" w:line="220" w:lineRule="exact"/>
      <w:ind w:left="964"/>
      <w:jc w:val="both"/>
    </w:pPr>
    <w:rPr>
      <w:rFonts w:eastAsia="Times New Roman" w:cs="Times New Roman"/>
      <w:sz w:val="20"/>
      <w:lang w:eastAsia="en-AU"/>
    </w:rPr>
  </w:style>
  <w:style w:type="character" w:styleId="PageNumber">
    <w:name w:val="page number"/>
    <w:basedOn w:val="DefaultParagraphFont"/>
    <w:rsid w:val="00F80B4C"/>
    <w:rPr>
      <w:rFonts w:ascii="Arial" w:hAnsi="Arial"/>
      <w:sz w:val="22"/>
    </w:rPr>
  </w:style>
  <w:style w:type="paragraph" w:customStyle="1" w:styleId="Scheduletitle">
    <w:name w:val="Schedule title"/>
    <w:basedOn w:val="Normal"/>
    <w:next w:val="Normal"/>
    <w:rsid w:val="00F80B4C"/>
    <w:pPr>
      <w:keepNext/>
      <w:keepLines/>
      <w:spacing w:before="480" w:line="240" w:lineRule="auto"/>
      <w:ind w:left="2410" w:hanging="2410"/>
    </w:pPr>
    <w:rPr>
      <w:rFonts w:ascii="Arial" w:eastAsia="Times New Roman" w:hAnsi="Arial" w:cs="Times New Roman"/>
      <w:b/>
      <w:sz w:val="32"/>
      <w:szCs w:val="24"/>
      <w:lang w:eastAsia="en-AU"/>
    </w:rPr>
  </w:style>
  <w:style w:type="paragraph" w:customStyle="1" w:styleId="Bulletlevel1">
    <w:name w:val="Bullet level 1"/>
    <w:basedOn w:val="bulletlevel2"/>
    <w:next w:val="bulletlevel2"/>
    <w:rsid w:val="00F80B4C"/>
  </w:style>
  <w:style w:type="paragraph" w:customStyle="1" w:styleId="bulletlevel2">
    <w:name w:val="bullet level 2"/>
    <w:basedOn w:val="bullet"/>
    <w:rsid w:val="00F80B4C"/>
    <w:pPr>
      <w:keepNext/>
      <w:keepLines/>
      <w:tabs>
        <w:tab w:val="num" w:pos="1440"/>
      </w:tabs>
      <w:ind w:left="1980" w:hanging="360"/>
    </w:pPr>
    <w:rPr>
      <w:szCs w:val="24"/>
    </w:rPr>
  </w:style>
  <w:style w:type="paragraph" w:customStyle="1" w:styleId="bullet">
    <w:name w:val="bullet"/>
    <w:basedOn w:val="Normal"/>
    <w:rsid w:val="00F80B4C"/>
    <w:pPr>
      <w:numPr>
        <w:numId w:val="13"/>
      </w:numPr>
      <w:spacing w:after="160" w:line="240" w:lineRule="auto"/>
    </w:pPr>
    <w:rPr>
      <w:rFonts w:ascii="Arial" w:eastAsia="Times New Roman" w:hAnsi="Arial" w:cs="Arial"/>
      <w:sz w:val="24"/>
      <w:lang w:eastAsia="en-AU"/>
    </w:rPr>
  </w:style>
  <w:style w:type="paragraph" w:customStyle="1" w:styleId="Dash">
    <w:name w:val="Dash"/>
    <w:basedOn w:val="Normal"/>
    <w:rsid w:val="00F80B4C"/>
    <w:pPr>
      <w:numPr>
        <w:ilvl w:val="1"/>
        <w:numId w:val="13"/>
      </w:numPr>
      <w:spacing w:after="240" w:line="260" w:lineRule="exact"/>
    </w:pPr>
    <w:rPr>
      <w:rFonts w:eastAsia="Times New Roman" w:cs="Times New Roman"/>
      <w:b/>
      <w:color w:val="000000"/>
      <w:sz w:val="24"/>
      <w:szCs w:val="24"/>
      <w:lang w:eastAsia="en-AU"/>
    </w:rPr>
  </w:style>
  <w:style w:type="paragraph" w:customStyle="1" w:styleId="DoubleDot">
    <w:name w:val="Double Dot"/>
    <w:basedOn w:val="Normal"/>
    <w:rsid w:val="00F80B4C"/>
    <w:pPr>
      <w:numPr>
        <w:ilvl w:val="2"/>
        <w:numId w:val="13"/>
      </w:numPr>
      <w:spacing w:after="240" w:line="260" w:lineRule="exact"/>
    </w:pPr>
    <w:rPr>
      <w:rFonts w:eastAsia="Times New Roman" w:cs="Times New Roman"/>
      <w:b/>
      <w:color w:val="000000"/>
      <w:sz w:val="24"/>
      <w:szCs w:val="24"/>
      <w:lang w:eastAsia="en-AU"/>
    </w:rPr>
  </w:style>
  <w:style w:type="paragraph" w:customStyle="1" w:styleId="outlinenumbered10">
    <w:name w:val="outlinenumbered1"/>
    <w:basedOn w:val="Normal"/>
    <w:rsid w:val="00F80B4C"/>
    <w:pPr>
      <w:spacing w:line="240" w:lineRule="auto"/>
    </w:pPr>
    <w:rPr>
      <w:rFonts w:ascii="Arial" w:eastAsia="Times New Roman" w:hAnsi="Arial" w:cs="Arial"/>
      <w:color w:val="000080"/>
      <w:sz w:val="20"/>
      <w:lang w:eastAsia="en-AU"/>
    </w:rPr>
  </w:style>
  <w:style w:type="paragraph" w:customStyle="1" w:styleId="dash0">
    <w:name w:val="dash"/>
    <w:basedOn w:val="Normal"/>
    <w:rsid w:val="00F80B4C"/>
    <w:pPr>
      <w:numPr>
        <w:ilvl w:val="1"/>
        <w:numId w:val="14"/>
      </w:numPr>
      <w:spacing w:line="240" w:lineRule="auto"/>
    </w:pPr>
    <w:rPr>
      <w:rFonts w:ascii="Arial" w:eastAsia="Times New Roman" w:hAnsi="Arial" w:cs="Arial"/>
      <w:color w:val="000080"/>
      <w:sz w:val="20"/>
      <w:lang w:eastAsia="en-AU"/>
    </w:rPr>
  </w:style>
  <w:style w:type="paragraph" w:styleId="FootnoteText">
    <w:name w:val="footnote text"/>
    <w:basedOn w:val="Normal"/>
    <w:link w:val="FootnoteTextChar"/>
    <w:semiHidden/>
    <w:rsid w:val="00F80B4C"/>
    <w:pPr>
      <w:spacing w:after="240" w:line="260" w:lineRule="exact"/>
      <w:jc w:val="both"/>
    </w:pPr>
    <w:rPr>
      <w:rFonts w:eastAsia="Times New Roman" w:cs="Times New Roman"/>
      <w:color w:val="000000"/>
      <w:sz w:val="20"/>
      <w:lang w:eastAsia="en-AU"/>
    </w:rPr>
  </w:style>
  <w:style w:type="character" w:customStyle="1" w:styleId="FootnoteTextChar">
    <w:name w:val="Footnote Text Char"/>
    <w:basedOn w:val="DefaultParagraphFont"/>
    <w:link w:val="FootnoteText"/>
    <w:semiHidden/>
    <w:rsid w:val="00F80B4C"/>
    <w:rPr>
      <w:rFonts w:eastAsia="Times New Roman" w:cs="Times New Roman"/>
      <w:color w:val="000000"/>
      <w:lang w:eastAsia="en-AU"/>
    </w:rPr>
  </w:style>
  <w:style w:type="character" w:styleId="FootnoteReference">
    <w:name w:val="footnote reference"/>
    <w:basedOn w:val="DefaultParagraphFont"/>
    <w:semiHidden/>
    <w:rsid w:val="00F80B4C"/>
    <w:rPr>
      <w:vertAlign w:val="superscript"/>
    </w:rPr>
  </w:style>
  <w:style w:type="paragraph" w:styleId="ListNumber">
    <w:name w:val="List Number"/>
    <w:basedOn w:val="Normal"/>
    <w:rsid w:val="00F80B4C"/>
    <w:pPr>
      <w:numPr>
        <w:numId w:val="15"/>
      </w:numPr>
      <w:tabs>
        <w:tab w:val="left" w:pos="567"/>
      </w:tabs>
      <w:spacing w:after="240" w:line="240" w:lineRule="auto"/>
      <w:ind w:left="0" w:firstLine="0"/>
      <w:jc w:val="both"/>
    </w:pPr>
    <w:rPr>
      <w:rFonts w:eastAsia="Times New Roman" w:cs="Times New Roman"/>
      <w:sz w:val="24"/>
      <w:szCs w:val="24"/>
      <w:lang w:eastAsia="en-AU"/>
    </w:rPr>
  </w:style>
  <w:style w:type="paragraph" w:styleId="ListBullet2">
    <w:name w:val="List Bullet 2"/>
    <w:basedOn w:val="Normal"/>
    <w:autoRedefine/>
    <w:rsid w:val="00F80B4C"/>
    <w:pPr>
      <w:spacing w:after="120" w:line="240" w:lineRule="auto"/>
      <w:jc w:val="both"/>
    </w:pPr>
    <w:rPr>
      <w:rFonts w:eastAsia="Times New Roman" w:cs="Times New Roman"/>
      <w:color w:val="0000FF"/>
      <w:sz w:val="20"/>
      <w:lang w:eastAsia="en-AU"/>
    </w:rPr>
  </w:style>
  <w:style w:type="character" w:styleId="Hyperlink">
    <w:name w:val="Hyperlink"/>
    <w:basedOn w:val="DefaultParagraphFont"/>
    <w:rsid w:val="00F80B4C"/>
    <w:rPr>
      <w:color w:val="0000FF"/>
      <w:u w:val="single"/>
    </w:rPr>
  </w:style>
  <w:style w:type="character" w:customStyle="1" w:styleId="CommentTextChar">
    <w:name w:val="Comment Text Char"/>
    <w:basedOn w:val="DefaultParagraphFont"/>
    <w:link w:val="CommentText"/>
    <w:semiHidden/>
    <w:rsid w:val="00F80B4C"/>
    <w:rPr>
      <w:rFonts w:eastAsia="Times New Roman" w:cs="Times New Roman"/>
      <w:color w:val="000000"/>
      <w:lang w:eastAsia="en-AU"/>
    </w:rPr>
  </w:style>
  <w:style w:type="paragraph" w:styleId="CommentText">
    <w:name w:val="annotation text"/>
    <w:basedOn w:val="Normal"/>
    <w:link w:val="CommentTextChar"/>
    <w:semiHidden/>
    <w:rsid w:val="00F80B4C"/>
    <w:pPr>
      <w:spacing w:after="240" w:line="260" w:lineRule="exact"/>
      <w:jc w:val="both"/>
    </w:pPr>
    <w:rPr>
      <w:rFonts w:eastAsia="Times New Roman" w:cs="Times New Roman"/>
      <w:color w:val="000000"/>
      <w:sz w:val="20"/>
      <w:lang w:eastAsia="en-AU"/>
    </w:rPr>
  </w:style>
  <w:style w:type="character" w:customStyle="1" w:styleId="CommentSubjectChar">
    <w:name w:val="Comment Subject Char"/>
    <w:basedOn w:val="CommentTextChar"/>
    <w:link w:val="CommentSubject"/>
    <w:semiHidden/>
    <w:rsid w:val="00F80B4C"/>
    <w:rPr>
      <w:rFonts w:eastAsia="Times New Roman" w:cs="Times New Roman"/>
      <w:b/>
      <w:bCs/>
      <w:color w:val="000000"/>
      <w:lang w:eastAsia="en-AU"/>
    </w:rPr>
  </w:style>
  <w:style w:type="paragraph" w:styleId="CommentSubject">
    <w:name w:val="annotation subject"/>
    <w:basedOn w:val="CommentText"/>
    <w:next w:val="CommentText"/>
    <w:link w:val="CommentSubjectChar"/>
    <w:semiHidden/>
    <w:rsid w:val="00F80B4C"/>
    <w:rPr>
      <w:b/>
      <w:bCs/>
    </w:rPr>
  </w:style>
  <w:style w:type="character" w:styleId="FollowedHyperlink">
    <w:name w:val="FollowedHyperlink"/>
    <w:basedOn w:val="DefaultParagraphFont"/>
    <w:rsid w:val="00F80B4C"/>
    <w:rPr>
      <w:color w:val="800080"/>
      <w:u w:val="single"/>
    </w:rPr>
  </w:style>
  <w:style w:type="paragraph" w:customStyle="1" w:styleId="ChapterHeading">
    <w:name w:val="Chapter Heading"/>
    <w:next w:val="Heading2"/>
    <w:rsid w:val="00F80B4C"/>
    <w:pPr>
      <w:pBdr>
        <w:top w:val="single" w:sz="4" w:space="1" w:color="auto"/>
        <w:bottom w:val="single" w:sz="4" w:space="1" w:color="auto"/>
      </w:pBdr>
      <w:spacing w:before="240" w:line="260" w:lineRule="atLeast"/>
    </w:pPr>
    <w:rPr>
      <w:rFonts w:ascii="Helvetica" w:eastAsia="Times New Roman" w:hAnsi="Helvetica" w:cs="Times New Roman"/>
      <w:b/>
      <w:i/>
      <w:sz w:val="38"/>
      <w:lang w:eastAsia="en-AU"/>
    </w:rPr>
  </w:style>
  <w:style w:type="paragraph" w:customStyle="1" w:styleId="TableHeadingoutsidetable">
    <w:name w:val="Table Heading (outside table)"/>
    <w:basedOn w:val="Heading4"/>
    <w:rsid w:val="00F80B4C"/>
    <w:pPr>
      <w:numPr>
        <w:ilvl w:val="4"/>
        <w:numId w:val="16"/>
      </w:numPr>
      <w:spacing w:before="120" w:after="120" w:line="240" w:lineRule="auto"/>
      <w:jc w:val="left"/>
    </w:pPr>
    <w:rPr>
      <w:i w:val="0"/>
      <w:color w:val="auto"/>
      <w:sz w:val="22"/>
      <w:szCs w:val="20"/>
    </w:rPr>
  </w:style>
  <w:style w:type="paragraph" w:customStyle="1" w:styleId="base-text-paragraph">
    <w:name w:val="base-text-paragraph"/>
    <w:basedOn w:val="Normal"/>
    <w:link w:val="base-text-paragraphChar"/>
    <w:rsid w:val="00F80B4C"/>
    <w:pPr>
      <w:tabs>
        <w:tab w:val="num" w:pos="1984"/>
      </w:tabs>
      <w:spacing w:before="120" w:after="120" w:line="240" w:lineRule="auto"/>
      <w:ind w:left="1134"/>
    </w:pPr>
    <w:rPr>
      <w:rFonts w:eastAsia="Times New Roman" w:cs="Times New Roman"/>
      <w:lang w:eastAsia="en-AU"/>
    </w:rPr>
  </w:style>
  <w:style w:type="character" w:customStyle="1" w:styleId="base-text-paragraphChar">
    <w:name w:val="base-text-paragraph Char"/>
    <w:basedOn w:val="DefaultParagraphFont"/>
    <w:link w:val="base-text-paragraph"/>
    <w:rsid w:val="00F80B4C"/>
    <w:rPr>
      <w:rFonts w:eastAsia="Times New Roman" w:cs="Times New Roman"/>
      <w:sz w:val="22"/>
      <w:lang w:eastAsia="en-AU"/>
    </w:rPr>
  </w:style>
  <w:style w:type="paragraph" w:customStyle="1" w:styleId="ExampleHeading">
    <w:name w:val="Example Heading"/>
    <w:basedOn w:val="Normal"/>
    <w:next w:val="Normal"/>
    <w:rsid w:val="00F80B4C"/>
    <w:pPr>
      <w:keepNext/>
      <w:spacing w:before="120" w:after="120" w:line="240" w:lineRule="auto"/>
      <w:ind w:left="1134"/>
    </w:pPr>
    <w:rPr>
      <w:rFonts w:eastAsia="Times New Roman" w:cs="Times New Roman"/>
      <w:b/>
      <w:lang w:eastAsia="en-AU"/>
    </w:rPr>
  </w:style>
  <w:style w:type="paragraph" w:customStyle="1" w:styleId="Diagram">
    <w:name w:val="Diagram"/>
    <w:basedOn w:val="Normal"/>
    <w:next w:val="Normal"/>
    <w:rsid w:val="00F80B4C"/>
    <w:pPr>
      <w:keepNext/>
      <w:numPr>
        <w:ilvl w:val="3"/>
        <w:numId w:val="16"/>
      </w:numPr>
      <w:spacing w:line="240" w:lineRule="auto"/>
    </w:pPr>
    <w:rPr>
      <w:rFonts w:eastAsia="Times New Roman" w:cs="Times New Roman"/>
      <w:b/>
      <w:lang w:eastAsia="en-AU"/>
    </w:rPr>
  </w:style>
  <w:style w:type="paragraph" w:customStyle="1" w:styleId="dotpoint">
    <w:name w:val="dot point"/>
    <w:basedOn w:val="Normal"/>
    <w:rsid w:val="00F80B4C"/>
    <w:pPr>
      <w:tabs>
        <w:tab w:val="num" w:pos="284"/>
      </w:tabs>
      <w:spacing w:before="120" w:after="120" w:line="240" w:lineRule="auto"/>
      <w:ind w:left="284" w:hanging="284"/>
    </w:pPr>
    <w:rPr>
      <w:rFonts w:eastAsia="Times New Roman" w:cs="Times New Roman"/>
      <w:lang w:eastAsia="en-AU"/>
    </w:rPr>
  </w:style>
  <w:style w:type="paragraph" w:customStyle="1" w:styleId="dotpoint2">
    <w:name w:val="dot point 2"/>
    <w:basedOn w:val="Normal"/>
    <w:rsid w:val="00F80B4C"/>
    <w:pPr>
      <w:numPr>
        <w:ilvl w:val="1"/>
        <w:numId w:val="17"/>
      </w:numPr>
      <w:spacing w:before="120" w:after="120" w:line="240" w:lineRule="auto"/>
    </w:pPr>
    <w:rPr>
      <w:rFonts w:eastAsia="Times New Roman" w:cs="Times New Roman"/>
      <w:lang w:eastAsia="en-AU"/>
    </w:rPr>
  </w:style>
  <w:style w:type="character" w:customStyle="1" w:styleId="DateChar">
    <w:name w:val="Date Char"/>
    <w:basedOn w:val="DefaultParagraphFont"/>
    <w:link w:val="Date"/>
    <w:semiHidden/>
    <w:rsid w:val="00F80B4C"/>
    <w:rPr>
      <w:rFonts w:eastAsia="Times New Roman" w:cs="Times New Roman"/>
      <w:sz w:val="22"/>
      <w:lang w:eastAsia="en-AU"/>
    </w:rPr>
  </w:style>
  <w:style w:type="paragraph" w:styleId="Date">
    <w:name w:val="Date"/>
    <w:basedOn w:val="Normal"/>
    <w:next w:val="Normal"/>
    <w:link w:val="DateChar"/>
    <w:semiHidden/>
    <w:rsid w:val="00F80B4C"/>
    <w:pPr>
      <w:spacing w:before="120" w:after="120" w:line="240" w:lineRule="auto"/>
    </w:pPr>
    <w:rPr>
      <w:rFonts w:eastAsia="Times New Roman" w:cs="Times New Roman"/>
      <w:lang w:eastAsia="en-AU"/>
    </w:rPr>
  </w:style>
  <w:style w:type="paragraph" w:customStyle="1" w:styleId="OutlineNumbered1">
    <w:name w:val="Outline Numbered 1"/>
    <w:basedOn w:val="Normal"/>
    <w:rsid w:val="00F80B4C"/>
    <w:pPr>
      <w:numPr>
        <w:numId w:val="18"/>
      </w:numPr>
      <w:spacing w:after="240" w:line="260" w:lineRule="exact"/>
      <w:jc w:val="both"/>
    </w:pPr>
    <w:rPr>
      <w:rFonts w:ascii="Arial" w:eastAsia="Times New Roman" w:hAnsi="Arial" w:cs="Arial"/>
      <w:color w:val="000000"/>
      <w:sz w:val="24"/>
      <w:szCs w:val="24"/>
      <w:lang w:eastAsia="en-AU"/>
    </w:rPr>
  </w:style>
  <w:style w:type="paragraph" w:customStyle="1" w:styleId="OutlineNumbered2">
    <w:name w:val="Outline Numbered 2"/>
    <w:basedOn w:val="Normal"/>
    <w:rsid w:val="00F80B4C"/>
    <w:pPr>
      <w:numPr>
        <w:ilvl w:val="1"/>
        <w:numId w:val="18"/>
      </w:numPr>
      <w:spacing w:after="240" w:line="260" w:lineRule="exact"/>
      <w:jc w:val="both"/>
    </w:pPr>
    <w:rPr>
      <w:rFonts w:ascii="Arial" w:eastAsia="Times New Roman" w:hAnsi="Arial" w:cs="Arial"/>
      <w:color w:val="000000"/>
      <w:sz w:val="24"/>
      <w:szCs w:val="24"/>
      <w:lang w:eastAsia="en-AU"/>
    </w:rPr>
  </w:style>
  <w:style w:type="paragraph" w:customStyle="1" w:styleId="OutlineNumbered3">
    <w:name w:val="Outline Numbered 3"/>
    <w:basedOn w:val="Normal"/>
    <w:rsid w:val="00F80B4C"/>
    <w:pPr>
      <w:numPr>
        <w:ilvl w:val="2"/>
        <w:numId w:val="18"/>
      </w:numPr>
      <w:tabs>
        <w:tab w:val="clear" w:pos="1701"/>
      </w:tabs>
      <w:spacing w:after="240" w:line="260" w:lineRule="exact"/>
      <w:ind w:left="2160" w:hanging="900"/>
      <w:jc w:val="both"/>
    </w:pPr>
    <w:rPr>
      <w:rFonts w:ascii="Arial" w:eastAsia="Times New Roman" w:hAnsi="Arial" w:cs="Arial"/>
      <w:color w:val="000000"/>
      <w:sz w:val="24"/>
      <w:szCs w:val="24"/>
      <w:lang w:eastAsia="en-AU"/>
    </w:rPr>
  </w:style>
  <w:style w:type="character" w:styleId="Strong">
    <w:name w:val="Strong"/>
    <w:basedOn w:val="DefaultParagraphFont"/>
    <w:qFormat/>
    <w:rsid w:val="00F80B4C"/>
    <w:rPr>
      <w:b/>
      <w:bCs/>
    </w:rPr>
  </w:style>
  <w:style w:type="paragraph" w:customStyle="1" w:styleId="Notelevel1">
    <w:name w:val="Note level 1"/>
    <w:basedOn w:val="OutlineNumbered2"/>
    <w:rsid w:val="00F80B4C"/>
    <w:pPr>
      <w:numPr>
        <w:ilvl w:val="0"/>
        <w:numId w:val="0"/>
      </w:numPr>
      <w:ind w:left="540"/>
    </w:pPr>
    <w:rPr>
      <w:i/>
      <w:sz w:val="18"/>
      <w:szCs w:val="18"/>
    </w:rPr>
  </w:style>
  <w:style w:type="paragraph" w:customStyle="1" w:styleId="Notelevel2">
    <w:name w:val="Note level 2"/>
    <w:basedOn w:val="bullet"/>
    <w:rsid w:val="00F80B4C"/>
    <w:pPr>
      <w:spacing w:after="320"/>
      <w:ind w:left="1260" w:firstLine="0"/>
    </w:pPr>
    <w:rPr>
      <w:i/>
      <w:sz w:val="18"/>
      <w:szCs w:val="18"/>
    </w:rPr>
  </w:style>
  <w:style w:type="paragraph" w:customStyle="1" w:styleId="Notelevel3">
    <w:name w:val="Note level 3"/>
    <w:basedOn w:val="Notelevel2"/>
    <w:rsid w:val="00F80B4C"/>
    <w:pPr>
      <w:ind w:left="2160"/>
    </w:pPr>
  </w:style>
  <w:style w:type="paragraph" w:styleId="EndnoteText">
    <w:name w:val="endnote text"/>
    <w:basedOn w:val="Normal"/>
    <w:link w:val="EndnoteTextChar"/>
    <w:rsid w:val="00F80B4C"/>
    <w:pPr>
      <w:spacing w:after="240" w:line="260" w:lineRule="exact"/>
      <w:jc w:val="both"/>
    </w:pPr>
    <w:rPr>
      <w:rFonts w:eastAsia="Times New Roman" w:cs="Times New Roman"/>
      <w:color w:val="000000"/>
      <w:sz w:val="20"/>
      <w:lang w:eastAsia="en-AU"/>
    </w:rPr>
  </w:style>
  <w:style w:type="character" w:customStyle="1" w:styleId="EndnoteTextChar">
    <w:name w:val="Endnote Text Char"/>
    <w:basedOn w:val="DefaultParagraphFont"/>
    <w:link w:val="EndnoteText"/>
    <w:rsid w:val="00F80B4C"/>
    <w:rPr>
      <w:rFonts w:eastAsia="Times New Roman" w:cs="Times New Roman"/>
      <w:color w:val="000000"/>
      <w:lang w:eastAsia="en-AU"/>
    </w:rPr>
  </w:style>
  <w:style w:type="character" w:styleId="EndnoteReference">
    <w:name w:val="endnote reference"/>
    <w:basedOn w:val="DefaultParagraphFont"/>
    <w:rsid w:val="00F80B4C"/>
    <w:rPr>
      <w:vertAlign w:val="superscript"/>
    </w:rPr>
  </w:style>
  <w:style w:type="paragraph" w:customStyle="1" w:styleId="outlinenumbered100">
    <w:name w:val="outlinenumbered10"/>
    <w:basedOn w:val="Normal"/>
    <w:rsid w:val="00F80B4C"/>
    <w:pPr>
      <w:spacing w:before="100" w:beforeAutospacing="1" w:after="100" w:afterAutospacing="1" w:line="240" w:lineRule="auto"/>
    </w:pPr>
    <w:rPr>
      <w:rFonts w:eastAsia="Times New Roman" w:cs="Times New Roman"/>
      <w:sz w:val="24"/>
      <w:szCs w:val="24"/>
      <w:lang w:eastAsia="en-AU"/>
    </w:rPr>
  </w:style>
  <w:style w:type="paragraph" w:customStyle="1" w:styleId="outlinenumbered20">
    <w:name w:val="outlinenumbered2"/>
    <w:basedOn w:val="Normal"/>
    <w:rsid w:val="00F80B4C"/>
    <w:pPr>
      <w:spacing w:before="100" w:beforeAutospacing="1" w:after="100" w:afterAutospacing="1" w:line="240" w:lineRule="auto"/>
    </w:pPr>
    <w:rPr>
      <w:rFonts w:eastAsia="Times New Roman" w:cs="Times New Roman"/>
      <w:sz w:val="24"/>
      <w:szCs w:val="24"/>
      <w:lang w:eastAsia="en-AU"/>
    </w:rPr>
  </w:style>
  <w:style w:type="paragraph" w:customStyle="1" w:styleId="notelevel20">
    <w:name w:val="notelevel2"/>
    <w:basedOn w:val="Normal"/>
    <w:rsid w:val="00F80B4C"/>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semiHidden/>
    <w:unhideWhenUsed/>
    <w:rsid w:val="00930D5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0"/>
    <w:lsdException w:name="toc 6" w:uiPriority="0"/>
    <w:lsdException w:name="toc 7" w:uiPriority="39"/>
    <w:lsdException w:name="toc 8" w:uiPriority="0"/>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envelope addres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00BF"/>
    <w:pPr>
      <w:spacing w:line="260" w:lineRule="atLeast"/>
    </w:pPr>
    <w:rPr>
      <w:sz w:val="22"/>
    </w:rPr>
  </w:style>
  <w:style w:type="paragraph" w:styleId="Heading1">
    <w:name w:val="heading 1"/>
    <w:basedOn w:val="Normal"/>
    <w:next w:val="Normal"/>
    <w:link w:val="Heading1Char"/>
    <w:qFormat/>
    <w:rsid w:val="00F80B4C"/>
    <w:pPr>
      <w:keepNext/>
      <w:spacing w:before="240" w:after="360" w:line="260" w:lineRule="exact"/>
      <w:jc w:val="both"/>
      <w:outlineLvl w:val="0"/>
    </w:pPr>
    <w:rPr>
      <w:rFonts w:eastAsia="Times New Roman" w:cs="Times New Roman"/>
      <w:b/>
      <w:caps/>
      <w:color w:val="000000"/>
      <w:sz w:val="28"/>
      <w:szCs w:val="24"/>
      <w:lang w:eastAsia="en-AU"/>
    </w:rPr>
  </w:style>
  <w:style w:type="paragraph" w:styleId="Heading2">
    <w:name w:val="heading 2"/>
    <w:basedOn w:val="Normal"/>
    <w:next w:val="Normal"/>
    <w:link w:val="Heading2Char"/>
    <w:qFormat/>
    <w:rsid w:val="00F80B4C"/>
    <w:pPr>
      <w:keepNext/>
      <w:spacing w:before="120" w:after="240" w:line="260" w:lineRule="exact"/>
      <w:jc w:val="both"/>
      <w:outlineLvl w:val="1"/>
    </w:pPr>
    <w:rPr>
      <w:rFonts w:eastAsia="Times New Roman" w:cs="Times New Roman"/>
      <w:b/>
      <w:caps/>
      <w:color w:val="000000"/>
      <w:sz w:val="24"/>
      <w:szCs w:val="24"/>
      <w:lang w:eastAsia="en-AU"/>
    </w:rPr>
  </w:style>
  <w:style w:type="paragraph" w:styleId="Heading3">
    <w:name w:val="heading 3"/>
    <w:basedOn w:val="Normal"/>
    <w:next w:val="Normal"/>
    <w:link w:val="Heading3Char"/>
    <w:qFormat/>
    <w:rsid w:val="00F80B4C"/>
    <w:pPr>
      <w:keepNext/>
      <w:spacing w:before="60" w:after="240" w:line="260" w:lineRule="exact"/>
      <w:jc w:val="both"/>
      <w:outlineLvl w:val="2"/>
    </w:pPr>
    <w:rPr>
      <w:rFonts w:eastAsia="Times New Roman" w:cs="Times New Roman"/>
      <w:b/>
      <w:color w:val="000000"/>
      <w:sz w:val="24"/>
      <w:szCs w:val="24"/>
      <w:lang w:eastAsia="en-AU"/>
    </w:rPr>
  </w:style>
  <w:style w:type="paragraph" w:styleId="Heading4">
    <w:name w:val="heading 4"/>
    <w:basedOn w:val="Normal"/>
    <w:next w:val="Normal"/>
    <w:link w:val="Heading4Char"/>
    <w:qFormat/>
    <w:rsid w:val="00F80B4C"/>
    <w:pPr>
      <w:keepNext/>
      <w:spacing w:after="240" w:line="260" w:lineRule="exact"/>
      <w:jc w:val="both"/>
      <w:outlineLvl w:val="3"/>
    </w:pPr>
    <w:rPr>
      <w:rFonts w:eastAsia="Times New Roman" w:cs="Times New Roman"/>
      <w:b/>
      <w:i/>
      <w:color w:val="000000"/>
      <w:sz w:val="24"/>
      <w:szCs w:val="24"/>
      <w:lang w:eastAsia="en-AU"/>
    </w:rPr>
  </w:style>
  <w:style w:type="paragraph" w:styleId="Heading5">
    <w:name w:val="heading 5"/>
    <w:basedOn w:val="Normal"/>
    <w:next w:val="Normal"/>
    <w:link w:val="Heading5Char"/>
    <w:qFormat/>
    <w:rsid w:val="00F80B4C"/>
    <w:pPr>
      <w:spacing w:before="240" w:after="60" w:line="260" w:lineRule="exact"/>
      <w:jc w:val="both"/>
      <w:outlineLvl w:val="4"/>
    </w:pPr>
    <w:rPr>
      <w:rFonts w:eastAsia="Times New Roman" w:cs="Times New Roman"/>
      <w:bCs/>
      <w:i/>
      <w:iCs/>
      <w:color w:val="000000"/>
      <w:sz w:val="24"/>
      <w:szCs w:val="26"/>
      <w:lang w:eastAsia="en-AU"/>
    </w:rPr>
  </w:style>
  <w:style w:type="paragraph" w:styleId="Heading6">
    <w:name w:val="heading 6"/>
    <w:basedOn w:val="Normal"/>
    <w:next w:val="Normal"/>
    <w:link w:val="Heading6Char"/>
    <w:qFormat/>
    <w:rsid w:val="00F80B4C"/>
    <w:pPr>
      <w:spacing w:before="240" w:after="60" w:line="260" w:lineRule="exact"/>
      <w:jc w:val="both"/>
      <w:outlineLvl w:val="5"/>
    </w:pPr>
    <w:rPr>
      <w:rFonts w:eastAsia="Times New Roman" w:cs="Times New Roman"/>
      <w:b/>
      <w:bCs/>
      <w:color w:val="000000"/>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0B4C"/>
    <w:rPr>
      <w:rFonts w:eastAsia="Times New Roman" w:cs="Times New Roman"/>
      <w:b/>
      <w:caps/>
      <w:color w:val="000000"/>
      <w:sz w:val="28"/>
      <w:szCs w:val="24"/>
      <w:lang w:eastAsia="en-AU"/>
    </w:rPr>
  </w:style>
  <w:style w:type="character" w:customStyle="1" w:styleId="Heading2Char">
    <w:name w:val="Heading 2 Char"/>
    <w:basedOn w:val="DefaultParagraphFont"/>
    <w:link w:val="Heading2"/>
    <w:rsid w:val="00F80B4C"/>
    <w:rPr>
      <w:rFonts w:eastAsia="Times New Roman" w:cs="Times New Roman"/>
      <w:b/>
      <w:caps/>
      <w:color w:val="000000"/>
      <w:sz w:val="24"/>
      <w:szCs w:val="24"/>
      <w:lang w:eastAsia="en-AU"/>
    </w:rPr>
  </w:style>
  <w:style w:type="character" w:customStyle="1" w:styleId="Heading3Char">
    <w:name w:val="Heading 3 Char"/>
    <w:basedOn w:val="DefaultParagraphFont"/>
    <w:link w:val="Heading3"/>
    <w:rsid w:val="00F80B4C"/>
    <w:rPr>
      <w:rFonts w:eastAsia="Times New Roman" w:cs="Times New Roman"/>
      <w:b/>
      <w:color w:val="000000"/>
      <w:sz w:val="24"/>
      <w:szCs w:val="24"/>
      <w:lang w:eastAsia="en-AU"/>
    </w:rPr>
  </w:style>
  <w:style w:type="character" w:customStyle="1" w:styleId="Heading4Char">
    <w:name w:val="Heading 4 Char"/>
    <w:basedOn w:val="DefaultParagraphFont"/>
    <w:link w:val="Heading4"/>
    <w:rsid w:val="00F80B4C"/>
    <w:rPr>
      <w:rFonts w:eastAsia="Times New Roman" w:cs="Times New Roman"/>
      <w:b/>
      <w:i/>
      <w:color w:val="000000"/>
      <w:sz w:val="24"/>
      <w:szCs w:val="24"/>
      <w:lang w:eastAsia="en-AU"/>
    </w:rPr>
  </w:style>
  <w:style w:type="character" w:customStyle="1" w:styleId="Heading5Char">
    <w:name w:val="Heading 5 Char"/>
    <w:basedOn w:val="DefaultParagraphFont"/>
    <w:link w:val="Heading5"/>
    <w:rsid w:val="00F80B4C"/>
    <w:rPr>
      <w:rFonts w:eastAsia="Times New Roman" w:cs="Times New Roman"/>
      <w:bCs/>
      <w:i/>
      <w:iCs/>
      <w:color w:val="000000"/>
      <w:sz w:val="24"/>
      <w:szCs w:val="26"/>
      <w:lang w:eastAsia="en-AU"/>
    </w:rPr>
  </w:style>
  <w:style w:type="character" w:customStyle="1" w:styleId="Heading6Char">
    <w:name w:val="Heading 6 Char"/>
    <w:basedOn w:val="DefaultParagraphFont"/>
    <w:link w:val="Heading6"/>
    <w:rsid w:val="00F80B4C"/>
    <w:rPr>
      <w:rFonts w:eastAsia="Times New Roman" w:cs="Times New Roman"/>
      <w:b/>
      <w:bCs/>
      <w:color w:val="000000"/>
      <w:sz w:val="22"/>
      <w:szCs w:val="22"/>
      <w:lang w:eastAsia="en-AU"/>
    </w:rPr>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2B0B63"/>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Step">
    <w:name w:val="BoxStep"/>
    <w:aliases w:val="bs"/>
    <w:basedOn w:val="BoxText"/>
    <w:qFormat/>
    <w:rsid w:val="00A231E2"/>
    <w:pPr>
      <w:ind w:left="1985" w:hanging="851"/>
    </w:p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5D3B89"/>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5D3B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3B89"/>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5D3B89"/>
    <w:pPr>
      <w:tabs>
        <w:tab w:val="right" w:pos="340"/>
      </w:tabs>
      <w:spacing w:before="60" w:line="240" w:lineRule="auto"/>
      <w:ind w:left="454" w:hanging="454"/>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semiHidden/>
    <w:unhideWhenUsed/>
    <w:rsid w:val="00A7151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semiHidden/>
    <w:unhideWhenUsed/>
    <w:rsid w:val="00A7151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7151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71519"/>
    <w:pPr>
      <w:keepLines/>
      <w:tabs>
        <w:tab w:val="right" w:pos="8278"/>
      </w:tabs>
      <w:spacing w:before="80" w:line="240" w:lineRule="auto"/>
      <w:ind w:left="2183" w:right="567" w:hanging="1332"/>
    </w:pPr>
    <w:rPr>
      <w:b/>
      <w:kern w:val="28"/>
      <w:sz w:val="20"/>
    </w:rPr>
  </w:style>
  <w:style w:type="paragraph" w:styleId="TOC5">
    <w:name w:val="toc 5"/>
    <w:basedOn w:val="OPCParaBase"/>
    <w:next w:val="Normal"/>
    <w:semiHidden/>
    <w:unhideWhenUsed/>
    <w:rsid w:val="00A71519"/>
    <w:pPr>
      <w:keepLines/>
      <w:tabs>
        <w:tab w:val="right" w:pos="8278"/>
      </w:tabs>
      <w:spacing w:before="40" w:line="240" w:lineRule="auto"/>
      <w:ind w:left="2098" w:right="567" w:hanging="680"/>
    </w:pPr>
    <w:rPr>
      <w:kern w:val="28"/>
      <w:sz w:val="18"/>
    </w:rPr>
  </w:style>
  <w:style w:type="paragraph" w:styleId="TOC6">
    <w:name w:val="toc 6"/>
    <w:basedOn w:val="OPCParaBase"/>
    <w:next w:val="Normal"/>
    <w:semiHidden/>
    <w:unhideWhenUsed/>
    <w:rsid w:val="00A7151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71519"/>
    <w:pPr>
      <w:keepLines/>
      <w:tabs>
        <w:tab w:val="right" w:pos="8278"/>
      </w:tabs>
      <w:spacing w:before="120" w:line="240" w:lineRule="auto"/>
      <w:ind w:left="1253" w:right="567" w:hanging="828"/>
    </w:pPr>
    <w:rPr>
      <w:kern w:val="28"/>
      <w:sz w:val="24"/>
    </w:rPr>
  </w:style>
  <w:style w:type="paragraph" w:styleId="TOC8">
    <w:name w:val="toc 8"/>
    <w:basedOn w:val="OPCParaBase"/>
    <w:next w:val="Normal"/>
    <w:semiHidden/>
    <w:unhideWhenUsed/>
    <w:rsid w:val="00A7151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7151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ActHead10">
    <w:name w:val="ActHead 10"/>
    <w:aliases w:val="sp"/>
    <w:basedOn w:val="OPCParaBase"/>
    <w:next w:val="ActHead3"/>
    <w:rsid w:val="0026736C"/>
    <w:pPr>
      <w:keepNext/>
      <w:spacing w:before="280" w:line="240" w:lineRule="auto"/>
      <w:outlineLvl w:val="1"/>
    </w:pPr>
    <w:rPr>
      <w:b/>
      <w:sz w:val="32"/>
      <w:szCs w:val="30"/>
    </w:rPr>
  </w:style>
  <w:style w:type="paragraph" w:customStyle="1" w:styleId="SignCoverPageEnd">
    <w:name w:val="SignCoverPageEnd"/>
    <w:basedOn w:val="OPCParaBase"/>
    <w:next w:val="Normal"/>
    <w:rsid w:val="00B16A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TableHeading">
    <w:name w:val="TableHeading"/>
    <w:aliases w:val="th"/>
    <w:basedOn w:val="OPCParaBase"/>
    <w:next w:val="Tabletext"/>
    <w:rsid w:val="00202FD4"/>
    <w:pPr>
      <w:keepNext/>
      <w:spacing w:before="60" w:line="240" w:lineRule="atLeast"/>
    </w:pPr>
    <w:rPr>
      <w:b/>
      <w:sz w:val="20"/>
    </w:rPr>
  </w:style>
  <w:style w:type="paragraph" w:customStyle="1" w:styleId="NoteToSubpara">
    <w:name w:val="NoteToSubpara"/>
    <w:aliases w:val="nts"/>
    <w:basedOn w:val="OPCParaBase"/>
    <w:rsid w:val="00821111"/>
    <w:pPr>
      <w:spacing w:before="40" w:line="198" w:lineRule="exact"/>
      <w:ind w:left="2835" w:hanging="709"/>
    </w:pPr>
    <w:rPr>
      <w:sz w:val="18"/>
    </w:rPr>
  </w:style>
  <w:style w:type="paragraph" w:customStyle="1" w:styleId="ENoteTableHeading">
    <w:name w:val="ENoteTableHeading"/>
    <w:aliases w:val="enth"/>
    <w:basedOn w:val="OPCParaBase"/>
    <w:rsid w:val="00E8502F"/>
    <w:pPr>
      <w:keepNext/>
      <w:spacing w:before="60" w:line="240" w:lineRule="atLeast"/>
    </w:pPr>
    <w:rPr>
      <w:rFonts w:ascii="Arial" w:hAnsi="Arial"/>
      <w:b/>
      <w:sz w:val="16"/>
    </w:rPr>
  </w:style>
  <w:style w:type="paragraph" w:customStyle="1" w:styleId="ENoteTableText">
    <w:name w:val="ENoteTableText"/>
    <w:aliases w:val="entt"/>
    <w:basedOn w:val="OPCParaBase"/>
    <w:rsid w:val="00E700BF"/>
    <w:pPr>
      <w:spacing w:before="60" w:line="240" w:lineRule="atLeast"/>
    </w:pPr>
    <w:rPr>
      <w:sz w:val="16"/>
    </w:rPr>
  </w:style>
  <w:style w:type="paragraph" w:customStyle="1" w:styleId="ENoteTTi">
    <w:name w:val="ENoteTTi"/>
    <w:aliases w:val="entti"/>
    <w:basedOn w:val="OPCParaBase"/>
    <w:rsid w:val="00E44430"/>
    <w:pPr>
      <w:keepNext/>
      <w:spacing w:before="60" w:line="240" w:lineRule="atLeast"/>
      <w:ind w:left="170"/>
    </w:pPr>
    <w:rPr>
      <w:sz w:val="16"/>
    </w:rPr>
  </w:style>
  <w:style w:type="paragraph" w:customStyle="1" w:styleId="ENoteTTIndentHeading">
    <w:name w:val="ENoteTTIndentHeading"/>
    <w:aliases w:val="enTTHi"/>
    <w:basedOn w:val="OPCParaBase"/>
    <w:rsid w:val="000E7BB5"/>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EA10AC"/>
    <w:pPr>
      <w:spacing w:before="120"/>
      <w:outlineLvl w:val="1"/>
    </w:pPr>
    <w:rPr>
      <w:b/>
      <w:sz w:val="28"/>
      <w:szCs w:val="28"/>
    </w:rPr>
  </w:style>
  <w:style w:type="paragraph" w:customStyle="1" w:styleId="ENotesHeading2">
    <w:name w:val="ENotesHeading 2"/>
    <w:aliases w:val="Enh2,ENh2"/>
    <w:basedOn w:val="OPCParaBase"/>
    <w:next w:val="Normal"/>
    <w:rsid w:val="00B75849"/>
    <w:pPr>
      <w:spacing w:before="120" w:after="120"/>
      <w:outlineLvl w:val="2"/>
    </w:pPr>
    <w:rPr>
      <w:b/>
      <w:sz w:val="24"/>
      <w:szCs w:val="28"/>
    </w:rPr>
  </w:style>
  <w:style w:type="paragraph" w:customStyle="1" w:styleId="MadeunderText">
    <w:name w:val="MadeunderText"/>
    <w:basedOn w:val="OPCParaBase"/>
    <w:next w:val="CompiledMadeUnder"/>
    <w:rsid w:val="002E04D4"/>
    <w:pPr>
      <w:spacing w:before="240"/>
    </w:pPr>
    <w:rPr>
      <w:sz w:val="24"/>
      <w:szCs w:val="24"/>
    </w:rPr>
  </w:style>
  <w:style w:type="paragraph" w:customStyle="1" w:styleId="ENotesHeading3">
    <w:name w:val="ENotesHeading 3"/>
    <w:aliases w:val="Enh3"/>
    <w:basedOn w:val="OPCParaBase"/>
    <w:next w:val="Normal"/>
    <w:rsid w:val="008477E0"/>
    <w:pPr>
      <w:keepNext/>
      <w:spacing w:before="120" w:line="240" w:lineRule="auto"/>
      <w:outlineLvl w:val="4"/>
    </w:pPr>
    <w:rPr>
      <w:b/>
      <w:szCs w:val="24"/>
    </w:rPr>
  </w:style>
  <w:style w:type="paragraph" w:customStyle="1" w:styleId="SubPartCASA">
    <w:name w:val="SubPart(CASA)"/>
    <w:aliases w:val="csp"/>
    <w:basedOn w:val="OPCParaBase"/>
    <w:next w:val="ActHead3"/>
    <w:rsid w:val="009938CC"/>
    <w:pPr>
      <w:keepNext/>
      <w:keepLines/>
      <w:spacing w:before="280"/>
      <w:outlineLvl w:val="1"/>
    </w:pPr>
    <w:rPr>
      <w:b/>
      <w:kern w:val="28"/>
      <w:sz w:val="32"/>
    </w:rPr>
  </w:style>
  <w:style w:type="character" w:customStyle="1" w:styleId="CharSubPartTextCASA">
    <w:name w:val="CharSubPartText(CASA)"/>
    <w:basedOn w:val="OPCCharBase"/>
    <w:uiPriority w:val="1"/>
    <w:rsid w:val="003217A5"/>
  </w:style>
  <w:style w:type="character" w:customStyle="1" w:styleId="CharSubPartNoCASA">
    <w:name w:val="CharSubPartNo(CASA)"/>
    <w:basedOn w:val="OPCCharBase"/>
    <w:uiPriority w:val="1"/>
    <w:rsid w:val="00E95C79"/>
  </w:style>
  <w:style w:type="paragraph" w:customStyle="1" w:styleId="ENoteTTIndentHeadingSub">
    <w:name w:val="ENoteTTIndentHeadingSub"/>
    <w:aliases w:val="enTTHis"/>
    <w:basedOn w:val="OPCParaBase"/>
    <w:rsid w:val="00500CC6"/>
    <w:pPr>
      <w:keepNext/>
      <w:spacing w:before="60" w:line="240" w:lineRule="atLeast"/>
      <w:ind w:left="340"/>
    </w:pPr>
    <w:rPr>
      <w:b/>
      <w:sz w:val="16"/>
    </w:rPr>
  </w:style>
  <w:style w:type="paragraph" w:customStyle="1" w:styleId="ENoteTTiSub">
    <w:name w:val="ENoteTTiSub"/>
    <w:aliases w:val="enttis"/>
    <w:basedOn w:val="OPCParaBase"/>
    <w:rsid w:val="00CA7AB1"/>
    <w:pPr>
      <w:keepNext/>
      <w:spacing w:before="60" w:line="240" w:lineRule="atLeast"/>
      <w:ind w:left="340"/>
    </w:pPr>
    <w:rPr>
      <w:sz w:val="16"/>
    </w:rPr>
  </w:style>
  <w:style w:type="paragraph" w:customStyle="1" w:styleId="SubDivisionMigration">
    <w:name w:val="SubDivisionMigration"/>
    <w:aliases w:val="sdm"/>
    <w:basedOn w:val="OPCParaBase"/>
    <w:rsid w:val="004D72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CF8"/>
    <w:pPr>
      <w:keepNext/>
      <w:keepLines/>
      <w:spacing w:before="240" w:line="240" w:lineRule="auto"/>
      <w:ind w:left="1134" w:hanging="1134"/>
    </w:pPr>
    <w:rPr>
      <w:b/>
      <w:sz w:val="28"/>
    </w:rPr>
  </w:style>
  <w:style w:type="paragraph" w:customStyle="1" w:styleId="notetext">
    <w:name w:val="note(text)"/>
    <w:aliases w:val="n"/>
    <w:basedOn w:val="OPCParaBase"/>
    <w:rsid w:val="00421ED5"/>
    <w:pPr>
      <w:spacing w:before="122" w:line="240" w:lineRule="auto"/>
      <w:ind w:left="1985" w:hanging="851"/>
    </w:pPr>
    <w:rPr>
      <w:sz w:val="18"/>
    </w:rPr>
  </w:style>
  <w:style w:type="paragraph" w:customStyle="1" w:styleId="SecurityClassificationHeader">
    <w:name w:val="Security Classification Header"/>
    <w:link w:val="SecurityClassificationHeaderChar"/>
    <w:rsid w:val="00B16C43"/>
    <w:pPr>
      <w:spacing w:before="240" w:after="60"/>
      <w:jc w:val="center"/>
    </w:pPr>
    <w:rPr>
      <w:rFonts w:eastAsia="Times New Roman" w:cs="Times New Roman"/>
      <w:b/>
      <w:caps/>
      <w:sz w:val="24"/>
      <w:lang w:eastAsia="en-AU"/>
    </w:rPr>
  </w:style>
  <w:style w:type="character" w:customStyle="1" w:styleId="SecurityClassificationHeaderChar">
    <w:name w:val="Security Classification Header Char"/>
    <w:basedOn w:val="HeaderChar"/>
    <w:link w:val="SecurityClassificationHeader"/>
    <w:rsid w:val="00B16C43"/>
    <w:rPr>
      <w:rFonts w:eastAsia="Times New Roman" w:cs="Times New Roman"/>
      <w:b/>
      <w:caps/>
      <w:sz w:val="24"/>
      <w:lang w:eastAsia="en-AU"/>
    </w:rPr>
  </w:style>
  <w:style w:type="paragraph" w:customStyle="1" w:styleId="SecurityClassificationFooter">
    <w:name w:val="Security Classification Footer"/>
    <w:link w:val="SecurityClassificationFooterChar"/>
    <w:rsid w:val="00B16C43"/>
    <w:pPr>
      <w:spacing w:before="60" w:after="240"/>
      <w:jc w:val="center"/>
    </w:pPr>
    <w:rPr>
      <w:rFonts w:eastAsia="Times New Roman" w:cs="Times New Roman"/>
      <w:b/>
      <w:caps/>
      <w:sz w:val="24"/>
      <w:lang w:eastAsia="en-AU"/>
    </w:rPr>
  </w:style>
  <w:style w:type="character" w:customStyle="1" w:styleId="SecurityClassificationFooterChar">
    <w:name w:val="Security Classification Footer Char"/>
    <w:basedOn w:val="HeaderChar"/>
    <w:link w:val="SecurityClassificationFooter"/>
    <w:rsid w:val="00B16C43"/>
    <w:rPr>
      <w:rFonts w:eastAsia="Times New Roman" w:cs="Times New Roman"/>
      <w:b/>
      <w:caps/>
      <w:sz w:val="24"/>
      <w:lang w:eastAsia="en-AU"/>
    </w:rPr>
  </w:style>
  <w:style w:type="paragraph" w:customStyle="1" w:styleId="DLMSecurityHeader">
    <w:name w:val="DLM Security Header"/>
    <w:link w:val="DLMSecurityHeaderChar"/>
    <w:rsid w:val="00B16C43"/>
    <w:pPr>
      <w:spacing w:before="60" w:after="240"/>
      <w:jc w:val="center"/>
    </w:pPr>
    <w:rPr>
      <w:rFonts w:eastAsia="Times New Roman" w:cs="Times New Roman"/>
      <w:b/>
      <w:caps/>
      <w:sz w:val="24"/>
      <w:lang w:eastAsia="en-AU"/>
    </w:rPr>
  </w:style>
  <w:style w:type="character" w:customStyle="1" w:styleId="DLMSecurityHeaderChar">
    <w:name w:val="DLM Security Header Char"/>
    <w:basedOn w:val="HeaderChar"/>
    <w:link w:val="DLMSecurityHeader"/>
    <w:rsid w:val="00B16C43"/>
    <w:rPr>
      <w:rFonts w:eastAsia="Times New Roman" w:cs="Times New Roman"/>
      <w:b/>
      <w:caps/>
      <w:sz w:val="24"/>
      <w:lang w:eastAsia="en-AU"/>
    </w:rPr>
  </w:style>
  <w:style w:type="paragraph" w:customStyle="1" w:styleId="DLMSecurityFooter">
    <w:name w:val="DLM Security Footer"/>
    <w:link w:val="DLMSecurityFooterChar"/>
    <w:rsid w:val="00B16C43"/>
    <w:pPr>
      <w:spacing w:before="240" w:after="60"/>
      <w:jc w:val="center"/>
    </w:pPr>
    <w:rPr>
      <w:rFonts w:eastAsia="Times New Roman" w:cs="Times New Roman"/>
      <w:b/>
      <w:caps/>
      <w:sz w:val="24"/>
      <w:lang w:eastAsia="en-AU"/>
    </w:rPr>
  </w:style>
  <w:style w:type="character" w:customStyle="1" w:styleId="DLMSecurityFooterChar">
    <w:name w:val="DLM Security Footer Char"/>
    <w:basedOn w:val="HeaderChar"/>
    <w:link w:val="DLMSecurityFooter"/>
    <w:rsid w:val="00B16C43"/>
    <w:rPr>
      <w:rFonts w:eastAsia="Times New Roman" w:cs="Times New Roman"/>
      <w:b/>
      <w:caps/>
      <w:sz w:val="24"/>
      <w:lang w:eastAsia="en-AU"/>
    </w:rPr>
  </w:style>
  <w:style w:type="paragraph" w:customStyle="1" w:styleId="SingleParagraph">
    <w:name w:val="Single Paragraph"/>
    <w:basedOn w:val="Normal"/>
    <w:rsid w:val="00F80B4C"/>
    <w:pPr>
      <w:spacing w:line="260" w:lineRule="exact"/>
      <w:jc w:val="both"/>
    </w:pPr>
    <w:rPr>
      <w:rFonts w:eastAsia="Times New Roman" w:cs="Times New Roman"/>
      <w:color w:val="000000"/>
      <w:sz w:val="24"/>
      <w:szCs w:val="24"/>
      <w:lang w:eastAsia="en-AU"/>
    </w:rPr>
  </w:style>
  <w:style w:type="paragraph" w:customStyle="1" w:styleId="ChartMainHeading">
    <w:name w:val="Chart Main Heading"/>
    <w:basedOn w:val="SingleParagraph"/>
    <w:next w:val="Normal"/>
    <w:rsid w:val="00F80B4C"/>
    <w:pPr>
      <w:jc w:val="center"/>
    </w:pPr>
    <w:rPr>
      <w:b/>
      <w:caps/>
    </w:rPr>
  </w:style>
  <w:style w:type="paragraph" w:customStyle="1" w:styleId="ChartSecondHeading">
    <w:name w:val="Chart Second Heading"/>
    <w:basedOn w:val="SingleParagraph"/>
    <w:next w:val="Normal"/>
    <w:rsid w:val="00F80B4C"/>
    <w:pPr>
      <w:jc w:val="center"/>
    </w:pPr>
    <w:rPr>
      <w:b/>
    </w:rPr>
  </w:style>
  <w:style w:type="paragraph" w:customStyle="1" w:styleId="TableMainHeading">
    <w:name w:val="Table Main Heading"/>
    <w:basedOn w:val="ChartMainHeading"/>
    <w:rsid w:val="00F80B4C"/>
  </w:style>
  <w:style w:type="paragraph" w:styleId="Title">
    <w:name w:val="Title"/>
    <w:basedOn w:val="Normal"/>
    <w:next w:val="Normal"/>
    <w:link w:val="TitleChar"/>
    <w:qFormat/>
    <w:rsid w:val="00F80B4C"/>
    <w:pPr>
      <w:spacing w:before="240" w:line="240" w:lineRule="auto"/>
    </w:pPr>
    <w:rPr>
      <w:rFonts w:ascii="Arial" w:eastAsia="Times New Roman" w:hAnsi="Arial" w:cs="Times New Roman"/>
      <w:b/>
      <w:sz w:val="40"/>
      <w:lang w:eastAsia="en-AU"/>
    </w:rPr>
  </w:style>
  <w:style w:type="character" w:customStyle="1" w:styleId="TitleChar">
    <w:name w:val="Title Char"/>
    <w:basedOn w:val="DefaultParagraphFont"/>
    <w:link w:val="Title"/>
    <w:rsid w:val="00F80B4C"/>
    <w:rPr>
      <w:rFonts w:ascii="Arial" w:eastAsia="Times New Roman" w:hAnsi="Arial" w:cs="Times New Roman"/>
      <w:b/>
      <w:sz w:val="40"/>
      <w:lang w:eastAsia="en-AU"/>
    </w:rPr>
  </w:style>
  <w:style w:type="paragraph" w:customStyle="1" w:styleId="ContentsHead">
    <w:name w:val="ContentsHead"/>
    <w:basedOn w:val="Normal"/>
    <w:next w:val="Normal"/>
    <w:rsid w:val="00F80B4C"/>
    <w:pPr>
      <w:spacing w:before="240" w:after="240" w:line="260" w:lineRule="exact"/>
      <w:jc w:val="both"/>
    </w:pPr>
    <w:rPr>
      <w:rFonts w:ascii="Arial" w:eastAsia="Times New Roman" w:hAnsi="Arial" w:cs="Times New Roman"/>
      <w:b/>
      <w:color w:val="000000"/>
      <w:sz w:val="28"/>
      <w:szCs w:val="24"/>
      <w:lang w:eastAsia="en-AU"/>
    </w:rPr>
  </w:style>
  <w:style w:type="paragraph" w:customStyle="1" w:styleId="HeaderContentsPage">
    <w:name w:val="HeaderContents&quot;Page&quot;"/>
    <w:basedOn w:val="Normal"/>
    <w:rsid w:val="00F80B4C"/>
    <w:pPr>
      <w:spacing w:before="120" w:after="120" w:line="240" w:lineRule="auto"/>
      <w:jc w:val="right"/>
    </w:pPr>
    <w:rPr>
      <w:rFonts w:ascii="Arial" w:eastAsia="Times New Roman" w:hAnsi="Arial" w:cs="Times New Roman"/>
      <w:sz w:val="20"/>
      <w:lang w:eastAsia="en-AU"/>
    </w:rPr>
  </w:style>
  <w:style w:type="paragraph" w:customStyle="1" w:styleId="HR">
    <w:name w:val="HR"/>
    <w:aliases w:val="Regulation Heading"/>
    <w:basedOn w:val="Normal"/>
    <w:rsid w:val="00F80B4C"/>
    <w:pPr>
      <w:keepNext/>
      <w:tabs>
        <w:tab w:val="left" w:pos="964"/>
      </w:tabs>
      <w:spacing w:before="360" w:line="240" w:lineRule="auto"/>
      <w:ind w:left="964" w:hanging="964"/>
      <w:jc w:val="both"/>
    </w:pPr>
    <w:rPr>
      <w:rFonts w:ascii="Arial" w:eastAsia="Times New Roman" w:hAnsi="Arial" w:cs="Times New Roman"/>
      <w:b/>
      <w:color w:val="000000"/>
      <w:sz w:val="24"/>
      <w:szCs w:val="24"/>
      <w:lang w:eastAsia="en-AU"/>
    </w:rPr>
  </w:style>
  <w:style w:type="paragraph" w:customStyle="1" w:styleId="R1">
    <w:name w:val="R1"/>
    <w:aliases w:val="1. or 1.(1)"/>
    <w:basedOn w:val="Normal"/>
    <w:next w:val="Normal"/>
    <w:rsid w:val="00F80B4C"/>
    <w:pPr>
      <w:tabs>
        <w:tab w:val="right" w:pos="794"/>
        <w:tab w:val="left" w:pos="964"/>
      </w:tabs>
      <w:spacing w:before="120" w:after="240" w:line="260" w:lineRule="exact"/>
      <w:ind w:left="964" w:hanging="964"/>
      <w:jc w:val="both"/>
    </w:pPr>
    <w:rPr>
      <w:rFonts w:eastAsia="Times New Roman" w:cs="Times New Roman"/>
      <w:color w:val="000000"/>
      <w:sz w:val="24"/>
      <w:szCs w:val="24"/>
      <w:lang w:eastAsia="en-AU"/>
    </w:rPr>
  </w:style>
  <w:style w:type="paragraph" w:customStyle="1" w:styleId="ZR1">
    <w:name w:val="ZR1"/>
    <w:basedOn w:val="R1"/>
    <w:rsid w:val="00F80B4C"/>
    <w:pPr>
      <w:keepNext/>
    </w:pPr>
  </w:style>
  <w:style w:type="paragraph" w:customStyle="1" w:styleId="definition0">
    <w:name w:val="definition"/>
    <w:basedOn w:val="Normal"/>
    <w:rsid w:val="00F80B4C"/>
    <w:pPr>
      <w:spacing w:before="80" w:after="240" w:line="260" w:lineRule="exact"/>
      <w:ind w:left="964"/>
      <w:jc w:val="both"/>
    </w:pPr>
    <w:rPr>
      <w:rFonts w:eastAsia="Times New Roman" w:cs="Times New Roman"/>
      <w:color w:val="000000"/>
      <w:sz w:val="24"/>
      <w:szCs w:val="24"/>
      <w:lang w:eastAsia="en-AU"/>
    </w:rPr>
  </w:style>
  <w:style w:type="paragraph" w:customStyle="1" w:styleId="Note">
    <w:name w:val="Note"/>
    <w:basedOn w:val="Normal"/>
    <w:rsid w:val="00F80B4C"/>
    <w:pPr>
      <w:tabs>
        <w:tab w:val="left" w:pos="1559"/>
      </w:tabs>
      <w:spacing w:before="120" w:line="220" w:lineRule="exact"/>
      <w:ind w:left="964"/>
      <w:jc w:val="both"/>
    </w:pPr>
    <w:rPr>
      <w:rFonts w:eastAsia="Times New Roman" w:cs="Times New Roman"/>
      <w:sz w:val="20"/>
      <w:lang w:eastAsia="en-AU"/>
    </w:rPr>
  </w:style>
  <w:style w:type="character" w:styleId="PageNumber">
    <w:name w:val="page number"/>
    <w:basedOn w:val="DefaultParagraphFont"/>
    <w:rsid w:val="00F80B4C"/>
    <w:rPr>
      <w:rFonts w:ascii="Arial" w:hAnsi="Arial"/>
      <w:sz w:val="22"/>
    </w:rPr>
  </w:style>
  <w:style w:type="paragraph" w:customStyle="1" w:styleId="Scheduletitle">
    <w:name w:val="Schedule title"/>
    <w:basedOn w:val="Normal"/>
    <w:next w:val="Normal"/>
    <w:rsid w:val="00F80B4C"/>
    <w:pPr>
      <w:keepNext/>
      <w:keepLines/>
      <w:spacing w:before="480" w:line="240" w:lineRule="auto"/>
      <w:ind w:left="2410" w:hanging="2410"/>
    </w:pPr>
    <w:rPr>
      <w:rFonts w:ascii="Arial" w:eastAsia="Times New Roman" w:hAnsi="Arial" w:cs="Times New Roman"/>
      <w:b/>
      <w:sz w:val="32"/>
      <w:szCs w:val="24"/>
      <w:lang w:eastAsia="en-AU"/>
    </w:rPr>
  </w:style>
  <w:style w:type="paragraph" w:customStyle="1" w:styleId="Bulletlevel1">
    <w:name w:val="Bullet level 1"/>
    <w:basedOn w:val="bulletlevel2"/>
    <w:next w:val="bulletlevel2"/>
    <w:rsid w:val="00F80B4C"/>
  </w:style>
  <w:style w:type="paragraph" w:customStyle="1" w:styleId="bulletlevel2">
    <w:name w:val="bullet level 2"/>
    <w:basedOn w:val="bullet"/>
    <w:rsid w:val="00F80B4C"/>
    <w:pPr>
      <w:keepNext/>
      <w:keepLines/>
      <w:tabs>
        <w:tab w:val="num" w:pos="1440"/>
      </w:tabs>
      <w:ind w:left="1980" w:hanging="360"/>
    </w:pPr>
    <w:rPr>
      <w:szCs w:val="24"/>
    </w:rPr>
  </w:style>
  <w:style w:type="paragraph" w:customStyle="1" w:styleId="bullet">
    <w:name w:val="bullet"/>
    <w:basedOn w:val="Normal"/>
    <w:rsid w:val="00F80B4C"/>
    <w:pPr>
      <w:numPr>
        <w:numId w:val="13"/>
      </w:numPr>
      <w:spacing w:after="160" w:line="240" w:lineRule="auto"/>
    </w:pPr>
    <w:rPr>
      <w:rFonts w:ascii="Arial" w:eastAsia="Times New Roman" w:hAnsi="Arial" w:cs="Arial"/>
      <w:sz w:val="24"/>
      <w:lang w:eastAsia="en-AU"/>
    </w:rPr>
  </w:style>
  <w:style w:type="paragraph" w:customStyle="1" w:styleId="Dash">
    <w:name w:val="Dash"/>
    <w:basedOn w:val="Normal"/>
    <w:rsid w:val="00F80B4C"/>
    <w:pPr>
      <w:numPr>
        <w:ilvl w:val="1"/>
        <w:numId w:val="13"/>
      </w:numPr>
      <w:spacing w:after="240" w:line="260" w:lineRule="exact"/>
    </w:pPr>
    <w:rPr>
      <w:rFonts w:eastAsia="Times New Roman" w:cs="Times New Roman"/>
      <w:b/>
      <w:color w:val="000000"/>
      <w:sz w:val="24"/>
      <w:szCs w:val="24"/>
      <w:lang w:eastAsia="en-AU"/>
    </w:rPr>
  </w:style>
  <w:style w:type="paragraph" w:customStyle="1" w:styleId="DoubleDot">
    <w:name w:val="Double Dot"/>
    <w:basedOn w:val="Normal"/>
    <w:rsid w:val="00F80B4C"/>
    <w:pPr>
      <w:numPr>
        <w:ilvl w:val="2"/>
        <w:numId w:val="13"/>
      </w:numPr>
      <w:spacing w:after="240" w:line="260" w:lineRule="exact"/>
    </w:pPr>
    <w:rPr>
      <w:rFonts w:eastAsia="Times New Roman" w:cs="Times New Roman"/>
      <w:b/>
      <w:color w:val="000000"/>
      <w:sz w:val="24"/>
      <w:szCs w:val="24"/>
      <w:lang w:eastAsia="en-AU"/>
    </w:rPr>
  </w:style>
  <w:style w:type="paragraph" w:customStyle="1" w:styleId="outlinenumbered10">
    <w:name w:val="outlinenumbered1"/>
    <w:basedOn w:val="Normal"/>
    <w:rsid w:val="00F80B4C"/>
    <w:pPr>
      <w:spacing w:line="240" w:lineRule="auto"/>
    </w:pPr>
    <w:rPr>
      <w:rFonts w:ascii="Arial" w:eastAsia="Times New Roman" w:hAnsi="Arial" w:cs="Arial"/>
      <w:color w:val="000080"/>
      <w:sz w:val="20"/>
      <w:lang w:eastAsia="en-AU"/>
    </w:rPr>
  </w:style>
  <w:style w:type="paragraph" w:customStyle="1" w:styleId="dash0">
    <w:name w:val="dash"/>
    <w:basedOn w:val="Normal"/>
    <w:rsid w:val="00F80B4C"/>
    <w:pPr>
      <w:numPr>
        <w:ilvl w:val="1"/>
        <w:numId w:val="14"/>
      </w:numPr>
      <w:spacing w:line="240" w:lineRule="auto"/>
    </w:pPr>
    <w:rPr>
      <w:rFonts w:ascii="Arial" w:eastAsia="Times New Roman" w:hAnsi="Arial" w:cs="Arial"/>
      <w:color w:val="000080"/>
      <w:sz w:val="20"/>
      <w:lang w:eastAsia="en-AU"/>
    </w:rPr>
  </w:style>
  <w:style w:type="paragraph" w:styleId="FootnoteText">
    <w:name w:val="footnote text"/>
    <w:basedOn w:val="Normal"/>
    <w:link w:val="FootnoteTextChar"/>
    <w:semiHidden/>
    <w:rsid w:val="00F80B4C"/>
    <w:pPr>
      <w:spacing w:after="240" w:line="260" w:lineRule="exact"/>
      <w:jc w:val="both"/>
    </w:pPr>
    <w:rPr>
      <w:rFonts w:eastAsia="Times New Roman" w:cs="Times New Roman"/>
      <w:color w:val="000000"/>
      <w:sz w:val="20"/>
      <w:lang w:eastAsia="en-AU"/>
    </w:rPr>
  </w:style>
  <w:style w:type="character" w:customStyle="1" w:styleId="FootnoteTextChar">
    <w:name w:val="Footnote Text Char"/>
    <w:basedOn w:val="DefaultParagraphFont"/>
    <w:link w:val="FootnoteText"/>
    <w:semiHidden/>
    <w:rsid w:val="00F80B4C"/>
    <w:rPr>
      <w:rFonts w:eastAsia="Times New Roman" w:cs="Times New Roman"/>
      <w:color w:val="000000"/>
      <w:lang w:eastAsia="en-AU"/>
    </w:rPr>
  </w:style>
  <w:style w:type="character" w:styleId="FootnoteReference">
    <w:name w:val="footnote reference"/>
    <w:basedOn w:val="DefaultParagraphFont"/>
    <w:semiHidden/>
    <w:rsid w:val="00F80B4C"/>
    <w:rPr>
      <w:vertAlign w:val="superscript"/>
    </w:rPr>
  </w:style>
  <w:style w:type="paragraph" w:styleId="ListNumber">
    <w:name w:val="List Number"/>
    <w:basedOn w:val="Normal"/>
    <w:rsid w:val="00F80B4C"/>
    <w:pPr>
      <w:numPr>
        <w:numId w:val="15"/>
      </w:numPr>
      <w:tabs>
        <w:tab w:val="left" w:pos="567"/>
      </w:tabs>
      <w:spacing w:after="240" w:line="240" w:lineRule="auto"/>
      <w:ind w:left="0" w:firstLine="0"/>
      <w:jc w:val="both"/>
    </w:pPr>
    <w:rPr>
      <w:rFonts w:eastAsia="Times New Roman" w:cs="Times New Roman"/>
      <w:sz w:val="24"/>
      <w:szCs w:val="24"/>
      <w:lang w:eastAsia="en-AU"/>
    </w:rPr>
  </w:style>
  <w:style w:type="paragraph" w:styleId="ListBullet2">
    <w:name w:val="List Bullet 2"/>
    <w:basedOn w:val="Normal"/>
    <w:autoRedefine/>
    <w:rsid w:val="00F80B4C"/>
    <w:pPr>
      <w:spacing w:after="120" w:line="240" w:lineRule="auto"/>
      <w:jc w:val="both"/>
    </w:pPr>
    <w:rPr>
      <w:rFonts w:eastAsia="Times New Roman" w:cs="Times New Roman"/>
      <w:color w:val="0000FF"/>
      <w:sz w:val="20"/>
      <w:lang w:eastAsia="en-AU"/>
    </w:rPr>
  </w:style>
  <w:style w:type="character" w:styleId="Hyperlink">
    <w:name w:val="Hyperlink"/>
    <w:basedOn w:val="DefaultParagraphFont"/>
    <w:rsid w:val="00F80B4C"/>
    <w:rPr>
      <w:color w:val="0000FF"/>
      <w:u w:val="single"/>
    </w:rPr>
  </w:style>
  <w:style w:type="character" w:customStyle="1" w:styleId="CommentTextChar">
    <w:name w:val="Comment Text Char"/>
    <w:basedOn w:val="DefaultParagraphFont"/>
    <w:link w:val="CommentText"/>
    <w:semiHidden/>
    <w:rsid w:val="00F80B4C"/>
    <w:rPr>
      <w:rFonts w:eastAsia="Times New Roman" w:cs="Times New Roman"/>
      <w:color w:val="000000"/>
      <w:lang w:eastAsia="en-AU"/>
    </w:rPr>
  </w:style>
  <w:style w:type="paragraph" w:styleId="CommentText">
    <w:name w:val="annotation text"/>
    <w:basedOn w:val="Normal"/>
    <w:link w:val="CommentTextChar"/>
    <w:semiHidden/>
    <w:rsid w:val="00F80B4C"/>
    <w:pPr>
      <w:spacing w:after="240" w:line="260" w:lineRule="exact"/>
      <w:jc w:val="both"/>
    </w:pPr>
    <w:rPr>
      <w:rFonts w:eastAsia="Times New Roman" w:cs="Times New Roman"/>
      <w:color w:val="000000"/>
      <w:sz w:val="20"/>
      <w:lang w:eastAsia="en-AU"/>
    </w:rPr>
  </w:style>
  <w:style w:type="character" w:customStyle="1" w:styleId="CommentSubjectChar">
    <w:name w:val="Comment Subject Char"/>
    <w:basedOn w:val="CommentTextChar"/>
    <w:link w:val="CommentSubject"/>
    <w:semiHidden/>
    <w:rsid w:val="00F80B4C"/>
    <w:rPr>
      <w:rFonts w:eastAsia="Times New Roman" w:cs="Times New Roman"/>
      <w:b/>
      <w:bCs/>
      <w:color w:val="000000"/>
      <w:lang w:eastAsia="en-AU"/>
    </w:rPr>
  </w:style>
  <w:style w:type="paragraph" w:styleId="CommentSubject">
    <w:name w:val="annotation subject"/>
    <w:basedOn w:val="CommentText"/>
    <w:next w:val="CommentText"/>
    <w:link w:val="CommentSubjectChar"/>
    <w:semiHidden/>
    <w:rsid w:val="00F80B4C"/>
    <w:rPr>
      <w:b/>
      <w:bCs/>
    </w:rPr>
  </w:style>
  <w:style w:type="character" w:styleId="FollowedHyperlink">
    <w:name w:val="FollowedHyperlink"/>
    <w:basedOn w:val="DefaultParagraphFont"/>
    <w:rsid w:val="00F80B4C"/>
    <w:rPr>
      <w:color w:val="800080"/>
      <w:u w:val="single"/>
    </w:rPr>
  </w:style>
  <w:style w:type="paragraph" w:customStyle="1" w:styleId="ChapterHeading">
    <w:name w:val="Chapter Heading"/>
    <w:next w:val="Heading2"/>
    <w:rsid w:val="00F80B4C"/>
    <w:pPr>
      <w:pBdr>
        <w:top w:val="single" w:sz="4" w:space="1" w:color="auto"/>
        <w:bottom w:val="single" w:sz="4" w:space="1" w:color="auto"/>
      </w:pBdr>
      <w:spacing w:before="240" w:line="260" w:lineRule="atLeast"/>
    </w:pPr>
    <w:rPr>
      <w:rFonts w:ascii="Helvetica" w:eastAsia="Times New Roman" w:hAnsi="Helvetica" w:cs="Times New Roman"/>
      <w:b/>
      <w:i/>
      <w:sz w:val="38"/>
      <w:lang w:eastAsia="en-AU"/>
    </w:rPr>
  </w:style>
  <w:style w:type="paragraph" w:customStyle="1" w:styleId="TableHeadingoutsidetable">
    <w:name w:val="Table Heading (outside table)"/>
    <w:basedOn w:val="Heading4"/>
    <w:rsid w:val="00F80B4C"/>
    <w:pPr>
      <w:numPr>
        <w:ilvl w:val="4"/>
        <w:numId w:val="16"/>
      </w:numPr>
      <w:spacing w:before="120" w:after="120" w:line="240" w:lineRule="auto"/>
      <w:jc w:val="left"/>
    </w:pPr>
    <w:rPr>
      <w:i w:val="0"/>
      <w:color w:val="auto"/>
      <w:sz w:val="22"/>
      <w:szCs w:val="20"/>
    </w:rPr>
  </w:style>
  <w:style w:type="paragraph" w:customStyle="1" w:styleId="base-text-paragraph">
    <w:name w:val="base-text-paragraph"/>
    <w:basedOn w:val="Normal"/>
    <w:link w:val="base-text-paragraphChar"/>
    <w:rsid w:val="00F80B4C"/>
    <w:pPr>
      <w:tabs>
        <w:tab w:val="num" w:pos="1984"/>
      </w:tabs>
      <w:spacing w:before="120" w:after="120" w:line="240" w:lineRule="auto"/>
      <w:ind w:left="1134"/>
    </w:pPr>
    <w:rPr>
      <w:rFonts w:eastAsia="Times New Roman" w:cs="Times New Roman"/>
      <w:lang w:eastAsia="en-AU"/>
    </w:rPr>
  </w:style>
  <w:style w:type="character" w:customStyle="1" w:styleId="base-text-paragraphChar">
    <w:name w:val="base-text-paragraph Char"/>
    <w:basedOn w:val="DefaultParagraphFont"/>
    <w:link w:val="base-text-paragraph"/>
    <w:rsid w:val="00F80B4C"/>
    <w:rPr>
      <w:rFonts w:eastAsia="Times New Roman" w:cs="Times New Roman"/>
      <w:sz w:val="22"/>
      <w:lang w:eastAsia="en-AU"/>
    </w:rPr>
  </w:style>
  <w:style w:type="paragraph" w:customStyle="1" w:styleId="ExampleHeading">
    <w:name w:val="Example Heading"/>
    <w:basedOn w:val="Normal"/>
    <w:next w:val="Normal"/>
    <w:rsid w:val="00F80B4C"/>
    <w:pPr>
      <w:keepNext/>
      <w:spacing w:before="120" w:after="120" w:line="240" w:lineRule="auto"/>
      <w:ind w:left="1134"/>
    </w:pPr>
    <w:rPr>
      <w:rFonts w:eastAsia="Times New Roman" w:cs="Times New Roman"/>
      <w:b/>
      <w:lang w:eastAsia="en-AU"/>
    </w:rPr>
  </w:style>
  <w:style w:type="paragraph" w:customStyle="1" w:styleId="Diagram">
    <w:name w:val="Diagram"/>
    <w:basedOn w:val="Normal"/>
    <w:next w:val="Normal"/>
    <w:rsid w:val="00F80B4C"/>
    <w:pPr>
      <w:keepNext/>
      <w:numPr>
        <w:ilvl w:val="3"/>
        <w:numId w:val="16"/>
      </w:numPr>
      <w:spacing w:line="240" w:lineRule="auto"/>
    </w:pPr>
    <w:rPr>
      <w:rFonts w:eastAsia="Times New Roman" w:cs="Times New Roman"/>
      <w:b/>
      <w:lang w:eastAsia="en-AU"/>
    </w:rPr>
  </w:style>
  <w:style w:type="paragraph" w:customStyle="1" w:styleId="dotpoint">
    <w:name w:val="dot point"/>
    <w:basedOn w:val="Normal"/>
    <w:rsid w:val="00F80B4C"/>
    <w:pPr>
      <w:tabs>
        <w:tab w:val="num" w:pos="284"/>
      </w:tabs>
      <w:spacing w:before="120" w:after="120" w:line="240" w:lineRule="auto"/>
      <w:ind w:left="284" w:hanging="284"/>
    </w:pPr>
    <w:rPr>
      <w:rFonts w:eastAsia="Times New Roman" w:cs="Times New Roman"/>
      <w:lang w:eastAsia="en-AU"/>
    </w:rPr>
  </w:style>
  <w:style w:type="paragraph" w:customStyle="1" w:styleId="dotpoint2">
    <w:name w:val="dot point 2"/>
    <w:basedOn w:val="Normal"/>
    <w:rsid w:val="00F80B4C"/>
    <w:pPr>
      <w:numPr>
        <w:ilvl w:val="1"/>
        <w:numId w:val="17"/>
      </w:numPr>
      <w:spacing w:before="120" w:after="120" w:line="240" w:lineRule="auto"/>
    </w:pPr>
    <w:rPr>
      <w:rFonts w:eastAsia="Times New Roman" w:cs="Times New Roman"/>
      <w:lang w:eastAsia="en-AU"/>
    </w:rPr>
  </w:style>
  <w:style w:type="character" w:customStyle="1" w:styleId="DateChar">
    <w:name w:val="Date Char"/>
    <w:basedOn w:val="DefaultParagraphFont"/>
    <w:link w:val="Date"/>
    <w:semiHidden/>
    <w:rsid w:val="00F80B4C"/>
    <w:rPr>
      <w:rFonts w:eastAsia="Times New Roman" w:cs="Times New Roman"/>
      <w:sz w:val="22"/>
      <w:lang w:eastAsia="en-AU"/>
    </w:rPr>
  </w:style>
  <w:style w:type="paragraph" w:styleId="Date">
    <w:name w:val="Date"/>
    <w:basedOn w:val="Normal"/>
    <w:next w:val="Normal"/>
    <w:link w:val="DateChar"/>
    <w:semiHidden/>
    <w:rsid w:val="00F80B4C"/>
    <w:pPr>
      <w:spacing w:before="120" w:after="120" w:line="240" w:lineRule="auto"/>
    </w:pPr>
    <w:rPr>
      <w:rFonts w:eastAsia="Times New Roman" w:cs="Times New Roman"/>
      <w:lang w:eastAsia="en-AU"/>
    </w:rPr>
  </w:style>
  <w:style w:type="paragraph" w:customStyle="1" w:styleId="OutlineNumbered1">
    <w:name w:val="Outline Numbered 1"/>
    <w:basedOn w:val="Normal"/>
    <w:rsid w:val="00F80B4C"/>
    <w:pPr>
      <w:numPr>
        <w:numId w:val="18"/>
      </w:numPr>
      <w:spacing w:after="240" w:line="260" w:lineRule="exact"/>
      <w:jc w:val="both"/>
    </w:pPr>
    <w:rPr>
      <w:rFonts w:ascii="Arial" w:eastAsia="Times New Roman" w:hAnsi="Arial" w:cs="Arial"/>
      <w:color w:val="000000"/>
      <w:sz w:val="24"/>
      <w:szCs w:val="24"/>
      <w:lang w:eastAsia="en-AU"/>
    </w:rPr>
  </w:style>
  <w:style w:type="paragraph" w:customStyle="1" w:styleId="OutlineNumbered2">
    <w:name w:val="Outline Numbered 2"/>
    <w:basedOn w:val="Normal"/>
    <w:rsid w:val="00F80B4C"/>
    <w:pPr>
      <w:numPr>
        <w:ilvl w:val="1"/>
        <w:numId w:val="18"/>
      </w:numPr>
      <w:spacing w:after="240" w:line="260" w:lineRule="exact"/>
      <w:jc w:val="both"/>
    </w:pPr>
    <w:rPr>
      <w:rFonts w:ascii="Arial" w:eastAsia="Times New Roman" w:hAnsi="Arial" w:cs="Arial"/>
      <w:color w:val="000000"/>
      <w:sz w:val="24"/>
      <w:szCs w:val="24"/>
      <w:lang w:eastAsia="en-AU"/>
    </w:rPr>
  </w:style>
  <w:style w:type="paragraph" w:customStyle="1" w:styleId="OutlineNumbered3">
    <w:name w:val="Outline Numbered 3"/>
    <w:basedOn w:val="Normal"/>
    <w:rsid w:val="00F80B4C"/>
    <w:pPr>
      <w:numPr>
        <w:ilvl w:val="2"/>
        <w:numId w:val="18"/>
      </w:numPr>
      <w:tabs>
        <w:tab w:val="clear" w:pos="1701"/>
      </w:tabs>
      <w:spacing w:after="240" w:line="260" w:lineRule="exact"/>
      <w:ind w:left="2160" w:hanging="900"/>
      <w:jc w:val="both"/>
    </w:pPr>
    <w:rPr>
      <w:rFonts w:ascii="Arial" w:eastAsia="Times New Roman" w:hAnsi="Arial" w:cs="Arial"/>
      <w:color w:val="000000"/>
      <w:sz w:val="24"/>
      <w:szCs w:val="24"/>
      <w:lang w:eastAsia="en-AU"/>
    </w:rPr>
  </w:style>
  <w:style w:type="character" w:styleId="Strong">
    <w:name w:val="Strong"/>
    <w:basedOn w:val="DefaultParagraphFont"/>
    <w:qFormat/>
    <w:rsid w:val="00F80B4C"/>
    <w:rPr>
      <w:b/>
      <w:bCs/>
    </w:rPr>
  </w:style>
  <w:style w:type="paragraph" w:customStyle="1" w:styleId="Notelevel1">
    <w:name w:val="Note level 1"/>
    <w:basedOn w:val="OutlineNumbered2"/>
    <w:rsid w:val="00F80B4C"/>
    <w:pPr>
      <w:numPr>
        <w:ilvl w:val="0"/>
        <w:numId w:val="0"/>
      </w:numPr>
      <w:ind w:left="540"/>
    </w:pPr>
    <w:rPr>
      <w:i/>
      <w:sz w:val="18"/>
      <w:szCs w:val="18"/>
    </w:rPr>
  </w:style>
  <w:style w:type="paragraph" w:customStyle="1" w:styleId="Notelevel2">
    <w:name w:val="Note level 2"/>
    <w:basedOn w:val="bullet"/>
    <w:rsid w:val="00F80B4C"/>
    <w:pPr>
      <w:spacing w:after="320"/>
      <w:ind w:left="1260" w:firstLine="0"/>
    </w:pPr>
    <w:rPr>
      <w:i/>
      <w:sz w:val="18"/>
      <w:szCs w:val="18"/>
    </w:rPr>
  </w:style>
  <w:style w:type="paragraph" w:customStyle="1" w:styleId="Notelevel3">
    <w:name w:val="Note level 3"/>
    <w:basedOn w:val="Notelevel2"/>
    <w:rsid w:val="00F80B4C"/>
    <w:pPr>
      <w:ind w:left="2160"/>
    </w:pPr>
  </w:style>
  <w:style w:type="paragraph" w:styleId="EndnoteText">
    <w:name w:val="endnote text"/>
    <w:basedOn w:val="Normal"/>
    <w:link w:val="EndnoteTextChar"/>
    <w:rsid w:val="00F80B4C"/>
    <w:pPr>
      <w:spacing w:after="240" w:line="260" w:lineRule="exact"/>
      <w:jc w:val="both"/>
    </w:pPr>
    <w:rPr>
      <w:rFonts w:eastAsia="Times New Roman" w:cs="Times New Roman"/>
      <w:color w:val="000000"/>
      <w:sz w:val="20"/>
      <w:lang w:eastAsia="en-AU"/>
    </w:rPr>
  </w:style>
  <w:style w:type="character" w:customStyle="1" w:styleId="EndnoteTextChar">
    <w:name w:val="Endnote Text Char"/>
    <w:basedOn w:val="DefaultParagraphFont"/>
    <w:link w:val="EndnoteText"/>
    <w:rsid w:val="00F80B4C"/>
    <w:rPr>
      <w:rFonts w:eastAsia="Times New Roman" w:cs="Times New Roman"/>
      <w:color w:val="000000"/>
      <w:lang w:eastAsia="en-AU"/>
    </w:rPr>
  </w:style>
  <w:style w:type="character" w:styleId="EndnoteReference">
    <w:name w:val="endnote reference"/>
    <w:basedOn w:val="DefaultParagraphFont"/>
    <w:rsid w:val="00F80B4C"/>
    <w:rPr>
      <w:vertAlign w:val="superscript"/>
    </w:rPr>
  </w:style>
  <w:style w:type="paragraph" w:customStyle="1" w:styleId="outlinenumbered100">
    <w:name w:val="outlinenumbered10"/>
    <w:basedOn w:val="Normal"/>
    <w:rsid w:val="00F80B4C"/>
    <w:pPr>
      <w:spacing w:before="100" w:beforeAutospacing="1" w:after="100" w:afterAutospacing="1" w:line="240" w:lineRule="auto"/>
    </w:pPr>
    <w:rPr>
      <w:rFonts w:eastAsia="Times New Roman" w:cs="Times New Roman"/>
      <w:sz w:val="24"/>
      <w:szCs w:val="24"/>
      <w:lang w:eastAsia="en-AU"/>
    </w:rPr>
  </w:style>
  <w:style w:type="paragraph" w:customStyle="1" w:styleId="outlinenumbered20">
    <w:name w:val="outlinenumbered2"/>
    <w:basedOn w:val="Normal"/>
    <w:rsid w:val="00F80B4C"/>
    <w:pPr>
      <w:spacing w:before="100" w:beforeAutospacing="1" w:after="100" w:afterAutospacing="1" w:line="240" w:lineRule="auto"/>
    </w:pPr>
    <w:rPr>
      <w:rFonts w:eastAsia="Times New Roman" w:cs="Times New Roman"/>
      <w:sz w:val="24"/>
      <w:szCs w:val="24"/>
      <w:lang w:eastAsia="en-AU"/>
    </w:rPr>
  </w:style>
  <w:style w:type="paragraph" w:customStyle="1" w:styleId="notelevel20">
    <w:name w:val="notelevel2"/>
    <w:basedOn w:val="Normal"/>
    <w:rsid w:val="00F80B4C"/>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semiHidden/>
    <w:unhideWhenUsed/>
    <w:rsid w:val="00930D5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7.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8.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9f7bc583-7cbe-45b9-a2bd-8bbb6543b37e">2016RG-111-5996</_dlc_DocId>
    <_dlc_DocIdUrl xmlns="9f7bc583-7cbe-45b9-a2bd-8bbb6543b37e">
      <Url>http://tweb/sites/rg/ldp/lmu/_layouts/15/DocIdRedir.aspx?ID=2016RG-111-5996</Url>
      <Description>2016RG-111-5996</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11</Value>
    </TaxCatchAll>
    <_dlc_Exempt xmlns="http://schemas.microsoft.com/sharepoint/v3" xsi:nil="true"/>
    <_dlc_DocIdPersistId xmlns="9f7bc583-7cbe-45b9-a2bd-8bbb6543b37e"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1" ma:contentTypeDescription=" " ma:contentTypeScope="" ma:versionID="2f82e768917558b38d6a066df92e37a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9696f4c68aa35501a27f4d80b4bc0411"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2C660-3D22-465B-BBF4-7160F0730ED4}"/>
</file>

<file path=customXml/itemProps2.xml><?xml version="1.0" encoding="utf-8"?>
<ds:datastoreItem xmlns:ds="http://schemas.openxmlformats.org/officeDocument/2006/customXml" ds:itemID="{C2AFC062-82F7-4E89-A5CF-735458A294DB}"/>
</file>

<file path=customXml/itemProps3.xml><?xml version="1.0" encoding="utf-8"?>
<ds:datastoreItem xmlns:ds="http://schemas.openxmlformats.org/officeDocument/2006/customXml" ds:itemID="{0FD43F55-78B2-4F05-8164-94F3891A5A66}"/>
</file>

<file path=customXml/itemProps4.xml><?xml version="1.0" encoding="utf-8"?>
<ds:datastoreItem xmlns:ds="http://schemas.openxmlformats.org/officeDocument/2006/customXml" ds:itemID="{6422D5DE-BEA3-4642-A797-8216EFED06A8}"/>
</file>

<file path=customXml/itemProps5.xml><?xml version="1.0" encoding="utf-8"?>
<ds:datastoreItem xmlns:ds="http://schemas.openxmlformats.org/officeDocument/2006/customXml" ds:itemID="{3866F85D-6B75-447D-B344-EE717809AE24}"/>
</file>

<file path=customXml/itemProps6.xml><?xml version="1.0" encoding="utf-8"?>
<ds:datastoreItem xmlns:ds="http://schemas.openxmlformats.org/officeDocument/2006/customXml" ds:itemID="{EE053D05-1272-4B56-B8B7-B28FC948A2DE}"/>
</file>

<file path=docProps/app.xml><?xml version="1.0" encoding="utf-8"?>
<Properties xmlns="http://schemas.openxmlformats.org/officeDocument/2006/extended-properties" xmlns:vt="http://schemas.openxmlformats.org/officeDocument/2006/docPropsVTypes">
  <Template>Normal.dotm</Template>
  <TotalTime>5</TotalTime>
  <Pages>28</Pages>
  <Words>5963</Words>
  <Characters>33990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Coles, Deslyn</dc:creator>
  <cp:lastModifiedBy>Cowie, Vhairi</cp:lastModifiedBy>
  <cp:revision>5</cp:revision>
  <cp:lastPrinted>2013-08-25T23:46:00Z</cp:lastPrinted>
  <dcterms:created xsi:type="dcterms:W3CDTF">2016-05-05T01:50:00Z</dcterms:created>
  <dcterms:modified xsi:type="dcterms:W3CDTF">2016-05-05T01:58:00Z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2012</vt:lpwstr>
  </property>
  <property fmtid="{D5CDD505-2E9C-101B-9397-08002B2CF9AE}" pid="3" name="ShortT">
    <vt:lpwstr>[title] 2012</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2012</vt:lpwstr>
  </property>
  <property fmtid="{D5CDD505-2E9C-101B-9397-08002B2CF9AE}" pid="10" name="Authority">
    <vt:lpwstr>Unk</vt:lpwstr>
  </property>
  <property fmtid="{D5CDD505-2E9C-101B-9397-08002B2CF9AE}" pid="11" name="ID">
    <vt:lpwstr> </vt:lpwstr>
  </property>
  <property fmtid="{D5CDD505-2E9C-101B-9397-08002B2CF9AE}" pid="12" name="Compilation">
    <vt:lpwstr>Yes</vt:lpwstr>
  </property>
  <property fmtid="{D5CDD505-2E9C-101B-9397-08002B2CF9AE}" pid="13" name="IsVolume">
    <vt:lpwstr>No</vt:lpwstr>
  </property>
  <property fmtid="{D5CDD505-2E9C-101B-9397-08002B2CF9AE}" pid="14" name="ContentTypeId">
    <vt:lpwstr>0x01010036BB8DE7EC542E42A8B2E98CC20CB69700D5C18F41BA18FB44827A222ACD6776F5</vt:lpwstr>
  </property>
  <property fmtid="{D5CDD505-2E9C-101B-9397-08002B2CF9AE}" pid="15" name="_dlc_DocIdItemGuid">
    <vt:lpwstr>470b39b2-1358-48c7-a3cc-87cfd42afb7d</vt:lpwstr>
  </property>
  <property fmtid="{D5CDD505-2E9C-101B-9397-08002B2CF9AE}" pid="16" name="_AdHocReviewCycleID">
    <vt:i4>-94170773</vt:i4>
  </property>
  <property fmtid="{D5CDD505-2E9C-101B-9397-08002B2CF9AE}" pid="17" name="_NewReviewCycle">
    <vt:lpwstr/>
  </property>
  <property fmtid="{D5CDD505-2E9C-101B-9397-08002B2CF9AE}" pid="18" name="_EmailSubject">
    <vt:lpwstr>Compilation(s) required because of amendment - Private Ancillary Fund and Public Ancillary Fund Amendment Guidelines 2016 [SEC=UNCLASSIFIED]</vt:lpwstr>
  </property>
  <property fmtid="{D5CDD505-2E9C-101B-9397-08002B2CF9AE}" pid="19" name="_AuthorEmail">
    <vt:lpwstr>Michelle.Rak@treasury.gov.au</vt:lpwstr>
  </property>
  <property fmtid="{D5CDD505-2E9C-101B-9397-08002B2CF9AE}" pid="20" name="_AuthorEmailDisplayName">
    <vt:lpwstr>Rak, Michelle</vt:lpwstr>
  </property>
  <property fmtid="{D5CDD505-2E9C-101B-9397-08002B2CF9AE}" pid="21" name="SecurityClassification">
    <vt:lpwstr>Sensitive:  Legal</vt:lpwstr>
  </property>
  <property fmtid="{D5CDD505-2E9C-101B-9397-08002B2CF9AE}" pid="22" name="DLMSecurityClassification">
    <vt:lpwstr/>
  </property>
  <property fmtid="{D5CDD505-2E9C-101B-9397-08002B2CF9AE}" pid="23" name="Order">
    <vt:r8>369000</vt:r8>
  </property>
  <property fmtid="{D5CDD505-2E9C-101B-9397-08002B2CF9AE}" pid="24" name="AlternateThumbnailUrl">
    <vt:lpwstr/>
  </property>
  <property fmtid="{D5CDD505-2E9C-101B-9397-08002B2CF9AE}" pid="25" name="xd_ProgID">
    <vt:lpwstr/>
  </property>
  <property fmtid="{D5CDD505-2E9C-101B-9397-08002B2CF9AE}" pid="26" name="TemplateUrl">
    <vt:lpwstr/>
  </property>
  <property fmtid="{D5CDD505-2E9C-101B-9397-08002B2CF9AE}" pid="27" name="Comments">
    <vt:lpwstr/>
  </property>
  <property fmtid="{D5CDD505-2E9C-101B-9397-08002B2CF9AE}" pid="28" name="TSYRecordClass">
    <vt:lpwstr>11;#TSY RA-9237 - Destroy 5 years after action completed|9f1a030e-81bf-44c5-98eb-4d5d869a40d5</vt:lpwstr>
  </property>
  <property fmtid="{D5CDD505-2E9C-101B-9397-08002B2CF9AE}" pid="29" name="RecordPoint_WorkflowType">
    <vt:lpwstr>ActiveSubmitStub</vt:lpwstr>
  </property>
  <property fmtid="{D5CDD505-2E9C-101B-9397-08002B2CF9AE}" pid="30" name="RecordPoint_ActiveItemWebId">
    <vt:lpwstr>{2602612e-a30f-4de0-b9eb-e01e73dc8005}</vt:lpwstr>
  </property>
  <property fmtid="{D5CDD505-2E9C-101B-9397-08002B2CF9AE}" pid="31" name="RecordPoint_ActiveItemSiteId">
    <vt:lpwstr>{5b52b9a5-e5b2-4521-8814-a1e24ca2869d}</vt:lpwstr>
  </property>
  <property fmtid="{D5CDD505-2E9C-101B-9397-08002B2CF9AE}" pid="32" name="RecordPoint_ActiveItemListId">
    <vt:lpwstr>{1a010be9-83b3-4740-abb7-452f2d1120fe}</vt:lpwstr>
  </property>
  <property fmtid="{D5CDD505-2E9C-101B-9397-08002B2CF9AE}" pid="33" name="RecordPoint_ActiveItemUniqueId">
    <vt:lpwstr>{470b39b2-1358-48c7-a3cc-87cfd42afb7d}</vt:lpwstr>
  </property>
  <property fmtid="{D5CDD505-2E9C-101B-9397-08002B2CF9AE}" pid="34" name="RecordPoint_RecordNumberSubmitted">
    <vt:lpwstr/>
  </property>
  <property fmtid="{D5CDD505-2E9C-101B-9397-08002B2CF9AE}" pid="35" name="RecordPoint_SubmissionCompleted">
    <vt:lpwstr/>
  </property>
  <property fmtid="{D5CDD505-2E9C-101B-9397-08002B2CF9AE}" pid="36" name="_PreviousAdHocReviewCycleID">
    <vt:i4>922575919</vt:i4>
  </property>
  <property fmtid="{D5CDD505-2E9C-101B-9397-08002B2CF9AE}" pid="37" name="RecordPoint_SubmissionDate">
    <vt:lpwstr/>
  </property>
  <property fmtid="{D5CDD505-2E9C-101B-9397-08002B2CF9AE}" pid="38" name="RecordPoint_ActiveItemMoved">
    <vt:lpwstr/>
  </property>
  <property fmtid="{D5CDD505-2E9C-101B-9397-08002B2CF9AE}" pid="39" name="RecordPoint_RecordFormat">
    <vt:lpwstr/>
  </property>
</Properties>
</file>