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371" w:rsidRPr="00F25DD4" w:rsidRDefault="00712371" w:rsidP="00712371">
      <w:pPr>
        <w:spacing w:after="120"/>
        <w:rPr>
          <w:rFonts w:ascii="Calibri" w:hAnsi="Calibri" w:cs="Calibri"/>
          <w:sz w:val="22"/>
          <w:szCs w:val="22"/>
        </w:rPr>
      </w:pPr>
      <w:r w:rsidRPr="00F25DD4">
        <w:rPr>
          <w:rFonts w:ascii="Calibri" w:hAnsi="Calibri" w:cs="Calibri"/>
          <w:sz w:val="22"/>
          <w:szCs w:val="22"/>
        </w:rPr>
        <w:t>Explanatory Statement</w:t>
      </w:r>
    </w:p>
    <w:p w:rsidR="00712371" w:rsidRPr="00F25DD4" w:rsidRDefault="00712371" w:rsidP="00712371">
      <w:pPr>
        <w:spacing w:after="120"/>
        <w:jc w:val="center"/>
        <w:rPr>
          <w:rFonts w:ascii="Calibri" w:hAnsi="Calibri" w:cs="Calibri"/>
          <w:sz w:val="22"/>
          <w:szCs w:val="22"/>
        </w:rPr>
      </w:pPr>
      <w:r w:rsidRPr="00F25DD4">
        <w:rPr>
          <w:rFonts w:ascii="Calibri" w:hAnsi="Calibri" w:cs="Calibri"/>
          <w:b/>
          <w:bCs/>
          <w:i/>
          <w:iCs/>
          <w:sz w:val="22"/>
          <w:szCs w:val="22"/>
        </w:rPr>
        <w:t>Commonwealth Cleaning Services Guidelines</w:t>
      </w:r>
    </w:p>
    <w:p w:rsidR="00712371" w:rsidRPr="00F25DD4" w:rsidRDefault="00712371" w:rsidP="00712371">
      <w:pPr>
        <w:spacing w:after="120"/>
        <w:outlineLvl w:val="3"/>
        <w:rPr>
          <w:rFonts w:ascii="Calibri" w:hAnsi="Calibri" w:cs="Calibri"/>
          <w:b/>
          <w:bCs/>
          <w:sz w:val="22"/>
          <w:szCs w:val="22"/>
        </w:rPr>
      </w:pPr>
      <w:r w:rsidRPr="00F25DD4">
        <w:rPr>
          <w:rFonts w:ascii="Calibri" w:hAnsi="Calibri" w:cs="Calibri"/>
          <w:b/>
          <w:bCs/>
          <w:sz w:val="22"/>
          <w:szCs w:val="22"/>
        </w:rPr>
        <w:t>The instrument to which this explanatory statement relates</w:t>
      </w:r>
    </w:p>
    <w:p w:rsidR="00712371" w:rsidRPr="00F25DD4" w:rsidRDefault="00712371" w:rsidP="00712371">
      <w:pPr>
        <w:spacing w:after="120"/>
        <w:rPr>
          <w:rFonts w:ascii="Calibri" w:hAnsi="Calibri" w:cs="Calibri"/>
          <w:sz w:val="22"/>
          <w:szCs w:val="22"/>
        </w:rPr>
      </w:pPr>
      <w:r w:rsidRPr="00F25DD4">
        <w:rPr>
          <w:rFonts w:ascii="Calibri" w:hAnsi="Calibri" w:cs="Calibri"/>
          <w:sz w:val="22"/>
          <w:szCs w:val="22"/>
        </w:rPr>
        <w:t xml:space="preserve">This explanatory statement relates to the </w:t>
      </w:r>
      <w:r w:rsidRPr="00F25DD4">
        <w:rPr>
          <w:rFonts w:ascii="Calibri" w:hAnsi="Calibri" w:cs="Calibri"/>
          <w:i/>
          <w:sz w:val="22"/>
          <w:szCs w:val="22"/>
        </w:rPr>
        <w:t>Commonwealth Cleaning Services Guidelines</w:t>
      </w:r>
      <w:r w:rsidRPr="00F25DD4">
        <w:rPr>
          <w:rFonts w:ascii="Calibri" w:hAnsi="Calibri" w:cs="Calibri"/>
          <w:sz w:val="22"/>
          <w:szCs w:val="22"/>
        </w:rPr>
        <w:t xml:space="preserve"> </w:t>
      </w:r>
      <w:r w:rsidRPr="00F25DD4">
        <w:rPr>
          <w:rFonts w:ascii="Calibri" w:hAnsi="Calibri" w:cs="Calibri"/>
          <w:sz w:val="22"/>
          <w:szCs w:val="22"/>
        </w:rPr>
        <w:br/>
        <w:t>(the instrument).</w:t>
      </w:r>
    </w:p>
    <w:p w:rsidR="00712371" w:rsidRPr="00F25DD4" w:rsidRDefault="00712371" w:rsidP="00712371">
      <w:pPr>
        <w:spacing w:after="120"/>
        <w:outlineLvl w:val="3"/>
        <w:rPr>
          <w:rFonts w:ascii="Calibri" w:hAnsi="Calibri" w:cs="Calibri"/>
          <w:b/>
          <w:bCs/>
          <w:sz w:val="22"/>
          <w:szCs w:val="22"/>
        </w:rPr>
      </w:pPr>
      <w:r w:rsidRPr="00F25DD4">
        <w:rPr>
          <w:rFonts w:ascii="Calibri" w:hAnsi="Calibri" w:cs="Calibri"/>
          <w:b/>
          <w:bCs/>
          <w:sz w:val="22"/>
          <w:szCs w:val="22"/>
        </w:rPr>
        <w:t>The legislative authority under which the instrument is made</w:t>
      </w:r>
    </w:p>
    <w:p w:rsidR="00712371" w:rsidRPr="00F25DD4" w:rsidRDefault="00712371" w:rsidP="00712371">
      <w:pPr>
        <w:pStyle w:val="FootnoteText"/>
        <w:spacing w:after="120"/>
        <w:rPr>
          <w:rFonts w:eastAsia="Times New Roman" w:cs="Calibri"/>
          <w:sz w:val="22"/>
          <w:szCs w:val="22"/>
          <w:lang w:eastAsia="en-AU"/>
        </w:rPr>
      </w:pPr>
      <w:bookmarkStart w:id="0" w:name="OLE_LINK2"/>
      <w:bookmarkStart w:id="1" w:name="OLE_LINK1"/>
      <w:bookmarkEnd w:id="0"/>
      <w:r w:rsidRPr="00F25DD4">
        <w:rPr>
          <w:rFonts w:eastAsia="Times New Roman" w:cs="Calibri"/>
          <w:sz w:val="22"/>
          <w:szCs w:val="22"/>
          <w:lang w:eastAsia="en-AU"/>
        </w:rPr>
        <w:t xml:space="preserve">Section 64(1) of the </w:t>
      </w:r>
      <w:r w:rsidRPr="00F25DD4">
        <w:rPr>
          <w:rFonts w:eastAsia="Times New Roman" w:cs="Calibri"/>
          <w:i/>
          <w:iCs/>
          <w:sz w:val="22"/>
          <w:szCs w:val="22"/>
          <w:lang w:eastAsia="en-AU"/>
        </w:rPr>
        <w:t>Financial Management and Accountability Act 1997</w:t>
      </w:r>
      <w:r w:rsidRPr="00F25DD4">
        <w:rPr>
          <w:rFonts w:eastAsia="Times New Roman" w:cs="Calibri"/>
          <w:sz w:val="22"/>
          <w:szCs w:val="22"/>
          <w:lang w:eastAsia="en-AU"/>
        </w:rPr>
        <w:t xml:space="preserve"> (FMA Act) provides that the regulations may authorise a Minister to issue guidelines to officials on matters within the Minister’s responsibility.  </w:t>
      </w:r>
    </w:p>
    <w:p w:rsidR="00712371" w:rsidRPr="00F25DD4" w:rsidRDefault="00712371" w:rsidP="00712371">
      <w:pPr>
        <w:pStyle w:val="FootnoteText"/>
        <w:spacing w:after="120"/>
        <w:rPr>
          <w:rFonts w:eastAsia="Times New Roman" w:cs="Calibri"/>
          <w:sz w:val="22"/>
          <w:szCs w:val="22"/>
          <w:lang w:eastAsia="en-AU"/>
        </w:rPr>
      </w:pPr>
      <w:r w:rsidRPr="00F25DD4">
        <w:rPr>
          <w:rFonts w:eastAsia="Times New Roman" w:cs="Calibri"/>
          <w:sz w:val="22"/>
          <w:szCs w:val="22"/>
          <w:lang w:eastAsia="en-AU"/>
        </w:rPr>
        <w:t xml:space="preserve">Regulation </w:t>
      </w:r>
      <w:proofErr w:type="spellStart"/>
      <w:r w:rsidRPr="00F25DD4">
        <w:rPr>
          <w:rFonts w:eastAsia="Times New Roman" w:cs="Calibri"/>
          <w:sz w:val="22"/>
          <w:szCs w:val="22"/>
          <w:lang w:eastAsia="en-AU"/>
        </w:rPr>
        <w:t>7B</w:t>
      </w:r>
      <w:proofErr w:type="spellEnd"/>
      <w:r w:rsidRPr="00F25DD4">
        <w:rPr>
          <w:rFonts w:eastAsia="Times New Roman" w:cs="Calibri"/>
          <w:sz w:val="22"/>
          <w:szCs w:val="22"/>
          <w:lang w:eastAsia="en-AU"/>
        </w:rPr>
        <w:t xml:space="preserve"> of the </w:t>
      </w:r>
      <w:r w:rsidRPr="00F25DD4">
        <w:rPr>
          <w:rFonts w:eastAsia="Times New Roman" w:cs="Calibri"/>
          <w:i/>
          <w:iCs/>
          <w:sz w:val="22"/>
          <w:szCs w:val="22"/>
          <w:lang w:eastAsia="en-AU"/>
        </w:rPr>
        <w:t>Financial Management and Accountability</w:t>
      </w:r>
      <w:r w:rsidRPr="00F25DD4">
        <w:rPr>
          <w:rFonts w:eastAsia="Times New Roman" w:cs="Calibri"/>
          <w:b/>
          <w:bCs/>
          <w:i/>
          <w:iCs/>
          <w:sz w:val="22"/>
          <w:szCs w:val="22"/>
          <w:lang w:eastAsia="en-AU"/>
        </w:rPr>
        <w:t xml:space="preserve"> </w:t>
      </w:r>
      <w:r w:rsidRPr="00F25DD4">
        <w:rPr>
          <w:rFonts w:eastAsia="Times New Roman" w:cs="Calibri"/>
          <w:i/>
          <w:iCs/>
          <w:sz w:val="22"/>
          <w:szCs w:val="22"/>
          <w:lang w:eastAsia="en-AU"/>
        </w:rPr>
        <w:t>Regulations 1997</w:t>
      </w:r>
      <w:r w:rsidRPr="00F25DD4">
        <w:rPr>
          <w:rFonts w:eastAsia="Times New Roman" w:cs="Calibri"/>
          <w:sz w:val="22"/>
          <w:szCs w:val="22"/>
          <w:lang w:eastAsia="en-AU"/>
        </w:rPr>
        <w:t xml:space="preserve"> provides that the Minister for Tertiary Education, Skills, Jobs and Workplace Relations may issue guidelines (to be called the </w:t>
      </w:r>
      <w:r w:rsidRPr="00F25DD4">
        <w:rPr>
          <w:rFonts w:eastAsia="Times New Roman" w:cs="Calibri"/>
          <w:i/>
          <w:sz w:val="22"/>
          <w:szCs w:val="22"/>
          <w:lang w:eastAsia="en-AU"/>
        </w:rPr>
        <w:t>Commonwealth Cleaning Services Guidelines</w:t>
      </w:r>
      <w:r w:rsidRPr="00F25DD4">
        <w:rPr>
          <w:rFonts w:eastAsia="Times New Roman" w:cs="Calibri"/>
          <w:sz w:val="22"/>
          <w:szCs w:val="22"/>
          <w:lang w:eastAsia="en-AU"/>
        </w:rPr>
        <w:t xml:space="preserve">) for the administration of tenders conducted by Agencies in relation to the procurement of cleaning services for properties occupied by Agencies, including: </w:t>
      </w:r>
    </w:p>
    <w:p w:rsidR="00712371" w:rsidRPr="00F25DD4" w:rsidRDefault="00712371" w:rsidP="00712371">
      <w:pPr>
        <w:pStyle w:val="FootnoteText"/>
        <w:numPr>
          <w:ilvl w:val="0"/>
          <w:numId w:val="2"/>
        </w:numPr>
        <w:spacing w:after="120"/>
        <w:ind w:left="426" w:hanging="426"/>
        <w:rPr>
          <w:rFonts w:cs="Calibri"/>
          <w:sz w:val="22"/>
          <w:szCs w:val="22"/>
        </w:rPr>
      </w:pPr>
      <w:r w:rsidRPr="00F25DD4">
        <w:rPr>
          <w:rFonts w:eastAsia="Times New Roman" w:cs="Calibri"/>
          <w:sz w:val="22"/>
          <w:szCs w:val="22"/>
          <w:lang w:eastAsia="en-AU"/>
        </w:rPr>
        <w:t xml:space="preserve">procurement policies and processes; and </w:t>
      </w:r>
    </w:p>
    <w:p w:rsidR="00712371" w:rsidRPr="00F25DD4" w:rsidRDefault="00712371" w:rsidP="00712371">
      <w:pPr>
        <w:pStyle w:val="FootnoteText"/>
        <w:numPr>
          <w:ilvl w:val="0"/>
          <w:numId w:val="2"/>
        </w:numPr>
        <w:spacing w:after="120"/>
        <w:ind w:left="426" w:hanging="426"/>
        <w:rPr>
          <w:rFonts w:eastAsia="Times New Roman" w:cs="Calibri"/>
          <w:sz w:val="22"/>
          <w:szCs w:val="22"/>
          <w:lang w:eastAsia="en-AU"/>
        </w:rPr>
      </w:pPr>
      <w:proofErr w:type="gramStart"/>
      <w:r w:rsidRPr="00F25DD4">
        <w:rPr>
          <w:rFonts w:eastAsia="Times New Roman" w:cs="Calibri"/>
          <w:sz w:val="22"/>
          <w:szCs w:val="22"/>
          <w:lang w:eastAsia="en-AU"/>
        </w:rPr>
        <w:t>requirements</w:t>
      </w:r>
      <w:proofErr w:type="gramEnd"/>
      <w:r w:rsidRPr="00F25DD4">
        <w:rPr>
          <w:rFonts w:eastAsia="Times New Roman" w:cs="Calibri"/>
          <w:sz w:val="22"/>
          <w:szCs w:val="22"/>
          <w:lang w:eastAsia="en-AU"/>
        </w:rPr>
        <w:t xml:space="preserve"> regarding entering into procurement arrangements. </w:t>
      </w:r>
      <w:bookmarkEnd w:id="1"/>
    </w:p>
    <w:p w:rsidR="00712371" w:rsidRPr="00F25DD4" w:rsidRDefault="00712371" w:rsidP="00712371">
      <w:pPr>
        <w:pStyle w:val="FootnoteText"/>
        <w:spacing w:after="120"/>
        <w:rPr>
          <w:rFonts w:cs="Calibri"/>
          <w:sz w:val="22"/>
          <w:szCs w:val="22"/>
        </w:rPr>
      </w:pPr>
      <w:r w:rsidRPr="00F25DD4">
        <w:rPr>
          <w:rFonts w:cs="Calibri"/>
          <w:b/>
          <w:bCs/>
          <w:sz w:val="22"/>
          <w:szCs w:val="22"/>
        </w:rPr>
        <w:t>Purpose of the instrument</w:t>
      </w:r>
    </w:p>
    <w:p w:rsidR="00712371" w:rsidRPr="00F25DD4" w:rsidRDefault="00712371" w:rsidP="00712371">
      <w:pPr>
        <w:spacing w:after="120"/>
        <w:rPr>
          <w:rFonts w:ascii="Calibri" w:hAnsi="Calibri" w:cs="Calibri"/>
          <w:sz w:val="22"/>
          <w:szCs w:val="22"/>
        </w:rPr>
      </w:pPr>
      <w:r w:rsidRPr="00F25DD4">
        <w:rPr>
          <w:rFonts w:ascii="Calibri" w:hAnsi="Calibri" w:cs="Calibri"/>
          <w:sz w:val="22"/>
          <w:szCs w:val="22"/>
        </w:rPr>
        <w:t xml:space="preserve">The purpose of the </w:t>
      </w:r>
      <w:r w:rsidRPr="00F25DD4">
        <w:rPr>
          <w:rFonts w:ascii="Calibri" w:hAnsi="Calibri" w:cs="Calibri"/>
          <w:i/>
          <w:sz w:val="22"/>
          <w:szCs w:val="22"/>
        </w:rPr>
        <w:t>Commonwealth Cleaning Services Guidelines</w:t>
      </w:r>
      <w:r w:rsidRPr="00F25DD4">
        <w:rPr>
          <w:rFonts w:ascii="Calibri" w:hAnsi="Calibri" w:cs="Calibri"/>
          <w:sz w:val="22"/>
          <w:szCs w:val="22"/>
        </w:rPr>
        <w:t xml:space="preserve"> is to prescribe certain circumstances in which Australian Government agencies must decline to accept a tenderer’s proposal or enter into a contract with a tenderer in relation to an Australian Government Cleaning Services Contract (AGCSC) as defined at Section 6 of the </w:t>
      </w:r>
      <w:r w:rsidRPr="00F25DD4">
        <w:rPr>
          <w:rFonts w:ascii="Calibri" w:hAnsi="Calibri" w:cs="Calibri"/>
          <w:i/>
          <w:sz w:val="22"/>
          <w:szCs w:val="22"/>
        </w:rPr>
        <w:t>Commonwealth Cleaning Services Guidelines</w:t>
      </w:r>
      <w:r w:rsidRPr="00F25DD4">
        <w:rPr>
          <w:rFonts w:ascii="Calibri" w:hAnsi="Calibri" w:cs="Calibri"/>
          <w:sz w:val="22"/>
          <w:szCs w:val="22"/>
        </w:rPr>
        <w:t xml:space="preserve">. </w:t>
      </w:r>
    </w:p>
    <w:p w:rsidR="00712371" w:rsidRPr="00F25DD4" w:rsidRDefault="00712371" w:rsidP="00712371">
      <w:pPr>
        <w:spacing w:after="120"/>
        <w:rPr>
          <w:rFonts w:ascii="Calibri" w:hAnsi="Calibri" w:cs="Calibri"/>
          <w:sz w:val="22"/>
          <w:szCs w:val="22"/>
        </w:rPr>
      </w:pPr>
      <w:r w:rsidRPr="00F25DD4">
        <w:rPr>
          <w:rFonts w:ascii="Calibri" w:hAnsi="Calibri" w:cs="Calibri"/>
          <w:b/>
          <w:bCs/>
          <w:sz w:val="22"/>
          <w:szCs w:val="22"/>
        </w:rPr>
        <w:t>Background</w:t>
      </w:r>
    </w:p>
    <w:p w:rsidR="00712371" w:rsidRPr="00F25DD4" w:rsidRDefault="00712371" w:rsidP="00712371">
      <w:pPr>
        <w:pStyle w:val="Header"/>
        <w:spacing w:after="120"/>
        <w:rPr>
          <w:rFonts w:ascii="Calibri" w:eastAsia="Calibri" w:hAnsi="Calibri" w:cs="Calibri"/>
          <w:color w:val="000000"/>
          <w:sz w:val="22"/>
          <w:szCs w:val="22"/>
          <w:lang w:eastAsia="en-US"/>
        </w:rPr>
      </w:pPr>
      <w:r w:rsidRPr="00F25DD4">
        <w:rPr>
          <w:rFonts w:ascii="Calibri" w:eastAsia="Calibri" w:hAnsi="Calibri" w:cs="Calibri"/>
          <w:color w:val="000000"/>
          <w:sz w:val="22"/>
          <w:szCs w:val="22"/>
          <w:lang w:eastAsia="en-US"/>
        </w:rPr>
        <w:t xml:space="preserve">On </w:t>
      </w:r>
      <w:r w:rsidR="0063339D">
        <w:rPr>
          <w:rFonts w:ascii="Calibri" w:eastAsia="Calibri" w:hAnsi="Calibri" w:cs="Calibri"/>
          <w:color w:val="000000"/>
          <w:sz w:val="22"/>
          <w:szCs w:val="22"/>
          <w:lang w:eastAsia="en-US"/>
        </w:rPr>
        <w:t>24 November 2011</w:t>
      </w:r>
      <w:r w:rsidRPr="00F25DD4">
        <w:rPr>
          <w:rFonts w:ascii="Calibri" w:eastAsia="Calibri" w:hAnsi="Calibri" w:cs="Calibri"/>
          <w:color w:val="000000"/>
          <w:sz w:val="22"/>
          <w:szCs w:val="22"/>
          <w:lang w:eastAsia="en-US"/>
        </w:rPr>
        <w:t xml:space="preserve">, the Minister for Workplace Relations issued the </w:t>
      </w:r>
      <w:r w:rsidRPr="00F25DD4">
        <w:rPr>
          <w:rFonts w:ascii="Calibri" w:eastAsia="Calibri" w:hAnsi="Calibri" w:cs="Calibri"/>
          <w:i/>
          <w:color w:val="000000"/>
          <w:sz w:val="22"/>
          <w:szCs w:val="22"/>
          <w:lang w:eastAsia="en-US"/>
        </w:rPr>
        <w:t xml:space="preserve">Commonwealth Cleaning Services Guidelines </w:t>
      </w:r>
      <w:r w:rsidRPr="00F25DD4">
        <w:rPr>
          <w:rFonts w:ascii="Calibri" w:eastAsia="Calibri" w:hAnsi="Calibri" w:cs="Calibri"/>
          <w:color w:val="000000"/>
          <w:sz w:val="22"/>
          <w:szCs w:val="22"/>
          <w:lang w:eastAsia="en-US"/>
        </w:rPr>
        <w:t xml:space="preserve">to take effect on 1 January 2012. The </w:t>
      </w:r>
      <w:r w:rsidRPr="00F25DD4">
        <w:rPr>
          <w:rFonts w:ascii="Calibri" w:eastAsia="Calibri" w:hAnsi="Calibri" w:cs="Calibri"/>
          <w:i/>
          <w:color w:val="000000"/>
          <w:sz w:val="22"/>
          <w:szCs w:val="22"/>
          <w:lang w:eastAsia="en-US"/>
        </w:rPr>
        <w:t>Commonwealth Cleaning Services Guidelines</w:t>
      </w:r>
      <w:r w:rsidRPr="00F25DD4">
        <w:rPr>
          <w:rFonts w:ascii="Calibri" w:eastAsia="Calibri" w:hAnsi="Calibri" w:cs="Calibri"/>
          <w:color w:val="000000"/>
          <w:sz w:val="22"/>
          <w:szCs w:val="22"/>
          <w:lang w:eastAsia="en-US"/>
        </w:rPr>
        <w:t xml:space="preserve"> are complementary to the requirements of the Fair Work Principles which were introduced in 2009. </w:t>
      </w:r>
    </w:p>
    <w:p w:rsidR="00712371" w:rsidRPr="00F25DD4" w:rsidRDefault="00712371" w:rsidP="00712371">
      <w:pPr>
        <w:spacing w:after="120"/>
        <w:rPr>
          <w:rFonts w:ascii="Calibri" w:hAnsi="Calibri" w:cs="Calibri"/>
          <w:sz w:val="22"/>
          <w:szCs w:val="22"/>
        </w:rPr>
      </w:pPr>
      <w:r w:rsidRPr="00F25DD4">
        <w:rPr>
          <w:rFonts w:ascii="Calibri" w:hAnsi="Calibri" w:cs="Calibri"/>
          <w:b/>
          <w:bCs/>
          <w:sz w:val="22"/>
          <w:szCs w:val="22"/>
        </w:rPr>
        <w:t>Notes on the instrument</w:t>
      </w:r>
    </w:p>
    <w:p w:rsidR="00712371" w:rsidRPr="00F25DD4" w:rsidRDefault="00712371" w:rsidP="00712371">
      <w:pPr>
        <w:spacing w:after="120"/>
        <w:rPr>
          <w:rFonts w:ascii="Calibri" w:hAnsi="Calibri" w:cs="Calibri"/>
          <w:color w:val="000000"/>
          <w:sz w:val="22"/>
          <w:szCs w:val="22"/>
        </w:rPr>
      </w:pPr>
      <w:r w:rsidRPr="00F25DD4">
        <w:rPr>
          <w:rFonts w:ascii="Calibri" w:hAnsi="Calibri" w:cs="Calibri"/>
          <w:sz w:val="22"/>
          <w:szCs w:val="22"/>
        </w:rPr>
        <w:t xml:space="preserve">The </w:t>
      </w:r>
      <w:r w:rsidRPr="00F25DD4">
        <w:rPr>
          <w:rFonts w:ascii="Calibri" w:hAnsi="Calibri" w:cs="Calibri"/>
          <w:i/>
          <w:iCs/>
          <w:sz w:val="22"/>
          <w:szCs w:val="22"/>
        </w:rPr>
        <w:t>Commonwealth Cleaning Services Guidelines</w:t>
      </w:r>
      <w:r w:rsidRPr="00F25DD4">
        <w:rPr>
          <w:rFonts w:ascii="Calibri" w:hAnsi="Calibri" w:cs="Calibri"/>
          <w:sz w:val="22"/>
          <w:szCs w:val="22"/>
        </w:rPr>
        <w:t xml:space="preserve"> apply to </w:t>
      </w:r>
      <w:r w:rsidRPr="00F25DD4">
        <w:rPr>
          <w:rFonts w:ascii="Calibri" w:hAnsi="Calibri" w:cs="Calibri"/>
          <w:color w:val="000000"/>
          <w:sz w:val="22"/>
          <w:szCs w:val="22"/>
        </w:rPr>
        <w:t xml:space="preserve">Australian Government agencies, their employees and contractors, subject to the </w:t>
      </w:r>
      <w:r w:rsidRPr="00F25DD4">
        <w:rPr>
          <w:rFonts w:ascii="Calibri" w:hAnsi="Calibri" w:cs="Calibri"/>
          <w:i/>
          <w:color w:val="000000"/>
          <w:sz w:val="22"/>
          <w:szCs w:val="22"/>
        </w:rPr>
        <w:t>Financial Management and Accountability Act 1997</w:t>
      </w:r>
      <w:r w:rsidRPr="00F25DD4">
        <w:rPr>
          <w:rFonts w:ascii="Calibri" w:hAnsi="Calibri" w:cs="Calibri"/>
          <w:color w:val="000000"/>
          <w:sz w:val="22"/>
          <w:szCs w:val="22"/>
        </w:rPr>
        <w:t xml:space="preserve"> </w:t>
      </w:r>
      <w:r w:rsidRPr="00F25DD4">
        <w:rPr>
          <w:rFonts w:ascii="Calibri" w:hAnsi="Calibri" w:cs="Calibri"/>
          <w:color w:val="000000"/>
          <w:sz w:val="22"/>
          <w:szCs w:val="22"/>
        </w:rPr>
        <w:br/>
        <w:t>(FMA Act).</w:t>
      </w:r>
    </w:p>
    <w:p w:rsidR="00712371" w:rsidRDefault="00712371" w:rsidP="00712371">
      <w:pPr>
        <w:autoSpaceDE w:val="0"/>
        <w:autoSpaceDN w:val="0"/>
        <w:adjustRightInd w:val="0"/>
        <w:spacing w:after="120"/>
        <w:rPr>
          <w:rFonts w:ascii="Calibri" w:hAnsi="Calibri" w:cs="Calibri"/>
          <w:color w:val="000000"/>
          <w:sz w:val="22"/>
          <w:szCs w:val="22"/>
        </w:rPr>
      </w:pPr>
      <w:r w:rsidRPr="00F25DD4">
        <w:rPr>
          <w:rFonts w:ascii="Calibri" w:hAnsi="Calibri" w:cs="Calibri"/>
          <w:color w:val="000000"/>
          <w:sz w:val="22"/>
          <w:szCs w:val="22"/>
        </w:rPr>
        <w:t xml:space="preserve">A body subject to the </w:t>
      </w:r>
      <w:r w:rsidRPr="00F25DD4">
        <w:rPr>
          <w:rFonts w:ascii="Calibri" w:hAnsi="Calibri" w:cs="Calibri"/>
          <w:i/>
          <w:color w:val="000000"/>
          <w:sz w:val="22"/>
          <w:szCs w:val="22"/>
        </w:rPr>
        <w:t>Commonwealth Authorities and Companies Act 1997</w:t>
      </w:r>
      <w:r w:rsidRPr="00F25DD4">
        <w:rPr>
          <w:rFonts w:ascii="Calibri" w:hAnsi="Calibri" w:cs="Calibri"/>
          <w:color w:val="000000"/>
          <w:sz w:val="22"/>
          <w:szCs w:val="22"/>
        </w:rPr>
        <w:t xml:space="preserve"> (CAC Act) is not subject to the </w:t>
      </w:r>
      <w:r w:rsidRPr="00F25DD4">
        <w:rPr>
          <w:rFonts w:ascii="Calibri" w:hAnsi="Calibri" w:cs="Calibri"/>
          <w:i/>
          <w:iCs/>
          <w:sz w:val="22"/>
          <w:szCs w:val="22"/>
        </w:rPr>
        <w:t>Commonwealth Cleaning Services Guidelines</w:t>
      </w:r>
      <w:r w:rsidRPr="00F25DD4">
        <w:rPr>
          <w:rFonts w:ascii="Calibri" w:hAnsi="Calibri" w:cs="Calibri"/>
          <w:color w:val="000000"/>
          <w:sz w:val="22"/>
          <w:szCs w:val="22"/>
        </w:rPr>
        <w:t xml:space="preserve"> unless the Finance Minister has made a General Policy Order (GPO) in accordance with section </w:t>
      </w:r>
      <w:proofErr w:type="spellStart"/>
      <w:r w:rsidRPr="00F25DD4">
        <w:rPr>
          <w:rFonts w:ascii="Calibri" w:hAnsi="Calibri" w:cs="Calibri"/>
          <w:color w:val="000000"/>
          <w:sz w:val="22"/>
          <w:szCs w:val="22"/>
        </w:rPr>
        <w:t>48A</w:t>
      </w:r>
      <w:proofErr w:type="spellEnd"/>
      <w:r w:rsidRPr="00F25DD4">
        <w:rPr>
          <w:rFonts w:ascii="Calibri" w:hAnsi="Calibri" w:cs="Calibri"/>
          <w:color w:val="000000"/>
          <w:sz w:val="22"/>
          <w:szCs w:val="22"/>
        </w:rPr>
        <w:t xml:space="preserve"> of the FMA Act, specifying the mandatory requirements for that body under the instrument. </w:t>
      </w:r>
    </w:p>
    <w:p w:rsidR="00712371" w:rsidRDefault="00712371" w:rsidP="00712371">
      <w:pPr>
        <w:autoSpaceDE w:val="0"/>
        <w:autoSpaceDN w:val="0"/>
        <w:adjustRightInd w:val="0"/>
        <w:spacing w:after="120"/>
        <w:rPr>
          <w:rFonts w:ascii="Calibri" w:hAnsi="Calibri" w:cs="Calibri"/>
          <w:color w:val="000000"/>
          <w:sz w:val="22"/>
          <w:szCs w:val="22"/>
        </w:rPr>
      </w:pPr>
      <w:r w:rsidRPr="00F25DD4">
        <w:rPr>
          <w:rFonts w:ascii="Calibri" w:hAnsi="Calibri" w:cs="Calibri"/>
          <w:color w:val="000000"/>
          <w:sz w:val="22"/>
          <w:szCs w:val="22"/>
        </w:rPr>
        <w:t xml:space="preserve">The </w:t>
      </w:r>
      <w:r w:rsidRPr="00F25DD4">
        <w:rPr>
          <w:rFonts w:ascii="Calibri" w:hAnsi="Calibri" w:cs="Calibri"/>
          <w:i/>
          <w:color w:val="000000"/>
          <w:sz w:val="22"/>
          <w:szCs w:val="22"/>
        </w:rPr>
        <w:t>Commonwealth Cleaning Services Guidelines</w:t>
      </w:r>
      <w:r w:rsidRPr="00F25DD4">
        <w:rPr>
          <w:rFonts w:ascii="Calibri" w:hAnsi="Calibri" w:cs="Calibri"/>
          <w:color w:val="000000"/>
          <w:sz w:val="22"/>
          <w:szCs w:val="22"/>
        </w:rPr>
        <w:t xml:space="preserve"> apply to each request for tender or request for expressions of interest for an Australian Government Cleaning Services Contract issued for the first time on or after 1 January 2012. </w:t>
      </w:r>
    </w:p>
    <w:p w:rsidR="00712371" w:rsidRPr="00F25DD4" w:rsidRDefault="00712371" w:rsidP="00712371">
      <w:pPr>
        <w:autoSpaceDE w:val="0"/>
        <w:autoSpaceDN w:val="0"/>
        <w:adjustRightInd w:val="0"/>
        <w:spacing w:after="120"/>
        <w:rPr>
          <w:rFonts w:ascii="Calibri" w:hAnsi="Calibri" w:cs="Calibri"/>
          <w:color w:val="000000"/>
          <w:sz w:val="22"/>
          <w:szCs w:val="22"/>
        </w:rPr>
      </w:pPr>
      <w:r w:rsidRPr="00F25DD4">
        <w:rPr>
          <w:rFonts w:ascii="Calibri" w:hAnsi="Calibri" w:cs="Calibri"/>
          <w:color w:val="000000"/>
          <w:sz w:val="22"/>
          <w:szCs w:val="22"/>
        </w:rPr>
        <w:t xml:space="preserve">The </w:t>
      </w:r>
      <w:r w:rsidRPr="00F25DD4">
        <w:rPr>
          <w:rFonts w:ascii="Calibri" w:hAnsi="Calibri" w:cs="Calibri"/>
          <w:i/>
          <w:color w:val="000000"/>
          <w:sz w:val="22"/>
          <w:szCs w:val="22"/>
        </w:rPr>
        <w:t>Commonwealth Cleaning Services Guidelines</w:t>
      </w:r>
      <w:r w:rsidRPr="00F25DD4">
        <w:rPr>
          <w:rFonts w:ascii="Calibri" w:hAnsi="Calibri" w:cs="Calibri"/>
          <w:color w:val="000000"/>
          <w:sz w:val="22"/>
          <w:szCs w:val="22"/>
        </w:rPr>
        <w:t xml:space="preserve"> establish a framework within which Australian Government agencies can accept a tender and enter into a contract for an Australian Government Cleaning Services Contract (see </w:t>
      </w:r>
      <w:r w:rsidRPr="00F25DD4">
        <w:rPr>
          <w:rFonts w:ascii="Calibri" w:hAnsi="Calibri" w:cs="Calibri"/>
          <w:sz w:val="22"/>
          <w:szCs w:val="22"/>
        </w:rPr>
        <w:t xml:space="preserve">further at section 3.2-3.3 of the </w:t>
      </w:r>
      <w:r w:rsidRPr="00F25DD4">
        <w:rPr>
          <w:rFonts w:ascii="Calibri" w:hAnsi="Calibri" w:cs="Calibri"/>
          <w:i/>
          <w:iCs/>
          <w:sz w:val="22"/>
          <w:szCs w:val="22"/>
        </w:rPr>
        <w:t>Commonwealth Cleaning Services Guidelines</w:t>
      </w:r>
      <w:r w:rsidRPr="00F25DD4">
        <w:rPr>
          <w:rFonts w:ascii="Calibri" w:hAnsi="Calibri" w:cs="Calibri"/>
          <w:iCs/>
          <w:sz w:val="22"/>
          <w:szCs w:val="22"/>
        </w:rPr>
        <w:t>).</w:t>
      </w:r>
    </w:p>
    <w:p w:rsidR="00712371" w:rsidRPr="00F25DD4" w:rsidRDefault="00712371" w:rsidP="00712371">
      <w:pPr>
        <w:spacing w:after="120"/>
        <w:rPr>
          <w:rFonts w:ascii="Calibri" w:hAnsi="Calibri" w:cs="Calibri"/>
          <w:sz w:val="22"/>
          <w:szCs w:val="22"/>
        </w:rPr>
      </w:pPr>
      <w:r w:rsidRPr="00F25DD4">
        <w:rPr>
          <w:rFonts w:ascii="Calibri" w:hAnsi="Calibri" w:cs="Calibri"/>
          <w:sz w:val="22"/>
          <w:szCs w:val="22"/>
        </w:rPr>
        <w:lastRenderedPageBreak/>
        <w:t xml:space="preserve">In summary, the </w:t>
      </w:r>
      <w:r w:rsidRPr="00F25DD4">
        <w:rPr>
          <w:rFonts w:ascii="Calibri" w:hAnsi="Calibri" w:cs="Calibri"/>
          <w:i/>
          <w:sz w:val="22"/>
          <w:szCs w:val="22"/>
        </w:rPr>
        <w:t>Commonwealth Cleaning Services Guidelines</w:t>
      </w:r>
      <w:r w:rsidRPr="00F25DD4">
        <w:rPr>
          <w:rFonts w:ascii="Calibri" w:hAnsi="Calibri" w:cs="Calibri"/>
          <w:sz w:val="22"/>
          <w:szCs w:val="22"/>
        </w:rPr>
        <w:t xml:space="preserve"> will require Australian Government agencies to:</w:t>
      </w:r>
    </w:p>
    <w:p w:rsidR="00712371" w:rsidRPr="00F25DD4" w:rsidRDefault="00712371" w:rsidP="00712371">
      <w:pPr>
        <w:pStyle w:val="numberedpara"/>
        <w:numPr>
          <w:ilvl w:val="1"/>
          <w:numId w:val="1"/>
        </w:numPr>
        <w:tabs>
          <w:tab w:val="clear" w:pos="1660"/>
          <w:tab w:val="num" w:pos="284"/>
        </w:tabs>
        <w:spacing w:after="120"/>
        <w:ind w:left="284" w:hanging="284"/>
        <w:rPr>
          <w:rFonts w:cs="Calibri"/>
          <w:szCs w:val="22"/>
        </w:rPr>
      </w:pPr>
      <w:r w:rsidRPr="00F25DD4">
        <w:rPr>
          <w:rFonts w:cs="Calibri"/>
          <w:szCs w:val="22"/>
        </w:rPr>
        <w:t xml:space="preserve">decline to accept any tender where the tenderer does not undertake to comply with the requirements outlined in the </w:t>
      </w:r>
      <w:r w:rsidRPr="00F25DD4">
        <w:rPr>
          <w:rFonts w:cs="Calibri"/>
          <w:i/>
          <w:szCs w:val="22"/>
        </w:rPr>
        <w:t>Commonwealth Cleaning Services Guidelines</w:t>
      </w:r>
      <w:r w:rsidRPr="00F25DD4">
        <w:rPr>
          <w:rFonts w:cs="Calibri"/>
          <w:szCs w:val="22"/>
        </w:rPr>
        <w:t xml:space="preserve">, including to pay their employees no less than the prescribed wage rates and to comply with the mandatory practices for </w:t>
      </w:r>
      <w:r w:rsidRPr="00F25DD4">
        <w:rPr>
          <w:rFonts w:cs="Calibri"/>
          <w:color w:val="000000"/>
          <w:szCs w:val="22"/>
        </w:rPr>
        <w:t>Australian Government Cleaning Services Contract</w:t>
      </w:r>
      <w:r w:rsidRPr="00F25DD4">
        <w:rPr>
          <w:rFonts w:cs="Calibri"/>
          <w:szCs w:val="22"/>
        </w:rPr>
        <w:t>;</w:t>
      </w:r>
    </w:p>
    <w:p w:rsidR="00712371" w:rsidRPr="00F25DD4" w:rsidRDefault="00712371" w:rsidP="00712371">
      <w:pPr>
        <w:pStyle w:val="numberedpara"/>
        <w:numPr>
          <w:ilvl w:val="1"/>
          <w:numId w:val="1"/>
        </w:numPr>
        <w:tabs>
          <w:tab w:val="clear" w:pos="1660"/>
          <w:tab w:val="num" w:pos="284"/>
        </w:tabs>
        <w:spacing w:after="120"/>
        <w:ind w:left="284" w:hanging="284"/>
        <w:rPr>
          <w:rFonts w:cs="Calibri"/>
          <w:szCs w:val="22"/>
        </w:rPr>
      </w:pPr>
      <w:r w:rsidRPr="00F25DD4">
        <w:rPr>
          <w:rFonts w:cs="Calibri"/>
          <w:szCs w:val="22"/>
        </w:rPr>
        <w:t xml:space="preserve">decline to enter into a contract with a tenderer if they are not satisfied at the time of tender for an </w:t>
      </w:r>
      <w:r w:rsidRPr="00F25DD4">
        <w:rPr>
          <w:rFonts w:cs="Calibri"/>
          <w:color w:val="000000"/>
          <w:szCs w:val="22"/>
        </w:rPr>
        <w:t>Australian Government Cleaning Services Contract</w:t>
      </w:r>
      <w:r w:rsidRPr="00F25DD4">
        <w:rPr>
          <w:rFonts w:cs="Calibri"/>
          <w:szCs w:val="22"/>
        </w:rPr>
        <w:t xml:space="preserve"> that the tenderer has demonstrated they can and will comply with the mandatory practices outlined in the </w:t>
      </w:r>
      <w:r w:rsidRPr="00F25DD4">
        <w:rPr>
          <w:rFonts w:cs="Calibri"/>
          <w:i/>
          <w:szCs w:val="22"/>
        </w:rPr>
        <w:t>Commonwealth Cleaning Services Guidelines</w:t>
      </w:r>
      <w:r w:rsidRPr="00F25DD4">
        <w:rPr>
          <w:rFonts w:cs="Calibri"/>
          <w:szCs w:val="22"/>
        </w:rPr>
        <w:t xml:space="preserve">; </w:t>
      </w:r>
    </w:p>
    <w:p w:rsidR="00712371" w:rsidRPr="00F25DD4" w:rsidRDefault="00712371" w:rsidP="00712371">
      <w:pPr>
        <w:pStyle w:val="numberedpara"/>
        <w:numPr>
          <w:ilvl w:val="1"/>
          <w:numId w:val="1"/>
        </w:numPr>
        <w:tabs>
          <w:tab w:val="clear" w:pos="1660"/>
          <w:tab w:val="num" w:pos="284"/>
        </w:tabs>
        <w:spacing w:after="120"/>
        <w:ind w:left="284" w:hanging="284"/>
        <w:rPr>
          <w:rFonts w:cs="Calibri"/>
          <w:szCs w:val="22"/>
        </w:rPr>
      </w:pPr>
      <w:r w:rsidRPr="00F25DD4">
        <w:rPr>
          <w:rFonts w:cs="Calibri"/>
          <w:szCs w:val="22"/>
        </w:rPr>
        <w:t xml:space="preserve">include contractual obligations, as outlined in the </w:t>
      </w:r>
      <w:r w:rsidRPr="00F25DD4">
        <w:rPr>
          <w:rFonts w:cs="Calibri"/>
          <w:i/>
          <w:szCs w:val="22"/>
        </w:rPr>
        <w:t>Commonwealth Cleaning Services Guidelines</w:t>
      </w:r>
      <w:r w:rsidRPr="00F25DD4">
        <w:rPr>
          <w:rFonts w:cs="Calibri"/>
          <w:szCs w:val="22"/>
        </w:rPr>
        <w:t xml:space="preserve">, in the </w:t>
      </w:r>
      <w:r w:rsidRPr="00F25DD4">
        <w:rPr>
          <w:rFonts w:cs="Calibri"/>
          <w:color w:val="000000"/>
          <w:szCs w:val="22"/>
        </w:rPr>
        <w:t>Australian Government Cleaning Services Contract</w:t>
      </w:r>
      <w:r w:rsidRPr="00F25DD4">
        <w:rPr>
          <w:rFonts w:cs="Calibri"/>
          <w:szCs w:val="22"/>
        </w:rPr>
        <w:t xml:space="preserve">; and </w:t>
      </w:r>
    </w:p>
    <w:p w:rsidR="00712371" w:rsidRPr="00F25DD4" w:rsidRDefault="00712371" w:rsidP="00712371">
      <w:pPr>
        <w:pStyle w:val="numberedpara"/>
        <w:numPr>
          <w:ilvl w:val="1"/>
          <w:numId w:val="1"/>
        </w:numPr>
        <w:tabs>
          <w:tab w:val="clear" w:pos="1660"/>
          <w:tab w:val="num" w:pos="284"/>
        </w:tabs>
        <w:spacing w:after="120"/>
        <w:ind w:left="284" w:hanging="284"/>
        <w:rPr>
          <w:rFonts w:cs="Calibri"/>
          <w:szCs w:val="22"/>
        </w:rPr>
      </w:pPr>
      <w:proofErr w:type="gramStart"/>
      <w:r w:rsidRPr="00F25DD4">
        <w:rPr>
          <w:rFonts w:cs="Calibri"/>
          <w:szCs w:val="22"/>
        </w:rPr>
        <w:t>ensure</w:t>
      </w:r>
      <w:proofErr w:type="gramEnd"/>
      <w:r w:rsidRPr="00F25DD4">
        <w:rPr>
          <w:rFonts w:cs="Calibri"/>
          <w:szCs w:val="22"/>
        </w:rPr>
        <w:t xml:space="preserve"> the successful tenderer complies with these throughout the life of the </w:t>
      </w:r>
      <w:r w:rsidRPr="00F25DD4">
        <w:rPr>
          <w:rFonts w:cs="Calibri"/>
          <w:color w:val="000000"/>
          <w:szCs w:val="22"/>
        </w:rPr>
        <w:t>Australian Government Cleaning Services Contract</w:t>
      </w:r>
      <w:r w:rsidRPr="00F25DD4">
        <w:rPr>
          <w:rFonts w:cs="Calibri"/>
          <w:szCs w:val="22"/>
        </w:rPr>
        <w:t xml:space="preserve">. </w:t>
      </w:r>
    </w:p>
    <w:p w:rsidR="00712371" w:rsidRPr="00F25DD4" w:rsidRDefault="00712371" w:rsidP="00712371">
      <w:pPr>
        <w:pStyle w:val="Header"/>
        <w:spacing w:after="120"/>
        <w:rPr>
          <w:rFonts w:ascii="Calibri" w:eastAsia="Calibri" w:hAnsi="Calibri" w:cs="Calibri"/>
          <w:color w:val="000000"/>
          <w:sz w:val="22"/>
          <w:szCs w:val="22"/>
          <w:lang w:eastAsia="en-US"/>
        </w:rPr>
      </w:pPr>
      <w:r w:rsidRPr="00F25DD4">
        <w:rPr>
          <w:rFonts w:ascii="Calibri" w:hAnsi="Calibri" w:cs="Calibri"/>
          <w:sz w:val="22"/>
          <w:szCs w:val="22"/>
        </w:rPr>
        <w:t xml:space="preserve">The </w:t>
      </w:r>
      <w:r w:rsidRPr="00F25DD4">
        <w:rPr>
          <w:rFonts w:ascii="Calibri" w:hAnsi="Calibri" w:cs="Calibri"/>
          <w:i/>
          <w:iCs/>
          <w:sz w:val="22"/>
          <w:szCs w:val="22"/>
        </w:rPr>
        <w:t>Commonwealth Cleaning Services Guidelines</w:t>
      </w:r>
      <w:r w:rsidRPr="00F25DD4">
        <w:rPr>
          <w:rFonts w:ascii="Calibri" w:hAnsi="Calibri" w:cs="Calibri"/>
          <w:sz w:val="22"/>
          <w:szCs w:val="22"/>
        </w:rPr>
        <w:t xml:space="preserve"> should be read in conjunction with the Fair Work Principles.   </w:t>
      </w:r>
      <w:r w:rsidRPr="00F25DD4">
        <w:rPr>
          <w:rFonts w:ascii="Calibri" w:eastAsia="Calibri" w:hAnsi="Calibri" w:cs="Calibri"/>
          <w:color w:val="000000"/>
          <w:sz w:val="22"/>
          <w:szCs w:val="22"/>
          <w:lang w:eastAsia="en-US"/>
        </w:rPr>
        <w:t>The Fair Work Principles seek to ensure that procurement decisions made by Australian Government agencies promote fair, cooperative and productive workplaces. The Fair Work Principles and the Fair Work Principles User Guide are published on the Department of Education, Employment and Workplace Relations website (</w:t>
      </w:r>
      <w:hyperlink r:id="rId5" w:history="1">
        <w:r w:rsidRPr="00F25DD4">
          <w:rPr>
            <w:rStyle w:val="Hyperlink"/>
            <w:rFonts w:ascii="Calibri" w:eastAsia="Calibri" w:hAnsi="Calibri" w:cs="Calibri"/>
            <w:sz w:val="22"/>
            <w:szCs w:val="22"/>
            <w:lang w:eastAsia="en-US"/>
          </w:rPr>
          <w:t>www.deewr.gov.au/FairWorkPrinciples</w:t>
        </w:r>
      </w:hyperlink>
      <w:r w:rsidRPr="00F25DD4">
        <w:rPr>
          <w:rFonts w:ascii="Calibri" w:eastAsia="Calibri" w:hAnsi="Calibri" w:cs="Calibri"/>
          <w:color w:val="000000"/>
          <w:sz w:val="22"/>
          <w:szCs w:val="22"/>
          <w:lang w:eastAsia="en-US"/>
        </w:rPr>
        <w:t xml:space="preserve">). </w:t>
      </w:r>
    </w:p>
    <w:p w:rsidR="00712371" w:rsidRPr="00F25DD4" w:rsidRDefault="00712371" w:rsidP="00712371">
      <w:pPr>
        <w:spacing w:after="120"/>
        <w:rPr>
          <w:rFonts w:ascii="Calibri" w:hAnsi="Calibri" w:cs="Calibri"/>
          <w:b/>
          <w:bCs/>
          <w:sz w:val="22"/>
          <w:szCs w:val="22"/>
        </w:rPr>
      </w:pPr>
      <w:r w:rsidRPr="00F25DD4">
        <w:rPr>
          <w:rFonts w:ascii="Calibri" w:hAnsi="Calibri" w:cs="Calibri"/>
          <w:b/>
          <w:bCs/>
          <w:sz w:val="22"/>
          <w:szCs w:val="22"/>
        </w:rPr>
        <w:t>Consultation</w:t>
      </w:r>
    </w:p>
    <w:p w:rsidR="00712371" w:rsidRPr="00F25DD4" w:rsidRDefault="00712371" w:rsidP="00712371">
      <w:pPr>
        <w:spacing w:after="120"/>
        <w:rPr>
          <w:rFonts w:ascii="Calibri" w:hAnsi="Calibri" w:cs="Calibri"/>
          <w:sz w:val="22"/>
          <w:szCs w:val="22"/>
        </w:rPr>
      </w:pPr>
      <w:r w:rsidRPr="00F25DD4">
        <w:rPr>
          <w:rFonts w:ascii="Calibri" w:hAnsi="Calibri" w:cs="Calibri"/>
          <w:sz w:val="22"/>
          <w:szCs w:val="22"/>
        </w:rPr>
        <w:t xml:space="preserve">Key industry and union stakeholders along with Australian Government agencies were consulted during the development of the </w:t>
      </w:r>
      <w:r w:rsidRPr="00F25DD4">
        <w:rPr>
          <w:rFonts w:ascii="Calibri" w:hAnsi="Calibri" w:cs="Calibri"/>
          <w:i/>
          <w:sz w:val="22"/>
          <w:szCs w:val="22"/>
        </w:rPr>
        <w:t xml:space="preserve">Commonwealth Cleaning Services Guidelines. </w:t>
      </w:r>
    </w:p>
    <w:p w:rsidR="00712371" w:rsidRDefault="00712371" w:rsidP="00712371"/>
    <w:p w:rsidR="00F5472F" w:rsidRDefault="0063339D"/>
    <w:sectPr w:rsidR="00F5472F" w:rsidSect="00F90A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641DF2"/>
    <w:multiLevelType w:val="hybridMultilevel"/>
    <w:tmpl w:val="88F80B1E"/>
    <w:lvl w:ilvl="0" w:tplc="0C09000F">
      <w:start w:val="1"/>
      <w:numFmt w:val="decimal"/>
      <w:pStyle w:val="numberedpara"/>
      <w:lvlText w:val="%1."/>
      <w:lvlJc w:val="left"/>
      <w:pPr>
        <w:tabs>
          <w:tab w:val="num" w:pos="1134"/>
        </w:tabs>
        <w:ind w:left="567" w:hanging="567"/>
      </w:pPr>
      <w:rPr>
        <w:rFonts w:hint="default"/>
        <w:b w:val="0"/>
        <w:i w:val="0"/>
        <w:color w:val="auto"/>
        <w:sz w:val="22"/>
      </w:rPr>
    </w:lvl>
    <w:lvl w:ilvl="1" w:tplc="0C090001">
      <w:start w:val="1"/>
      <w:numFmt w:val="bullet"/>
      <w:lvlText w:val=""/>
      <w:lvlJc w:val="left"/>
      <w:pPr>
        <w:tabs>
          <w:tab w:val="num" w:pos="1660"/>
        </w:tabs>
        <w:ind w:left="1660" w:hanging="360"/>
      </w:pPr>
      <w:rPr>
        <w:rFonts w:ascii="Symbol" w:hAnsi="Symbol" w:hint="default"/>
      </w:rPr>
    </w:lvl>
    <w:lvl w:ilvl="2" w:tplc="0C09001B" w:tentative="1">
      <w:start w:val="1"/>
      <w:numFmt w:val="lowerRoman"/>
      <w:lvlText w:val="%3."/>
      <w:lvlJc w:val="right"/>
      <w:pPr>
        <w:tabs>
          <w:tab w:val="num" w:pos="2380"/>
        </w:tabs>
        <w:ind w:left="2380" w:hanging="180"/>
      </w:pPr>
    </w:lvl>
    <w:lvl w:ilvl="3" w:tplc="0C09000F" w:tentative="1">
      <w:start w:val="1"/>
      <w:numFmt w:val="decimal"/>
      <w:lvlText w:val="%4."/>
      <w:lvlJc w:val="left"/>
      <w:pPr>
        <w:tabs>
          <w:tab w:val="num" w:pos="3100"/>
        </w:tabs>
        <w:ind w:left="3100" w:hanging="360"/>
      </w:pPr>
    </w:lvl>
    <w:lvl w:ilvl="4" w:tplc="0C090019" w:tentative="1">
      <w:start w:val="1"/>
      <w:numFmt w:val="lowerLetter"/>
      <w:lvlText w:val="%5."/>
      <w:lvlJc w:val="left"/>
      <w:pPr>
        <w:tabs>
          <w:tab w:val="num" w:pos="3820"/>
        </w:tabs>
        <w:ind w:left="3820" w:hanging="360"/>
      </w:pPr>
    </w:lvl>
    <w:lvl w:ilvl="5" w:tplc="0C09001B" w:tentative="1">
      <w:start w:val="1"/>
      <w:numFmt w:val="lowerRoman"/>
      <w:lvlText w:val="%6."/>
      <w:lvlJc w:val="right"/>
      <w:pPr>
        <w:tabs>
          <w:tab w:val="num" w:pos="4540"/>
        </w:tabs>
        <w:ind w:left="4540" w:hanging="180"/>
      </w:pPr>
    </w:lvl>
    <w:lvl w:ilvl="6" w:tplc="0C09000F" w:tentative="1">
      <w:start w:val="1"/>
      <w:numFmt w:val="decimal"/>
      <w:lvlText w:val="%7."/>
      <w:lvlJc w:val="left"/>
      <w:pPr>
        <w:tabs>
          <w:tab w:val="num" w:pos="5260"/>
        </w:tabs>
        <w:ind w:left="5260" w:hanging="360"/>
      </w:pPr>
    </w:lvl>
    <w:lvl w:ilvl="7" w:tplc="0C090019" w:tentative="1">
      <w:start w:val="1"/>
      <w:numFmt w:val="lowerLetter"/>
      <w:lvlText w:val="%8."/>
      <w:lvlJc w:val="left"/>
      <w:pPr>
        <w:tabs>
          <w:tab w:val="num" w:pos="5980"/>
        </w:tabs>
        <w:ind w:left="5980" w:hanging="360"/>
      </w:pPr>
    </w:lvl>
    <w:lvl w:ilvl="8" w:tplc="0C09001B" w:tentative="1">
      <w:start w:val="1"/>
      <w:numFmt w:val="lowerRoman"/>
      <w:lvlText w:val="%9."/>
      <w:lvlJc w:val="right"/>
      <w:pPr>
        <w:tabs>
          <w:tab w:val="num" w:pos="6700"/>
        </w:tabs>
        <w:ind w:left="6700" w:hanging="180"/>
      </w:pPr>
    </w:lvl>
  </w:abstractNum>
  <w:abstractNum w:abstractNumId="1">
    <w:nsid w:val="3C764512"/>
    <w:multiLevelType w:val="hybridMultilevel"/>
    <w:tmpl w:val="2862B1DE"/>
    <w:lvl w:ilvl="0" w:tplc="00006318">
      <w:start w:val="1"/>
      <w:numFmt w:val="lowerLetter"/>
      <w:lvlText w:val="(%1)"/>
      <w:lvlJc w:val="left"/>
      <w:pPr>
        <w:ind w:left="720" w:hanging="360"/>
      </w:pPr>
      <w:rPr>
        <w:rFonts w:eastAsia="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712371"/>
    <w:rsid w:val="000153B5"/>
    <w:rsid w:val="000372C4"/>
    <w:rsid w:val="0004690F"/>
    <w:rsid w:val="000470E8"/>
    <w:rsid w:val="000917E0"/>
    <w:rsid w:val="0009677D"/>
    <w:rsid w:val="000A1A09"/>
    <w:rsid w:val="000E2873"/>
    <w:rsid w:val="000F0309"/>
    <w:rsid w:val="001026B0"/>
    <w:rsid w:val="001249D3"/>
    <w:rsid w:val="00135DC9"/>
    <w:rsid w:val="0013721A"/>
    <w:rsid w:val="00142484"/>
    <w:rsid w:val="00145830"/>
    <w:rsid w:val="00155B56"/>
    <w:rsid w:val="00167593"/>
    <w:rsid w:val="00187A46"/>
    <w:rsid w:val="00190DD3"/>
    <w:rsid w:val="0019305A"/>
    <w:rsid w:val="001A0AD0"/>
    <w:rsid w:val="001A1494"/>
    <w:rsid w:val="001A2FE7"/>
    <w:rsid w:val="001B070A"/>
    <w:rsid w:val="001B4D1A"/>
    <w:rsid w:val="001D26B1"/>
    <w:rsid w:val="001F0694"/>
    <w:rsid w:val="001F6A83"/>
    <w:rsid w:val="001F749D"/>
    <w:rsid w:val="002125C4"/>
    <w:rsid w:val="00213757"/>
    <w:rsid w:val="00222646"/>
    <w:rsid w:val="00223D6F"/>
    <w:rsid w:val="00281BFB"/>
    <w:rsid w:val="0029429B"/>
    <w:rsid w:val="00294B22"/>
    <w:rsid w:val="002A5B58"/>
    <w:rsid w:val="002B2DC1"/>
    <w:rsid w:val="002F6833"/>
    <w:rsid w:val="003021D1"/>
    <w:rsid w:val="003353C4"/>
    <w:rsid w:val="0038793C"/>
    <w:rsid w:val="00390618"/>
    <w:rsid w:val="003A3F9B"/>
    <w:rsid w:val="004278D0"/>
    <w:rsid w:val="00447643"/>
    <w:rsid w:val="0046487A"/>
    <w:rsid w:val="00471410"/>
    <w:rsid w:val="00497970"/>
    <w:rsid w:val="004C07CB"/>
    <w:rsid w:val="0050376D"/>
    <w:rsid w:val="00506CEE"/>
    <w:rsid w:val="005157E4"/>
    <w:rsid w:val="00517E93"/>
    <w:rsid w:val="0053773A"/>
    <w:rsid w:val="00556278"/>
    <w:rsid w:val="00586E26"/>
    <w:rsid w:val="005B688A"/>
    <w:rsid w:val="005C7E10"/>
    <w:rsid w:val="005F5F21"/>
    <w:rsid w:val="00601425"/>
    <w:rsid w:val="0062603D"/>
    <w:rsid w:val="00626E59"/>
    <w:rsid w:val="0063339D"/>
    <w:rsid w:val="00641575"/>
    <w:rsid w:val="00643DB1"/>
    <w:rsid w:val="006457CC"/>
    <w:rsid w:val="0067293A"/>
    <w:rsid w:val="0068038B"/>
    <w:rsid w:val="00687195"/>
    <w:rsid w:val="00687C66"/>
    <w:rsid w:val="00696A17"/>
    <w:rsid w:val="006B7367"/>
    <w:rsid w:val="006C022C"/>
    <w:rsid w:val="006C28D1"/>
    <w:rsid w:val="006C7F93"/>
    <w:rsid w:val="006E2C77"/>
    <w:rsid w:val="006F0364"/>
    <w:rsid w:val="006F4202"/>
    <w:rsid w:val="00712371"/>
    <w:rsid w:val="00743C27"/>
    <w:rsid w:val="0076134D"/>
    <w:rsid w:val="00783F90"/>
    <w:rsid w:val="007A4BDC"/>
    <w:rsid w:val="007B64FC"/>
    <w:rsid w:val="00805AF0"/>
    <w:rsid w:val="00824835"/>
    <w:rsid w:val="00844A59"/>
    <w:rsid w:val="00861A26"/>
    <w:rsid w:val="00862EB1"/>
    <w:rsid w:val="0086715E"/>
    <w:rsid w:val="008B4369"/>
    <w:rsid w:val="008B5F98"/>
    <w:rsid w:val="008E1276"/>
    <w:rsid w:val="008E1EA7"/>
    <w:rsid w:val="008E1F52"/>
    <w:rsid w:val="00921DDE"/>
    <w:rsid w:val="00923E6F"/>
    <w:rsid w:val="00930F62"/>
    <w:rsid w:val="00937772"/>
    <w:rsid w:val="009761B2"/>
    <w:rsid w:val="00980FC9"/>
    <w:rsid w:val="009B1C2F"/>
    <w:rsid w:val="00A00AFE"/>
    <w:rsid w:val="00A40321"/>
    <w:rsid w:val="00A83D18"/>
    <w:rsid w:val="00A941FF"/>
    <w:rsid w:val="00AD2268"/>
    <w:rsid w:val="00B45281"/>
    <w:rsid w:val="00B61F3E"/>
    <w:rsid w:val="00B80602"/>
    <w:rsid w:val="00B960AF"/>
    <w:rsid w:val="00BB6199"/>
    <w:rsid w:val="00BC7D39"/>
    <w:rsid w:val="00BF3560"/>
    <w:rsid w:val="00BF7978"/>
    <w:rsid w:val="00C5167F"/>
    <w:rsid w:val="00C72C14"/>
    <w:rsid w:val="00C819EA"/>
    <w:rsid w:val="00CB6C8D"/>
    <w:rsid w:val="00CD1546"/>
    <w:rsid w:val="00CD77CC"/>
    <w:rsid w:val="00CF1BC7"/>
    <w:rsid w:val="00D1782A"/>
    <w:rsid w:val="00D21A94"/>
    <w:rsid w:val="00D2553C"/>
    <w:rsid w:val="00D37753"/>
    <w:rsid w:val="00D761C5"/>
    <w:rsid w:val="00D95636"/>
    <w:rsid w:val="00DB0DA4"/>
    <w:rsid w:val="00E02A2E"/>
    <w:rsid w:val="00E3592F"/>
    <w:rsid w:val="00E5552B"/>
    <w:rsid w:val="00E715FF"/>
    <w:rsid w:val="00E90604"/>
    <w:rsid w:val="00E94F49"/>
    <w:rsid w:val="00EA1F4D"/>
    <w:rsid w:val="00EA7A5E"/>
    <w:rsid w:val="00ED3BBA"/>
    <w:rsid w:val="00ED4E48"/>
    <w:rsid w:val="00EF0FAE"/>
    <w:rsid w:val="00EF5328"/>
    <w:rsid w:val="00F2137C"/>
    <w:rsid w:val="00F22571"/>
    <w:rsid w:val="00F408BD"/>
    <w:rsid w:val="00F53F2E"/>
    <w:rsid w:val="00F7223D"/>
    <w:rsid w:val="00F76FBB"/>
    <w:rsid w:val="00F90AA8"/>
    <w:rsid w:val="00F9397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3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9"/>
    <w:qFormat/>
    <w:rsid w:val="006E2C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C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E2C77"/>
    <w:pPr>
      <w:ind w:left="720"/>
      <w:contextualSpacing/>
    </w:pPr>
  </w:style>
  <w:style w:type="paragraph" w:styleId="Header">
    <w:name w:val="header"/>
    <w:basedOn w:val="Normal"/>
    <w:link w:val="HeaderChar"/>
    <w:rsid w:val="00712371"/>
    <w:pPr>
      <w:tabs>
        <w:tab w:val="center" w:pos="4513"/>
        <w:tab w:val="right" w:pos="9026"/>
      </w:tabs>
    </w:pPr>
  </w:style>
  <w:style w:type="character" w:customStyle="1" w:styleId="HeaderChar">
    <w:name w:val="Header Char"/>
    <w:basedOn w:val="DefaultParagraphFont"/>
    <w:link w:val="Header"/>
    <w:rsid w:val="00712371"/>
    <w:rPr>
      <w:rFonts w:ascii="Times New Roman" w:eastAsia="Times New Roman" w:hAnsi="Times New Roman" w:cs="Times New Roman"/>
      <w:sz w:val="24"/>
      <w:szCs w:val="24"/>
      <w:lang w:eastAsia="en-AU"/>
    </w:rPr>
  </w:style>
  <w:style w:type="character" w:styleId="Hyperlink">
    <w:name w:val="Hyperlink"/>
    <w:basedOn w:val="DefaultParagraphFont"/>
    <w:rsid w:val="00712371"/>
    <w:rPr>
      <w:color w:val="0000FF"/>
      <w:u w:val="single"/>
    </w:rPr>
  </w:style>
  <w:style w:type="paragraph" w:customStyle="1" w:styleId="numberedpara">
    <w:name w:val="numbered para"/>
    <w:basedOn w:val="Normal"/>
    <w:rsid w:val="00712371"/>
    <w:pPr>
      <w:keepLines/>
      <w:numPr>
        <w:numId w:val="1"/>
      </w:numPr>
    </w:pPr>
    <w:rPr>
      <w:rFonts w:ascii="Calibri" w:hAnsi="Calibri"/>
      <w:sz w:val="22"/>
      <w:szCs w:val="16"/>
      <w:lang w:eastAsia="en-US"/>
    </w:rPr>
  </w:style>
  <w:style w:type="paragraph" w:styleId="FootnoteText">
    <w:name w:val="footnote text"/>
    <w:basedOn w:val="Normal"/>
    <w:link w:val="FootnoteTextChar"/>
    <w:rsid w:val="00712371"/>
    <w:rPr>
      <w:rFonts w:ascii="Calibri" w:eastAsia="Calibri" w:hAnsi="Calibri"/>
      <w:sz w:val="20"/>
      <w:szCs w:val="20"/>
      <w:lang w:eastAsia="en-US"/>
    </w:rPr>
  </w:style>
  <w:style w:type="character" w:customStyle="1" w:styleId="FootnoteTextChar">
    <w:name w:val="Footnote Text Char"/>
    <w:basedOn w:val="DefaultParagraphFont"/>
    <w:link w:val="FootnoteText"/>
    <w:rsid w:val="00712371"/>
    <w:rPr>
      <w:rFonts w:ascii="Calibri" w:eastAsia="Calibri" w:hAnsi="Calibri"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deewr.gov.au/FairWorkPrincip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674</Words>
  <Characters>3843</Characters>
  <Application>Microsoft Office Word</Application>
  <DocSecurity>0</DocSecurity>
  <Lines>32</Lines>
  <Paragraphs>9</Paragraphs>
  <ScaleCrop>false</ScaleCrop>
  <Company>Australian Government</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Armour</dc:creator>
  <cp:lastModifiedBy>nikki Armour</cp:lastModifiedBy>
  <cp:revision>2</cp:revision>
  <dcterms:created xsi:type="dcterms:W3CDTF">2011-11-24T00:40:00Z</dcterms:created>
  <dcterms:modified xsi:type="dcterms:W3CDTF">2011-11-27T22:30:00Z</dcterms:modified>
</cp:coreProperties>
</file>