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49AD" w:rsidRPr="006F01B9" w:rsidRDefault="008C49AD" w:rsidP="008C49AD">
      <w:pPr>
        <w:spacing w:before="120"/>
        <w:jc w:val="center"/>
        <w:rPr>
          <w:b/>
        </w:rPr>
      </w:pPr>
      <w:r w:rsidRPr="006F01B9">
        <w:rPr>
          <w:b/>
        </w:rPr>
        <w:t>Australian Securities and Investments Commission</w:t>
      </w:r>
      <w:r w:rsidRPr="006F01B9">
        <w:rPr>
          <w:b/>
        </w:rPr>
        <w:br/>
        <w:t>Corporations Act 2001</w:t>
      </w:r>
      <w:r w:rsidR="00B230EA">
        <w:rPr>
          <w:b/>
        </w:rPr>
        <w:t xml:space="preserve"> </w:t>
      </w:r>
      <w:r w:rsidR="001B743C">
        <w:rPr>
          <w:b/>
        </w:rPr>
        <w:t>—</w:t>
      </w:r>
      <w:r w:rsidRPr="006F01B9">
        <w:rPr>
          <w:b/>
        </w:rPr>
        <w:t xml:space="preserve"> Paragraph</w:t>
      </w:r>
      <w:r w:rsidR="006F01B9">
        <w:rPr>
          <w:b/>
        </w:rPr>
        <w:t xml:space="preserve">s </w:t>
      </w:r>
      <w:proofErr w:type="gramStart"/>
      <w:r w:rsidR="006F01B9" w:rsidRPr="006F01B9">
        <w:rPr>
          <w:b/>
        </w:rPr>
        <w:t>926</w:t>
      </w:r>
      <w:r w:rsidR="00A50FBC">
        <w:rPr>
          <w:b/>
        </w:rPr>
        <w:t>A</w:t>
      </w:r>
      <w:r w:rsidR="006F01B9" w:rsidRPr="006F01B9">
        <w:rPr>
          <w:b/>
        </w:rPr>
        <w:t>(</w:t>
      </w:r>
      <w:proofErr w:type="gramEnd"/>
      <w:r w:rsidR="006F01B9" w:rsidRPr="006F01B9">
        <w:rPr>
          <w:b/>
        </w:rPr>
        <w:t>2)(a) and 951B(1)(a)</w:t>
      </w:r>
      <w:r w:rsidR="00B230EA">
        <w:rPr>
          <w:b/>
        </w:rPr>
        <w:t xml:space="preserve"> </w:t>
      </w:r>
      <w:r w:rsidR="001B743C">
        <w:rPr>
          <w:b/>
        </w:rPr>
        <w:t>—</w:t>
      </w:r>
      <w:r w:rsidRPr="006F01B9">
        <w:rPr>
          <w:b/>
        </w:rPr>
        <w:t xml:space="preserve"> Exemption </w:t>
      </w:r>
    </w:p>
    <w:p w:rsidR="008C49AD" w:rsidRPr="006F01B9" w:rsidRDefault="008C49AD" w:rsidP="008C49AD">
      <w:pPr>
        <w:rPr>
          <w:b/>
        </w:rPr>
      </w:pPr>
    </w:p>
    <w:p w:rsidR="008C49AD" w:rsidRPr="006F01B9" w:rsidRDefault="008C49AD" w:rsidP="008C49AD">
      <w:pPr>
        <w:outlineLvl w:val="0"/>
        <w:rPr>
          <w:b/>
        </w:rPr>
      </w:pPr>
      <w:r w:rsidRPr="006F01B9">
        <w:rPr>
          <w:b/>
        </w:rPr>
        <w:t>Enabling legislation</w:t>
      </w:r>
    </w:p>
    <w:p w:rsidR="008C49AD" w:rsidRPr="006F01B9" w:rsidRDefault="008C49AD" w:rsidP="008C49AD">
      <w:pPr>
        <w:ind w:left="567" w:hanging="567"/>
      </w:pPr>
    </w:p>
    <w:p w:rsidR="008C49AD" w:rsidRPr="006F01B9" w:rsidRDefault="008C49AD" w:rsidP="00782063">
      <w:pPr>
        <w:pStyle w:val="ListParagraph"/>
        <w:numPr>
          <w:ilvl w:val="0"/>
          <w:numId w:val="6"/>
        </w:numPr>
        <w:ind w:left="567" w:hanging="567"/>
      </w:pPr>
      <w:r w:rsidRPr="006F01B9">
        <w:t>The Australian Securities and Investments Commission makes this instrument under paragraph</w:t>
      </w:r>
      <w:r w:rsidR="006F01B9" w:rsidRPr="006F01B9">
        <w:t xml:space="preserve">s </w:t>
      </w:r>
      <w:proofErr w:type="gramStart"/>
      <w:r w:rsidR="006F01B9" w:rsidRPr="006F01B9">
        <w:t>926</w:t>
      </w:r>
      <w:r w:rsidR="00A50FBC">
        <w:t>A</w:t>
      </w:r>
      <w:r w:rsidR="006F01B9" w:rsidRPr="006F01B9">
        <w:t>(</w:t>
      </w:r>
      <w:proofErr w:type="gramEnd"/>
      <w:r w:rsidR="006F01B9" w:rsidRPr="006F01B9">
        <w:t>2)(a) and 951B</w:t>
      </w:r>
      <w:r w:rsidRPr="006F01B9">
        <w:t xml:space="preserve">(1)(a) of the </w:t>
      </w:r>
      <w:r w:rsidRPr="00782063">
        <w:rPr>
          <w:i/>
        </w:rPr>
        <w:t>Corporations Act 2001</w:t>
      </w:r>
      <w:r w:rsidRPr="006F01B9">
        <w:t xml:space="preserve"> (</w:t>
      </w:r>
      <w:r w:rsidRPr="00782063">
        <w:rPr>
          <w:b/>
          <w:i/>
        </w:rPr>
        <w:t>Act</w:t>
      </w:r>
      <w:r w:rsidRPr="006F01B9">
        <w:t>).</w:t>
      </w:r>
    </w:p>
    <w:p w:rsidR="008C49AD" w:rsidRPr="006F01B9" w:rsidRDefault="008C49AD" w:rsidP="008C49AD">
      <w:pPr>
        <w:rPr>
          <w:b/>
          <w:highlight w:val="yellow"/>
        </w:rPr>
      </w:pPr>
    </w:p>
    <w:p w:rsidR="008C49AD" w:rsidRPr="006F01B9" w:rsidRDefault="008C49AD" w:rsidP="008C49AD">
      <w:pPr>
        <w:outlineLvl w:val="0"/>
        <w:rPr>
          <w:b/>
        </w:rPr>
      </w:pPr>
      <w:r w:rsidRPr="006F01B9">
        <w:rPr>
          <w:b/>
        </w:rPr>
        <w:t>Title</w:t>
      </w:r>
    </w:p>
    <w:p w:rsidR="008C49AD" w:rsidRPr="006F01B9" w:rsidRDefault="008C49AD" w:rsidP="008C49AD">
      <w:pPr>
        <w:ind w:left="567" w:hanging="567"/>
      </w:pPr>
    </w:p>
    <w:p w:rsidR="008C49AD" w:rsidRPr="006F01B9" w:rsidRDefault="008C49AD" w:rsidP="00782063">
      <w:pPr>
        <w:pStyle w:val="ListParagraph"/>
        <w:numPr>
          <w:ilvl w:val="0"/>
          <w:numId w:val="6"/>
        </w:numPr>
        <w:ind w:left="567" w:hanging="567"/>
      </w:pPr>
      <w:r w:rsidRPr="006F01B9">
        <w:t xml:space="preserve">This instrument is ASIC Class Order [CO </w:t>
      </w:r>
      <w:r w:rsidR="00D46625">
        <w:t>11/1227</w:t>
      </w:r>
      <w:r w:rsidRPr="006F01B9">
        <w:t>].</w:t>
      </w:r>
    </w:p>
    <w:p w:rsidR="008C49AD" w:rsidRPr="006F01B9" w:rsidRDefault="008C49AD" w:rsidP="008C49AD">
      <w:pPr>
        <w:ind w:left="567" w:hanging="567"/>
        <w:rPr>
          <w:highlight w:val="yellow"/>
        </w:rPr>
      </w:pPr>
    </w:p>
    <w:p w:rsidR="008C49AD" w:rsidRPr="006F01B9" w:rsidRDefault="008C49AD" w:rsidP="008C49AD">
      <w:pPr>
        <w:spacing w:before="120"/>
        <w:outlineLvl w:val="0"/>
        <w:rPr>
          <w:b/>
        </w:rPr>
      </w:pPr>
      <w:r w:rsidRPr="006F01B9">
        <w:rPr>
          <w:b/>
        </w:rPr>
        <w:t>Commencement</w:t>
      </w:r>
    </w:p>
    <w:p w:rsidR="008C49AD" w:rsidRPr="006F01B9" w:rsidRDefault="008C49AD" w:rsidP="008C49AD">
      <w:pPr>
        <w:spacing w:before="120"/>
        <w:rPr>
          <w:b/>
        </w:rPr>
      </w:pPr>
    </w:p>
    <w:p w:rsidR="006F01B9" w:rsidRDefault="008C49AD" w:rsidP="00782063">
      <w:pPr>
        <w:pStyle w:val="ListParagraph"/>
        <w:numPr>
          <w:ilvl w:val="0"/>
          <w:numId w:val="6"/>
        </w:numPr>
        <w:ind w:left="567" w:hanging="567"/>
      </w:pPr>
      <w:r w:rsidRPr="006F01B9">
        <w:t xml:space="preserve">This instrument commences on the </w:t>
      </w:r>
      <w:r w:rsidR="006F01B9">
        <w:t>date it is registered under the</w:t>
      </w:r>
    </w:p>
    <w:p w:rsidR="008C49AD" w:rsidRPr="006F01B9" w:rsidRDefault="006F01B9" w:rsidP="006F01B9">
      <w:pPr>
        <w:ind w:left="567"/>
      </w:pPr>
      <w:proofErr w:type="gramStart"/>
      <w:r w:rsidRPr="006F01B9">
        <w:rPr>
          <w:i/>
        </w:rPr>
        <w:t>Legislative Instruments Act 2003</w:t>
      </w:r>
      <w:r>
        <w:t>.</w:t>
      </w:r>
      <w:proofErr w:type="gramEnd"/>
      <w:r w:rsidR="008C49AD" w:rsidRPr="006F01B9">
        <w:t xml:space="preserve"> </w:t>
      </w:r>
    </w:p>
    <w:p w:rsidR="008C49AD" w:rsidRPr="006F01B9" w:rsidRDefault="008C49AD" w:rsidP="008C49AD">
      <w:pPr>
        <w:ind w:left="567" w:hanging="567"/>
      </w:pPr>
    </w:p>
    <w:p w:rsidR="008C49AD" w:rsidRPr="006F01B9" w:rsidRDefault="008C49AD" w:rsidP="008C49AD">
      <w:pPr>
        <w:ind w:left="1134" w:hanging="567"/>
      </w:pPr>
      <w:r w:rsidRPr="006F01B9">
        <w:rPr>
          <w:sz w:val="18"/>
          <w:szCs w:val="18"/>
        </w:rPr>
        <w:t xml:space="preserve">Note: </w:t>
      </w:r>
      <w:r w:rsidRPr="006F01B9">
        <w:rPr>
          <w:sz w:val="18"/>
          <w:szCs w:val="18"/>
        </w:rPr>
        <w:tab/>
        <w:t>An instrument is registered when it is recorded on the Federal Register of Legislative Instruments (</w:t>
      </w:r>
      <w:r w:rsidRPr="006F01B9">
        <w:rPr>
          <w:b/>
          <w:i/>
          <w:sz w:val="18"/>
          <w:szCs w:val="18"/>
        </w:rPr>
        <w:t>FRLI</w:t>
      </w:r>
      <w:r w:rsidRPr="006F01B9">
        <w:rPr>
          <w:sz w:val="18"/>
          <w:szCs w:val="18"/>
        </w:rPr>
        <w:t xml:space="preserve">) in electronic form: see </w:t>
      </w:r>
      <w:r w:rsidRPr="006F01B9">
        <w:rPr>
          <w:i/>
          <w:sz w:val="18"/>
          <w:szCs w:val="18"/>
        </w:rPr>
        <w:t>Legislative Instruments Act 2003</w:t>
      </w:r>
      <w:r w:rsidRPr="006F01B9">
        <w:rPr>
          <w:sz w:val="18"/>
          <w:szCs w:val="18"/>
        </w:rPr>
        <w:t xml:space="preserve">, s 4 (definition of </w:t>
      </w:r>
      <w:r w:rsidRPr="006F01B9">
        <w:rPr>
          <w:b/>
          <w:i/>
          <w:sz w:val="18"/>
          <w:szCs w:val="18"/>
        </w:rPr>
        <w:t>register</w:t>
      </w:r>
      <w:r w:rsidRPr="006F01B9">
        <w:rPr>
          <w:sz w:val="18"/>
          <w:szCs w:val="18"/>
        </w:rPr>
        <w:t xml:space="preserve">). The FRLI may be accessed at </w:t>
      </w:r>
      <w:hyperlink r:id="rId8" w:history="1">
        <w:r w:rsidRPr="006F01B9">
          <w:rPr>
            <w:rStyle w:val="Hyperlink"/>
            <w:sz w:val="18"/>
            <w:szCs w:val="18"/>
          </w:rPr>
          <w:t>http://www.frli.gov.au/</w:t>
        </w:r>
      </w:hyperlink>
      <w:r w:rsidRPr="006F01B9">
        <w:rPr>
          <w:sz w:val="18"/>
          <w:szCs w:val="18"/>
        </w:rPr>
        <w:t>.</w:t>
      </w:r>
    </w:p>
    <w:p w:rsidR="008C49AD" w:rsidRPr="006F01B9" w:rsidRDefault="008C49AD" w:rsidP="008C49AD">
      <w:pPr>
        <w:rPr>
          <w:b/>
          <w:highlight w:val="yellow"/>
        </w:rPr>
      </w:pPr>
    </w:p>
    <w:p w:rsidR="008C49AD" w:rsidRPr="006F01B9" w:rsidRDefault="008C49AD" w:rsidP="008C49AD">
      <w:pPr>
        <w:outlineLvl w:val="0"/>
        <w:rPr>
          <w:b/>
          <w:highlight w:val="yellow"/>
        </w:rPr>
      </w:pPr>
      <w:r w:rsidRPr="007E3EA3">
        <w:rPr>
          <w:b/>
        </w:rPr>
        <w:t xml:space="preserve">Exemption </w:t>
      </w:r>
    </w:p>
    <w:p w:rsidR="008C49AD" w:rsidRPr="006F01B9" w:rsidRDefault="008C49AD" w:rsidP="008C49AD">
      <w:pPr>
        <w:ind w:left="567" w:hanging="567"/>
        <w:rPr>
          <w:highlight w:val="yellow"/>
        </w:rPr>
      </w:pPr>
    </w:p>
    <w:p w:rsidR="007E3EA3" w:rsidRDefault="007E3EA3" w:rsidP="00782063">
      <w:pPr>
        <w:pStyle w:val="ListParagraph"/>
        <w:numPr>
          <w:ilvl w:val="0"/>
          <w:numId w:val="6"/>
        </w:numPr>
        <w:ind w:left="567" w:hanging="567"/>
      </w:pPr>
      <w:bookmarkStart w:id="0" w:name="_Ref309302724"/>
      <w:r w:rsidRPr="007E3EA3">
        <w:t>A trustee</w:t>
      </w:r>
      <w:r w:rsidR="00A50FBC">
        <w:t xml:space="preserve"> </w:t>
      </w:r>
      <w:r w:rsidR="00A50FBC" w:rsidRPr="00A50FBC">
        <w:t xml:space="preserve">(the </w:t>
      </w:r>
      <w:r w:rsidR="00A50FBC">
        <w:rPr>
          <w:b/>
          <w:i/>
        </w:rPr>
        <w:t>trustee</w:t>
      </w:r>
      <w:r w:rsidR="00A50FBC" w:rsidRPr="00A50FBC">
        <w:t>)</w:t>
      </w:r>
      <w:r w:rsidRPr="007E3EA3">
        <w:t xml:space="preserve"> of a </w:t>
      </w:r>
      <w:r w:rsidR="00A01827">
        <w:t>superannuation entity</w:t>
      </w:r>
      <w:r w:rsidRPr="007E3EA3">
        <w:t xml:space="preserve"> (the </w:t>
      </w:r>
      <w:r w:rsidRPr="007E3EA3">
        <w:rPr>
          <w:b/>
          <w:i/>
        </w:rPr>
        <w:t>fund</w:t>
      </w:r>
      <w:r w:rsidRPr="007E3EA3">
        <w:t xml:space="preserve">) </w:t>
      </w:r>
      <w:r>
        <w:t xml:space="preserve">who provides financial product advice </w:t>
      </w:r>
      <w:r w:rsidR="00183C7B">
        <w:t>in</w:t>
      </w:r>
      <w:r>
        <w:t xml:space="preserve"> a </w:t>
      </w:r>
      <w:r w:rsidR="00375786">
        <w:t>statement</w:t>
      </w:r>
      <w:r w:rsidR="001A7C88">
        <w:t xml:space="preserve"> (the </w:t>
      </w:r>
      <w:r w:rsidR="00462CB1">
        <w:rPr>
          <w:b/>
          <w:i/>
        </w:rPr>
        <w:t>estimate</w:t>
      </w:r>
      <w:r w:rsidR="001A7C88">
        <w:t>) that complies with paragraph</w:t>
      </w:r>
      <w:r w:rsidR="00453B2F" w:rsidRPr="00F46010">
        <w:t>s</w:t>
      </w:r>
      <w:r w:rsidR="001A7C88">
        <w:t xml:space="preserve"> 6</w:t>
      </w:r>
      <w:r w:rsidR="00922D5F">
        <w:t xml:space="preserve"> </w:t>
      </w:r>
      <w:r w:rsidR="00453B2F" w:rsidRPr="00F46010">
        <w:t>and 7</w:t>
      </w:r>
      <w:r w:rsidR="00453B2F">
        <w:t xml:space="preserve"> </w:t>
      </w:r>
      <w:r w:rsidR="00922D5F">
        <w:t>to a member of the fund</w:t>
      </w:r>
      <w:r>
        <w:t xml:space="preserve"> does not have to comply with:</w:t>
      </w:r>
      <w:bookmarkEnd w:id="0"/>
      <w:r>
        <w:t xml:space="preserve"> </w:t>
      </w:r>
    </w:p>
    <w:p w:rsidR="007E3EA3" w:rsidRDefault="007E3EA3" w:rsidP="007E3EA3">
      <w:pPr>
        <w:ind w:left="567" w:hanging="567"/>
      </w:pPr>
    </w:p>
    <w:p w:rsidR="007E3EA3" w:rsidRDefault="007E3EA3" w:rsidP="00E622A9">
      <w:pPr>
        <w:pStyle w:val="ListParagraph"/>
        <w:numPr>
          <w:ilvl w:val="0"/>
          <w:numId w:val="4"/>
        </w:numPr>
        <w:ind w:left="1134" w:hanging="567"/>
      </w:pPr>
      <w:r>
        <w:t>the requirement in subsection 911A(1) of the Act to hold an Australian financial services licence covering the provision of that advice; or</w:t>
      </w:r>
    </w:p>
    <w:p w:rsidR="007E3EA3" w:rsidRDefault="007E3EA3" w:rsidP="007E3EA3">
      <w:pPr>
        <w:pStyle w:val="ListParagraph"/>
        <w:ind w:left="927"/>
      </w:pPr>
    </w:p>
    <w:p w:rsidR="007E3EA3" w:rsidRDefault="007E3EA3" w:rsidP="00E622A9">
      <w:pPr>
        <w:pStyle w:val="ListParagraph"/>
        <w:numPr>
          <w:ilvl w:val="0"/>
          <w:numId w:val="4"/>
        </w:numPr>
        <w:ind w:left="1134" w:hanging="567"/>
      </w:pPr>
      <w:proofErr w:type="gramStart"/>
      <w:r>
        <w:t>where</w:t>
      </w:r>
      <w:proofErr w:type="gramEnd"/>
      <w:r>
        <w:t xml:space="preserve"> the </w:t>
      </w:r>
      <w:r w:rsidR="001B743C">
        <w:t xml:space="preserve">trustee </w:t>
      </w:r>
      <w:r>
        <w:t>is a financial services licensee—Divisions 2, 3 and 4 of Part</w:t>
      </w:r>
      <w:r w:rsidR="00453B2F">
        <w:t> </w:t>
      </w:r>
      <w:r>
        <w:t>7.7 of the Act in relation to that advice.</w:t>
      </w:r>
    </w:p>
    <w:p w:rsidR="007E3EA3" w:rsidRDefault="007E3EA3" w:rsidP="007E3EA3">
      <w:pPr>
        <w:ind w:left="567" w:hanging="567"/>
      </w:pPr>
    </w:p>
    <w:p w:rsidR="00C246C4" w:rsidRDefault="001A7C88">
      <w:pPr>
        <w:pStyle w:val="ListParagraph"/>
        <w:ind w:left="0"/>
        <w:rPr>
          <w:b/>
        </w:rPr>
      </w:pPr>
      <w:r>
        <w:rPr>
          <w:b/>
        </w:rPr>
        <w:t>Where the relief applies</w:t>
      </w:r>
    </w:p>
    <w:p w:rsidR="00C246C4" w:rsidRDefault="00C246C4">
      <w:pPr>
        <w:pStyle w:val="ListParagraph"/>
        <w:ind w:left="0"/>
      </w:pPr>
    </w:p>
    <w:p w:rsidR="00A5016E" w:rsidRPr="00751701" w:rsidRDefault="001A578B" w:rsidP="00A5016E">
      <w:pPr>
        <w:pStyle w:val="ListParagraph"/>
        <w:numPr>
          <w:ilvl w:val="0"/>
          <w:numId w:val="6"/>
        </w:numPr>
        <w:ind w:left="567" w:hanging="567"/>
      </w:pPr>
      <w:bookmarkStart w:id="1" w:name="_Ref309308897"/>
      <w:r>
        <w:t xml:space="preserve">The </w:t>
      </w:r>
      <w:r w:rsidRPr="001A578B">
        <w:t xml:space="preserve">trustee </w:t>
      </w:r>
      <w:r w:rsidR="001B743C">
        <w:t xml:space="preserve">may rely on the exemption in paragraph 4 </w:t>
      </w:r>
      <w:r w:rsidRPr="001A578B">
        <w:t xml:space="preserve">only if </w:t>
      </w:r>
      <w:r w:rsidR="00772AE1">
        <w:t>both of the following apply</w:t>
      </w:r>
      <w:r>
        <w:t>:</w:t>
      </w:r>
      <w:bookmarkEnd w:id="1"/>
    </w:p>
    <w:p w:rsidR="00E622A9" w:rsidRPr="00751701" w:rsidRDefault="00E622A9" w:rsidP="00E622A9">
      <w:pPr>
        <w:pStyle w:val="ListParagraph"/>
      </w:pPr>
    </w:p>
    <w:p w:rsidR="002D5290" w:rsidRDefault="00772AE1" w:rsidP="00E622A9">
      <w:pPr>
        <w:pStyle w:val="ListParagraph"/>
        <w:numPr>
          <w:ilvl w:val="0"/>
          <w:numId w:val="8"/>
        </w:numPr>
        <w:ind w:left="1134" w:hanging="567"/>
      </w:pPr>
      <w:r>
        <w:t xml:space="preserve">The </w:t>
      </w:r>
      <w:r w:rsidR="00462CB1">
        <w:t>estimate</w:t>
      </w:r>
      <w:r w:rsidR="002D5290">
        <w:t>:</w:t>
      </w:r>
    </w:p>
    <w:p w:rsidR="00900FE3" w:rsidRDefault="00900FE3">
      <w:pPr>
        <w:pStyle w:val="ListParagraph"/>
        <w:ind w:left="1134"/>
      </w:pPr>
    </w:p>
    <w:p w:rsidR="00900FE3" w:rsidRDefault="002D5290">
      <w:pPr>
        <w:pStyle w:val="ListParagraph"/>
        <w:numPr>
          <w:ilvl w:val="1"/>
          <w:numId w:val="8"/>
        </w:numPr>
        <w:ind w:left="1701" w:hanging="567"/>
      </w:pPr>
      <w:r>
        <w:t xml:space="preserve">is </w:t>
      </w:r>
      <w:r w:rsidR="00772AE1">
        <w:t xml:space="preserve">given </w:t>
      </w:r>
      <w:r w:rsidR="001A578B">
        <w:t>by the trustee at the time the member</w:t>
      </w:r>
      <w:r w:rsidR="008376DA">
        <w:t xml:space="preserve"> is given a </w:t>
      </w:r>
      <w:r w:rsidR="001A578B">
        <w:t>periodic statement</w:t>
      </w:r>
      <w:r>
        <w:t>;</w:t>
      </w:r>
      <w:r w:rsidR="001A578B">
        <w:t xml:space="preserve"> and</w:t>
      </w:r>
    </w:p>
    <w:p w:rsidR="00922D5F" w:rsidRDefault="00922D5F" w:rsidP="00922D5F">
      <w:pPr>
        <w:pStyle w:val="ListParagraph"/>
        <w:ind w:left="1134"/>
      </w:pPr>
    </w:p>
    <w:p w:rsidR="002D5290" w:rsidRDefault="002D5290" w:rsidP="00922D5F">
      <w:pPr>
        <w:pStyle w:val="ListParagraph"/>
        <w:numPr>
          <w:ilvl w:val="1"/>
          <w:numId w:val="8"/>
        </w:numPr>
        <w:ind w:left="1701" w:hanging="567"/>
      </w:pPr>
      <w:r>
        <w:t>either:</w:t>
      </w:r>
    </w:p>
    <w:p w:rsidR="00900FE3" w:rsidRDefault="00900FE3">
      <w:pPr>
        <w:pStyle w:val="ListParagraph"/>
        <w:ind w:left="1701"/>
      </w:pPr>
    </w:p>
    <w:p w:rsidR="00900FE3" w:rsidRDefault="002D5290">
      <w:pPr>
        <w:ind w:left="1701"/>
      </w:pPr>
      <w:r>
        <w:t>(A)</w:t>
      </w:r>
      <w:r>
        <w:tab/>
      </w:r>
      <w:r w:rsidR="00922D5F">
        <w:t xml:space="preserve">is included in the </w:t>
      </w:r>
      <w:r w:rsidR="00375786">
        <w:t xml:space="preserve">periodic </w:t>
      </w:r>
      <w:r w:rsidR="00922D5F">
        <w:t xml:space="preserve">statement; or </w:t>
      </w:r>
    </w:p>
    <w:p w:rsidR="00900FE3" w:rsidRDefault="00900FE3">
      <w:pPr>
        <w:pStyle w:val="ListParagraph"/>
        <w:ind w:left="3708"/>
      </w:pPr>
    </w:p>
    <w:p w:rsidR="00900FE3" w:rsidRDefault="002D5290">
      <w:pPr>
        <w:ind w:left="1701"/>
      </w:pPr>
      <w:r>
        <w:t>(B)</w:t>
      </w:r>
      <w:r>
        <w:tab/>
      </w:r>
      <w:proofErr w:type="gramStart"/>
      <w:r w:rsidR="00922D5F">
        <w:t>accompanies</w:t>
      </w:r>
      <w:proofErr w:type="gramEnd"/>
      <w:r w:rsidR="00922D5F">
        <w:t xml:space="preserve"> the </w:t>
      </w:r>
      <w:r w:rsidR="00375786">
        <w:t xml:space="preserve">periodic </w:t>
      </w:r>
      <w:r w:rsidR="00922D5F">
        <w:t>statement</w:t>
      </w:r>
      <w:r w:rsidR="00772AE1">
        <w:t>.</w:t>
      </w:r>
    </w:p>
    <w:p w:rsidR="008742F3" w:rsidRDefault="008742F3" w:rsidP="006100D0"/>
    <w:p w:rsidR="00772AE1" w:rsidRDefault="00772AE1" w:rsidP="00922D5F">
      <w:pPr>
        <w:pStyle w:val="ListParagraph"/>
        <w:numPr>
          <w:ilvl w:val="0"/>
          <w:numId w:val="8"/>
        </w:numPr>
        <w:ind w:left="1134" w:hanging="567"/>
      </w:pPr>
      <w:r>
        <w:t xml:space="preserve">The member: </w:t>
      </w:r>
    </w:p>
    <w:p w:rsidR="00C246C4" w:rsidRDefault="00C246C4">
      <w:pPr>
        <w:pStyle w:val="ListParagraph"/>
        <w:ind w:left="1134"/>
      </w:pPr>
    </w:p>
    <w:p w:rsidR="00C246C4" w:rsidRDefault="00922D5F">
      <w:pPr>
        <w:pStyle w:val="ListParagraph"/>
        <w:numPr>
          <w:ilvl w:val="1"/>
          <w:numId w:val="8"/>
        </w:numPr>
        <w:ind w:left="2160" w:hanging="873"/>
      </w:pPr>
      <w:r>
        <w:t xml:space="preserve">has been a member of the fund for </w:t>
      </w:r>
      <w:r w:rsidR="008978D6">
        <w:t>the</w:t>
      </w:r>
      <w:r w:rsidR="008770B7">
        <w:t xml:space="preserve"> year </w:t>
      </w:r>
      <w:r w:rsidR="00917885">
        <w:t>ending on</w:t>
      </w:r>
      <w:r w:rsidR="00A06880">
        <w:t xml:space="preserve"> the date </w:t>
      </w:r>
      <w:r w:rsidR="00462CB1">
        <w:t xml:space="preserve">of </w:t>
      </w:r>
      <w:r w:rsidR="00A06880">
        <w:t xml:space="preserve">the </w:t>
      </w:r>
      <w:r w:rsidR="00462CB1">
        <w:t>estimate</w:t>
      </w:r>
      <w:r>
        <w:t xml:space="preserve">; </w:t>
      </w:r>
      <w:r w:rsidR="00C414A6" w:rsidRPr="00C414A6">
        <w:t>and</w:t>
      </w:r>
    </w:p>
    <w:p w:rsidR="00A06880" w:rsidRDefault="00A06880" w:rsidP="00A06880">
      <w:pPr>
        <w:pStyle w:val="ListParagraph"/>
        <w:ind w:left="1134"/>
      </w:pPr>
    </w:p>
    <w:p w:rsidR="00C246C4" w:rsidRDefault="001A578B">
      <w:pPr>
        <w:pStyle w:val="ListParagraph"/>
        <w:numPr>
          <w:ilvl w:val="1"/>
          <w:numId w:val="8"/>
        </w:numPr>
        <w:ind w:left="2160" w:hanging="873"/>
      </w:pPr>
      <w:proofErr w:type="gramStart"/>
      <w:r>
        <w:t>is</w:t>
      </w:r>
      <w:proofErr w:type="gramEnd"/>
      <w:r>
        <w:t xml:space="preserve"> </w:t>
      </w:r>
      <w:r w:rsidR="009B091B">
        <w:t>younger than</w:t>
      </w:r>
      <w:r>
        <w:t xml:space="preserve"> 65 at the date </w:t>
      </w:r>
      <w:r w:rsidR="00462CB1">
        <w:t xml:space="preserve">of </w:t>
      </w:r>
      <w:r>
        <w:t xml:space="preserve">the </w:t>
      </w:r>
      <w:r w:rsidR="00462CB1">
        <w:t>estimate</w:t>
      </w:r>
      <w:r w:rsidRPr="001A578B">
        <w:t>.</w:t>
      </w:r>
      <w:r>
        <w:t xml:space="preserve"> </w:t>
      </w:r>
    </w:p>
    <w:p w:rsidR="001B743C" w:rsidRDefault="001B743C"/>
    <w:p w:rsidR="00B230EA" w:rsidRPr="00B230EA" w:rsidRDefault="00960388">
      <w:pPr>
        <w:rPr>
          <w:b/>
        </w:rPr>
      </w:pPr>
      <w:r w:rsidRPr="00960388">
        <w:rPr>
          <w:b/>
        </w:rPr>
        <w:t>The estimate</w:t>
      </w:r>
    </w:p>
    <w:p w:rsidR="00B230EA" w:rsidRDefault="00B230EA"/>
    <w:p w:rsidR="001B743C" w:rsidRDefault="00B02871">
      <w:pPr>
        <w:pStyle w:val="ListParagraph"/>
        <w:numPr>
          <w:ilvl w:val="0"/>
          <w:numId w:val="6"/>
        </w:numPr>
        <w:ind w:left="567" w:hanging="567"/>
      </w:pPr>
      <w:r>
        <w:t xml:space="preserve">The </w:t>
      </w:r>
      <w:r w:rsidR="00B230EA">
        <w:t xml:space="preserve">estimate </w:t>
      </w:r>
      <w:r>
        <w:t xml:space="preserve">must </w:t>
      </w:r>
      <w:r w:rsidR="001A7C88">
        <w:t>include</w:t>
      </w:r>
      <w:r>
        <w:t xml:space="preserve"> </w:t>
      </w:r>
      <w:r w:rsidR="009D0672">
        <w:t xml:space="preserve">all of </w:t>
      </w:r>
      <w:r>
        <w:t>the following:</w:t>
      </w:r>
    </w:p>
    <w:p w:rsidR="00922D5F" w:rsidRDefault="00922D5F" w:rsidP="00922D5F">
      <w:pPr>
        <w:pStyle w:val="ListParagraph"/>
        <w:ind w:left="1134"/>
      </w:pPr>
    </w:p>
    <w:p w:rsidR="001B743C" w:rsidRDefault="00BF3D00">
      <w:pPr>
        <w:pStyle w:val="ListParagraph"/>
        <w:numPr>
          <w:ilvl w:val="0"/>
          <w:numId w:val="15"/>
        </w:numPr>
        <w:ind w:left="1134" w:hanging="567"/>
      </w:pPr>
      <w:r w:rsidRPr="00BF3D00">
        <w:t xml:space="preserve">the </w:t>
      </w:r>
      <w:r w:rsidR="009B091B">
        <w:t xml:space="preserve">amount </w:t>
      </w:r>
      <w:r w:rsidR="001B1E7B">
        <w:t>(</w:t>
      </w:r>
      <w:r w:rsidR="00960388" w:rsidRPr="00960388">
        <w:t>the</w:t>
      </w:r>
      <w:r w:rsidR="001B1E7B">
        <w:rPr>
          <w:i/>
        </w:rPr>
        <w:t xml:space="preserve"> </w:t>
      </w:r>
      <w:r w:rsidR="00C332FF">
        <w:rPr>
          <w:b/>
          <w:i/>
        </w:rPr>
        <w:t>lump s</w:t>
      </w:r>
      <w:r w:rsidR="001B1E7B">
        <w:rPr>
          <w:b/>
          <w:i/>
        </w:rPr>
        <w:t>um</w:t>
      </w:r>
      <w:r w:rsidR="001B1E7B">
        <w:rPr>
          <w:i/>
        </w:rPr>
        <w:t xml:space="preserve">) </w:t>
      </w:r>
      <w:r w:rsidR="001A71B4">
        <w:t xml:space="preserve">worked out </w:t>
      </w:r>
      <w:r w:rsidR="001B1E7B">
        <w:t xml:space="preserve">in accordance with paragraph </w:t>
      </w:r>
      <w:r w:rsidR="001A71B4">
        <w:t>8</w:t>
      </w:r>
      <w:r w:rsidR="001B1E7B">
        <w:t>,</w:t>
      </w:r>
      <w:r w:rsidRPr="00BF3D00">
        <w:t xml:space="preserve"> specified as an amount in dollars rounded to the nearest $10,000 </w:t>
      </w:r>
      <w:r w:rsidR="009B091B">
        <w:t>together with a statement</w:t>
      </w:r>
      <w:r w:rsidRPr="00BF3D00">
        <w:t xml:space="preserve"> that this amount is the estimated balance of the member’s </w:t>
      </w:r>
      <w:r w:rsidR="0001096E">
        <w:t>account</w:t>
      </w:r>
      <w:r w:rsidRPr="00BF3D00">
        <w:t xml:space="preserve"> with the fund when the member is 65;</w:t>
      </w:r>
    </w:p>
    <w:p w:rsidR="001B743C" w:rsidRDefault="001B743C">
      <w:pPr>
        <w:pStyle w:val="ListParagraph"/>
        <w:ind w:left="927"/>
      </w:pPr>
    </w:p>
    <w:p w:rsidR="001B743C" w:rsidRDefault="001B1E7B">
      <w:pPr>
        <w:pStyle w:val="ListParagraph"/>
        <w:numPr>
          <w:ilvl w:val="0"/>
          <w:numId w:val="15"/>
        </w:numPr>
        <w:ind w:left="1134" w:hanging="567"/>
      </w:pPr>
      <w:r>
        <w:t>the amount (</w:t>
      </w:r>
      <w:r w:rsidR="00960388" w:rsidRPr="00960388">
        <w:t>the</w:t>
      </w:r>
      <w:r>
        <w:rPr>
          <w:b/>
          <w:i/>
        </w:rPr>
        <w:t xml:space="preserve"> annual income </w:t>
      </w:r>
      <w:r w:rsidR="00C332FF">
        <w:rPr>
          <w:b/>
          <w:i/>
        </w:rPr>
        <w:t xml:space="preserve">stream </w:t>
      </w:r>
      <w:r>
        <w:rPr>
          <w:b/>
          <w:i/>
        </w:rPr>
        <w:t>amount</w:t>
      </w:r>
      <w:r>
        <w:rPr>
          <w:i/>
        </w:rPr>
        <w:t>)</w:t>
      </w:r>
      <w:r>
        <w:t xml:space="preserve"> </w:t>
      </w:r>
      <w:r w:rsidR="001A71B4">
        <w:t xml:space="preserve">worked out </w:t>
      </w:r>
      <w:r>
        <w:t xml:space="preserve">in accordance with paragraph </w:t>
      </w:r>
      <w:r w:rsidR="001A71B4">
        <w:t>9</w:t>
      </w:r>
      <w:r>
        <w:t>,</w:t>
      </w:r>
      <w:r>
        <w:rPr>
          <w:i/>
        </w:rPr>
        <w:t xml:space="preserve"> </w:t>
      </w:r>
      <w:r w:rsidR="00BF3D00" w:rsidRPr="00BF3D00">
        <w:t xml:space="preserve">specified as an amount in dollars rounded to the nearest $1,000 </w:t>
      </w:r>
      <w:r w:rsidR="009B091B">
        <w:t>together with a statement</w:t>
      </w:r>
      <w:r w:rsidR="00BF3D00">
        <w:t xml:space="preserve"> </w:t>
      </w:r>
      <w:r w:rsidR="00BF3D00" w:rsidRPr="00BF3D00">
        <w:t xml:space="preserve">that this amount is the estimated </w:t>
      </w:r>
      <w:r>
        <w:t>amount</w:t>
      </w:r>
      <w:r w:rsidR="00BF3D00" w:rsidRPr="00BF3D00">
        <w:t xml:space="preserve"> the member may get </w:t>
      </w:r>
      <w:r w:rsidR="009B091B">
        <w:t xml:space="preserve">every year if the </w:t>
      </w:r>
      <w:r w:rsidR="00BF3D00" w:rsidRPr="00BF3D00">
        <w:t xml:space="preserve">estimated balance of the member’s </w:t>
      </w:r>
      <w:r w:rsidR="0001096E">
        <w:t>account</w:t>
      </w:r>
      <w:r w:rsidR="00BF3D00" w:rsidRPr="00BF3D00">
        <w:t xml:space="preserve"> with the fund when they retire</w:t>
      </w:r>
      <w:r w:rsidR="008978D6">
        <w:t xml:space="preserve"> were converted into an </w:t>
      </w:r>
      <w:r w:rsidR="002C5E44">
        <w:t xml:space="preserve">annual </w:t>
      </w:r>
      <w:r w:rsidR="008978D6">
        <w:t>income stream</w:t>
      </w:r>
      <w:r w:rsidR="002C5E44">
        <w:t xml:space="preserve"> for 25 years</w:t>
      </w:r>
      <w:r w:rsidR="00BF3D00" w:rsidRPr="00BF3D00">
        <w:t xml:space="preserve">; </w:t>
      </w:r>
    </w:p>
    <w:p w:rsidR="00900FE3" w:rsidRDefault="00900FE3"/>
    <w:p w:rsidR="00C246C4" w:rsidRDefault="002D5290">
      <w:pPr>
        <w:pStyle w:val="ListParagraph"/>
        <w:numPr>
          <w:ilvl w:val="0"/>
          <w:numId w:val="15"/>
        </w:numPr>
        <w:ind w:left="1134" w:hanging="567"/>
      </w:pPr>
      <w:proofErr w:type="gramStart"/>
      <w:r>
        <w:t>the</w:t>
      </w:r>
      <w:proofErr w:type="gramEnd"/>
      <w:r>
        <w:t xml:space="preserve"> statements specified in paragraph </w:t>
      </w:r>
      <w:r w:rsidR="001A71B4">
        <w:t>10</w:t>
      </w:r>
      <w:r>
        <w:t xml:space="preserve">. </w:t>
      </w:r>
    </w:p>
    <w:p w:rsidR="00C246C4" w:rsidRDefault="00C246C4">
      <w:pPr>
        <w:pStyle w:val="ListParagraph"/>
        <w:ind w:left="1134"/>
      </w:pPr>
    </w:p>
    <w:p w:rsidR="001A71B4" w:rsidRDefault="001A71B4" w:rsidP="001A71B4">
      <w:pPr>
        <w:pStyle w:val="ListParagraph"/>
        <w:numPr>
          <w:ilvl w:val="0"/>
          <w:numId w:val="6"/>
        </w:numPr>
        <w:ind w:left="567" w:hanging="567"/>
      </w:pPr>
      <w:r>
        <w:t xml:space="preserve">Apart from the lump sum and annual income stream amount, the estimate must not specify other amounts or figures representing or purporting to represent the member’s expected retirement benefit (however described). </w:t>
      </w:r>
    </w:p>
    <w:p w:rsidR="007610CA" w:rsidRDefault="007610CA" w:rsidP="007610CA">
      <w:pPr>
        <w:pStyle w:val="ListParagraph"/>
      </w:pPr>
    </w:p>
    <w:p w:rsidR="004978DC" w:rsidRDefault="002B74AD" w:rsidP="002B74AD">
      <w:pPr>
        <w:pStyle w:val="ListParagraph"/>
        <w:numPr>
          <w:ilvl w:val="0"/>
          <w:numId w:val="6"/>
        </w:numPr>
        <w:ind w:left="567" w:hanging="567"/>
      </w:pPr>
      <w:bookmarkStart w:id="2" w:name="_Ref309310069"/>
      <w:bookmarkStart w:id="3" w:name="_Ref309381464"/>
      <w:r>
        <w:t xml:space="preserve">The lump </w:t>
      </w:r>
      <w:r w:rsidR="002921E0">
        <w:t xml:space="preserve">sum </w:t>
      </w:r>
      <w:r>
        <w:t>is</w:t>
      </w:r>
      <w:bookmarkEnd w:id="2"/>
      <w:r w:rsidR="00AD08A4">
        <w:t xml:space="preserve"> to</w:t>
      </w:r>
      <w:r w:rsidR="002B2EE9">
        <w:t xml:space="preserve"> be </w:t>
      </w:r>
      <w:r w:rsidR="001A71B4">
        <w:t xml:space="preserve">worked out </w:t>
      </w:r>
      <w:r w:rsidR="002B2EE9">
        <w:t xml:space="preserve">in accordance with the following formula </w:t>
      </w:r>
      <w:r w:rsidR="00985648">
        <w:t>if</w:t>
      </w:r>
      <w:r w:rsidR="002B2EE9">
        <w:t xml:space="preserve"> </w:t>
      </w:r>
      <w:r w:rsidR="00960388" w:rsidRPr="00960388">
        <w:rPr>
          <w:b/>
        </w:rPr>
        <w:t>f</w:t>
      </w:r>
      <w:r w:rsidR="00243A8A">
        <w:t xml:space="preserve"> </w:t>
      </w:r>
      <w:r w:rsidR="00985648">
        <w:t>is not 3%</w:t>
      </w:r>
      <w:r w:rsidR="004978DC">
        <w:t>:</w:t>
      </w:r>
      <w:bookmarkEnd w:id="3"/>
    </w:p>
    <w:p w:rsidR="00B3158A" w:rsidRDefault="00B3158A" w:rsidP="00AD08A4">
      <w:pPr>
        <w:pStyle w:val="ListParagraph"/>
        <w:ind w:left="567"/>
      </w:pPr>
    </w:p>
    <w:p w:rsidR="00C246C4" w:rsidRDefault="00960388">
      <w:pPr>
        <w:pStyle w:val="ListParagraph"/>
        <w:ind w:left="927"/>
      </w:pPr>
      <w:r w:rsidRPr="00960388">
        <w:rPr>
          <w:b/>
        </w:rPr>
        <w:t xml:space="preserve">  </w:t>
      </w:r>
      <w:r w:rsidRPr="00960388">
        <w:rPr>
          <w:b/>
          <w:u w:val="single"/>
        </w:rPr>
        <w:t xml:space="preserve">       A</w:t>
      </w:r>
      <w:r w:rsidRPr="00960388">
        <w:rPr>
          <w:b/>
          <w:u w:val="single"/>
        </w:rPr>
        <w:tab/>
      </w:r>
      <w:r w:rsidR="00453B2F">
        <w:rPr>
          <w:b/>
        </w:rPr>
        <w:t xml:space="preserve"> </w:t>
      </w:r>
      <w:r w:rsidRPr="00960388">
        <w:rPr>
          <w:b/>
        </w:rPr>
        <w:t>+ C</w:t>
      </w:r>
      <w:r w:rsidR="00375786">
        <w:t xml:space="preserve">; </w:t>
      </w:r>
    </w:p>
    <w:p w:rsidR="00C246C4" w:rsidRDefault="00960388">
      <w:pPr>
        <w:ind w:left="1440"/>
        <w:rPr>
          <w:b/>
        </w:rPr>
      </w:pPr>
      <w:r w:rsidRPr="00960388">
        <w:rPr>
          <w:b/>
        </w:rPr>
        <w:t>B</w:t>
      </w:r>
    </w:p>
    <w:p w:rsidR="0078539C" w:rsidRDefault="0078539C" w:rsidP="00C82ACA">
      <w:pPr>
        <w:pStyle w:val="ListParagraph"/>
        <w:ind w:left="567"/>
      </w:pPr>
    </w:p>
    <w:p w:rsidR="00985648" w:rsidRDefault="00985648" w:rsidP="00C82ACA">
      <w:pPr>
        <w:pStyle w:val="ListParagraph"/>
        <w:ind w:left="567"/>
      </w:pPr>
      <w:proofErr w:type="gramStart"/>
      <w:r>
        <w:t>and</w:t>
      </w:r>
      <w:proofErr w:type="gramEnd"/>
      <w:r>
        <w:t xml:space="preserve"> </w:t>
      </w:r>
      <w:r w:rsidR="00EB2D84">
        <w:t xml:space="preserve">otherwise </w:t>
      </w:r>
      <w:r>
        <w:t>in accordanc</w:t>
      </w:r>
      <w:r w:rsidR="00EB2D84">
        <w:t>e with the following formula</w:t>
      </w:r>
      <w:r>
        <w:t>:</w:t>
      </w:r>
    </w:p>
    <w:p w:rsidR="00985648" w:rsidRDefault="00985648" w:rsidP="00C82ACA">
      <w:pPr>
        <w:pStyle w:val="ListParagraph"/>
        <w:ind w:left="567"/>
      </w:pPr>
    </w:p>
    <w:p w:rsidR="00C246C4" w:rsidRDefault="00595523">
      <w:pPr>
        <w:ind w:left="1440"/>
      </w:pPr>
      <w:r>
        <w:t>(</w:t>
      </w:r>
      <w:proofErr w:type="gramStart"/>
      <w:r w:rsidR="00960388" w:rsidRPr="00960388">
        <w:rPr>
          <w:b/>
        </w:rPr>
        <w:t>adjusted</w:t>
      </w:r>
      <w:proofErr w:type="gramEnd"/>
      <w:r w:rsidR="00960388" w:rsidRPr="00960388">
        <w:rPr>
          <w:b/>
        </w:rPr>
        <w:t xml:space="preserve"> current contributions</w:t>
      </w:r>
      <w:r>
        <w:t xml:space="preserve"> – </w:t>
      </w:r>
      <w:r w:rsidR="00960388" w:rsidRPr="00960388">
        <w:rPr>
          <w:b/>
        </w:rPr>
        <w:t>F</w:t>
      </w:r>
      <w:r>
        <w:t xml:space="preserve">) x (65 – </w:t>
      </w:r>
      <w:r w:rsidR="00960388" w:rsidRPr="00960388">
        <w:rPr>
          <w:b/>
        </w:rPr>
        <w:t>age</w:t>
      </w:r>
      <w:r>
        <w:t xml:space="preserve">) </w:t>
      </w:r>
      <w:r w:rsidR="009114D6">
        <w:t>+</w:t>
      </w:r>
      <w:r>
        <w:t xml:space="preserve"> </w:t>
      </w:r>
      <w:r w:rsidR="00960388" w:rsidRPr="00960388">
        <w:rPr>
          <w:b/>
        </w:rPr>
        <w:t>current balance</w:t>
      </w:r>
      <w:r w:rsidR="009114D6">
        <w:t xml:space="preserve"> </w:t>
      </w:r>
    </w:p>
    <w:p w:rsidR="00595523" w:rsidRDefault="00595523" w:rsidP="00C82ACA">
      <w:pPr>
        <w:pStyle w:val="ListParagraph"/>
        <w:ind w:left="567"/>
      </w:pPr>
    </w:p>
    <w:p w:rsidR="00C82ACA" w:rsidRDefault="00C82ACA" w:rsidP="00C82ACA">
      <w:pPr>
        <w:pStyle w:val="ListParagraph"/>
        <w:ind w:left="567"/>
      </w:pPr>
      <w:proofErr w:type="gramStart"/>
      <w:r>
        <w:t>where</w:t>
      </w:r>
      <w:proofErr w:type="gramEnd"/>
      <w:r>
        <w:t xml:space="preserve">: </w:t>
      </w:r>
    </w:p>
    <w:p w:rsidR="00C82ACA" w:rsidRDefault="00C82ACA" w:rsidP="00AD08A4">
      <w:pPr>
        <w:pStyle w:val="ListParagraph"/>
        <w:ind w:left="1134"/>
      </w:pPr>
    </w:p>
    <w:p w:rsidR="00C82ACA" w:rsidRDefault="00960388" w:rsidP="00C82ACA">
      <w:pPr>
        <w:pStyle w:val="ListParagraph"/>
        <w:ind w:left="1134"/>
      </w:pPr>
      <w:r w:rsidRPr="00960388">
        <w:rPr>
          <w:b/>
        </w:rPr>
        <w:t>A</w:t>
      </w:r>
      <w:r w:rsidR="00C82ACA">
        <w:t xml:space="preserve"> = </w:t>
      </w:r>
      <w:r w:rsidR="00985648">
        <w:t>(</w:t>
      </w:r>
      <w:r w:rsidR="00C414A6" w:rsidRPr="00C414A6">
        <w:rPr>
          <w:b/>
        </w:rPr>
        <w:t>adjusted current contributions</w:t>
      </w:r>
      <w:r w:rsidR="00C82ACA">
        <w:t> – </w:t>
      </w:r>
      <w:r w:rsidR="00C414A6" w:rsidRPr="00C414A6">
        <w:rPr>
          <w:b/>
        </w:rPr>
        <w:t>F</w:t>
      </w:r>
      <w:r w:rsidR="00985648">
        <w:t xml:space="preserve">) </w:t>
      </w:r>
      <w:r w:rsidR="00C82ACA">
        <w:t xml:space="preserve">x </w:t>
      </w:r>
      <w:r w:rsidR="00985648">
        <w:t>((</w:t>
      </w:r>
      <w:r w:rsidR="0012298F">
        <w:t>1.03 </w:t>
      </w:r>
      <w:r w:rsidR="00C82ACA">
        <w:t>– </w:t>
      </w:r>
      <w:r w:rsidR="00C414A6" w:rsidRPr="00C414A6">
        <w:rPr>
          <w:b/>
        </w:rPr>
        <w:t>f</w:t>
      </w:r>
      <w:r w:rsidR="00C82ACA">
        <w:t>)</w:t>
      </w:r>
      <w:r w:rsidR="00C82ACA">
        <w:rPr>
          <w:vertAlign w:val="superscript"/>
        </w:rPr>
        <w:t> (65 </w:t>
      </w:r>
      <w:r w:rsidR="00C82ACA" w:rsidRPr="00AD08A4">
        <w:rPr>
          <w:vertAlign w:val="superscript"/>
        </w:rPr>
        <w:t>– </w:t>
      </w:r>
      <w:r w:rsidR="00C414A6" w:rsidRPr="00C414A6">
        <w:rPr>
          <w:b/>
          <w:vertAlign w:val="superscript"/>
        </w:rPr>
        <w:t>age</w:t>
      </w:r>
      <w:r w:rsidR="00C82ACA">
        <w:rPr>
          <w:vertAlign w:val="superscript"/>
        </w:rPr>
        <w:t>)</w:t>
      </w:r>
      <w:r w:rsidR="00C82ACA">
        <w:t> – 1</w:t>
      </w:r>
      <w:r w:rsidR="00985648">
        <w:t>)</w:t>
      </w:r>
      <w:r w:rsidR="006F3A70">
        <w:t>.</w:t>
      </w:r>
    </w:p>
    <w:p w:rsidR="00C82ACA" w:rsidRDefault="00C82ACA" w:rsidP="00C82ACA">
      <w:pPr>
        <w:pStyle w:val="ListParagraph"/>
        <w:ind w:left="1134"/>
      </w:pPr>
    </w:p>
    <w:p w:rsidR="00C82ACA" w:rsidRDefault="00960388" w:rsidP="00C82ACA">
      <w:pPr>
        <w:pStyle w:val="ListParagraph"/>
        <w:ind w:left="1134"/>
      </w:pPr>
      <w:r w:rsidRPr="00960388">
        <w:rPr>
          <w:b/>
        </w:rPr>
        <w:lastRenderedPageBreak/>
        <w:t>B</w:t>
      </w:r>
      <w:r w:rsidR="00C82ACA">
        <w:t xml:space="preserve"> = </w:t>
      </w:r>
      <w:proofErr w:type="spellStart"/>
      <w:proofErr w:type="gramStart"/>
      <w:r w:rsidR="009B7C46" w:rsidRPr="00C82ACA">
        <w:t>ln</w:t>
      </w:r>
      <w:proofErr w:type="spellEnd"/>
      <w:r w:rsidR="009B7C46">
        <w:t>(</w:t>
      </w:r>
      <w:proofErr w:type="gramEnd"/>
      <w:r w:rsidR="0012298F">
        <w:t>1.03</w:t>
      </w:r>
      <w:r w:rsidR="009B7C46">
        <w:t> – </w:t>
      </w:r>
      <w:r w:rsidR="00C414A6" w:rsidRPr="00C414A6">
        <w:rPr>
          <w:b/>
        </w:rPr>
        <w:t>f</w:t>
      </w:r>
      <w:r w:rsidR="009B7C46">
        <w:t>)</w:t>
      </w:r>
      <w:r w:rsidR="006F3A70">
        <w:t>.</w:t>
      </w:r>
    </w:p>
    <w:p w:rsidR="009B7C46" w:rsidRDefault="009B7C46" w:rsidP="00C82ACA">
      <w:pPr>
        <w:pStyle w:val="ListParagraph"/>
        <w:ind w:left="1134"/>
      </w:pPr>
    </w:p>
    <w:p w:rsidR="009B7C46" w:rsidRDefault="00960388" w:rsidP="00C82ACA">
      <w:pPr>
        <w:pStyle w:val="ListParagraph"/>
        <w:ind w:left="1134"/>
      </w:pPr>
      <w:r w:rsidRPr="00960388">
        <w:rPr>
          <w:b/>
        </w:rPr>
        <w:t>C</w:t>
      </w:r>
      <w:r w:rsidR="009B7C46">
        <w:t xml:space="preserve"> = </w:t>
      </w:r>
      <w:r w:rsidR="009B7C46" w:rsidRPr="00D93C9B">
        <w:rPr>
          <w:b/>
        </w:rPr>
        <w:t>current balance</w:t>
      </w:r>
      <w:r w:rsidR="009B7C46">
        <w:t xml:space="preserve"> x (</w:t>
      </w:r>
      <w:r w:rsidR="0012298F">
        <w:t>1.03</w:t>
      </w:r>
      <w:r w:rsidR="009B7C46">
        <w:t> – </w:t>
      </w:r>
      <w:r w:rsidR="00C414A6" w:rsidRPr="00C414A6">
        <w:rPr>
          <w:b/>
        </w:rPr>
        <w:t>f</w:t>
      </w:r>
      <w:r w:rsidR="009B7C46">
        <w:t>)</w:t>
      </w:r>
      <w:r w:rsidR="009B7C46">
        <w:rPr>
          <w:vertAlign w:val="superscript"/>
        </w:rPr>
        <w:t xml:space="preserve"> (65 </w:t>
      </w:r>
      <w:r w:rsidR="009B7C46" w:rsidRPr="00AD08A4">
        <w:rPr>
          <w:vertAlign w:val="superscript"/>
        </w:rPr>
        <w:t>–</w:t>
      </w:r>
      <w:r w:rsidR="009B7C46">
        <w:rPr>
          <w:vertAlign w:val="superscript"/>
        </w:rPr>
        <w:t> </w:t>
      </w:r>
      <w:r w:rsidR="00C414A6" w:rsidRPr="00C414A6">
        <w:rPr>
          <w:b/>
          <w:vertAlign w:val="superscript"/>
        </w:rPr>
        <w:t>age</w:t>
      </w:r>
      <w:r w:rsidR="009B7C46">
        <w:rPr>
          <w:vertAlign w:val="superscript"/>
        </w:rPr>
        <w:t>)</w:t>
      </w:r>
      <w:r w:rsidR="006F3A70" w:rsidRPr="006F3A70">
        <w:t>.</w:t>
      </w:r>
    </w:p>
    <w:p w:rsidR="009B7C46" w:rsidRDefault="009B7C46" w:rsidP="00AD08A4">
      <w:pPr>
        <w:pStyle w:val="ListParagraph"/>
        <w:ind w:left="1134"/>
      </w:pPr>
    </w:p>
    <w:p w:rsidR="00C246C4" w:rsidRDefault="00960388">
      <w:pPr>
        <w:pStyle w:val="ListParagraph"/>
        <w:ind w:left="1854" w:hanging="720"/>
      </w:pPr>
      <w:r w:rsidRPr="00960388">
        <w:rPr>
          <w:b/>
        </w:rPr>
        <w:t>F</w:t>
      </w:r>
      <w:r w:rsidR="00337721">
        <w:t xml:space="preserve"> = </w:t>
      </w:r>
      <w:r w:rsidR="006F1CE3">
        <w:t>(a) where the fund deducts administration fees</w:t>
      </w:r>
      <w:r w:rsidR="00406794">
        <w:t xml:space="preserve"> on a relevant basis</w:t>
      </w:r>
      <w:r w:rsidR="006F1CE3">
        <w:t>—</w:t>
      </w:r>
      <w:r w:rsidR="00337721" w:rsidRPr="003B12CA">
        <w:t xml:space="preserve">the total </w:t>
      </w:r>
      <w:r w:rsidR="006100D0" w:rsidRPr="003B12CA">
        <w:t xml:space="preserve">in dollars </w:t>
      </w:r>
      <w:r w:rsidR="00337721" w:rsidRPr="003B12CA">
        <w:t xml:space="preserve">of the </w:t>
      </w:r>
      <w:r w:rsidRPr="00960388">
        <w:t>administration fees</w:t>
      </w:r>
      <w:r w:rsidR="00337721" w:rsidRPr="003B12CA">
        <w:t xml:space="preserve"> </w:t>
      </w:r>
      <w:r w:rsidR="00475936">
        <w:t xml:space="preserve">(if any) </w:t>
      </w:r>
      <w:r w:rsidR="00337721" w:rsidRPr="003B12CA">
        <w:t xml:space="preserve">deducted </w:t>
      </w:r>
      <w:r w:rsidR="00EB2D84">
        <w:t xml:space="preserve">directly </w:t>
      </w:r>
      <w:r w:rsidR="00337721" w:rsidRPr="003B12CA">
        <w:t xml:space="preserve">from the member’s account </w:t>
      </w:r>
      <w:r w:rsidR="00337721">
        <w:t xml:space="preserve">with the fund </w:t>
      </w:r>
      <w:r w:rsidR="00337721" w:rsidRPr="003B12CA">
        <w:t xml:space="preserve">during the </w:t>
      </w:r>
      <w:r w:rsidR="00475936">
        <w:t>year</w:t>
      </w:r>
      <w:r w:rsidR="00B3613A">
        <w:t xml:space="preserve"> </w:t>
      </w:r>
      <w:r w:rsidR="0097755C">
        <w:t>ending on the</w:t>
      </w:r>
      <w:r w:rsidR="002C5FB7">
        <w:t xml:space="preserve"> </w:t>
      </w:r>
      <w:r w:rsidR="00B3613A">
        <w:t xml:space="preserve">date </w:t>
      </w:r>
      <w:r w:rsidR="002C5E44">
        <w:t xml:space="preserve">of </w:t>
      </w:r>
      <w:r w:rsidR="00B3613A">
        <w:t xml:space="preserve">the </w:t>
      </w:r>
      <w:r w:rsidR="002C5E44">
        <w:t>estimate</w:t>
      </w:r>
      <w:r w:rsidR="006F1CE3">
        <w:t>; or</w:t>
      </w:r>
    </w:p>
    <w:p w:rsidR="00C246C4" w:rsidRDefault="00004624">
      <w:pPr>
        <w:pStyle w:val="ListParagraph"/>
        <w:ind w:left="1134" w:firstLine="306"/>
      </w:pPr>
      <w:r>
        <w:t xml:space="preserve"> (b) </w:t>
      </w:r>
      <w:proofErr w:type="gramStart"/>
      <w:r w:rsidR="006F1CE3">
        <w:t>otherwise—</w:t>
      </w:r>
      <w:proofErr w:type="gramEnd"/>
      <w:r w:rsidR="006F1CE3">
        <w:t>0</w:t>
      </w:r>
      <w:r w:rsidR="007B741E">
        <w:t>.</w:t>
      </w:r>
    </w:p>
    <w:p w:rsidR="00337721" w:rsidRDefault="00337721" w:rsidP="00337721">
      <w:pPr>
        <w:pStyle w:val="ListParagraph"/>
      </w:pPr>
    </w:p>
    <w:p w:rsidR="00C246C4" w:rsidRDefault="00960388">
      <w:pPr>
        <w:pStyle w:val="ListParagraph"/>
        <w:ind w:left="1854" w:hanging="720"/>
      </w:pPr>
      <w:r w:rsidRPr="00960388">
        <w:rPr>
          <w:b/>
        </w:rPr>
        <w:t>adjusted current contributions</w:t>
      </w:r>
      <w:r w:rsidRPr="00960388">
        <w:t xml:space="preserve"> = the total contributions that are paid into the member’s account with the fund during the year ending on the date of the estimate, less contributions tax, insurance premiums and amounts transferred into the member’s </w:t>
      </w:r>
      <w:r w:rsidR="0001096E">
        <w:t>account</w:t>
      </w:r>
      <w:r w:rsidRPr="00960388">
        <w:t xml:space="preserve"> with the fund from another </w:t>
      </w:r>
      <w:r w:rsidR="0001096E">
        <w:t>account</w:t>
      </w:r>
      <w:r w:rsidRPr="00960388">
        <w:t xml:space="preserve"> with another superannuation entity.</w:t>
      </w:r>
    </w:p>
    <w:p w:rsidR="00C246C4" w:rsidRDefault="00C246C4">
      <w:pPr>
        <w:pStyle w:val="ListParagraph"/>
        <w:ind w:left="1871" w:hanging="737"/>
        <w:rPr>
          <w:b/>
        </w:rPr>
      </w:pPr>
    </w:p>
    <w:p w:rsidR="00C246C4" w:rsidRDefault="00960388" w:rsidP="006F3A70">
      <w:pPr>
        <w:pStyle w:val="ListParagraph"/>
        <w:ind w:left="1854" w:hanging="720"/>
      </w:pPr>
      <w:r w:rsidRPr="00AC5BEB">
        <w:rPr>
          <w:b/>
        </w:rPr>
        <w:t>age</w:t>
      </w:r>
      <w:r w:rsidR="00185A28" w:rsidRPr="00AC5BEB">
        <w:t xml:space="preserve"> </w:t>
      </w:r>
      <w:r w:rsidR="00185A28">
        <w:t xml:space="preserve">= </w:t>
      </w:r>
      <w:r w:rsidR="00243764">
        <w:t xml:space="preserve">  </w:t>
      </w:r>
      <w:r w:rsidR="00EC6552">
        <w:t xml:space="preserve">the age of the member at the date the </w:t>
      </w:r>
      <w:r w:rsidR="002C5E44">
        <w:t xml:space="preserve">estimate </w:t>
      </w:r>
      <w:r w:rsidR="00EC6552">
        <w:t>is prepared measured in years and part years</w:t>
      </w:r>
      <w:r w:rsidR="002C5FB7">
        <w:t>,</w:t>
      </w:r>
      <w:r w:rsidR="00EC6552">
        <w:t xml:space="preserve"> rounded to one dec</w:t>
      </w:r>
      <w:r w:rsidR="00004624">
        <w:t>i</w:t>
      </w:r>
      <w:r w:rsidR="00EC6552">
        <w:t xml:space="preserve">mal place. </w:t>
      </w:r>
    </w:p>
    <w:p w:rsidR="00185A28" w:rsidRDefault="00185A28" w:rsidP="003E1829">
      <w:pPr>
        <w:pStyle w:val="ListParagraph"/>
        <w:ind w:left="1134"/>
      </w:pPr>
    </w:p>
    <w:p w:rsidR="00900FE3" w:rsidRDefault="00960388">
      <w:pPr>
        <w:pStyle w:val="ListParagraph"/>
        <w:ind w:left="1854" w:hanging="720"/>
      </w:pPr>
      <w:proofErr w:type="gramStart"/>
      <w:r w:rsidRPr="00960388">
        <w:rPr>
          <w:b/>
        </w:rPr>
        <w:t>current</w:t>
      </w:r>
      <w:proofErr w:type="gramEnd"/>
      <w:r w:rsidRPr="00960388">
        <w:rPr>
          <w:b/>
        </w:rPr>
        <w:t xml:space="preserve"> balance</w:t>
      </w:r>
      <w:r w:rsidR="00EC6552">
        <w:t xml:space="preserve"> = the balance of the member’s </w:t>
      </w:r>
      <w:r w:rsidR="0001096E">
        <w:t>account</w:t>
      </w:r>
      <w:r w:rsidR="00EC6552">
        <w:t xml:space="preserve"> with the fund</w:t>
      </w:r>
      <w:r w:rsidR="00EB6C42">
        <w:t xml:space="preserve"> at the date </w:t>
      </w:r>
      <w:r w:rsidR="008D187E">
        <w:t xml:space="preserve">of </w:t>
      </w:r>
      <w:r w:rsidR="00EB6C42">
        <w:t xml:space="preserve">the </w:t>
      </w:r>
      <w:r w:rsidR="008D187E">
        <w:t>estimate</w:t>
      </w:r>
      <w:r w:rsidR="0078539C">
        <w:t xml:space="preserve">. </w:t>
      </w:r>
    </w:p>
    <w:p w:rsidR="0078539C" w:rsidRDefault="0078539C" w:rsidP="003E1829">
      <w:pPr>
        <w:pStyle w:val="ListParagraph"/>
        <w:ind w:left="1134"/>
      </w:pPr>
    </w:p>
    <w:p w:rsidR="00C246C4" w:rsidRDefault="00960388">
      <w:pPr>
        <w:pStyle w:val="ListParagraph"/>
        <w:ind w:left="1854" w:hanging="720"/>
      </w:pPr>
      <w:r w:rsidRPr="00960388">
        <w:rPr>
          <w:b/>
        </w:rPr>
        <w:t>f</w:t>
      </w:r>
      <w:r w:rsidR="00D71CB2">
        <w:t xml:space="preserve"> = </w:t>
      </w:r>
      <w:r w:rsidR="00406794">
        <w:t xml:space="preserve">(a) </w:t>
      </w:r>
      <w:r w:rsidR="00004624">
        <w:t xml:space="preserve"> </w:t>
      </w:r>
      <w:r w:rsidR="00406794" w:rsidRPr="00406794">
        <w:t xml:space="preserve">where the </w:t>
      </w:r>
      <w:r w:rsidR="00406794">
        <w:t>trustee deducts administrati</w:t>
      </w:r>
      <w:r w:rsidR="00614D3A">
        <w:t xml:space="preserve">on </w:t>
      </w:r>
      <w:r w:rsidR="00406794">
        <w:t>fees</w:t>
      </w:r>
      <w:r w:rsidR="00406794" w:rsidRPr="00406794">
        <w:t xml:space="preserve"> based on a percentage</w:t>
      </w:r>
      <w:r w:rsidR="0012298F">
        <w:t xml:space="preserve"> </w:t>
      </w:r>
      <w:r w:rsidR="00ED686C">
        <w:t xml:space="preserve">of the balance </w:t>
      </w:r>
      <w:r w:rsidR="00406794" w:rsidRPr="00406794">
        <w:t xml:space="preserve">of the member’s </w:t>
      </w:r>
      <w:r w:rsidR="0001096E">
        <w:t>account</w:t>
      </w:r>
      <w:r w:rsidR="00406794" w:rsidRPr="00406794">
        <w:t xml:space="preserve"> with the fund</w:t>
      </w:r>
      <w:r w:rsidR="00ED686C">
        <w:t xml:space="preserve"> or different percentages of different parts of that balance</w:t>
      </w:r>
      <w:r w:rsidR="00406794">
        <w:t>—</w:t>
      </w:r>
      <w:r w:rsidR="00C414A6" w:rsidRPr="00C414A6">
        <w:t xml:space="preserve">the annual or annualised percentage rate at which administration fees have been deducted from </w:t>
      </w:r>
      <w:r w:rsidR="001A71B4">
        <w:t>that account</w:t>
      </w:r>
      <w:r w:rsidR="00C414A6" w:rsidRPr="00C414A6">
        <w:t xml:space="preserve"> during the year ending on the date of the estimate</w:t>
      </w:r>
      <w:r w:rsidR="0088145B">
        <w:t>;</w:t>
      </w:r>
      <w:r w:rsidR="00406794">
        <w:t xml:space="preserve"> </w:t>
      </w:r>
      <w:r w:rsidR="00ED686C">
        <w:t>or</w:t>
      </w:r>
    </w:p>
    <w:p w:rsidR="00A55125" w:rsidRDefault="00A55125">
      <w:pPr>
        <w:pStyle w:val="ListParagraph"/>
        <w:ind w:left="1820" w:hanging="380"/>
      </w:pPr>
    </w:p>
    <w:p w:rsidR="00C246C4" w:rsidRDefault="001414AA">
      <w:pPr>
        <w:pStyle w:val="ListParagraph"/>
        <w:ind w:left="1820" w:hanging="380"/>
      </w:pPr>
      <w:r>
        <w:t>(</w:t>
      </w:r>
      <w:r w:rsidR="00ED686C">
        <w:t>b</w:t>
      </w:r>
      <w:r>
        <w:t>)</w:t>
      </w:r>
      <w:r>
        <w:tab/>
      </w:r>
      <w:proofErr w:type="gramStart"/>
      <w:r>
        <w:t>otherwise—</w:t>
      </w:r>
      <w:proofErr w:type="gramEnd"/>
      <w:r>
        <w:t>0</w:t>
      </w:r>
      <w:r w:rsidR="00474D2F" w:rsidRPr="00474D2F">
        <w:t>.</w:t>
      </w:r>
    </w:p>
    <w:p w:rsidR="000A6249" w:rsidRDefault="000A6249" w:rsidP="00AD08A4">
      <w:pPr>
        <w:pStyle w:val="ListParagraph"/>
        <w:ind w:left="1134"/>
      </w:pPr>
    </w:p>
    <w:p w:rsidR="00AD08A4" w:rsidRDefault="00AD08A4" w:rsidP="00AD08A4">
      <w:pPr>
        <w:pStyle w:val="ListParagraph"/>
        <w:ind w:left="1134"/>
      </w:pPr>
    </w:p>
    <w:p w:rsidR="00C246C4" w:rsidRDefault="00960388">
      <w:pPr>
        <w:pStyle w:val="ListParagraph"/>
        <w:ind w:left="1440" w:hanging="720"/>
        <w:rPr>
          <w:sz w:val="18"/>
          <w:szCs w:val="18"/>
        </w:rPr>
      </w:pPr>
      <w:r w:rsidRPr="00960388">
        <w:rPr>
          <w:sz w:val="18"/>
          <w:szCs w:val="18"/>
        </w:rPr>
        <w:t>Note</w:t>
      </w:r>
      <w:r w:rsidR="002C3B0A">
        <w:rPr>
          <w:sz w:val="18"/>
          <w:szCs w:val="18"/>
        </w:rPr>
        <w:t xml:space="preserve"> 1</w:t>
      </w:r>
      <w:r w:rsidRPr="00960388">
        <w:rPr>
          <w:sz w:val="18"/>
          <w:szCs w:val="18"/>
        </w:rPr>
        <w:t xml:space="preserve">: </w:t>
      </w:r>
      <w:r w:rsidRPr="00960388">
        <w:rPr>
          <w:sz w:val="18"/>
          <w:szCs w:val="18"/>
        </w:rPr>
        <w:tab/>
      </w:r>
      <w:r w:rsidR="00DB2A3B">
        <w:rPr>
          <w:sz w:val="18"/>
          <w:szCs w:val="18"/>
        </w:rPr>
        <w:t xml:space="preserve">The formula to work out the amount of B involves </w:t>
      </w:r>
      <w:r w:rsidR="0001096E">
        <w:rPr>
          <w:sz w:val="18"/>
          <w:szCs w:val="18"/>
        </w:rPr>
        <w:t>working out the natural logarithm of the result of the bracketed calculation</w:t>
      </w:r>
      <w:r w:rsidR="00C414A6" w:rsidRPr="00C414A6">
        <w:rPr>
          <w:sz w:val="18"/>
          <w:szCs w:val="18"/>
        </w:rPr>
        <w:t>.</w:t>
      </w:r>
    </w:p>
    <w:p w:rsidR="001A71B4" w:rsidRDefault="001A71B4">
      <w:pPr>
        <w:pStyle w:val="ListParagraph"/>
        <w:ind w:left="1440" w:hanging="720"/>
        <w:rPr>
          <w:sz w:val="18"/>
          <w:szCs w:val="18"/>
        </w:rPr>
      </w:pPr>
    </w:p>
    <w:p w:rsidR="001A71B4" w:rsidRDefault="001A71B4">
      <w:pPr>
        <w:pStyle w:val="ListParagraph"/>
        <w:ind w:left="1440" w:hanging="720"/>
        <w:rPr>
          <w:sz w:val="18"/>
          <w:szCs w:val="18"/>
        </w:rPr>
      </w:pPr>
      <w:r>
        <w:rPr>
          <w:sz w:val="18"/>
          <w:szCs w:val="18"/>
        </w:rPr>
        <w:t>Note 2:</w:t>
      </w:r>
      <w:r>
        <w:rPr>
          <w:sz w:val="18"/>
          <w:szCs w:val="18"/>
        </w:rPr>
        <w:tab/>
        <w:t xml:space="preserve">The following are examples of how </w:t>
      </w:r>
      <w:r w:rsidR="006E641D">
        <w:rPr>
          <w:sz w:val="18"/>
          <w:szCs w:val="18"/>
        </w:rPr>
        <w:t xml:space="preserve">the value of </w:t>
      </w:r>
      <w:r w:rsidR="00C414A6" w:rsidRPr="00C414A6">
        <w:rPr>
          <w:b/>
          <w:sz w:val="18"/>
          <w:szCs w:val="18"/>
        </w:rPr>
        <w:t>f</w:t>
      </w:r>
      <w:r w:rsidR="006E641D">
        <w:rPr>
          <w:sz w:val="18"/>
          <w:szCs w:val="18"/>
        </w:rPr>
        <w:t xml:space="preserve"> is worked out:</w:t>
      </w:r>
    </w:p>
    <w:p w:rsidR="006E641D" w:rsidRDefault="006E641D">
      <w:pPr>
        <w:pStyle w:val="ListParagraph"/>
        <w:ind w:left="1440" w:hanging="720"/>
        <w:rPr>
          <w:sz w:val="18"/>
          <w:szCs w:val="18"/>
        </w:rPr>
      </w:pPr>
    </w:p>
    <w:p w:rsidR="00900FE3" w:rsidRDefault="006E641D">
      <w:pPr>
        <w:pStyle w:val="ListParagraph"/>
        <w:ind w:left="2160" w:hanging="720"/>
        <w:rPr>
          <w:sz w:val="18"/>
          <w:szCs w:val="18"/>
        </w:rPr>
      </w:pPr>
      <w:r>
        <w:rPr>
          <w:sz w:val="18"/>
          <w:szCs w:val="18"/>
        </w:rPr>
        <w:t>(a)</w:t>
      </w:r>
      <w:r>
        <w:rPr>
          <w:sz w:val="18"/>
          <w:szCs w:val="18"/>
        </w:rPr>
        <w:tab/>
        <w:t xml:space="preserve">If fees </w:t>
      </w:r>
      <w:r w:rsidR="005024BB">
        <w:rPr>
          <w:sz w:val="18"/>
          <w:szCs w:val="18"/>
        </w:rPr>
        <w:t xml:space="preserve">are </w:t>
      </w:r>
      <w:r w:rsidR="00D63C7B">
        <w:rPr>
          <w:sz w:val="18"/>
          <w:szCs w:val="18"/>
        </w:rPr>
        <w:t xml:space="preserve">deducted at a rate of </w:t>
      </w:r>
      <w:r w:rsidRPr="006E641D">
        <w:rPr>
          <w:sz w:val="18"/>
          <w:szCs w:val="18"/>
        </w:rPr>
        <w:t xml:space="preserve">0.25% of </w:t>
      </w:r>
      <w:r w:rsidR="00D63C7B">
        <w:rPr>
          <w:sz w:val="18"/>
          <w:szCs w:val="18"/>
        </w:rPr>
        <w:t>a</w:t>
      </w:r>
      <w:r w:rsidRPr="006E641D">
        <w:rPr>
          <w:sz w:val="18"/>
          <w:szCs w:val="18"/>
        </w:rPr>
        <w:t xml:space="preserve"> member’s account balance each quarter</w:t>
      </w:r>
      <w:r>
        <w:rPr>
          <w:sz w:val="18"/>
          <w:szCs w:val="18"/>
        </w:rPr>
        <w:t xml:space="preserve">, </w:t>
      </w:r>
      <w:r w:rsidR="00C414A6" w:rsidRPr="00C414A6">
        <w:rPr>
          <w:b/>
          <w:sz w:val="18"/>
          <w:szCs w:val="18"/>
        </w:rPr>
        <w:t>f</w:t>
      </w:r>
      <w:r>
        <w:rPr>
          <w:sz w:val="18"/>
          <w:szCs w:val="18"/>
        </w:rPr>
        <w:t xml:space="preserve"> is 1%.</w:t>
      </w:r>
    </w:p>
    <w:p w:rsidR="00900FE3" w:rsidRDefault="00900FE3">
      <w:pPr>
        <w:pStyle w:val="ListParagraph"/>
        <w:ind w:left="2160" w:hanging="720"/>
        <w:rPr>
          <w:sz w:val="18"/>
          <w:szCs w:val="18"/>
        </w:rPr>
      </w:pPr>
    </w:p>
    <w:p w:rsidR="00900FE3" w:rsidRDefault="005024BB">
      <w:pPr>
        <w:pStyle w:val="ListParagraph"/>
        <w:ind w:left="2160" w:hanging="720"/>
        <w:rPr>
          <w:sz w:val="18"/>
          <w:szCs w:val="18"/>
        </w:rPr>
      </w:pPr>
      <w:r>
        <w:rPr>
          <w:sz w:val="18"/>
          <w:szCs w:val="18"/>
        </w:rPr>
        <w:t>(b</w:t>
      </w:r>
      <w:r w:rsidR="006E641D">
        <w:rPr>
          <w:sz w:val="18"/>
          <w:szCs w:val="18"/>
        </w:rPr>
        <w:t>)</w:t>
      </w:r>
      <w:r w:rsidR="006E641D">
        <w:rPr>
          <w:sz w:val="18"/>
          <w:szCs w:val="18"/>
        </w:rPr>
        <w:tab/>
        <w:t>If fees are</w:t>
      </w:r>
      <w:r w:rsidR="006E641D" w:rsidRPr="006E641D">
        <w:rPr>
          <w:sz w:val="18"/>
          <w:szCs w:val="18"/>
        </w:rPr>
        <w:t xml:space="preserve"> </w:t>
      </w:r>
      <w:r w:rsidR="00D63C7B">
        <w:rPr>
          <w:sz w:val="18"/>
          <w:szCs w:val="18"/>
        </w:rPr>
        <w:t xml:space="preserve">deducted on the final day of the reporting period at a rate of </w:t>
      </w:r>
      <w:r w:rsidR="006E641D" w:rsidRPr="006E641D">
        <w:rPr>
          <w:sz w:val="18"/>
          <w:szCs w:val="18"/>
        </w:rPr>
        <w:t xml:space="preserve">1% for the first $100,000 of </w:t>
      </w:r>
      <w:r w:rsidR="00DA1447">
        <w:rPr>
          <w:sz w:val="18"/>
          <w:szCs w:val="18"/>
        </w:rPr>
        <w:t>a</w:t>
      </w:r>
      <w:r w:rsidR="006E641D" w:rsidRPr="006E641D">
        <w:rPr>
          <w:sz w:val="18"/>
          <w:szCs w:val="18"/>
        </w:rPr>
        <w:t xml:space="preserve"> member</w:t>
      </w:r>
      <w:r w:rsidR="0072665F">
        <w:rPr>
          <w:sz w:val="18"/>
          <w:szCs w:val="18"/>
        </w:rPr>
        <w:t>’</w:t>
      </w:r>
      <w:r w:rsidR="006E641D" w:rsidRPr="006E641D">
        <w:rPr>
          <w:sz w:val="18"/>
          <w:szCs w:val="18"/>
        </w:rPr>
        <w:t xml:space="preserve">s account balance plus 0.75% of each dollar above $100,000 of </w:t>
      </w:r>
      <w:r w:rsidR="008A7430">
        <w:rPr>
          <w:sz w:val="18"/>
          <w:szCs w:val="18"/>
        </w:rPr>
        <w:t>that</w:t>
      </w:r>
      <w:r w:rsidR="006E641D" w:rsidRPr="006E641D">
        <w:rPr>
          <w:sz w:val="18"/>
          <w:szCs w:val="18"/>
        </w:rPr>
        <w:t xml:space="preserve"> balance</w:t>
      </w:r>
      <w:r w:rsidR="006E641D">
        <w:rPr>
          <w:sz w:val="18"/>
          <w:szCs w:val="18"/>
        </w:rPr>
        <w:t xml:space="preserve"> and the member</w:t>
      </w:r>
      <w:r w:rsidR="0072665F">
        <w:rPr>
          <w:sz w:val="18"/>
          <w:szCs w:val="18"/>
        </w:rPr>
        <w:t>’</w:t>
      </w:r>
      <w:r w:rsidR="006E641D">
        <w:rPr>
          <w:sz w:val="18"/>
          <w:szCs w:val="18"/>
        </w:rPr>
        <w:t xml:space="preserve">s balance </w:t>
      </w:r>
      <w:r w:rsidR="0072665F">
        <w:rPr>
          <w:sz w:val="18"/>
          <w:szCs w:val="18"/>
        </w:rPr>
        <w:t xml:space="preserve">was $150,000 </w:t>
      </w:r>
      <w:r w:rsidR="00D63C7B">
        <w:rPr>
          <w:sz w:val="18"/>
          <w:szCs w:val="18"/>
        </w:rPr>
        <w:t>on that day</w:t>
      </w:r>
      <w:r w:rsidR="0072665F">
        <w:rPr>
          <w:sz w:val="18"/>
          <w:szCs w:val="18"/>
        </w:rPr>
        <w:t xml:space="preserve">, </w:t>
      </w:r>
      <w:r w:rsidR="00C414A6" w:rsidRPr="00C414A6">
        <w:rPr>
          <w:b/>
          <w:sz w:val="18"/>
          <w:szCs w:val="18"/>
        </w:rPr>
        <w:t>f</w:t>
      </w:r>
      <w:r w:rsidR="00F46010">
        <w:rPr>
          <w:sz w:val="18"/>
          <w:szCs w:val="18"/>
        </w:rPr>
        <w:t xml:space="preserve"> is 0.917</w:t>
      </w:r>
      <w:r w:rsidR="0072665F">
        <w:rPr>
          <w:sz w:val="18"/>
          <w:szCs w:val="18"/>
        </w:rPr>
        <w:t>%.</w:t>
      </w:r>
      <w:r w:rsidR="00D63C7B">
        <w:rPr>
          <w:sz w:val="18"/>
          <w:szCs w:val="18"/>
        </w:rPr>
        <w:t xml:space="preserve">  This is the result of the </w:t>
      </w:r>
      <w:r w:rsidR="00DA1447">
        <w:rPr>
          <w:sz w:val="18"/>
          <w:szCs w:val="18"/>
        </w:rPr>
        <w:t>following calculation</w:t>
      </w:r>
      <w:r w:rsidR="006F3A70">
        <w:rPr>
          <w:sz w:val="18"/>
          <w:szCs w:val="18"/>
        </w:rPr>
        <w:t xml:space="preserve"> (rounded to </w:t>
      </w:r>
      <w:r w:rsidR="00F46010">
        <w:rPr>
          <w:sz w:val="18"/>
          <w:szCs w:val="18"/>
        </w:rPr>
        <w:t>3</w:t>
      </w:r>
      <w:r w:rsidR="006F3A70">
        <w:rPr>
          <w:sz w:val="18"/>
          <w:szCs w:val="18"/>
        </w:rPr>
        <w:t xml:space="preserve"> decimal places</w:t>
      </w:r>
      <w:r w:rsidR="00F46010">
        <w:rPr>
          <w:sz w:val="18"/>
          <w:szCs w:val="18"/>
        </w:rPr>
        <w:t xml:space="preserve"> for illustrative purposes – actual numbers should be used in applying the relevant formula</w:t>
      </w:r>
      <w:r w:rsidR="006F3A70">
        <w:rPr>
          <w:sz w:val="18"/>
          <w:szCs w:val="18"/>
        </w:rPr>
        <w:t>)</w:t>
      </w:r>
      <w:r w:rsidR="00DA1447">
        <w:rPr>
          <w:sz w:val="18"/>
          <w:szCs w:val="18"/>
        </w:rPr>
        <w:t>:</w:t>
      </w:r>
    </w:p>
    <w:p w:rsidR="00900FE3" w:rsidRDefault="00900FE3">
      <w:pPr>
        <w:pStyle w:val="ListParagraph"/>
        <w:ind w:left="2160" w:hanging="720"/>
        <w:rPr>
          <w:sz w:val="18"/>
          <w:szCs w:val="18"/>
        </w:rPr>
      </w:pPr>
    </w:p>
    <w:p w:rsidR="00900FE3" w:rsidRDefault="00DA1447">
      <w:pPr>
        <w:pStyle w:val="ListParagraph"/>
        <w:ind w:left="2160" w:firstLine="720"/>
        <w:rPr>
          <w:sz w:val="18"/>
          <w:szCs w:val="18"/>
        </w:rPr>
      </w:pPr>
      <w:r>
        <w:rPr>
          <w:sz w:val="18"/>
          <w:szCs w:val="18"/>
        </w:rPr>
        <w:t>(100,000 x 0.01 + 50,000 x 0.0075)/150,000.</w:t>
      </w:r>
    </w:p>
    <w:p w:rsidR="00900FE3" w:rsidRDefault="00900FE3">
      <w:pPr>
        <w:pStyle w:val="ListParagraph"/>
        <w:ind w:left="2160" w:firstLine="720"/>
        <w:rPr>
          <w:sz w:val="18"/>
          <w:szCs w:val="18"/>
        </w:rPr>
      </w:pPr>
    </w:p>
    <w:p w:rsidR="00900FE3" w:rsidRDefault="00DA1447">
      <w:pPr>
        <w:pStyle w:val="ListParagraph"/>
        <w:keepLines/>
        <w:ind w:left="2160" w:hanging="720"/>
        <w:rPr>
          <w:sz w:val="18"/>
          <w:szCs w:val="18"/>
        </w:rPr>
      </w:pPr>
      <w:r>
        <w:rPr>
          <w:sz w:val="18"/>
          <w:szCs w:val="18"/>
        </w:rPr>
        <w:lastRenderedPageBreak/>
        <w:t>(c)</w:t>
      </w:r>
      <w:r>
        <w:rPr>
          <w:sz w:val="18"/>
          <w:szCs w:val="18"/>
        </w:rPr>
        <w:tab/>
        <w:t xml:space="preserve">If fees are deducted each quarter at a rate of 0.25% for the first $100,000 of a member’s account balance plus </w:t>
      </w:r>
      <w:r w:rsidR="008A7430">
        <w:rPr>
          <w:sz w:val="18"/>
          <w:szCs w:val="18"/>
        </w:rPr>
        <w:t xml:space="preserve">0.1875% of each dollar above $100,000 of that balance; </w:t>
      </w:r>
      <w:r w:rsidR="00930DA2">
        <w:rPr>
          <w:sz w:val="18"/>
          <w:szCs w:val="18"/>
        </w:rPr>
        <w:t xml:space="preserve">and </w:t>
      </w:r>
      <w:r w:rsidR="008A7430">
        <w:rPr>
          <w:sz w:val="18"/>
          <w:szCs w:val="18"/>
        </w:rPr>
        <w:t xml:space="preserve">the member’s balance was $130,000, $128,000, $140,000 and $150,000 on the dates deductions were made, </w:t>
      </w:r>
      <w:r w:rsidR="00C414A6" w:rsidRPr="00C414A6">
        <w:rPr>
          <w:b/>
          <w:sz w:val="18"/>
          <w:szCs w:val="18"/>
        </w:rPr>
        <w:t>f</w:t>
      </w:r>
      <w:r w:rsidR="008A7430">
        <w:rPr>
          <w:sz w:val="18"/>
          <w:szCs w:val="18"/>
        </w:rPr>
        <w:t xml:space="preserve"> is </w:t>
      </w:r>
      <w:r w:rsidR="00F46010">
        <w:rPr>
          <w:sz w:val="18"/>
          <w:szCs w:val="18"/>
        </w:rPr>
        <w:t>0.933</w:t>
      </w:r>
      <w:r w:rsidR="00691C61">
        <w:rPr>
          <w:sz w:val="18"/>
          <w:szCs w:val="18"/>
        </w:rPr>
        <w:t>%.</w:t>
      </w:r>
      <w:r w:rsidR="008A7430">
        <w:rPr>
          <w:sz w:val="18"/>
          <w:szCs w:val="18"/>
        </w:rPr>
        <w:t xml:space="preserve">  This is the result of the following calculation</w:t>
      </w:r>
      <w:r w:rsidR="006F3A70">
        <w:rPr>
          <w:sz w:val="18"/>
          <w:szCs w:val="18"/>
        </w:rPr>
        <w:t xml:space="preserve"> </w:t>
      </w:r>
      <w:r w:rsidR="00F46010" w:rsidRPr="00F46010">
        <w:rPr>
          <w:sz w:val="18"/>
          <w:szCs w:val="18"/>
        </w:rPr>
        <w:t xml:space="preserve">(rounded to </w:t>
      </w:r>
      <w:r w:rsidR="00F46010">
        <w:rPr>
          <w:sz w:val="18"/>
          <w:szCs w:val="18"/>
        </w:rPr>
        <w:t>3</w:t>
      </w:r>
      <w:r w:rsidR="00F46010" w:rsidRPr="00F46010">
        <w:rPr>
          <w:sz w:val="18"/>
          <w:szCs w:val="18"/>
        </w:rPr>
        <w:t xml:space="preserve"> decimal places for illustrative purposes – actual numbers should be used in applying the relevant formula)</w:t>
      </w:r>
      <w:r w:rsidR="008A7430">
        <w:rPr>
          <w:sz w:val="18"/>
          <w:szCs w:val="18"/>
        </w:rPr>
        <w:t>:</w:t>
      </w:r>
    </w:p>
    <w:p w:rsidR="00900FE3" w:rsidRDefault="00900FE3">
      <w:pPr>
        <w:pStyle w:val="ListParagraph"/>
        <w:ind w:left="2160" w:hanging="720"/>
        <w:rPr>
          <w:sz w:val="18"/>
          <w:szCs w:val="18"/>
        </w:rPr>
      </w:pPr>
    </w:p>
    <w:p w:rsidR="00900FE3" w:rsidRDefault="008A7430">
      <w:pPr>
        <w:pStyle w:val="ListParagraph"/>
        <w:ind w:left="2880"/>
        <w:rPr>
          <w:sz w:val="18"/>
          <w:szCs w:val="18"/>
        </w:rPr>
      </w:pPr>
      <w:r>
        <w:rPr>
          <w:sz w:val="18"/>
          <w:szCs w:val="18"/>
        </w:rPr>
        <w:t>((100,000 x 0.</w:t>
      </w:r>
      <w:r w:rsidR="00691C61">
        <w:rPr>
          <w:sz w:val="18"/>
          <w:szCs w:val="18"/>
        </w:rPr>
        <w:t>00</w:t>
      </w:r>
      <w:r>
        <w:rPr>
          <w:sz w:val="18"/>
          <w:szCs w:val="18"/>
        </w:rPr>
        <w:t>25) + ($30,000 x 0.</w:t>
      </w:r>
      <w:r w:rsidR="00691C61">
        <w:rPr>
          <w:sz w:val="18"/>
          <w:szCs w:val="18"/>
        </w:rPr>
        <w:t>00</w:t>
      </w:r>
      <w:r w:rsidR="00590A85">
        <w:rPr>
          <w:sz w:val="18"/>
          <w:szCs w:val="18"/>
        </w:rPr>
        <w:t>1875))</w:t>
      </w:r>
      <w:r w:rsidR="00691C61">
        <w:rPr>
          <w:sz w:val="18"/>
          <w:szCs w:val="18"/>
        </w:rPr>
        <w:t>/130,000</w:t>
      </w:r>
      <w:r>
        <w:rPr>
          <w:sz w:val="18"/>
          <w:szCs w:val="18"/>
        </w:rPr>
        <w:t xml:space="preserve"> + </w:t>
      </w:r>
      <w:r w:rsidRPr="008A7430">
        <w:rPr>
          <w:sz w:val="18"/>
          <w:szCs w:val="18"/>
        </w:rPr>
        <w:t>((100,000 x 0.</w:t>
      </w:r>
      <w:r w:rsidR="00691C61">
        <w:rPr>
          <w:sz w:val="18"/>
          <w:szCs w:val="18"/>
        </w:rPr>
        <w:t>00</w:t>
      </w:r>
      <w:r w:rsidRPr="008A7430">
        <w:rPr>
          <w:sz w:val="18"/>
          <w:szCs w:val="18"/>
        </w:rPr>
        <w:t>25)</w:t>
      </w:r>
      <w:r>
        <w:rPr>
          <w:sz w:val="18"/>
          <w:szCs w:val="18"/>
        </w:rPr>
        <w:t> </w:t>
      </w:r>
      <w:r w:rsidRPr="008A7430">
        <w:rPr>
          <w:sz w:val="18"/>
          <w:szCs w:val="18"/>
        </w:rPr>
        <w:t>+</w:t>
      </w:r>
      <w:r>
        <w:rPr>
          <w:sz w:val="18"/>
          <w:szCs w:val="18"/>
        </w:rPr>
        <w:t> </w:t>
      </w:r>
      <w:r w:rsidRPr="008A7430">
        <w:rPr>
          <w:sz w:val="18"/>
          <w:szCs w:val="18"/>
        </w:rPr>
        <w:t>($</w:t>
      </w:r>
      <w:r>
        <w:rPr>
          <w:sz w:val="18"/>
          <w:szCs w:val="18"/>
        </w:rPr>
        <w:t>28</w:t>
      </w:r>
      <w:r w:rsidRPr="008A7430">
        <w:rPr>
          <w:sz w:val="18"/>
          <w:szCs w:val="18"/>
        </w:rPr>
        <w:t>,000 x 0.</w:t>
      </w:r>
      <w:r w:rsidR="00691C61">
        <w:rPr>
          <w:sz w:val="18"/>
          <w:szCs w:val="18"/>
        </w:rPr>
        <w:t>00</w:t>
      </w:r>
      <w:r w:rsidR="00590A85">
        <w:rPr>
          <w:sz w:val="18"/>
          <w:szCs w:val="18"/>
        </w:rPr>
        <w:t>1875))</w:t>
      </w:r>
      <w:r w:rsidR="00691C61">
        <w:rPr>
          <w:sz w:val="18"/>
          <w:szCs w:val="18"/>
        </w:rPr>
        <w:t>/128,000</w:t>
      </w:r>
      <w:r>
        <w:rPr>
          <w:sz w:val="18"/>
          <w:szCs w:val="18"/>
        </w:rPr>
        <w:t xml:space="preserve"> + </w:t>
      </w:r>
      <w:r w:rsidRPr="008A7430">
        <w:rPr>
          <w:sz w:val="18"/>
          <w:szCs w:val="18"/>
        </w:rPr>
        <w:t>((100,000 x 0.</w:t>
      </w:r>
      <w:r w:rsidR="00691C61">
        <w:rPr>
          <w:sz w:val="18"/>
          <w:szCs w:val="18"/>
        </w:rPr>
        <w:t>00</w:t>
      </w:r>
      <w:r w:rsidRPr="008A7430">
        <w:rPr>
          <w:sz w:val="18"/>
          <w:szCs w:val="18"/>
        </w:rPr>
        <w:t>25)</w:t>
      </w:r>
      <w:r w:rsidR="00691C61">
        <w:rPr>
          <w:sz w:val="18"/>
          <w:szCs w:val="18"/>
        </w:rPr>
        <w:t> + </w:t>
      </w:r>
      <w:r w:rsidRPr="008A7430">
        <w:rPr>
          <w:sz w:val="18"/>
          <w:szCs w:val="18"/>
        </w:rPr>
        <w:t>($</w:t>
      </w:r>
      <w:r>
        <w:rPr>
          <w:sz w:val="18"/>
          <w:szCs w:val="18"/>
        </w:rPr>
        <w:t>4</w:t>
      </w:r>
      <w:r w:rsidRPr="008A7430">
        <w:rPr>
          <w:sz w:val="18"/>
          <w:szCs w:val="18"/>
        </w:rPr>
        <w:t>0,000 x 0.</w:t>
      </w:r>
      <w:r w:rsidR="00691C61">
        <w:rPr>
          <w:sz w:val="18"/>
          <w:szCs w:val="18"/>
        </w:rPr>
        <w:t>00</w:t>
      </w:r>
      <w:r w:rsidR="00590A85">
        <w:rPr>
          <w:sz w:val="18"/>
          <w:szCs w:val="18"/>
        </w:rPr>
        <w:t xml:space="preserve">1875))/140,000 + </w:t>
      </w:r>
      <w:r w:rsidRPr="008A7430">
        <w:rPr>
          <w:sz w:val="18"/>
          <w:szCs w:val="18"/>
        </w:rPr>
        <w:t>((100,000 x 0.</w:t>
      </w:r>
      <w:r w:rsidR="00691C61">
        <w:rPr>
          <w:sz w:val="18"/>
          <w:szCs w:val="18"/>
        </w:rPr>
        <w:t>00</w:t>
      </w:r>
      <w:r w:rsidRPr="008A7430">
        <w:rPr>
          <w:sz w:val="18"/>
          <w:szCs w:val="18"/>
        </w:rPr>
        <w:t>25)</w:t>
      </w:r>
      <w:r w:rsidR="00691C61">
        <w:rPr>
          <w:sz w:val="18"/>
          <w:szCs w:val="18"/>
        </w:rPr>
        <w:t> + </w:t>
      </w:r>
      <w:r w:rsidRPr="008A7430">
        <w:rPr>
          <w:sz w:val="18"/>
          <w:szCs w:val="18"/>
        </w:rPr>
        <w:t>($</w:t>
      </w:r>
      <w:r>
        <w:rPr>
          <w:sz w:val="18"/>
          <w:szCs w:val="18"/>
        </w:rPr>
        <w:t>5</w:t>
      </w:r>
      <w:r w:rsidRPr="008A7430">
        <w:rPr>
          <w:sz w:val="18"/>
          <w:szCs w:val="18"/>
        </w:rPr>
        <w:t>0,000 x 0.</w:t>
      </w:r>
      <w:r w:rsidR="00691C61">
        <w:rPr>
          <w:sz w:val="18"/>
          <w:szCs w:val="18"/>
        </w:rPr>
        <w:t>00</w:t>
      </w:r>
      <w:r w:rsidR="00590A85">
        <w:rPr>
          <w:sz w:val="18"/>
          <w:szCs w:val="18"/>
        </w:rPr>
        <w:t>1875))</w:t>
      </w:r>
      <w:r w:rsidR="00691C61">
        <w:rPr>
          <w:sz w:val="18"/>
          <w:szCs w:val="18"/>
        </w:rPr>
        <w:t>/150,000</w:t>
      </w:r>
      <w:r w:rsidR="006F3A70">
        <w:rPr>
          <w:sz w:val="18"/>
          <w:szCs w:val="18"/>
        </w:rPr>
        <w:t>.</w:t>
      </w:r>
    </w:p>
    <w:p w:rsidR="00130D3E" w:rsidRDefault="00130D3E" w:rsidP="00130D3E"/>
    <w:p w:rsidR="002C3B0A" w:rsidRPr="002C3B0A" w:rsidRDefault="002C3B0A" w:rsidP="002C3B0A">
      <w:pPr>
        <w:pStyle w:val="ListParagraph"/>
        <w:rPr>
          <w:sz w:val="18"/>
          <w:szCs w:val="18"/>
        </w:rPr>
      </w:pPr>
      <w:r w:rsidRPr="002C3B0A">
        <w:rPr>
          <w:sz w:val="18"/>
          <w:szCs w:val="18"/>
        </w:rPr>
        <w:t xml:space="preserve">Note </w:t>
      </w:r>
      <w:r w:rsidR="001A71B4">
        <w:rPr>
          <w:sz w:val="18"/>
          <w:szCs w:val="18"/>
        </w:rPr>
        <w:t>3</w:t>
      </w:r>
      <w:r w:rsidRPr="002C3B0A">
        <w:rPr>
          <w:sz w:val="18"/>
          <w:szCs w:val="18"/>
        </w:rPr>
        <w:t xml:space="preserve">: </w:t>
      </w:r>
      <w:r w:rsidRPr="002C3B0A">
        <w:rPr>
          <w:sz w:val="18"/>
          <w:szCs w:val="18"/>
        </w:rPr>
        <w:tab/>
      </w:r>
      <w:r w:rsidRPr="00F46010">
        <w:rPr>
          <w:sz w:val="18"/>
          <w:szCs w:val="18"/>
        </w:rPr>
        <w:t xml:space="preserve">The </w:t>
      </w:r>
      <w:r w:rsidR="0021185F" w:rsidRPr="00F46010">
        <w:rPr>
          <w:sz w:val="18"/>
          <w:szCs w:val="18"/>
        </w:rPr>
        <w:t>calculation required by paragraph 8</w:t>
      </w:r>
      <w:r w:rsidRPr="00F46010">
        <w:rPr>
          <w:sz w:val="18"/>
          <w:szCs w:val="18"/>
        </w:rPr>
        <w:t xml:space="preserve"> </w:t>
      </w:r>
      <w:r w:rsidR="0021185F" w:rsidRPr="00F46010">
        <w:rPr>
          <w:sz w:val="18"/>
          <w:szCs w:val="18"/>
        </w:rPr>
        <w:t xml:space="preserve">involves an </w:t>
      </w:r>
      <w:r w:rsidRPr="00F46010">
        <w:rPr>
          <w:sz w:val="18"/>
          <w:szCs w:val="18"/>
        </w:rPr>
        <w:t>assumption that the rate of return will be 3%.</w:t>
      </w:r>
    </w:p>
    <w:p w:rsidR="00F31AB4" w:rsidRDefault="00F31AB4" w:rsidP="00AD08A4">
      <w:pPr>
        <w:pStyle w:val="ListParagraph"/>
        <w:ind w:left="1134"/>
      </w:pPr>
    </w:p>
    <w:p w:rsidR="00782063" w:rsidRDefault="00BE7942" w:rsidP="002B74AD">
      <w:pPr>
        <w:pStyle w:val="ListParagraph"/>
        <w:numPr>
          <w:ilvl w:val="0"/>
          <w:numId w:val="6"/>
        </w:numPr>
        <w:ind w:left="567" w:hanging="567"/>
      </w:pPr>
      <w:bookmarkStart w:id="4" w:name="_Ref309310566"/>
      <w:bookmarkStart w:id="5" w:name="_Ref309381466"/>
      <w:r>
        <w:t>The</w:t>
      </w:r>
      <w:r w:rsidR="002B74AD">
        <w:t xml:space="preserve"> </w:t>
      </w:r>
      <w:bookmarkEnd w:id="4"/>
      <w:r>
        <w:t>annual income stream amount is</w:t>
      </w:r>
      <w:r w:rsidR="00AD08A4">
        <w:t xml:space="preserve"> </w:t>
      </w:r>
      <w:r w:rsidR="00004624">
        <w:t>to be calculated in accordance with the following formula</w:t>
      </w:r>
      <w:r>
        <w:t>:</w:t>
      </w:r>
      <w:bookmarkEnd w:id="5"/>
      <w:r>
        <w:t xml:space="preserve"> </w:t>
      </w:r>
    </w:p>
    <w:p w:rsidR="00BE7942" w:rsidRDefault="00BE7942" w:rsidP="00BE7942">
      <w:pPr>
        <w:pStyle w:val="ListParagraph"/>
      </w:pPr>
    </w:p>
    <w:p w:rsidR="00BE7942" w:rsidRDefault="00AD08A4" w:rsidP="00AD08A4">
      <w:pPr>
        <w:pStyle w:val="ListParagraph"/>
        <w:ind w:left="1134"/>
      </w:pPr>
      <w:proofErr w:type="gramStart"/>
      <w:r>
        <w:t>lump</w:t>
      </w:r>
      <w:proofErr w:type="gramEnd"/>
      <w:r w:rsidR="00C332FF">
        <w:t xml:space="preserve"> sum</w:t>
      </w:r>
      <w:r>
        <w:t xml:space="preserve"> x 0.0566</w:t>
      </w:r>
      <w:r w:rsidR="00475936">
        <w:t>.</w:t>
      </w:r>
    </w:p>
    <w:p w:rsidR="00BF7AC4" w:rsidRDefault="00BF7AC4" w:rsidP="00AD08A4">
      <w:pPr>
        <w:pStyle w:val="ListParagraph"/>
        <w:ind w:left="1134"/>
      </w:pPr>
    </w:p>
    <w:p w:rsidR="00900FE3" w:rsidRDefault="00130D3E">
      <w:pPr>
        <w:ind w:left="1134" w:hanging="567"/>
        <w:rPr>
          <w:sz w:val="18"/>
          <w:szCs w:val="18"/>
        </w:rPr>
      </w:pPr>
      <w:r w:rsidRPr="00130D3E">
        <w:rPr>
          <w:sz w:val="18"/>
          <w:szCs w:val="18"/>
        </w:rPr>
        <w:t xml:space="preserve">Note: </w:t>
      </w:r>
      <w:r w:rsidRPr="00130D3E">
        <w:rPr>
          <w:sz w:val="18"/>
          <w:szCs w:val="18"/>
        </w:rPr>
        <w:tab/>
      </w:r>
      <w:r w:rsidR="002C5E44">
        <w:rPr>
          <w:sz w:val="18"/>
          <w:szCs w:val="18"/>
        </w:rPr>
        <w:t>T</w:t>
      </w:r>
      <w:r w:rsidR="0049364C" w:rsidRPr="0049364C">
        <w:rPr>
          <w:sz w:val="18"/>
          <w:szCs w:val="18"/>
        </w:rPr>
        <w:t>his calculation converts the lump sum into an annual income amount. It assumes the lump sum is drawn down progressively from age 65 and is completely exhausted by age 90, and that there is a real investment return, net of fees, of 3% per annum.</w:t>
      </w:r>
    </w:p>
    <w:p w:rsidR="00900FE3" w:rsidRDefault="00900FE3">
      <w:pPr>
        <w:pStyle w:val="ListParagraph"/>
        <w:ind w:left="567"/>
      </w:pPr>
    </w:p>
    <w:p w:rsidR="00900FE3" w:rsidRDefault="002D5290">
      <w:pPr>
        <w:pStyle w:val="ListParagraph"/>
        <w:numPr>
          <w:ilvl w:val="0"/>
          <w:numId w:val="6"/>
        </w:numPr>
        <w:ind w:left="567" w:hanging="567"/>
      </w:pPr>
      <w:bookmarkStart w:id="6" w:name="_Ref309635555"/>
      <w:r>
        <w:t>The estimate</w:t>
      </w:r>
      <w:r w:rsidR="00DE005C">
        <w:t xml:space="preserve"> must include all of the following </w:t>
      </w:r>
      <w:r w:rsidR="009E21FE">
        <w:t>text</w:t>
      </w:r>
      <w:r w:rsidR="00962C68">
        <w:t xml:space="preserve"> (</w:t>
      </w:r>
      <w:r w:rsidR="00521AB3">
        <w:t>with the relevant information substituted for the instructions in square brackets)</w:t>
      </w:r>
      <w:r w:rsidR="00067738">
        <w:t>:</w:t>
      </w:r>
    </w:p>
    <w:p w:rsidR="00900FE3" w:rsidRDefault="00900FE3">
      <w:pPr>
        <w:ind w:left="567"/>
      </w:pPr>
    </w:p>
    <w:p w:rsidR="00900FE3" w:rsidRDefault="00C414A6">
      <w:pPr>
        <w:ind w:left="567"/>
        <w:rPr>
          <w:b/>
        </w:rPr>
      </w:pPr>
      <w:r w:rsidRPr="00C414A6">
        <w:t>(a)</w:t>
      </w:r>
      <w:r w:rsidR="00DE005C">
        <w:rPr>
          <w:b/>
        </w:rPr>
        <w:tab/>
      </w:r>
      <w:r w:rsidRPr="00C414A6">
        <w:t>“</w:t>
      </w:r>
      <w:r w:rsidR="00DE005C" w:rsidRPr="00DE005C">
        <w:rPr>
          <w:b/>
        </w:rPr>
        <w:t>What this estimate means</w:t>
      </w:r>
    </w:p>
    <w:p w:rsidR="00900FE3" w:rsidRDefault="00900FE3">
      <w:pPr>
        <w:ind w:left="567"/>
      </w:pPr>
    </w:p>
    <w:p w:rsidR="00900FE3" w:rsidRDefault="00DE005C">
      <w:pPr>
        <w:ind w:left="1287"/>
      </w:pPr>
      <w:r w:rsidRPr="00DE005C">
        <w:t>This is a simple estimate of how much you might get from your super when you retire to help you start your retirement planning. The amounts are shown in today’s dollars.</w:t>
      </w:r>
    </w:p>
    <w:p w:rsidR="00900FE3" w:rsidRDefault="00900FE3">
      <w:pPr>
        <w:ind w:left="1287"/>
      </w:pPr>
    </w:p>
    <w:p w:rsidR="00900FE3" w:rsidRDefault="00DE005C">
      <w:pPr>
        <w:ind w:left="1287"/>
      </w:pPr>
      <w:r w:rsidRPr="00DE005C">
        <w:t xml:space="preserve">The estimate is </w:t>
      </w:r>
      <w:r w:rsidR="00C414A6" w:rsidRPr="00C414A6">
        <w:rPr>
          <w:b/>
        </w:rPr>
        <w:t xml:space="preserve">not </w:t>
      </w:r>
      <w:r w:rsidRPr="00DE005C">
        <w:t>a guarantee that you will receive the amount shown. You may get less, or more. This is because this estimate is bas</w:t>
      </w:r>
      <w:r w:rsidR="00900FE3">
        <w:t xml:space="preserve">ed on a number of assumptions. </w:t>
      </w:r>
      <w:r w:rsidRPr="00DE005C">
        <w:t>These assumptions also mean that the retirement estimate should not be used a tool to compare super funds.</w:t>
      </w:r>
      <w:proofErr w:type="gramStart"/>
      <w:r w:rsidR="009E21FE">
        <w:t>”.</w:t>
      </w:r>
      <w:proofErr w:type="gramEnd"/>
    </w:p>
    <w:p w:rsidR="00900FE3" w:rsidRDefault="00900FE3">
      <w:pPr>
        <w:ind w:left="567"/>
        <w:rPr>
          <w:b/>
          <w:i/>
        </w:rPr>
      </w:pPr>
    </w:p>
    <w:p w:rsidR="00900FE3" w:rsidRDefault="00C414A6">
      <w:pPr>
        <w:ind w:left="567"/>
        <w:rPr>
          <w:b/>
        </w:rPr>
      </w:pPr>
      <w:r w:rsidRPr="00C414A6">
        <w:t>(b)</w:t>
      </w:r>
      <w:r w:rsidR="00691C61">
        <w:rPr>
          <w:b/>
        </w:rPr>
        <w:tab/>
      </w:r>
      <w:r w:rsidRPr="00C414A6">
        <w:t>“</w:t>
      </w:r>
      <w:r w:rsidR="00DE005C" w:rsidRPr="00DE005C">
        <w:rPr>
          <w:b/>
        </w:rPr>
        <w:t>How the estimate is calculated</w:t>
      </w:r>
    </w:p>
    <w:p w:rsidR="00900FE3" w:rsidRDefault="00900FE3">
      <w:pPr>
        <w:ind w:left="567"/>
      </w:pPr>
    </w:p>
    <w:p w:rsidR="00900FE3" w:rsidRDefault="00DE005C">
      <w:pPr>
        <w:ind w:left="1287"/>
      </w:pPr>
      <w:r w:rsidRPr="00DE005C">
        <w:t>This estimate has been calculated using these assumptions and figures:</w:t>
      </w:r>
    </w:p>
    <w:p w:rsidR="00900FE3" w:rsidRDefault="00900FE3">
      <w:pPr>
        <w:ind w:left="567"/>
      </w:pPr>
    </w:p>
    <w:p w:rsidR="00900FE3" w:rsidRDefault="00DE005C">
      <w:pPr>
        <w:numPr>
          <w:ilvl w:val="0"/>
          <w:numId w:val="17"/>
        </w:numPr>
        <w:ind w:left="1647"/>
      </w:pPr>
      <w:r w:rsidRPr="00DE005C">
        <w:t>$</w:t>
      </w:r>
      <w:r w:rsidR="00C414A6" w:rsidRPr="00C414A6">
        <w:rPr>
          <w:i/>
        </w:rPr>
        <w:t>[</w:t>
      </w:r>
      <w:r w:rsidR="00C414A6" w:rsidRPr="00F46010">
        <w:rPr>
          <w:i/>
        </w:rPr>
        <w:t>insert member’s current balance</w:t>
      </w:r>
      <w:r w:rsidR="00D93C9B" w:rsidRPr="00F46010">
        <w:rPr>
          <w:i/>
        </w:rPr>
        <w:t xml:space="preserve"> (see</w:t>
      </w:r>
      <w:r w:rsidR="006A772A" w:rsidRPr="00F46010">
        <w:rPr>
          <w:i/>
        </w:rPr>
        <w:t xml:space="preserve"> paragraph 8)</w:t>
      </w:r>
      <w:r w:rsidR="00C414A6" w:rsidRPr="00C414A6">
        <w:rPr>
          <w:i/>
          <w:sz w:val="26"/>
        </w:rPr>
        <w:t>]</w:t>
      </w:r>
      <w:r w:rsidRPr="00DE005C">
        <w:t xml:space="preserve"> in your super fund now</w:t>
      </w:r>
    </w:p>
    <w:p w:rsidR="00900FE3" w:rsidRDefault="00DE005C">
      <w:pPr>
        <w:numPr>
          <w:ilvl w:val="0"/>
          <w:numId w:val="17"/>
        </w:numPr>
        <w:ind w:left="1647"/>
      </w:pPr>
      <w:r w:rsidRPr="00DE005C">
        <w:t xml:space="preserve">investment earnings of 3% per year after </w:t>
      </w:r>
      <w:r w:rsidRPr="00D64956">
        <w:t>inflation</w:t>
      </w:r>
      <w:r w:rsidRPr="00DE005C">
        <w:t xml:space="preserve"> </w:t>
      </w:r>
    </w:p>
    <w:p w:rsidR="00900FE3" w:rsidRDefault="00DE005C">
      <w:pPr>
        <w:numPr>
          <w:ilvl w:val="0"/>
          <w:numId w:val="17"/>
        </w:numPr>
        <w:ind w:left="1647"/>
      </w:pPr>
      <w:r w:rsidRPr="00DE005C">
        <w:t xml:space="preserve">fees and costs of </w:t>
      </w:r>
      <w:r w:rsidR="00C414A6" w:rsidRPr="00C414A6">
        <w:rPr>
          <w:i/>
        </w:rPr>
        <w:t>[</w:t>
      </w:r>
      <w:r w:rsidR="00C414A6" w:rsidRPr="00F46010">
        <w:rPr>
          <w:i/>
        </w:rPr>
        <w:t xml:space="preserve">insert </w:t>
      </w:r>
      <w:r w:rsidR="00AC5BEB" w:rsidRPr="00F46010">
        <w:rPr>
          <w:i/>
        </w:rPr>
        <w:t>the</w:t>
      </w:r>
      <w:r w:rsidR="00C414A6" w:rsidRPr="00F46010">
        <w:rPr>
          <w:i/>
        </w:rPr>
        <w:t xml:space="preserve"> figure </w:t>
      </w:r>
      <w:r w:rsidR="00D93C9B" w:rsidRPr="00F46010">
        <w:rPr>
          <w:i/>
        </w:rPr>
        <w:t xml:space="preserve">(as a dollar amount or as a percentage or </w:t>
      </w:r>
      <w:r w:rsidR="0008793E" w:rsidRPr="00F46010">
        <w:rPr>
          <w:i/>
        </w:rPr>
        <w:t xml:space="preserve">as </w:t>
      </w:r>
      <w:r w:rsidR="00D93C9B" w:rsidRPr="00F46010">
        <w:rPr>
          <w:i/>
        </w:rPr>
        <w:t xml:space="preserve">a combination of both as relevant) </w:t>
      </w:r>
      <w:r w:rsidR="00C414A6" w:rsidRPr="00F46010">
        <w:rPr>
          <w:i/>
        </w:rPr>
        <w:t xml:space="preserve">representing the administration fees </w:t>
      </w:r>
      <w:r w:rsidR="00AC5BEB" w:rsidRPr="00F46010">
        <w:rPr>
          <w:i/>
        </w:rPr>
        <w:t xml:space="preserve">that have been deducted directly from the member’s account </w:t>
      </w:r>
      <w:r w:rsidR="00C414A6" w:rsidRPr="00F46010">
        <w:rPr>
          <w:i/>
        </w:rPr>
        <w:t xml:space="preserve">during the </w:t>
      </w:r>
      <w:r w:rsidR="007B741E" w:rsidRPr="00F46010">
        <w:rPr>
          <w:i/>
        </w:rPr>
        <w:t>year ending on</w:t>
      </w:r>
      <w:r w:rsidR="00C414A6" w:rsidRPr="00F46010">
        <w:rPr>
          <w:i/>
        </w:rPr>
        <w:t xml:space="preserve"> the date of the estimate</w:t>
      </w:r>
      <w:r w:rsidR="00C414A6" w:rsidRPr="00C414A6">
        <w:rPr>
          <w:i/>
          <w:sz w:val="26"/>
        </w:rPr>
        <w:t>]</w:t>
      </w:r>
      <w:r w:rsidRPr="00DE005C">
        <w:t xml:space="preserve"> </w:t>
      </w:r>
    </w:p>
    <w:p w:rsidR="00900FE3" w:rsidRDefault="00DE005C">
      <w:pPr>
        <w:numPr>
          <w:ilvl w:val="0"/>
          <w:numId w:val="17"/>
        </w:numPr>
        <w:ind w:left="1647"/>
      </w:pPr>
      <w:r w:rsidRPr="00DE005C">
        <w:t>current super contributions will continue until retirement</w:t>
      </w:r>
    </w:p>
    <w:p w:rsidR="00900FE3" w:rsidRDefault="00DE005C">
      <w:pPr>
        <w:numPr>
          <w:ilvl w:val="0"/>
          <w:numId w:val="17"/>
        </w:numPr>
        <w:ind w:left="1647"/>
      </w:pPr>
      <w:r w:rsidRPr="00DE005C">
        <w:t xml:space="preserve">you retire at age 65 </w:t>
      </w:r>
    </w:p>
    <w:p w:rsidR="00900FE3" w:rsidRDefault="00DE005C">
      <w:pPr>
        <w:numPr>
          <w:ilvl w:val="0"/>
          <w:numId w:val="17"/>
        </w:numPr>
        <w:ind w:left="1647"/>
      </w:pPr>
      <w:r w:rsidRPr="00DE005C">
        <w:lastRenderedPageBreak/>
        <w:t xml:space="preserve">you want your super to last until age 90 </w:t>
      </w:r>
    </w:p>
    <w:p w:rsidR="00900FE3" w:rsidRDefault="00DE005C">
      <w:pPr>
        <w:numPr>
          <w:ilvl w:val="0"/>
          <w:numId w:val="17"/>
        </w:numPr>
        <w:ind w:left="1647"/>
      </w:pPr>
      <w:r w:rsidRPr="00DE005C">
        <w:t xml:space="preserve">annual insurance premiums of </w:t>
      </w:r>
      <w:r w:rsidR="00C414A6" w:rsidRPr="00C414A6">
        <w:rPr>
          <w:i/>
        </w:rPr>
        <w:t>[</w:t>
      </w:r>
      <w:r w:rsidR="00C414A6" w:rsidRPr="00F46010">
        <w:rPr>
          <w:i/>
        </w:rPr>
        <w:t xml:space="preserve">insert a </w:t>
      </w:r>
      <w:r w:rsidR="00444EFB" w:rsidRPr="00F46010">
        <w:rPr>
          <w:i/>
        </w:rPr>
        <w:t>dollar amount</w:t>
      </w:r>
      <w:r w:rsidR="00C414A6" w:rsidRPr="00F46010">
        <w:rPr>
          <w:i/>
        </w:rPr>
        <w:t xml:space="preserve"> representing the insurance premiums the member has been charged during the </w:t>
      </w:r>
      <w:r w:rsidR="007B741E" w:rsidRPr="00F46010">
        <w:rPr>
          <w:i/>
        </w:rPr>
        <w:t xml:space="preserve">year ending on </w:t>
      </w:r>
      <w:r w:rsidR="00C414A6" w:rsidRPr="00F46010">
        <w:rPr>
          <w:i/>
        </w:rPr>
        <w:t>the date of the estimate</w:t>
      </w:r>
      <w:r w:rsidR="00C414A6" w:rsidRPr="00C414A6">
        <w:rPr>
          <w:i/>
        </w:rPr>
        <w:t>]</w:t>
      </w:r>
      <w:r w:rsidRPr="00DE005C">
        <w:t>, and</w:t>
      </w:r>
    </w:p>
    <w:p w:rsidR="00900FE3" w:rsidRDefault="00DE005C">
      <w:pPr>
        <w:numPr>
          <w:ilvl w:val="0"/>
          <w:numId w:val="17"/>
        </w:numPr>
        <w:ind w:left="1647"/>
      </w:pPr>
      <w:proofErr w:type="gramStart"/>
      <w:r w:rsidRPr="00DE005C">
        <w:t>current</w:t>
      </w:r>
      <w:proofErr w:type="gramEnd"/>
      <w:r w:rsidRPr="00DE005C">
        <w:t xml:space="preserve"> tax and laws remain unchanged.</w:t>
      </w:r>
    </w:p>
    <w:p w:rsidR="00900FE3" w:rsidRDefault="00900FE3">
      <w:pPr>
        <w:ind w:left="567"/>
      </w:pPr>
    </w:p>
    <w:p w:rsidR="00900FE3" w:rsidRDefault="00DE005C">
      <w:pPr>
        <w:ind w:left="1287"/>
      </w:pPr>
      <w:r w:rsidRPr="00DE005C">
        <w:t>These are standard assumptions and have been set with input from the Australian Government Actuary. They may not match your actual circumstance</w:t>
      </w:r>
      <w:r w:rsidR="00900FE3">
        <w:t xml:space="preserve">s either now or in the future. </w:t>
      </w:r>
      <w:r w:rsidRPr="00DE005C">
        <w:t>Also the figures used may differ from those sh</w:t>
      </w:r>
      <w:r w:rsidR="00900FE3">
        <w:t xml:space="preserve">own in your member statement. </w:t>
      </w:r>
      <w:r w:rsidRPr="00DE005C">
        <w:t>The annual income shown does not include any deductions for income tax you may have to pay.</w:t>
      </w:r>
    </w:p>
    <w:p w:rsidR="00900FE3" w:rsidRDefault="00900FE3">
      <w:pPr>
        <w:ind w:left="1287"/>
      </w:pPr>
    </w:p>
    <w:p w:rsidR="00900FE3" w:rsidRDefault="00DE005C">
      <w:pPr>
        <w:ind w:left="1287"/>
      </w:pPr>
      <w:r w:rsidRPr="00DE005C">
        <w:t xml:space="preserve">If you want to know more about the way this estimate has been calculated, or the assumptions, contact </w:t>
      </w:r>
      <w:r w:rsidR="00C414A6" w:rsidRPr="00C414A6">
        <w:rPr>
          <w:i/>
        </w:rPr>
        <w:t>[insert contact phone number]</w:t>
      </w:r>
      <w:r w:rsidRPr="00DE005C">
        <w:t xml:space="preserve"> or visit </w:t>
      </w:r>
      <w:r w:rsidR="00C414A6" w:rsidRPr="00C414A6">
        <w:rPr>
          <w:i/>
        </w:rPr>
        <w:t>[insert website address]</w:t>
      </w:r>
      <w:r w:rsidRPr="00DE005C">
        <w:t>.</w:t>
      </w:r>
      <w:proofErr w:type="gramStart"/>
      <w:r w:rsidR="009E21FE">
        <w:t>”.</w:t>
      </w:r>
      <w:proofErr w:type="gramEnd"/>
    </w:p>
    <w:p w:rsidR="00900FE3" w:rsidRDefault="00900FE3">
      <w:pPr>
        <w:ind w:left="567"/>
      </w:pPr>
    </w:p>
    <w:p w:rsidR="00900FE3" w:rsidRDefault="00C414A6">
      <w:pPr>
        <w:ind w:left="567"/>
        <w:rPr>
          <w:b/>
        </w:rPr>
      </w:pPr>
      <w:r w:rsidRPr="00C414A6">
        <w:t>(c)</w:t>
      </w:r>
      <w:r w:rsidR="00DE005C">
        <w:rPr>
          <w:b/>
        </w:rPr>
        <w:tab/>
      </w:r>
      <w:r w:rsidRPr="00C414A6">
        <w:t>“</w:t>
      </w:r>
      <w:r w:rsidR="00DE005C" w:rsidRPr="00DE005C">
        <w:rPr>
          <w:b/>
        </w:rPr>
        <w:t>What you will actually get when you retire</w:t>
      </w:r>
    </w:p>
    <w:p w:rsidR="00900FE3" w:rsidRDefault="00900FE3">
      <w:pPr>
        <w:ind w:left="567"/>
      </w:pPr>
    </w:p>
    <w:p w:rsidR="00900FE3" w:rsidRDefault="00DE005C">
      <w:pPr>
        <w:ind w:left="1287"/>
      </w:pPr>
      <w:r w:rsidRPr="00DE005C">
        <w:t xml:space="preserve">The actual amount of money you get in retirement may vary considerably from the estimate. </w:t>
      </w:r>
    </w:p>
    <w:p w:rsidR="00900FE3" w:rsidRDefault="00900FE3">
      <w:pPr>
        <w:ind w:left="1287"/>
      </w:pPr>
    </w:p>
    <w:p w:rsidR="00900FE3" w:rsidRDefault="00DE005C">
      <w:pPr>
        <w:ind w:left="1287"/>
      </w:pPr>
      <w:r w:rsidRPr="00DE005C">
        <w:t>Factors that influence what you will get include:</w:t>
      </w:r>
    </w:p>
    <w:p w:rsidR="00900FE3" w:rsidRDefault="00900FE3">
      <w:pPr>
        <w:ind w:left="567"/>
      </w:pPr>
    </w:p>
    <w:p w:rsidR="00900FE3" w:rsidRDefault="00DE005C">
      <w:pPr>
        <w:numPr>
          <w:ilvl w:val="0"/>
          <w:numId w:val="17"/>
        </w:numPr>
        <w:ind w:left="1647"/>
      </w:pPr>
      <w:r w:rsidRPr="00DE005C">
        <w:t>the investment options you choose (e.g. conservative, balanced, growth)</w:t>
      </w:r>
    </w:p>
    <w:p w:rsidR="00900FE3" w:rsidRDefault="00DE005C">
      <w:pPr>
        <w:numPr>
          <w:ilvl w:val="0"/>
          <w:numId w:val="17"/>
        </w:numPr>
        <w:ind w:left="1647"/>
      </w:pPr>
      <w:r w:rsidRPr="00DE005C">
        <w:t xml:space="preserve">the performance of your investment </w:t>
      </w:r>
    </w:p>
    <w:p w:rsidR="00900FE3" w:rsidRDefault="00DE005C">
      <w:pPr>
        <w:numPr>
          <w:ilvl w:val="0"/>
          <w:numId w:val="17"/>
        </w:numPr>
        <w:ind w:left="1647"/>
      </w:pPr>
      <w:r w:rsidRPr="00DE005C">
        <w:t xml:space="preserve">the total fees deducted from your account </w:t>
      </w:r>
    </w:p>
    <w:p w:rsidR="00900FE3" w:rsidRDefault="00DE005C">
      <w:pPr>
        <w:numPr>
          <w:ilvl w:val="0"/>
          <w:numId w:val="17"/>
        </w:numPr>
        <w:ind w:left="1647"/>
      </w:pPr>
      <w:r w:rsidRPr="00DE005C">
        <w:t>when you retire and get access to your super</w:t>
      </w:r>
    </w:p>
    <w:p w:rsidR="00900FE3" w:rsidRDefault="00DE005C">
      <w:pPr>
        <w:numPr>
          <w:ilvl w:val="0"/>
          <w:numId w:val="17"/>
        </w:numPr>
        <w:ind w:left="1647"/>
      </w:pPr>
      <w:r w:rsidRPr="00DE005C">
        <w:t>the super contributions you and your employer make</w:t>
      </w:r>
    </w:p>
    <w:p w:rsidR="00900FE3" w:rsidRDefault="00DE005C">
      <w:pPr>
        <w:numPr>
          <w:ilvl w:val="0"/>
          <w:numId w:val="17"/>
        </w:numPr>
        <w:ind w:left="1647"/>
      </w:pPr>
      <w:r w:rsidRPr="00DE005C">
        <w:t>whether you choose to buy an account-based pension or non-account-based income stream when you retire</w:t>
      </w:r>
    </w:p>
    <w:p w:rsidR="00900FE3" w:rsidRDefault="00DE005C">
      <w:pPr>
        <w:numPr>
          <w:ilvl w:val="0"/>
          <w:numId w:val="17"/>
        </w:numPr>
        <w:ind w:left="1647"/>
      </w:pPr>
      <w:r w:rsidRPr="00DE005C">
        <w:t>any allowance you make for a pension for your spouse or partner, and</w:t>
      </w:r>
    </w:p>
    <w:p w:rsidR="00900FE3" w:rsidRDefault="00DE005C">
      <w:pPr>
        <w:numPr>
          <w:ilvl w:val="0"/>
          <w:numId w:val="17"/>
        </w:numPr>
        <w:ind w:left="1647"/>
      </w:pPr>
      <w:proofErr w:type="gramStart"/>
      <w:r w:rsidRPr="00DE005C">
        <w:t>whether</w:t>
      </w:r>
      <w:proofErr w:type="gramEnd"/>
      <w:r w:rsidRPr="00DE005C">
        <w:t xml:space="preserve"> you receive any age pension or other government benefit.</w:t>
      </w:r>
    </w:p>
    <w:p w:rsidR="00900FE3" w:rsidRDefault="00900FE3">
      <w:pPr>
        <w:ind w:left="567"/>
      </w:pPr>
    </w:p>
    <w:p w:rsidR="00900FE3" w:rsidRDefault="00DE005C">
      <w:pPr>
        <w:ind w:left="1287"/>
      </w:pPr>
      <w:r w:rsidRPr="00DE005C">
        <w:t xml:space="preserve">This estimate has been calculated assuming all current rules concerning super and taxing super remain in place. </w:t>
      </w:r>
    </w:p>
    <w:p w:rsidR="00900FE3" w:rsidRDefault="00900FE3">
      <w:pPr>
        <w:ind w:left="1287"/>
      </w:pPr>
    </w:p>
    <w:p w:rsidR="00900FE3" w:rsidRDefault="00DE005C">
      <w:pPr>
        <w:ind w:left="1287"/>
      </w:pPr>
      <w:r w:rsidRPr="00DE005C">
        <w:t xml:space="preserve">This </w:t>
      </w:r>
      <w:r w:rsidR="000F624B">
        <w:t>estimate</w:t>
      </w:r>
      <w:r w:rsidRPr="00DE005C">
        <w:t xml:space="preserve"> only applies to your super account with this fund.</w:t>
      </w:r>
      <w:proofErr w:type="gramStart"/>
      <w:r w:rsidR="009E21FE">
        <w:t>”.</w:t>
      </w:r>
      <w:proofErr w:type="gramEnd"/>
    </w:p>
    <w:p w:rsidR="00900FE3" w:rsidRDefault="00900FE3">
      <w:pPr>
        <w:ind w:left="567"/>
      </w:pPr>
    </w:p>
    <w:p w:rsidR="00900FE3" w:rsidRDefault="00DE005C">
      <w:pPr>
        <w:ind w:left="1287" w:hanging="720"/>
      </w:pPr>
      <w:r>
        <w:t>(d)</w:t>
      </w:r>
      <w:r>
        <w:tab/>
      </w:r>
      <w:proofErr w:type="gramStart"/>
      <w:r w:rsidRPr="00DE005C">
        <w:t>where</w:t>
      </w:r>
      <w:proofErr w:type="gramEnd"/>
      <w:r w:rsidRPr="00DE005C">
        <w:t xml:space="preserve"> the trustee makes available a retirement or superannuation calculator on the website for the fund</w:t>
      </w:r>
      <w:r>
        <w:t>:</w:t>
      </w:r>
    </w:p>
    <w:p w:rsidR="00900FE3" w:rsidRDefault="00900FE3">
      <w:pPr>
        <w:ind w:left="1287" w:hanging="720"/>
        <w:rPr>
          <w:b/>
          <w:i/>
        </w:rPr>
      </w:pPr>
    </w:p>
    <w:p w:rsidR="00900FE3" w:rsidRDefault="00C414A6">
      <w:pPr>
        <w:ind w:left="2007" w:hanging="720"/>
        <w:rPr>
          <w:b/>
        </w:rPr>
      </w:pPr>
      <w:r w:rsidRPr="00C414A6">
        <w:t>“</w:t>
      </w:r>
      <w:r w:rsidR="009E21FE" w:rsidRPr="009E21FE">
        <w:rPr>
          <w:b/>
        </w:rPr>
        <w:t>Getting help</w:t>
      </w:r>
    </w:p>
    <w:p w:rsidR="00900FE3" w:rsidRDefault="00900FE3">
      <w:pPr>
        <w:ind w:left="1287" w:hanging="720"/>
      </w:pPr>
    </w:p>
    <w:p w:rsidR="00900FE3" w:rsidRDefault="009E21FE">
      <w:pPr>
        <w:ind w:left="1287"/>
      </w:pPr>
      <w:r w:rsidRPr="009E21FE">
        <w:t>Don’t make changes to your retirement savings arrangements based on this estimate. Before you make changes, you should get further information or advice.</w:t>
      </w:r>
    </w:p>
    <w:p w:rsidR="00900FE3" w:rsidRDefault="00900FE3">
      <w:pPr>
        <w:ind w:left="1287" w:hanging="720"/>
      </w:pPr>
    </w:p>
    <w:p w:rsidR="00900FE3" w:rsidRDefault="009E21FE">
      <w:pPr>
        <w:ind w:left="1287"/>
      </w:pPr>
      <w:r w:rsidRPr="009E21FE">
        <w:t>Online calculators let you explore your potential retirement income in more detail. They let you personalise the estimate, and show how you can improve your retirement income.</w:t>
      </w:r>
    </w:p>
    <w:p w:rsidR="00900FE3" w:rsidRDefault="00900FE3">
      <w:pPr>
        <w:ind w:left="1287" w:hanging="720"/>
      </w:pPr>
    </w:p>
    <w:p w:rsidR="00900FE3" w:rsidRDefault="009E21FE">
      <w:pPr>
        <w:ind w:left="1287"/>
      </w:pPr>
      <w:r w:rsidRPr="009E21FE">
        <w:t xml:space="preserve">These calculators include: </w:t>
      </w:r>
    </w:p>
    <w:p w:rsidR="00900FE3" w:rsidRDefault="00900FE3">
      <w:pPr>
        <w:ind w:left="1287" w:hanging="720"/>
      </w:pPr>
    </w:p>
    <w:p w:rsidR="00900FE3" w:rsidRDefault="00C414A6">
      <w:pPr>
        <w:numPr>
          <w:ilvl w:val="0"/>
          <w:numId w:val="17"/>
        </w:numPr>
        <w:ind w:left="1647"/>
      </w:pPr>
      <w:r w:rsidRPr="00C414A6">
        <w:rPr>
          <w:i/>
        </w:rPr>
        <w:t>[insert the name and title of the fund’s retirement or superannuation calculator]</w:t>
      </w:r>
      <w:r w:rsidR="009E21FE" w:rsidRPr="009E21FE">
        <w:t xml:space="preserve"> available at </w:t>
      </w:r>
      <w:r w:rsidRPr="00C414A6">
        <w:rPr>
          <w:i/>
        </w:rPr>
        <w:t>[insert website address]</w:t>
      </w:r>
      <w:r w:rsidR="009E21FE" w:rsidRPr="009E21FE">
        <w:t>, and</w:t>
      </w:r>
    </w:p>
    <w:p w:rsidR="00900FE3" w:rsidRDefault="009E21FE">
      <w:pPr>
        <w:numPr>
          <w:ilvl w:val="0"/>
          <w:numId w:val="17"/>
        </w:numPr>
        <w:ind w:left="1647"/>
      </w:pPr>
      <w:r w:rsidRPr="009E21FE">
        <w:t xml:space="preserve">ASIC’s </w:t>
      </w:r>
      <w:proofErr w:type="spellStart"/>
      <w:r w:rsidRPr="009E21FE">
        <w:t>MoneySmart</w:t>
      </w:r>
      <w:proofErr w:type="spellEnd"/>
      <w:r w:rsidRPr="009E21FE">
        <w:t xml:space="preserve"> retirement planner: </w:t>
      </w:r>
      <w:hyperlink r:id="rId9" w:history="1">
        <w:r w:rsidR="00C414A6" w:rsidRPr="00C414A6">
          <w:t>www.moneysmart.gov.au</w:t>
        </w:r>
      </w:hyperlink>
      <w:r w:rsidRPr="009E21FE">
        <w:t>.</w:t>
      </w:r>
      <w:proofErr w:type="gramStart"/>
      <w:r>
        <w:t>”.</w:t>
      </w:r>
      <w:proofErr w:type="gramEnd"/>
    </w:p>
    <w:p w:rsidR="00900FE3" w:rsidRDefault="00900FE3">
      <w:pPr>
        <w:ind w:left="1287" w:hanging="720"/>
      </w:pPr>
    </w:p>
    <w:p w:rsidR="00900FE3" w:rsidRDefault="009E21FE">
      <w:pPr>
        <w:ind w:left="1287" w:hanging="720"/>
      </w:pPr>
      <w:r>
        <w:t>(e)</w:t>
      </w:r>
      <w:r>
        <w:tab/>
      </w:r>
      <w:proofErr w:type="gramStart"/>
      <w:r w:rsidRPr="009E21FE">
        <w:t>where</w:t>
      </w:r>
      <w:proofErr w:type="gramEnd"/>
      <w:r w:rsidRPr="009E21FE">
        <w:t xml:space="preserve"> the trustee </w:t>
      </w:r>
      <w:r>
        <w:t>does not make</w:t>
      </w:r>
      <w:r w:rsidRPr="009E21FE">
        <w:t xml:space="preserve"> available a retirement or superannuation calculator on the website for the fund:</w:t>
      </w:r>
    </w:p>
    <w:p w:rsidR="00900FE3" w:rsidRDefault="00900FE3">
      <w:pPr>
        <w:ind w:left="1287" w:hanging="720"/>
      </w:pPr>
    </w:p>
    <w:p w:rsidR="00900FE3" w:rsidRDefault="00C414A6">
      <w:pPr>
        <w:ind w:left="1287"/>
        <w:rPr>
          <w:b/>
        </w:rPr>
      </w:pPr>
      <w:r w:rsidRPr="00C414A6">
        <w:t>“</w:t>
      </w:r>
      <w:r w:rsidR="009E21FE" w:rsidRPr="009E21FE">
        <w:rPr>
          <w:b/>
        </w:rPr>
        <w:t>Getting help</w:t>
      </w:r>
    </w:p>
    <w:p w:rsidR="00900FE3" w:rsidRDefault="00900FE3">
      <w:pPr>
        <w:ind w:left="1287"/>
      </w:pPr>
    </w:p>
    <w:p w:rsidR="00900FE3" w:rsidRDefault="009E21FE">
      <w:pPr>
        <w:ind w:left="1287"/>
      </w:pPr>
      <w:r w:rsidRPr="009E21FE">
        <w:t>Don’t make changes to your retirement savings arrangements based on this estimate. Before you make changes, you should get further information or advice.</w:t>
      </w:r>
    </w:p>
    <w:p w:rsidR="00900FE3" w:rsidRDefault="00900FE3">
      <w:pPr>
        <w:ind w:left="1287"/>
      </w:pPr>
    </w:p>
    <w:p w:rsidR="00900FE3" w:rsidRDefault="009E21FE">
      <w:pPr>
        <w:ind w:left="1287"/>
      </w:pPr>
      <w:r w:rsidRPr="009E21FE">
        <w:t xml:space="preserve">Online calculators let you explore your potential retirement income in more detail. They let you personalise the estimate, and show how you can improve your retirement income. These calculators include ASIC’s </w:t>
      </w:r>
      <w:proofErr w:type="spellStart"/>
      <w:r w:rsidRPr="009E21FE">
        <w:t>MoneySmart</w:t>
      </w:r>
      <w:proofErr w:type="spellEnd"/>
      <w:r w:rsidRPr="009E21FE">
        <w:t xml:space="preserve"> retirement planner: </w:t>
      </w:r>
      <w:hyperlink r:id="rId10" w:history="1">
        <w:r w:rsidRPr="009E21FE">
          <w:rPr>
            <w:rStyle w:val="Hyperlink"/>
          </w:rPr>
          <w:t>www.moneysmart.gov.au</w:t>
        </w:r>
      </w:hyperlink>
      <w:r w:rsidRPr="009E21FE">
        <w:t>.</w:t>
      </w:r>
      <w:proofErr w:type="gramStart"/>
      <w:r w:rsidR="00962C68">
        <w:t>”.</w:t>
      </w:r>
      <w:proofErr w:type="gramEnd"/>
    </w:p>
    <w:p w:rsidR="00900FE3" w:rsidRDefault="00900FE3">
      <w:pPr>
        <w:ind w:left="720"/>
      </w:pPr>
    </w:p>
    <w:p w:rsidR="00900FE3" w:rsidRDefault="00C414A6">
      <w:pPr>
        <w:ind w:left="1440" w:hanging="720"/>
        <w:rPr>
          <w:sz w:val="16"/>
          <w:szCs w:val="16"/>
        </w:rPr>
      </w:pPr>
      <w:r w:rsidRPr="00C414A6">
        <w:rPr>
          <w:sz w:val="16"/>
          <w:szCs w:val="16"/>
        </w:rPr>
        <w:t>Note</w:t>
      </w:r>
      <w:r w:rsidR="00444EFB">
        <w:rPr>
          <w:sz w:val="16"/>
          <w:szCs w:val="16"/>
        </w:rPr>
        <w:t xml:space="preserve"> 1</w:t>
      </w:r>
      <w:r w:rsidRPr="00C414A6">
        <w:rPr>
          <w:sz w:val="16"/>
          <w:szCs w:val="16"/>
        </w:rPr>
        <w:t xml:space="preserve">: </w:t>
      </w:r>
      <w:r w:rsidRPr="00C414A6">
        <w:rPr>
          <w:sz w:val="16"/>
          <w:szCs w:val="16"/>
        </w:rPr>
        <w:tab/>
      </w:r>
      <w:r w:rsidR="00962C68">
        <w:rPr>
          <w:sz w:val="16"/>
          <w:szCs w:val="16"/>
        </w:rPr>
        <w:t xml:space="preserve">The blocks of text </w:t>
      </w:r>
      <w:r w:rsidR="00521AB3">
        <w:rPr>
          <w:sz w:val="16"/>
          <w:szCs w:val="16"/>
        </w:rPr>
        <w:t xml:space="preserve">set out in paragraphs (a) to (e) need not be </w:t>
      </w:r>
      <w:r w:rsidR="006E641D">
        <w:rPr>
          <w:sz w:val="16"/>
          <w:szCs w:val="16"/>
        </w:rPr>
        <w:t>set out in one place</w:t>
      </w:r>
      <w:r w:rsidR="00521AB3">
        <w:rPr>
          <w:sz w:val="16"/>
          <w:szCs w:val="16"/>
        </w:rPr>
        <w:t xml:space="preserve"> or included in the order of those paragraphs</w:t>
      </w:r>
      <w:r w:rsidRPr="00C414A6">
        <w:rPr>
          <w:sz w:val="16"/>
          <w:szCs w:val="16"/>
        </w:rPr>
        <w:t>.</w:t>
      </w:r>
    </w:p>
    <w:p w:rsidR="00444EFB" w:rsidRDefault="00444EFB">
      <w:pPr>
        <w:ind w:left="1440" w:hanging="720"/>
        <w:rPr>
          <w:sz w:val="16"/>
          <w:szCs w:val="16"/>
        </w:rPr>
      </w:pPr>
    </w:p>
    <w:p w:rsidR="00444EFB" w:rsidRDefault="00444EFB">
      <w:pPr>
        <w:ind w:left="1440" w:hanging="720"/>
        <w:rPr>
          <w:sz w:val="16"/>
          <w:szCs w:val="16"/>
        </w:rPr>
      </w:pPr>
      <w:r w:rsidRPr="00F46010">
        <w:rPr>
          <w:sz w:val="16"/>
          <w:szCs w:val="16"/>
        </w:rPr>
        <w:t>Note 2:</w:t>
      </w:r>
      <w:r w:rsidRPr="00F46010">
        <w:rPr>
          <w:sz w:val="16"/>
          <w:szCs w:val="16"/>
        </w:rPr>
        <w:tab/>
        <w:t xml:space="preserve">The amount </w:t>
      </w:r>
      <w:r w:rsidR="00930DA2">
        <w:rPr>
          <w:sz w:val="16"/>
          <w:szCs w:val="16"/>
        </w:rPr>
        <w:t xml:space="preserve">to be </w:t>
      </w:r>
      <w:r w:rsidRPr="00F46010">
        <w:rPr>
          <w:sz w:val="16"/>
          <w:szCs w:val="16"/>
        </w:rPr>
        <w:t xml:space="preserve">inserted </w:t>
      </w:r>
      <w:r w:rsidR="00930DA2">
        <w:rPr>
          <w:sz w:val="16"/>
          <w:szCs w:val="16"/>
        </w:rPr>
        <w:t xml:space="preserve">in the text in paragraph (b) </w:t>
      </w:r>
      <w:r w:rsidRPr="00F46010">
        <w:rPr>
          <w:sz w:val="16"/>
          <w:szCs w:val="16"/>
        </w:rPr>
        <w:t xml:space="preserve">for fees and costs or insurance premiums </w:t>
      </w:r>
      <w:r w:rsidR="00930DA2">
        <w:rPr>
          <w:sz w:val="16"/>
          <w:szCs w:val="16"/>
        </w:rPr>
        <w:t>is</w:t>
      </w:r>
      <w:r w:rsidRPr="00F46010">
        <w:rPr>
          <w:sz w:val="16"/>
          <w:szCs w:val="16"/>
        </w:rPr>
        <w:t xml:space="preserve"> zero if no relevant amounts have been deducted.</w:t>
      </w:r>
      <w:r w:rsidR="006B12F3">
        <w:rPr>
          <w:sz w:val="16"/>
          <w:szCs w:val="16"/>
        </w:rPr>
        <w:t xml:space="preserve"> </w:t>
      </w:r>
    </w:p>
    <w:bookmarkEnd w:id="6"/>
    <w:p w:rsidR="00782063" w:rsidRDefault="00782063" w:rsidP="007E3EA3">
      <w:pPr>
        <w:ind w:left="567" w:hanging="567"/>
      </w:pPr>
    </w:p>
    <w:p w:rsidR="007E3EA3" w:rsidRDefault="007E3EA3" w:rsidP="007E3EA3">
      <w:pPr>
        <w:keepNext/>
        <w:outlineLvl w:val="0"/>
        <w:rPr>
          <w:b/>
        </w:rPr>
      </w:pPr>
      <w:r w:rsidRPr="00103A17">
        <w:rPr>
          <w:b/>
        </w:rPr>
        <w:t xml:space="preserve">Interpretation </w:t>
      </w:r>
    </w:p>
    <w:p w:rsidR="007E3EA3" w:rsidRPr="00103A17" w:rsidRDefault="007E3EA3" w:rsidP="007E3EA3">
      <w:pPr>
        <w:keepNext/>
        <w:rPr>
          <w:b/>
        </w:rPr>
      </w:pPr>
    </w:p>
    <w:p w:rsidR="00900FE3" w:rsidRDefault="007E3EA3">
      <w:pPr>
        <w:pStyle w:val="ListParagraph"/>
        <w:keepNext/>
        <w:numPr>
          <w:ilvl w:val="0"/>
          <w:numId w:val="6"/>
        </w:numPr>
        <w:ind w:left="567" w:hanging="567"/>
      </w:pPr>
      <w:bookmarkStart w:id="7" w:name="_Ref309650735"/>
      <w:r>
        <w:t>In this instrument:</w:t>
      </w:r>
      <w:bookmarkEnd w:id="7"/>
    </w:p>
    <w:p w:rsidR="007E3EA3" w:rsidRDefault="007E3EA3" w:rsidP="007E3EA3">
      <w:pPr>
        <w:keepNext/>
        <w:ind w:left="567" w:hanging="567"/>
      </w:pPr>
    </w:p>
    <w:p w:rsidR="00C246C4" w:rsidRDefault="00203BA8">
      <w:pPr>
        <w:keepNext/>
        <w:ind w:left="567"/>
      </w:pPr>
      <w:proofErr w:type="gramStart"/>
      <w:r>
        <w:rPr>
          <w:b/>
          <w:i/>
        </w:rPr>
        <w:t>administration</w:t>
      </w:r>
      <w:proofErr w:type="gramEnd"/>
      <w:r>
        <w:rPr>
          <w:b/>
          <w:i/>
        </w:rPr>
        <w:t xml:space="preserve"> fee</w:t>
      </w:r>
      <w:r w:rsidR="00961BBA">
        <w:rPr>
          <w:b/>
          <w:i/>
        </w:rPr>
        <w:t>s</w:t>
      </w:r>
      <w:r>
        <w:rPr>
          <w:b/>
          <w:i/>
        </w:rPr>
        <w:t xml:space="preserve"> </w:t>
      </w:r>
      <w:r w:rsidR="00961BBA">
        <w:t>means, in relation to a superannuation entity, any fee or charge (however described) deducted directly from the account of a member of the entity</w:t>
      </w:r>
      <w:r w:rsidR="006F1CE3">
        <w:t xml:space="preserve"> </w:t>
      </w:r>
      <w:r w:rsidR="00EB2D84">
        <w:t>other than</w:t>
      </w:r>
      <w:r w:rsidR="00745A31">
        <w:t>:</w:t>
      </w:r>
    </w:p>
    <w:p w:rsidR="00EB2D84" w:rsidRDefault="00EB2D84" w:rsidP="007E3EA3">
      <w:pPr>
        <w:keepNext/>
        <w:ind w:left="567"/>
      </w:pPr>
    </w:p>
    <w:p w:rsidR="00C246C4" w:rsidRDefault="00960388" w:rsidP="00453B2F">
      <w:pPr>
        <w:ind w:left="1440" w:hanging="873"/>
      </w:pPr>
      <w:r w:rsidRPr="00960388">
        <w:t>(</w:t>
      </w:r>
      <w:r w:rsidR="00EB2D84">
        <w:t>a</w:t>
      </w:r>
      <w:r w:rsidRPr="00960388">
        <w:t>)</w:t>
      </w:r>
      <w:r w:rsidR="00961BBA">
        <w:t xml:space="preserve"> </w:t>
      </w:r>
      <w:r w:rsidR="00745A31">
        <w:tab/>
      </w:r>
      <w:proofErr w:type="gramStart"/>
      <w:r w:rsidR="00C414A6" w:rsidRPr="00C414A6">
        <w:t>a</w:t>
      </w:r>
      <w:proofErr w:type="gramEnd"/>
      <w:r w:rsidR="00C414A6" w:rsidRPr="00C414A6">
        <w:t xml:space="preserve"> fee or charge for the management of the assets of the entity (whether or not it is paid by the trustee to another person)</w:t>
      </w:r>
      <w:r w:rsidR="00745A31">
        <w:t>; or</w:t>
      </w:r>
      <w:r w:rsidR="00614999">
        <w:t xml:space="preserve"> </w:t>
      </w:r>
    </w:p>
    <w:p w:rsidR="00745A31" w:rsidRDefault="00EB2D84" w:rsidP="00453B2F">
      <w:pPr>
        <w:ind w:left="567"/>
      </w:pPr>
      <w:r>
        <w:t>(b</w:t>
      </w:r>
      <w:r w:rsidR="00745A31">
        <w:t>)</w:t>
      </w:r>
      <w:r w:rsidR="00745A31">
        <w:tab/>
      </w:r>
      <w:proofErr w:type="gramStart"/>
      <w:r w:rsidR="00961BBA">
        <w:t>contrib</w:t>
      </w:r>
      <w:r w:rsidR="00745A31">
        <w:t>utions</w:t>
      </w:r>
      <w:proofErr w:type="gramEnd"/>
      <w:r w:rsidR="00745A31">
        <w:t xml:space="preserve"> tax; or</w:t>
      </w:r>
    </w:p>
    <w:p w:rsidR="00745A31" w:rsidRDefault="00745A31" w:rsidP="00453B2F">
      <w:pPr>
        <w:ind w:left="567"/>
      </w:pPr>
      <w:r>
        <w:t>(c)</w:t>
      </w:r>
      <w:r>
        <w:tab/>
      </w:r>
      <w:proofErr w:type="gramStart"/>
      <w:r>
        <w:t>insurance</w:t>
      </w:r>
      <w:proofErr w:type="gramEnd"/>
      <w:r>
        <w:t xml:space="preserve"> premiums.</w:t>
      </w:r>
    </w:p>
    <w:p w:rsidR="00745A31" w:rsidRDefault="00745A31" w:rsidP="00453B2F">
      <w:pPr>
        <w:ind w:left="567"/>
        <w:rPr>
          <w:b/>
          <w:i/>
        </w:rPr>
      </w:pPr>
    </w:p>
    <w:p w:rsidR="00462CB1" w:rsidRPr="00462CB1" w:rsidRDefault="00462CB1" w:rsidP="00453B2F">
      <w:pPr>
        <w:ind w:left="567"/>
      </w:pPr>
      <w:proofErr w:type="gramStart"/>
      <w:r>
        <w:rPr>
          <w:b/>
          <w:i/>
        </w:rPr>
        <w:t>date</w:t>
      </w:r>
      <w:proofErr w:type="gramEnd"/>
      <w:r>
        <w:rPr>
          <w:b/>
          <w:i/>
        </w:rPr>
        <w:t xml:space="preserve"> </w:t>
      </w:r>
      <w:r>
        <w:t xml:space="preserve">in relation to an estimate, means the date of the last day of the reporting period </w:t>
      </w:r>
      <w:r w:rsidR="006067A1" w:rsidRPr="00F46010">
        <w:t xml:space="preserve">covered by the </w:t>
      </w:r>
      <w:r w:rsidRPr="00F46010">
        <w:t>period</w:t>
      </w:r>
      <w:r w:rsidR="00F31AB4" w:rsidRPr="00F46010">
        <w:t>ic</w:t>
      </w:r>
      <w:r w:rsidRPr="00F46010">
        <w:t xml:space="preserve"> statement which includes the estimate </w:t>
      </w:r>
      <w:r w:rsidR="006067A1" w:rsidRPr="00F46010">
        <w:t>or which the estimate accompanies</w:t>
      </w:r>
      <w:r>
        <w:t xml:space="preserve"> (see </w:t>
      </w:r>
      <w:r w:rsidR="005370FA">
        <w:t>sub</w:t>
      </w:r>
      <w:r>
        <w:t xml:space="preserve">paragraph </w:t>
      </w:r>
      <w:r w:rsidR="00900FE3">
        <w:t>5(a</w:t>
      </w:r>
      <w:r w:rsidR="005370FA">
        <w:t>)).</w:t>
      </w:r>
      <w:r w:rsidR="006067A1">
        <w:t xml:space="preserve"> </w:t>
      </w:r>
    </w:p>
    <w:p w:rsidR="00462CB1" w:rsidRDefault="00462CB1" w:rsidP="00453B2F">
      <w:pPr>
        <w:ind w:left="567"/>
        <w:rPr>
          <w:b/>
          <w:i/>
        </w:rPr>
      </w:pPr>
    </w:p>
    <w:p w:rsidR="00C246C4" w:rsidRDefault="002150EF">
      <w:pPr>
        <w:ind w:left="567"/>
      </w:pPr>
      <w:proofErr w:type="gramStart"/>
      <w:r>
        <w:rPr>
          <w:b/>
          <w:i/>
        </w:rPr>
        <w:lastRenderedPageBreak/>
        <w:t>periodic</w:t>
      </w:r>
      <w:proofErr w:type="gramEnd"/>
      <w:r>
        <w:rPr>
          <w:b/>
          <w:i/>
        </w:rPr>
        <w:t xml:space="preserve"> statement </w:t>
      </w:r>
      <w:r>
        <w:t>has the same meaning as in subsection 1017D(1) of the Act.</w:t>
      </w:r>
    </w:p>
    <w:p w:rsidR="00C246C4" w:rsidRDefault="00C246C4">
      <w:pPr>
        <w:ind w:left="567"/>
        <w:rPr>
          <w:b/>
          <w:i/>
        </w:rPr>
      </w:pPr>
    </w:p>
    <w:p w:rsidR="00C246C4" w:rsidRDefault="00EB2D84">
      <w:pPr>
        <w:ind w:left="567"/>
      </w:pPr>
      <w:proofErr w:type="gramStart"/>
      <w:r>
        <w:rPr>
          <w:b/>
          <w:i/>
        </w:rPr>
        <w:t>relevant</w:t>
      </w:r>
      <w:proofErr w:type="gramEnd"/>
      <w:r>
        <w:rPr>
          <w:b/>
          <w:i/>
        </w:rPr>
        <w:t xml:space="preserve"> basis </w:t>
      </w:r>
      <w:r w:rsidR="00960388" w:rsidRPr="00960388">
        <w:t>means, in relation to the deduction of administration fees</w:t>
      </w:r>
      <w:r w:rsidR="00004624">
        <w:t xml:space="preserve">, </w:t>
      </w:r>
      <w:r w:rsidR="00960388" w:rsidRPr="00960388">
        <w:t>the deduction of fees on either or a combination of, the following:</w:t>
      </w:r>
    </w:p>
    <w:p w:rsidR="00C246C4" w:rsidRDefault="00C246C4">
      <w:pPr>
        <w:ind w:left="567"/>
      </w:pPr>
    </w:p>
    <w:p w:rsidR="00C246C4" w:rsidRDefault="00960388">
      <w:pPr>
        <w:ind w:left="567"/>
      </w:pPr>
      <w:r w:rsidRPr="00960388">
        <w:t>(a)</w:t>
      </w:r>
      <w:r w:rsidRPr="00960388">
        <w:tab/>
      </w:r>
      <w:proofErr w:type="gramStart"/>
      <w:r w:rsidRPr="00960388">
        <w:t>on</w:t>
      </w:r>
      <w:proofErr w:type="gramEnd"/>
      <w:r w:rsidRPr="00960388">
        <w:t xml:space="preserve"> a flat dollar basis (for example, $1 per week);</w:t>
      </w:r>
    </w:p>
    <w:p w:rsidR="00C246C4" w:rsidRDefault="00C246C4">
      <w:pPr>
        <w:ind w:left="567"/>
      </w:pPr>
    </w:p>
    <w:p w:rsidR="00C246C4" w:rsidRDefault="00960388">
      <w:pPr>
        <w:ind w:left="1440" w:hanging="873"/>
      </w:pPr>
      <w:r w:rsidRPr="00960388">
        <w:t>(b)</w:t>
      </w:r>
      <w:r w:rsidRPr="00960388">
        <w:tab/>
      </w:r>
      <w:proofErr w:type="gramStart"/>
      <w:r w:rsidRPr="00960388">
        <w:t>based</w:t>
      </w:r>
      <w:proofErr w:type="gramEnd"/>
      <w:r w:rsidRPr="00960388">
        <w:t xml:space="preserve"> on a percentage of the member’s contributions into their </w:t>
      </w:r>
      <w:r w:rsidR="0001096E">
        <w:t>account</w:t>
      </w:r>
      <w:r w:rsidRPr="00960388">
        <w:t xml:space="preserve"> with the fund (for example, 1% of each contribution)</w:t>
      </w:r>
      <w:r w:rsidR="00587128">
        <w:t>.</w:t>
      </w:r>
    </w:p>
    <w:p w:rsidR="00C246C4" w:rsidRDefault="00C246C4">
      <w:pPr>
        <w:ind w:left="567"/>
        <w:rPr>
          <w:b/>
          <w:i/>
        </w:rPr>
      </w:pPr>
    </w:p>
    <w:p w:rsidR="00C246C4" w:rsidRDefault="00960388">
      <w:pPr>
        <w:ind w:left="567"/>
        <w:rPr>
          <w:b/>
          <w:i/>
        </w:rPr>
      </w:pPr>
      <w:proofErr w:type="gramStart"/>
      <w:r w:rsidRPr="00960388">
        <w:rPr>
          <w:b/>
          <w:i/>
        </w:rPr>
        <w:t>superannuation</w:t>
      </w:r>
      <w:proofErr w:type="gramEnd"/>
      <w:r w:rsidRPr="00960388">
        <w:rPr>
          <w:b/>
          <w:i/>
        </w:rPr>
        <w:t xml:space="preserve"> entity </w:t>
      </w:r>
      <w:r w:rsidRPr="00960388">
        <w:t xml:space="preserve">has the same meaning as in the </w:t>
      </w:r>
      <w:r w:rsidRPr="00960388">
        <w:rPr>
          <w:i/>
        </w:rPr>
        <w:t>Corporations Act 2001</w:t>
      </w:r>
      <w:r w:rsidRPr="00960388">
        <w:t>.</w:t>
      </w:r>
    </w:p>
    <w:p w:rsidR="00845389" w:rsidRDefault="00845389" w:rsidP="00F840B0">
      <w:pPr>
        <w:spacing w:before="120"/>
        <w:outlineLvl w:val="0"/>
      </w:pPr>
    </w:p>
    <w:p w:rsidR="00845389" w:rsidRDefault="00845389" w:rsidP="00F840B0">
      <w:pPr>
        <w:spacing w:before="120"/>
        <w:outlineLvl w:val="0"/>
      </w:pPr>
    </w:p>
    <w:p w:rsidR="00845389" w:rsidRDefault="00453B2F" w:rsidP="00F840B0">
      <w:pPr>
        <w:spacing w:before="120"/>
        <w:outlineLvl w:val="0"/>
      </w:pPr>
      <w:r>
        <w:t xml:space="preserve">Dated this </w:t>
      </w:r>
      <w:r w:rsidR="00930DA2">
        <w:t>1</w:t>
      </w:r>
      <w:r w:rsidR="00930DA2" w:rsidRPr="00930DA2">
        <w:rPr>
          <w:vertAlign w:val="superscript"/>
        </w:rPr>
        <w:t>st</w:t>
      </w:r>
      <w:r>
        <w:t xml:space="preserve"> day of </w:t>
      </w:r>
      <w:r w:rsidR="00845389" w:rsidRPr="00453B2F">
        <w:t>December 2011</w:t>
      </w:r>
    </w:p>
    <w:p w:rsidR="00845389" w:rsidRDefault="00845389" w:rsidP="00F840B0">
      <w:pPr>
        <w:spacing w:before="120"/>
      </w:pPr>
    </w:p>
    <w:p w:rsidR="00BC043D" w:rsidRDefault="00BC043D" w:rsidP="00F840B0">
      <w:pPr>
        <w:spacing w:before="120"/>
      </w:pPr>
    </w:p>
    <w:p w:rsidR="00845389" w:rsidRDefault="00845389" w:rsidP="00845389">
      <w:pPr>
        <w:spacing w:before="120"/>
      </w:pPr>
    </w:p>
    <w:p w:rsidR="00A14607" w:rsidRDefault="00453B2F" w:rsidP="00005797">
      <w:pPr>
        <w:spacing w:before="120"/>
      </w:pPr>
      <w:r>
        <w:t xml:space="preserve">Signed by </w:t>
      </w:r>
      <w:r w:rsidR="00845389" w:rsidRPr="00453B2F">
        <w:t xml:space="preserve">Stephen Yen </w:t>
      </w:r>
      <w:r w:rsidR="00845389" w:rsidRPr="00453B2F">
        <w:rPr>
          <w:sz w:val="22"/>
          <w:szCs w:val="22"/>
        </w:rPr>
        <w:t>PSM</w:t>
      </w:r>
      <w:r w:rsidR="00845389" w:rsidRPr="001427B0">
        <w:rPr>
          <w:sz w:val="22"/>
          <w:szCs w:val="22"/>
        </w:rPr>
        <w:br/>
      </w:r>
      <w:r w:rsidR="00845389">
        <w:t>as a delegate of the Australian Securities and Investments Commission</w:t>
      </w:r>
    </w:p>
    <w:p w:rsidR="005A26E1" w:rsidRDefault="005A26E1" w:rsidP="005A26E1">
      <w:pPr>
        <w:spacing w:before="120"/>
      </w:pPr>
    </w:p>
    <w:sectPr w:rsidR="005A26E1" w:rsidSect="002C51FB">
      <w:headerReference w:type="default" r:id="rId11"/>
      <w:pgSz w:w="12240" w:h="15840" w:code="1"/>
      <w:pgMar w:top="1440" w:right="1797" w:bottom="1440" w:left="1797" w:header="720" w:footer="720" w:gutter="0"/>
      <w:paperSrc w:first="260" w:other="261"/>
      <w:cols w:space="708"/>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0A85" w:rsidRDefault="00590A85" w:rsidP="005A26E1">
      <w:r>
        <w:separator/>
      </w:r>
    </w:p>
  </w:endnote>
  <w:endnote w:type="continuationSeparator" w:id="0">
    <w:p w:rsidR="00590A85" w:rsidRDefault="00590A85" w:rsidP="005A26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Univers 55">
    <w:panose1 w:val="00000000000000000000"/>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0A85" w:rsidRDefault="00590A85" w:rsidP="005A26E1">
      <w:r>
        <w:separator/>
      </w:r>
    </w:p>
  </w:footnote>
  <w:footnote w:type="continuationSeparator" w:id="0">
    <w:p w:rsidR="00590A85" w:rsidRDefault="00590A85" w:rsidP="005A26E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84269487"/>
      <w:docPartObj>
        <w:docPartGallery w:val="Page Numbers (Top of Page)"/>
        <w:docPartUnique/>
      </w:docPartObj>
    </w:sdtPr>
    <w:sdtContent>
      <w:p w:rsidR="00590A85" w:rsidRDefault="00590A85">
        <w:pPr>
          <w:pStyle w:val="Header"/>
          <w:jc w:val="center"/>
        </w:pPr>
        <w:fldSimple w:instr=" PAGE   \* MERGEFORMAT ">
          <w:r>
            <w:rPr>
              <w:noProof/>
            </w:rPr>
            <w:t>4</w:t>
          </w:r>
        </w:fldSimple>
      </w:p>
    </w:sdtContent>
  </w:sdt>
  <w:p w:rsidR="00590A85" w:rsidRDefault="00590A8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1D2847"/>
    <w:multiLevelType w:val="hybridMultilevel"/>
    <w:tmpl w:val="80B0848C"/>
    <w:lvl w:ilvl="0" w:tplc="312CCF2A">
      <w:start w:val="1"/>
      <w:numFmt w:val="lowerLetter"/>
      <w:lvlText w:val="(%1)"/>
      <w:lvlJc w:val="left"/>
      <w:pPr>
        <w:ind w:left="927" w:hanging="360"/>
      </w:pPr>
      <w:rPr>
        <w:rFonts w:hint="default"/>
      </w:rPr>
    </w:lvl>
    <w:lvl w:ilvl="1" w:tplc="598248E0">
      <w:start w:val="1"/>
      <w:numFmt w:val="lowerRoman"/>
      <w:lvlText w:val="(%2)"/>
      <w:lvlJc w:val="left"/>
      <w:pPr>
        <w:ind w:left="1647" w:hanging="360"/>
      </w:pPr>
      <w:rPr>
        <w:rFonts w:hint="default"/>
      </w:rPr>
    </w:lvl>
    <w:lvl w:ilvl="2" w:tplc="5470A1C2">
      <w:start w:val="1"/>
      <w:numFmt w:val="bullet"/>
      <w:lvlText w:val="•"/>
      <w:lvlJc w:val="left"/>
      <w:pPr>
        <w:ind w:left="2547" w:hanging="360"/>
      </w:pPr>
      <w:rPr>
        <w:rFonts w:ascii="Times New Roman" w:eastAsia="Times New Roman" w:hAnsi="Times New Roman" w:cs="Times New Roman" w:hint="default"/>
      </w:r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
    <w:nsid w:val="187F788C"/>
    <w:multiLevelType w:val="hybridMultilevel"/>
    <w:tmpl w:val="15CCA232"/>
    <w:lvl w:ilvl="0" w:tplc="312CCF2A">
      <w:start w:val="1"/>
      <w:numFmt w:val="lowerLetter"/>
      <w:lvlText w:val="(%1)"/>
      <w:lvlJc w:val="left"/>
      <w:pPr>
        <w:ind w:left="927" w:hanging="360"/>
      </w:pPr>
      <w:rPr>
        <w:rFonts w:hint="default"/>
        <w:u w:val="none"/>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
    <w:nsid w:val="1CAE7E6D"/>
    <w:multiLevelType w:val="hybridMultilevel"/>
    <w:tmpl w:val="80B0848C"/>
    <w:lvl w:ilvl="0" w:tplc="312CCF2A">
      <w:start w:val="1"/>
      <w:numFmt w:val="lowerLetter"/>
      <w:lvlText w:val="(%1)"/>
      <w:lvlJc w:val="left"/>
      <w:pPr>
        <w:ind w:left="927" w:hanging="360"/>
      </w:pPr>
      <w:rPr>
        <w:rFonts w:hint="default"/>
      </w:rPr>
    </w:lvl>
    <w:lvl w:ilvl="1" w:tplc="598248E0">
      <w:start w:val="1"/>
      <w:numFmt w:val="lowerRoman"/>
      <w:lvlText w:val="(%2)"/>
      <w:lvlJc w:val="left"/>
      <w:pPr>
        <w:ind w:left="1647" w:hanging="360"/>
      </w:pPr>
      <w:rPr>
        <w:rFonts w:hint="default"/>
      </w:rPr>
    </w:lvl>
    <w:lvl w:ilvl="2" w:tplc="5470A1C2">
      <w:start w:val="1"/>
      <w:numFmt w:val="bullet"/>
      <w:lvlText w:val="•"/>
      <w:lvlJc w:val="left"/>
      <w:pPr>
        <w:ind w:left="2547" w:hanging="360"/>
      </w:pPr>
      <w:rPr>
        <w:rFonts w:ascii="Times New Roman" w:eastAsia="Times New Roman" w:hAnsi="Times New Roman" w:cs="Times New Roman" w:hint="default"/>
      </w:r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3">
    <w:nsid w:val="2140509D"/>
    <w:multiLevelType w:val="multilevel"/>
    <w:tmpl w:val="D1EE12A0"/>
    <w:lvl w:ilvl="0">
      <w:start w:val="1"/>
      <w:numFmt w:val="decimal"/>
      <w:pStyle w:val="Heading1"/>
      <w:lvlText w:val="%1"/>
      <w:lvlJc w:val="left"/>
      <w:pPr>
        <w:tabs>
          <w:tab w:val="num" w:pos="850"/>
        </w:tabs>
        <w:ind w:left="850" w:hanging="850"/>
      </w:pPr>
      <w:rPr>
        <w:rFonts w:ascii="Univers 55" w:hAnsi="Univers 55" w:hint="default"/>
        <w:b/>
        <w:i w:val="0"/>
        <w:sz w:val="28"/>
        <w:szCs w:val="28"/>
      </w:rPr>
    </w:lvl>
    <w:lvl w:ilvl="1">
      <w:start w:val="1"/>
      <w:numFmt w:val="decimal"/>
      <w:pStyle w:val="Heading2"/>
      <w:lvlText w:val="%1.%2"/>
      <w:lvlJc w:val="left"/>
      <w:pPr>
        <w:tabs>
          <w:tab w:val="num" w:pos="850"/>
        </w:tabs>
        <w:ind w:left="850" w:hanging="850"/>
      </w:pPr>
      <w:rPr>
        <w:rFonts w:ascii="Univers 55" w:hAnsi="Univers 55" w:hint="default"/>
        <w:b/>
        <w:i/>
        <w:sz w:val="24"/>
        <w:szCs w:val="24"/>
      </w:rPr>
    </w:lvl>
    <w:lvl w:ilvl="2">
      <w:start w:val="1"/>
      <w:numFmt w:val="decimal"/>
      <w:pStyle w:val="BodyText"/>
      <w:lvlText w:val="%1.%3"/>
      <w:lvlJc w:val="left"/>
      <w:pPr>
        <w:tabs>
          <w:tab w:val="num" w:pos="850"/>
        </w:tabs>
        <w:ind w:left="850" w:hanging="850"/>
      </w:pPr>
      <w:rPr>
        <w:rFonts w:ascii="Univers 55" w:hAnsi="Univers 55" w:hint="default"/>
        <w:b w:val="0"/>
        <w:i w:val="0"/>
        <w:sz w:val="22"/>
        <w:szCs w:val="22"/>
      </w:rPr>
    </w:lvl>
    <w:lvl w:ilvl="3">
      <w:start w:val="1"/>
      <w:numFmt w:val="decimal"/>
      <w:pStyle w:val="BodyText2"/>
      <w:lvlText w:val="%1.%2.%4"/>
      <w:lvlJc w:val="left"/>
      <w:pPr>
        <w:tabs>
          <w:tab w:val="num" w:pos="850"/>
        </w:tabs>
        <w:ind w:left="850" w:hanging="850"/>
      </w:pPr>
      <w:rPr>
        <w:rFonts w:ascii="Univers 55" w:hAnsi="Univers 55" w:hint="default"/>
        <w:b w:val="0"/>
        <w:i w:val="0"/>
        <w:sz w:val="22"/>
        <w:szCs w:val="22"/>
      </w:rPr>
    </w:lvl>
    <w:lvl w:ilvl="4">
      <w:start w:val="1"/>
      <w:numFmt w:val="bullet"/>
      <w:lvlText w:val=""/>
      <w:lvlJc w:val="left"/>
      <w:pPr>
        <w:tabs>
          <w:tab w:val="num" w:pos="1418"/>
        </w:tabs>
        <w:ind w:left="1418" w:hanging="567"/>
      </w:pPr>
      <w:rPr>
        <w:rFonts w:ascii="Symbol" w:hAnsi="Symbol" w:hint="default"/>
        <w:sz w:val="28"/>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nsid w:val="21F021B0"/>
    <w:multiLevelType w:val="hybridMultilevel"/>
    <w:tmpl w:val="80B0848C"/>
    <w:lvl w:ilvl="0" w:tplc="312CCF2A">
      <w:start w:val="1"/>
      <w:numFmt w:val="lowerLetter"/>
      <w:lvlText w:val="(%1)"/>
      <w:lvlJc w:val="left"/>
      <w:pPr>
        <w:ind w:left="927" w:hanging="360"/>
      </w:pPr>
      <w:rPr>
        <w:rFonts w:hint="default"/>
      </w:rPr>
    </w:lvl>
    <w:lvl w:ilvl="1" w:tplc="598248E0">
      <w:start w:val="1"/>
      <w:numFmt w:val="lowerRoman"/>
      <w:lvlText w:val="(%2)"/>
      <w:lvlJc w:val="left"/>
      <w:pPr>
        <w:ind w:left="1647" w:hanging="360"/>
      </w:pPr>
      <w:rPr>
        <w:rFonts w:hint="default"/>
      </w:rPr>
    </w:lvl>
    <w:lvl w:ilvl="2" w:tplc="5470A1C2">
      <w:start w:val="1"/>
      <w:numFmt w:val="bullet"/>
      <w:lvlText w:val="•"/>
      <w:lvlJc w:val="left"/>
      <w:pPr>
        <w:ind w:left="2547" w:hanging="360"/>
      </w:pPr>
      <w:rPr>
        <w:rFonts w:ascii="Times New Roman" w:eastAsia="Times New Roman" w:hAnsi="Times New Roman" w:cs="Times New Roman" w:hint="default"/>
      </w:r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5">
    <w:nsid w:val="21F619A6"/>
    <w:multiLevelType w:val="hybridMultilevel"/>
    <w:tmpl w:val="02DE7E3A"/>
    <w:lvl w:ilvl="0" w:tplc="2B0E33C2">
      <w:start w:val="1"/>
      <w:numFmt w:val="bullet"/>
      <w:lvlText w:val=""/>
      <w:lvlJc w:val="left"/>
      <w:pPr>
        <w:tabs>
          <w:tab w:val="num" w:pos="3771"/>
        </w:tabs>
        <w:ind w:left="3771" w:hanging="718"/>
      </w:pPr>
      <w:rPr>
        <w:rFonts w:ascii="Symbol" w:hAnsi="Symbol" w:hint="default"/>
        <w:sz w:val="21"/>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5F2EF62A">
      <w:start w:val="1"/>
      <w:numFmt w:val="bullet"/>
      <w:lvlText w:val=""/>
      <w:lvlJc w:val="left"/>
      <w:pPr>
        <w:tabs>
          <w:tab w:val="num" w:pos="3053"/>
        </w:tabs>
        <w:ind w:left="3050" w:hanging="357"/>
      </w:pPr>
      <w:rPr>
        <w:rFonts w:ascii="Symbol" w:hAnsi="Symbol" w:hint="default"/>
        <w:b w:val="0"/>
        <w:i w:val="0"/>
        <w:color w:val="auto"/>
        <w:sz w:val="21"/>
        <w:u w:val="none"/>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70A5697"/>
    <w:multiLevelType w:val="hybridMultilevel"/>
    <w:tmpl w:val="F73C7290"/>
    <w:lvl w:ilvl="0" w:tplc="86A26FBA">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nsid w:val="3D897D2C"/>
    <w:multiLevelType w:val="hybridMultilevel"/>
    <w:tmpl w:val="B3CC23F6"/>
    <w:lvl w:ilvl="0" w:tplc="0C090001">
      <w:start w:val="1"/>
      <w:numFmt w:val="bullet"/>
      <w:lvlText w:val=""/>
      <w:lvlJc w:val="left"/>
      <w:pPr>
        <w:ind w:left="1080" w:hanging="360"/>
      </w:pPr>
      <w:rPr>
        <w:rFonts w:ascii="Symbol" w:hAnsi="Symbol" w:hint="default"/>
      </w:rPr>
    </w:lvl>
    <w:lvl w:ilvl="1" w:tplc="598248E0">
      <w:start w:val="1"/>
      <w:numFmt w:val="lowerRoman"/>
      <w:lvlText w:val="(%2)"/>
      <w:lvlJc w:val="left"/>
      <w:pPr>
        <w:ind w:left="1800" w:hanging="360"/>
      </w:pPr>
      <w:rPr>
        <w:rFonts w:hint="default"/>
      </w:rPr>
    </w:lvl>
    <w:lvl w:ilvl="2" w:tplc="5470A1C2">
      <w:start w:val="1"/>
      <w:numFmt w:val="bullet"/>
      <w:lvlText w:val="•"/>
      <w:lvlJc w:val="left"/>
      <w:pPr>
        <w:ind w:left="2700" w:hanging="360"/>
      </w:pPr>
      <w:rPr>
        <w:rFonts w:ascii="Times New Roman" w:eastAsia="Times New Roman" w:hAnsi="Times New Roman" w:cs="Times New Roman" w:hint="default"/>
      </w:r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nsid w:val="3F8A5221"/>
    <w:multiLevelType w:val="hybridMultilevel"/>
    <w:tmpl w:val="25E40790"/>
    <w:lvl w:ilvl="0" w:tplc="312CCF2A">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9">
    <w:nsid w:val="52234E38"/>
    <w:multiLevelType w:val="hybridMultilevel"/>
    <w:tmpl w:val="0FDE085E"/>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0">
    <w:nsid w:val="5A8A1FC7"/>
    <w:multiLevelType w:val="hybridMultilevel"/>
    <w:tmpl w:val="F73C7290"/>
    <w:lvl w:ilvl="0" w:tplc="86A26FBA">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nsid w:val="60DF0B3F"/>
    <w:multiLevelType w:val="hybridMultilevel"/>
    <w:tmpl w:val="25E40790"/>
    <w:lvl w:ilvl="0" w:tplc="312CCF2A">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2">
    <w:nsid w:val="61B24092"/>
    <w:multiLevelType w:val="hybridMultilevel"/>
    <w:tmpl w:val="80B0848C"/>
    <w:lvl w:ilvl="0" w:tplc="312CCF2A">
      <w:start w:val="1"/>
      <w:numFmt w:val="lowerLetter"/>
      <w:lvlText w:val="(%1)"/>
      <w:lvlJc w:val="left"/>
      <w:pPr>
        <w:ind w:left="1080" w:hanging="360"/>
      </w:pPr>
      <w:rPr>
        <w:rFonts w:hint="default"/>
      </w:rPr>
    </w:lvl>
    <w:lvl w:ilvl="1" w:tplc="598248E0">
      <w:start w:val="1"/>
      <w:numFmt w:val="lowerRoman"/>
      <w:lvlText w:val="(%2)"/>
      <w:lvlJc w:val="left"/>
      <w:pPr>
        <w:ind w:left="1800" w:hanging="360"/>
      </w:pPr>
      <w:rPr>
        <w:rFonts w:hint="default"/>
      </w:rPr>
    </w:lvl>
    <w:lvl w:ilvl="2" w:tplc="5470A1C2">
      <w:start w:val="1"/>
      <w:numFmt w:val="bullet"/>
      <w:lvlText w:val="•"/>
      <w:lvlJc w:val="left"/>
      <w:pPr>
        <w:ind w:left="2700" w:hanging="360"/>
      </w:pPr>
      <w:rPr>
        <w:rFonts w:ascii="Times New Roman" w:eastAsia="Times New Roman" w:hAnsi="Times New Roman" w:cs="Times New Roman" w:hint="default"/>
      </w:r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nsid w:val="64CA5B65"/>
    <w:multiLevelType w:val="hybridMultilevel"/>
    <w:tmpl w:val="016E3160"/>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4">
    <w:nsid w:val="6C862C66"/>
    <w:multiLevelType w:val="hybridMultilevel"/>
    <w:tmpl w:val="04965268"/>
    <w:lvl w:ilvl="0" w:tplc="312CCF2A">
      <w:start w:val="1"/>
      <w:numFmt w:val="lowerLetter"/>
      <w:lvlText w:val="(%1)"/>
      <w:lvlJc w:val="left"/>
      <w:pPr>
        <w:ind w:left="927"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77176E95"/>
    <w:multiLevelType w:val="hybridMultilevel"/>
    <w:tmpl w:val="80B0848C"/>
    <w:lvl w:ilvl="0" w:tplc="312CCF2A">
      <w:start w:val="1"/>
      <w:numFmt w:val="lowerLetter"/>
      <w:lvlText w:val="(%1)"/>
      <w:lvlJc w:val="left"/>
      <w:pPr>
        <w:ind w:left="927" w:hanging="360"/>
      </w:pPr>
      <w:rPr>
        <w:rFonts w:hint="default"/>
      </w:rPr>
    </w:lvl>
    <w:lvl w:ilvl="1" w:tplc="598248E0">
      <w:start w:val="1"/>
      <w:numFmt w:val="lowerRoman"/>
      <w:lvlText w:val="(%2)"/>
      <w:lvlJc w:val="left"/>
      <w:pPr>
        <w:ind w:left="1647" w:hanging="360"/>
      </w:pPr>
      <w:rPr>
        <w:rFonts w:hint="default"/>
      </w:rPr>
    </w:lvl>
    <w:lvl w:ilvl="2" w:tplc="5470A1C2">
      <w:start w:val="1"/>
      <w:numFmt w:val="bullet"/>
      <w:lvlText w:val="•"/>
      <w:lvlJc w:val="left"/>
      <w:pPr>
        <w:ind w:left="2547" w:hanging="360"/>
      </w:pPr>
      <w:rPr>
        <w:rFonts w:ascii="Times New Roman" w:eastAsia="Times New Roman" w:hAnsi="Times New Roman" w:cs="Times New Roman" w:hint="default"/>
      </w:r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6">
    <w:nsid w:val="77DD2D1D"/>
    <w:multiLevelType w:val="hybridMultilevel"/>
    <w:tmpl w:val="08AC0A32"/>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9"/>
  </w:num>
  <w:num w:numId="2">
    <w:abstractNumId w:val="6"/>
  </w:num>
  <w:num w:numId="3">
    <w:abstractNumId w:val="10"/>
  </w:num>
  <w:num w:numId="4">
    <w:abstractNumId w:val="11"/>
  </w:num>
  <w:num w:numId="5">
    <w:abstractNumId w:val="14"/>
  </w:num>
  <w:num w:numId="6">
    <w:abstractNumId w:val="16"/>
  </w:num>
  <w:num w:numId="7">
    <w:abstractNumId w:val="8"/>
  </w:num>
  <w:num w:numId="8">
    <w:abstractNumId w:val="4"/>
  </w:num>
  <w:num w:numId="9">
    <w:abstractNumId w:val="13"/>
  </w:num>
  <w:num w:numId="10">
    <w:abstractNumId w:val="5"/>
  </w:num>
  <w:num w:numId="11">
    <w:abstractNumId w:val="0"/>
  </w:num>
  <w:num w:numId="12">
    <w:abstractNumId w:val="15"/>
  </w:num>
  <w:num w:numId="13">
    <w:abstractNumId w:val="3"/>
  </w:num>
  <w:num w:numId="14">
    <w:abstractNumId w:val="12"/>
  </w:num>
  <w:num w:numId="15">
    <w:abstractNumId w:val="2"/>
  </w:num>
  <w:num w:numId="16">
    <w:abstractNumId w:val="1"/>
  </w:num>
  <w:num w:numId="17">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93"/>
  <w:proofState w:spelling="clean" w:grammar="clean"/>
  <w:mailMerge>
    <w:mainDocumentType w:val="formLetters"/>
    <w:dataType w:val="textFile"/>
    <w:activeRecord w:val="-1"/>
    <w:odso/>
  </w:mailMerge>
  <w:defaultTabStop w:val="720"/>
  <w:drawingGridHorizontalSpacing w:val="120"/>
  <w:drawingGridVerticalSpacing w:val="163"/>
  <w:displayHorizontalDrawingGridEvery w:val="2"/>
  <w:displayVerticalDrawingGridEvery w:val="2"/>
  <w:noPunctuationKerning/>
  <w:characterSpacingControl w:val="doNotCompress"/>
  <w:hdrShapeDefaults>
    <o:shapedefaults v:ext="edit" spidmax="16385"/>
  </w:hdrShapeDefaults>
  <w:footnotePr>
    <w:footnote w:id="-1"/>
    <w:footnote w:id="0"/>
  </w:footnotePr>
  <w:endnotePr>
    <w:endnote w:id="-1"/>
    <w:endnote w:id="0"/>
  </w:endnotePr>
  <w:compat/>
  <w:rsids>
    <w:rsidRoot w:val="00AA1AAA"/>
    <w:rsid w:val="00004624"/>
    <w:rsid w:val="00005797"/>
    <w:rsid w:val="00007681"/>
    <w:rsid w:val="000106FC"/>
    <w:rsid w:val="0001096E"/>
    <w:rsid w:val="00012D3A"/>
    <w:rsid w:val="00012DE5"/>
    <w:rsid w:val="00014A4F"/>
    <w:rsid w:val="00026D95"/>
    <w:rsid w:val="00033BE0"/>
    <w:rsid w:val="00034C0A"/>
    <w:rsid w:val="00055113"/>
    <w:rsid w:val="00055F2F"/>
    <w:rsid w:val="000650D8"/>
    <w:rsid w:val="00067738"/>
    <w:rsid w:val="00070301"/>
    <w:rsid w:val="00076758"/>
    <w:rsid w:val="00077B5A"/>
    <w:rsid w:val="0008092B"/>
    <w:rsid w:val="0008793E"/>
    <w:rsid w:val="0009413A"/>
    <w:rsid w:val="00094CCA"/>
    <w:rsid w:val="000A6249"/>
    <w:rsid w:val="000B17BA"/>
    <w:rsid w:val="000D034E"/>
    <w:rsid w:val="000D2E8E"/>
    <w:rsid w:val="000D6BAD"/>
    <w:rsid w:val="000E29FE"/>
    <w:rsid w:val="000F06E7"/>
    <w:rsid w:val="000F200C"/>
    <w:rsid w:val="000F624B"/>
    <w:rsid w:val="00103A17"/>
    <w:rsid w:val="00104BC5"/>
    <w:rsid w:val="00121FB3"/>
    <w:rsid w:val="0012298F"/>
    <w:rsid w:val="00122B2B"/>
    <w:rsid w:val="00122FB4"/>
    <w:rsid w:val="0012507E"/>
    <w:rsid w:val="00127733"/>
    <w:rsid w:val="00130226"/>
    <w:rsid w:val="00130D3E"/>
    <w:rsid w:val="0013613A"/>
    <w:rsid w:val="001367F6"/>
    <w:rsid w:val="001414AA"/>
    <w:rsid w:val="00141689"/>
    <w:rsid w:val="001427B0"/>
    <w:rsid w:val="00143A63"/>
    <w:rsid w:val="00146748"/>
    <w:rsid w:val="00147561"/>
    <w:rsid w:val="00150F0A"/>
    <w:rsid w:val="00152472"/>
    <w:rsid w:val="00152699"/>
    <w:rsid w:val="0015503E"/>
    <w:rsid w:val="00157B77"/>
    <w:rsid w:val="001679FF"/>
    <w:rsid w:val="00170565"/>
    <w:rsid w:val="001750F9"/>
    <w:rsid w:val="00183C7B"/>
    <w:rsid w:val="00185A28"/>
    <w:rsid w:val="00197D81"/>
    <w:rsid w:val="001A578B"/>
    <w:rsid w:val="001A61FB"/>
    <w:rsid w:val="001A71B4"/>
    <w:rsid w:val="001A7C88"/>
    <w:rsid w:val="001B1E7B"/>
    <w:rsid w:val="001B3575"/>
    <w:rsid w:val="001B4EB0"/>
    <w:rsid w:val="001B6B72"/>
    <w:rsid w:val="001B743C"/>
    <w:rsid w:val="001C2202"/>
    <w:rsid w:val="001E4074"/>
    <w:rsid w:val="001F07C0"/>
    <w:rsid w:val="001F2EB1"/>
    <w:rsid w:val="001F5E01"/>
    <w:rsid w:val="00203557"/>
    <w:rsid w:val="00203BA8"/>
    <w:rsid w:val="002103FD"/>
    <w:rsid w:val="0021185F"/>
    <w:rsid w:val="00213CF9"/>
    <w:rsid w:val="002150EF"/>
    <w:rsid w:val="002227B5"/>
    <w:rsid w:val="002300EA"/>
    <w:rsid w:val="00243764"/>
    <w:rsid w:val="00243A8A"/>
    <w:rsid w:val="002521E3"/>
    <w:rsid w:val="00256A7D"/>
    <w:rsid w:val="0026126D"/>
    <w:rsid w:val="0027293D"/>
    <w:rsid w:val="002764FA"/>
    <w:rsid w:val="002800BE"/>
    <w:rsid w:val="00283B02"/>
    <w:rsid w:val="00283BCA"/>
    <w:rsid w:val="00291CAA"/>
    <w:rsid w:val="002921E0"/>
    <w:rsid w:val="002948E7"/>
    <w:rsid w:val="002A2947"/>
    <w:rsid w:val="002A357B"/>
    <w:rsid w:val="002A5665"/>
    <w:rsid w:val="002A7E7B"/>
    <w:rsid w:val="002B0A54"/>
    <w:rsid w:val="002B2EE9"/>
    <w:rsid w:val="002B40B5"/>
    <w:rsid w:val="002B74AD"/>
    <w:rsid w:val="002C0A6B"/>
    <w:rsid w:val="002C3B0A"/>
    <w:rsid w:val="002C454E"/>
    <w:rsid w:val="002C51FB"/>
    <w:rsid w:val="002C5E44"/>
    <w:rsid w:val="002C5FB7"/>
    <w:rsid w:val="002C7B53"/>
    <w:rsid w:val="002D02AE"/>
    <w:rsid w:val="002D167A"/>
    <w:rsid w:val="002D4461"/>
    <w:rsid w:val="002D5290"/>
    <w:rsid w:val="002D5524"/>
    <w:rsid w:val="002E2F20"/>
    <w:rsid w:val="002E5DD2"/>
    <w:rsid w:val="002E745F"/>
    <w:rsid w:val="0031144E"/>
    <w:rsid w:val="00324742"/>
    <w:rsid w:val="003250C1"/>
    <w:rsid w:val="00326952"/>
    <w:rsid w:val="00326F52"/>
    <w:rsid w:val="00327F3C"/>
    <w:rsid w:val="00330530"/>
    <w:rsid w:val="00337721"/>
    <w:rsid w:val="00341D85"/>
    <w:rsid w:val="00362D87"/>
    <w:rsid w:val="00375786"/>
    <w:rsid w:val="003909A1"/>
    <w:rsid w:val="003A1A4E"/>
    <w:rsid w:val="003A5B8D"/>
    <w:rsid w:val="003B09EE"/>
    <w:rsid w:val="003B12CA"/>
    <w:rsid w:val="003B1A25"/>
    <w:rsid w:val="003B62B8"/>
    <w:rsid w:val="003C3CB4"/>
    <w:rsid w:val="003D1FC1"/>
    <w:rsid w:val="003E1829"/>
    <w:rsid w:val="003F015F"/>
    <w:rsid w:val="003F0617"/>
    <w:rsid w:val="003F587B"/>
    <w:rsid w:val="00404515"/>
    <w:rsid w:val="0040587D"/>
    <w:rsid w:val="00406794"/>
    <w:rsid w:val="00407E76"/>
    <w:rsid w:val="00412A0B"/>
    <w:rsid w:val="004130A0"/>
    <w:rsid w:val="00421A83"/>
    <w:rsid w:val="004238B4"/>
    <w:rsid w:val="004347A0"/>
    <w:rsid w:val="00444EFB"/>
    <w:rsid w:val="00445E50"/>
    <w:rsid w:val="00451249"/>
    <w:rsid w:val="004524DD"/>
    <w:rsid w:val="00453B2F"/>
    <w:rsid w:val="0045536E"/>
    <w:rsid w:val="004574DE"/>
    <w:rsid w:val="00462423"/>
    <w:rsid w:val="00462BC8"/>
    <w:rsid w:val="00462C3E"/>
    <w:rsid w:val="00462CB1"/>
    <w:rsid w:val="00466A70"/>
    <w:rsid w:val="00473D2D"/>
    <w:rsid w:val="00474D2F"/>
    <w:rsid w:val="00475936"/>
    <w:rsid w:val="00477C0F"/>
    <w:rsid w:val="004813B8"/>
    <w:rsid w:val="0048276D"/>
    <w:rsid w:val="0049364C"/>
    <w:rsid w:val="004978DC"/>
    <w:rsid w:val="004A1C26"/>
    <w:rsid w:val="004A4C4E"/>
    <w:rsid w:val="004B5876"/>
    <w:rsid w:val="004C07E5"/>
    <w:rsid w:val="004C1338"/>
    <w:rsid w:val="004C27ED"/>
    <w:rsid w:val="004C28FD"/>
    <w:rsid w:val="004D0754"/>
    <w:rsid w:val="004D2264"/>
    <w:rsid w:val="004E0154"/>
    <w:rsid w:val="004E25AC"/>
    <w:rsid w:val="004E2636"/>
    <w:rsid w:val="005024BB"/>
    <w:rsid w:val="00505E0C"/>
    <w:rsid w:val="0051054B"/>
    <w:rsid w:val="0051282E"/>
    <w:rsid w:val="00521AB3"/>
    <w:rsid w:val="0052399C"/>
    <w:rsid w:val="00530D34"/>
    <w:rsid w:val="00531AAD"/>
    <w:rsid w:val="005370FA"/>
    <w:rsid w:val="00537AC2"/>
    <w:rsid w:val="00543C0C"/>
    <w:rsid w:val="005535AA"/>
    <w:rsid w:val="0056012A"/>
    <w:rsid w:val="00562F7D"/>
    <w:rsid w:val="0056635D"/>
    <w:rsid w:val="00572BA2"/>
    <w:rsid w:val="0057767A"/>
    <w:rsid w:val="00581E2C"/>
    <w:rsid w:val="00587128"/>
    <w:rsid w:val="00590A85"/>
    <w:rsid w:val="00595523"/>
    <w:rsid w:val="005A26E1"/>
    <w:rsid w:val="005A45BC"/>
    <w:rsid w:val="005A7A22"/>
    <w:rsid w:val="005B250E"/>
    <w:rsid w:val="005B28D2"/>
    <w:rsid w:val="005B5D44"/>
    <w:rsid w:val="005C14ED"/>
    <w:rsid w:val="005C36ED"/>
    <w:rsid w:val="005D0904"/>
    <w:rsid w:val="005E1453"/>
    <w:rsid w:val="005E5156"/>
    <w:rsid w:val="005F39EE"/>
    <w:rsid w:val="006030E4"/>
    <w:rsid w:val="006067A1"/>
    <w:rsid w:val="00607AD6"/>
    <w:rsid w:val="006100D0"/>
    <w:rsid w:val="00610806"/>
    <w:rsid w:val="00613C27"/>
    <w:rsid w:val="00614999"/>
    <w:rsid w:val="00614D3A"/>
    <w:rsid w:val="00625B13"/>
    <w:rsid w:val="0064400F"/>
    <w:rsid w:val="006467FE"/>
    <w:rsid w:val="00652764"/>
    <w:rsid w:val="006601A8"/>
    <w:rsid w:val="00662B4E"/>
    <w:rsid w:val="006634DB"/>
    <w:rsid w:val="00666189"/>
    <w:rsid w:val="00672EB5"/>
    <w:rsid w:val="00676B3D"/>
    <w:rsid w:val="00677CAE"/>
    <w:rsid w:val="006808AB"/>
    <w:rsid w:val="0068205E"/>
    <w:rsid w:val="00683057"/>
    <w:rsid w:val="00684616"/>
    <w:rsid w:val="00691C61"/>
    <w:rsid w:val="006A772A"/>
    <w:rsid w:val="006A7A14"/>
    <w:rsid w:val="006B12F3"/>
    <w:rsid w:val="006B6715"/>
    <w:rsid w:val="006C34D4"/>
    <w:rsid w:val="006E0658"/>
    <w:rsid w:val="006E1C44"/>
    <w:rsid w:val="006E2BF1"/>
    <w:rsid w:val="006E347F"/>
    <w:rsid w:val="006E36B8"/>
    <w:rsid w:val="006E641D"/>
    <w:rsid w:val="006F01B9"/>
    <w:rsid w:val="006F1CE3"/>
    <w:rsid w:val="006F3A70"/>
    <w:rsid w:val="007022F2"/>
    <w:rsid w:val="0072665F"/>
    <w:rsid w:val="00735EFA"/>
    <w:rsid w:val="007417E6"/>
    <w:rsid w:val="007453CC"/>
    <w:rsid w:val="00745A31"/>
    <w:rsid w:val="007460FB"/>
    <w:rsid w:val="00751701"/>
    <w:rsid w:val="007610CA"/>
    <w:rsid w:val="0077006B"/>
    <w:rsid w:val="00772AE1"/>
    <w:rsid w:val="00773CE3"/>
    <w:rsid w:val="00782063"/>
    <w:rsid w:val="00782FF8"/>
    <w:rsid w:val="0078539C"/>
    <w:rsid w:val="00785AE5"/>
    <w:rsid w:val="00792D2E"/>
    <w:rsid w:val="00796F08"/>
    <w:rsid w:val="007A6205"/>
    <w:rsid w:val="007B165B"/>
    <w:rsid w:val="007B2F7F"/>
    <w:rsid w:val="007B5FA6"/>
    <w:rsid w:val="007B6AF4"/>
    <w:rsid w:val="007B741E"/>
    <w:rsid w:val="007C3A9D"/>
    <w:rsid w:val="007C3FD9"/>
    <w:rsid w:val="007C4C2B"/>
    <w:rsid w:val="007C7CC4"/>
    <w:rsid w:val="007D1486"/>
    <w:rsid w:val="007D6DFD"/>
    <w:rsid w:val="007D74E1"/>
    <w:rsid w:val="007E3EA3"/>
    <w:rsid w:val="007E7675"/>
    <w:rsid w:val="0080136D"/>
    <w:rsid w:val="008020D1"/>
    <w:rsid w:val="00806227"/>
    <w:rsid w:val="00806CCB"/>
    <w:rsid w:val="00806FF3"/>
    <w:rsid w:val="0082125D"/>
    <w:rsid w:val="00825899"/>
    <w:rsid w:val="00831B1D"/>
    <w:rsid w:val="00835F8F"/>
    <w:rsid w:val="008376DA"/>
    <w:rsid w:val="0084326D"/>
    <w:rsid w:val="00845329"/>
    <w:rsid w:val="00845389"/>
    <w:rsid w:val="00852EDF"/>
    <w:rsid w:val="0085393F"/>
    <w:rsid w:val="0085764E"/>
    <w:rsid w:val="008742F3"/>
    <w:rsid w:val="008749A7"/>
    <w:rsid w:val="008770B7"/>
    <w:rsid w:val="0088145B"/>
    <w:rsid w:val="00884601"/>
    <w:rsid w:val="008978D6"/>
    <w:rsid w:val="008A5242"/>
    <w:rsid w:val="008A5914"/>
    <w:rsid w:val="008A7430"/>
    <w:rsid w:val="008B3A36"/>
    <w:rsid w:val="008C3266"/>
    <w:rsid w:val="008C49AD"/>
    <w:rsid w:val="008D187E"/>
    <w:rsid w:val="008E56E9"/>
    <w:rsid w:val="008F1B2E"/>
    <w:rsid w:val="008F2561"/>
    <w:rsid w:val="008F2985"/>
    <w:rsid w:val="008F56F8"/>
    <w:rsid w:val="00900FE3"/>
    <w:rsid w:val="00906530"/>
    <w:rsid w:val="009114D6"/>
    <w:rsid w:val="00914604"/>
    <w:rsid w:val="00917263"/>
    <w:rsid w:val="00917885"/>
    <w:rsid w:val="00922D5F"/>
    <w:rsid w:val="00923558"/>
    <w:rsid w:val="00930DA2"/>
    <w:rsid w:val="0093399D"/>
    <w:rsid w:val="0093519F"/>
    <w:rsid w:val="009357CD"/>
    <w:rsid w:val="009413BE"/>
    <w:rsid w:val="009424AD"/>
    <w:rsid w:val="00943C11"/>
    <w:rsid w:val="00946843"/>
    <w:rsid w:val="00957923"/>
    <w:rsid w:val="00960388"/>
    <w:rsid w:val="00961BBA"/>
    <w:rsid w:val="00962C68"/>
    <w:rsid w:val="00963D61"/>
    <w:rsid w:val="00965559"/>
    <w:rsid w:val="0096631A"/>
    <w:rsid w:val="00967D0C"/>
    <w:rsid w:val="00970840"/>
    <w:rsid w:val="0097332E"/>
    <w:rsid w:val="00975404"/>
    <w:rsid w:val="00976AC5"/>
    <w:rsid w:val="0097755C"/>
    <w:rsid w:val="009828FD"/>
    <w:rsid w:val="009841D1"/>
    <w:rsid w:val="00985648"/>
    <w:rsid w:val="00995C87"/>
    <w:rsid w:val="009B091B"/>
    <w:rsid w:val="009B3B8C"/>
    <w:rsid w:val="009B3CCE"/>
    <w:rsid w:val="009B53F4"/>
    <w:rsid w:val="009B7C46"/>
    <w:rsid w:val="009C0D81"/>
    <w:rsid w:val="009C3D8D"/>
    <w:rsid w:val="009C3E55"/>
    <w:rsid w:val="009D0672"/>
    <w:rsid w:val="009D1802"/>
    <w:rsid w:val="009D3A09"/>
    <w:rsid w:val="009E21FE"/>
    <w:rsid w:val="009E3B6A"/>
    <w:rsid w:val="009E5F38"/>
    <w:rsid w:val="009E6581"/>
    <w:rsid w:val="009E65CA"/>
    <w:rsid w:val="009F4AA5"/>
    <w:rsid w:val="00A01827"/>
    <w:rsid w:val="00A06880"/>
    <w:rsid w:val="00A1053C"/>
    <w:rsid w:val="00A1417D"/>
    <w:rsid w:val="00A14276"/>
    <w:rsid w:val="00A14607"/>
    <w:rsid w:val="00A15527"/>
    <w:rsid w:val="00A15A93"/>
    <w:rsid w:val="00A15E2E"/>
    <w:rsid w:val="00A20414"/>
    <w:rsid w:val="00A32F9D"/>
    <w:rsid w:val="00A5016E"/>
    <w:rsid w:val="00A508B1"/>
    <w:rsid w:val="00A50FBC"/>
    <w:rsid w:val="00A52F8C"/>
    <w:rsid w:val="00A53C83"/>
    <w:rsid w:val="00A55125"/>
    <w:rsid w:val="00A6110D"/>
    <w:rsid w:val="00A735FF"/>
    <w:rsid w:val="00A74165"/>
    <w:rsid w:val="00A84603"/>
    <w:rsid w:val="00A86353"/>
    <w:rsid w:val="00AA1AAA"/>
    <w:rsid w:val="00AA781E"/>
    <w:rsid w:val="00AB210E"/>
    <w:rsid w:val="00AB2E33"/>
    <w:rsid w:val="00AB656F"/>
    <w:rsid w:val="00AC4325"/>
    <w:rsid w:val="00AC5BC8"/>
    <w:rsid w:val="00AC5BEB"/>
    <w:rsid w:val="00AC6FE2"/>
    <w:rsid w:val="00AD08A4"/>
    <w:rsid w:val="00AD4A1F"/>
    <w:rsid w:val="00AF3357"/>
    <w:rsid w:val="00AF6E5A"/>
    <w:rsid w:val="00B02871"/>
    <w:rsid w:val="00B03BCB"/>
    <w:rsid w:val="00B03D55"/>
    <w:rsid w:val="00B06856"/>
    <w:rsid w:val="00B116C3"/>
    <w:rsid w:val="00B11822"/>
    <w:rsid w:val="00B1461B"/>
    <w:rsid w:val="00B17906"/>
    <w:rsid w:val="00B21652"/>
    <w:rsid w:val="00B230EA"/>
    <w:rsid w:val="00B26DEA"/>
    <w:rsid w:val="00B277DC"/>
    <w:rsid w:val="00B305FB"/>
    <w:rsid w:val="00B30635"/>
    <w:rsid w:val="00B3158A"/>
    <w:rsid w:val="00B34E58"/>
    <w:rsid w:val="00B3613A"/>
    <w:rsid w:val="00B3734B"/>
    <w:rsid w:val="00B431AF"/>
    <w:rsid w:val="00B43253"/>
    <w:rsid w:val="00B50DB7"/>
    <w:rsid w:val="00B518CC"/>
    <w:rsid w:val="00B52347"/>
    <w:rsid w:val="00B5634B"/>
    <w:rsid w:val="00B57B04"/>
    <w:rsid w:val="00B63CC2"/>
    <w:rsid w:val="00B66F8F"/>
    <w:rsid w:val="00B671C4"/>
    <w:rsid w:val="00B676E0"/>
    <w:rsid w:val="00B70D80"/>
    <w:rsid w:val="00B74994"/>
    <w:rsid w:val="00B8204E"/>
    <w:rsid w:val="00B82FA5"/>
    <w:rsid w:val="00B92161"/>
    <w:rsid w:val="00BA18A6"/>
    <w:rsid w:val="00BB07A6"/>
    <w:rsid w:val="00BB0BD2"/>
    <w:rsid w:val="00BB4FD5"/>
    <w:rsid w:val="00BB61C2"/>
    <w:rsid w:val="00BB7002"/>
    <w:rsid w:val="00BB762A"/>
    <w:rsid w:val="00BC0251"/>
    <w:rsid w:val="00BC043D"/>
    <w:rsid w:val="00BC2155"/>
    <w:rsid w:val="00BD3E58"/>
    <w:rsid w:val="00BD5898"/>
    <w:rsid w:val="00BD6170"/>
    <w:rsid w:val="00BE1154"/>
    <w:rsid w:val="00BE34AB"/>
    <w:rsid w:val="00BE792F"/>
    <w:rsid w:val="00BE7942"/>
    <w:rsid w:val="00BF3D00"/>
    <w:rsid w:val="00BF7AC4"/>
    <w:rsid w:val="00C05B67"/>
    <w:rsid w:val="00C074E7"/>
    <w:rsid w:val="00C13AE6"/>
    <w:rsid w:val="00C16EC3"/>
    <w:rsid w:val="00C212DB"/>
    <w:rsid w:val="00C246C4"/>
    <w:rsid w:val="00C27CA8"/>
    <w:rsid w:val="00C332FF"/>
    <w:rsid w:val="00C35099"/>
    <w:rsid w:val="00C400F9"/>
    <w:rsid w:val="00C414A6"/>
    <w:rsid w:val="00C65D53"/>
    <w:rsid w:val="00C81415"/>
    <w:rsid w:val="00C8183F"/>
    <w:rsid w:val="00C82ACA"/>
    <w:rsid w:val="00C932BC"/>
    <w:rsid w:val="00CB164A"/>
    <w:rsid w:val="00CB60A3"/>
    <w:rsid w:val="00CC1740"/>
    <w:rsid w:val="00CE3D93"/>
    <w:rsid w:val="00CE504C"/>
    <w:rsid w:val="00CE7DAF"/>
    <w:rsid w:val="00CF48B8"/>
    <w:rsid w:val="00CF5AB2"/>
    <w:rsid w:val="00CF638E"/>
    <w:rsid w:val="00D05043"/>
    <w:rsid w:val="00D13515"/>
    <w:rsid w:val="00D175CB"/>
    <w:rsid w:val="00D2029C"/>
    <w:rsid w:val="00D2352B"/>
    <w:rsid w:val="00D23B6B"/>
    <w:rsid w:val="00D35FF6"/>
    <w:rsid w:val="00D3792C"/>
    <w:rsid w:val="00D4127A"/>
    <w:rsid w:val="00D46625"/>
    <w:rsid w:val="00D46C12"/>
    <w:rsid w:val="00D52A6B"/>
    <w:rsid w:val="00D54072"/>
    <w:rsid w:val="00D55297"/>
    <w:rsid w:val="00D63C7B"/>
    <w:rsid w:val="00D64956"/>
    <w:rsid w:val="00D6617F"/>
    <w:rsid w:val="00D67859"/>
    <w:rsid w:val="00D71CB2"/>
    <w:rsid w:val="00D82FBD"/>
    <w:rsid w:val="00D83B0E"/>
    <w:rsid w:val="00D84EB6"/>
    <w:rsid w:val="00D93C9B"/>
    <w:rsid w:val="00D953C1"/>
    <w:rsid w:val="00D97DC0"/>
    <w:rsid w:val="00DA1447"/>
    <w:rsid w:val="00DA4D13"/>
    <w:rsid w:val="00DA52C8"/>
    <w:rsid w:val="00DB2A3B"/>
    <w:rsid w:val="00DB4221"/>
    <w:rsid w:val="00DB7973"/>
    <w:rsid w:val="00DD1CA2"/>
    <w:rsid w:val="00DD1D83"/>
    <w:rsid w:val="00DD3258"/>
    <w:rsid w:val="00DD38B5"/>
    <w:rsid w:val="00DD4BE7"/>
    <w:rsid w:val="00DD5575"/>
    <w:rsid w:val="00DE005C"/>
    <w:rsid w:val="00DE7929"/>
    <w:rsid w:val="00DF21C8"/>
    <w:rsid w:val="00DF3E35"/>
    <w:rsid w:val="00DF425D"/>
    <w:rsid w:val="00E00B94"/>
    <w:rsid w:val="00E01847"/>
    <w:rsid w:val="00E04431"/>
    <w:rsid w:val="00E07BAD"/>
    <w:rsid w:val="00E16BAE"/>
    <w:rsid w:val="00E270FB"/>
    <w:rsid w:val="00E34407"/>
    <w:rsid w:val="00E368B2"/>
    <w:rsid w:val="00E413D2"/>
    <w:rsid w:val="00E44238"/>
    <w:rsid w:val="00E50DA7"/>
    <w:rsid w:val="00E5498E"/>
    <w:rsid w:val="00E622A9"/>
    <w:rsid w:val="00E74705"/>
    <w:rsid w:val="00E8030E"/>
    <w:rsid w:val="00E81F2E"/>
    <w:rsid w:val="00E82D70"/>
    <w:rsid w:val="00E90AB7"/>
    <w:rsid w:val="00E91B3E"/>
    <w:rsid w:val="00E9399A"/>
    <w:rsid w:val="00E9580A"/>
    <w:rsid w:val="00E97AE4"/>
    <w:rsid w:val="00EA5674"/>
    <w:rsid w:val="00EA6245"/>
    <w:rsid w:val="00EA6CD4"/>
    <w:rsid w:val="00EB2D84"/>
    <w:rsid w:val="00EB6C42"/>
    <w:rsid w:val="00EC59EE"/>
    <w:rsid w:val="00EC6552"/>
    <w:rsid w:val="00ED686C"/>
    <w:rsid w:val="00EF5681"/>
    <w:rsid w:val="00EF59DB"/>
    <w:rsid w:val="00F0319A"/>
    <w:rsid w:val="00F04722"/>
    <w:rsid w:val="00F11A43"/>
    <w:rsid w:val="00F12BFF"/>
    <w:rsid w:val="00F20514"/>
    <w:rsid w:val="00F22BFD"/>
    <w:rsid w:val="00F27720"/>
    <w:rsid w:val="00F3100E"/>
    <w:rsid w:val="00F31AB4"/>
    <w:rsid w:val="00F41ED7"/>
    <w:rsid w:val="00F435F4"/>
    <w:rsid w:val="00F457D9"/>
    <w:rsid w:val="00F46010"/>
    <w:rsid w:val="00F460C7"/>
    <w:rsid w:val="00F5632D"/>
    <w:rsid w:val="00F56C6C"/>
    <w:rsid w:val="00F60ADF"/>
    <w:rsid w:val="00F649E7"/>
    <w:rsid w:val="00F706D5"/>
    <w:rsid w:val="00F775BB"/>
    <w:rsid w:val="00F8255C"/>
    <w:rsid w:val="00F840B0"/>
    <w:rsid w:val="00F853AE"/>
    <w:rsid w:val="00F86E43"/>
    <w:rsid w:val="00F96D67"/>
    <w:rsid w:val="00FB5A10"/>
    <w:rsid w:val="00FC3489"/>
    <w:rsid w:val="00FC3D64"/>
    <w:rsid w:val="00FD2DB6"/>
    <w:rsid w:val="00FD6F30"/>
    <w:rsid w:val="00FE1093"/>
    <w:rsid w:val="00FE26A4"/>
    <w:rsid w:val="00FE2D70"/>
    <w:rsid w:val="00FE68D4"/>
    <w:rsid w:val="00FF28DA"/>
    <w:rsid w:val="00FF2C1C"/>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2699"/>
    <w:rPr>
      <w:sz w:val="24"/>
      <w:szCs w:val="24"/>
      <w:lang w:eastAsia="en-US"/>
    </w:rPr>
  </w:style>
  <w:style w:type="paragraph" w:styleId="Heading1">
    <w:name w:val="heading 1"/>
    <w:basedOn w:val="BodyText"/>
    <w:next w:val="BodyText"/>
    <w:link w:val="Heading1Char"/>
    <w:qFormat/>
    <w:rsid w:val="003B12CA"/>
    <w:pPr>
      <w:keepNext/>
      <w:numPr>
        <w:ilvl w:val="0"/>
      </w:numPr>
      <w:spacing w:before="240" w:after="240"/>
      <w:outlineLvl w:val="0"/>
    </w:pPr>
    <w:rPr>
      <w:b/>
      <w:sz w:val="28"/>
    </w:rPr>
  </w:style>
  <w:style w:type="paragraph" w:styleId="Heading2">
    <w:name w:val="heading 2"/>
    <w:basedOn w:val="BodyText"/>
    <w:next w:val="BodyText2"/>
    <w:link w:val="Heading2Char"/>
    <w:qFormat/>
    <w:rsid w:val="003B12CA"/>
    <w:pPr>
      <w:keepNext/>
      <w:numPr>
        <w:ilvl w:val="1"/>
      </w:numPr>
      <w:spacing w:before="60"/>
      <w:outlineLvl w:val="1"/>
    </w:pPr>
    <w:rPr>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5A26E1"/>
    <w:rPr>
      <w:sz w:val="20"/>
      <w:szCs w:val="20"/>
    </w:rPr>
  </w:style>
  <w:style w:type="character" w:customStyle="1" w:styleId="FootnoteTextChar">
    <w:name w:val="Footnote Text Char"/>
    <w:basedOn w:val="DefaultParagraphFont"/>
    <w:link w:val="FootnoteText"/>
    <w:uiPriority w:val="99"/>
    <w:semiHidden/>
    <w:rsid w:val="005A26E1"/>
    <w:rPr>
      <w:lang w:eastAsia="en-US"/>
    </w:rPr>
  </w:style>
  <w:style w:type="character" w:styleId="FootnoteReference">
    <w:name w:val="footnote reference"/>
    <w:basedOn w:val="DefaultParagraphFont"/>
    <w:uiPriority w:val="99"/>
    <w:semiHidden/>
    <w:unhideWhenUsed/>
    <w:rsid w:val="005A26E1"/>
    <w:rPr>
      <w:vertAlign w:val="superscript"/>
    </w:rPr>
  </w:style>
  <w:style w:type="paragraph" w:styleId="BalloonText">
    <w:name w:val="Balloon Text"/>
    <w:basedOn w:val="Normal"/>
    <w:link w:val="BalloonTextChar"/>
    <w:uiPriority w:val="99"/>
    <w:semiHidden/>
    <w:unhideWhenUsed/>
    <w:rsid w:val="00E81F2E"/>
    <w:rPr>
      <w:rFonts w:ascii="Tahoma" w:hAnsi="Tahoma" w:cs="Tahoma"/>
      <w:sz w:val="16"/>
      <w:szCs w:val="16"/>
    </w:rPr>
  </w:style>
  <w:style w:type="character" w:customStyle="1" w:styleId="BalloonTextChar">
    <w:name w:val="Balloon Text Char"/>
    <w:basedOn w:val="DefaultParagraphFont"/>
    <w:link w:val="BalloonText"/>
    <w:uiPriority w:val="99"/>
    <w:semiHidden/>
    <w:rsid w:val="00E81F2E"/>
    <w:rPr>
      <w:rFonts w:ascii="Tahoma" w:hAnsi="Tahoma" w:cs="Tahoma"/>
      <w:sz w:val="16"/>
      <w:szCs w:val="16"/>
      <w:lang w:eastAsia="en-US"/>
    </w:rPr>
  </w:style>
  <w:style w:type="character" w:styleId="CommentReference">
    <w:name w:val="annotation reference"/>
    <w:basedOn w:val="DefaultParagraphFont"/>
    <w:uiPriority w:val="99"/>
    <w:semiHidden/>
    <w:unhideWhenUsed/>
    <w:rsid w:val="00E81F2E"/>
    <w:rPr>
      <w:sz w:val="16"/>
      <w:szCs w:val="16"/>
    </w:rPr>
  </w:style>
  <w:style w:type="paragraph" w:styleId="CommentText">
    <w:name w:val="annotation text"/>
    <w:basedOn w:val="Normal"/>
    <w:link w:val="CommentTextChar"/>
    <w:uiPriority w:val="99"/>
    <w:semiHidden/>
    <w:unhideWhenUsed/>
    <w:rsid w:val="00E81F2E"/>
    <w:rPr>
      <w:sz w:val="20"/>
      <w:szCs w:val="20"/>
    </w:rPr>
  </w:style>
  <w:style w:type="character" w:customStyle="1" w:styleId="CommentTextChar">
    <w:name w:val="Comment Text Char"/>
    <w:basedOn w:val="DefaultParagraphFont"/>
    <w:link w:val="CommentText"/>
    <w:uiPriority w:val="99"/>
    <w:semiHidden/>
    <w:rsid w:val="00E81F2E"/>
    <w:rPr>
      <w:lang w:eastAsia="en-US"/>
    </w:rPr>
  </w:style>
  <w:style w:type="paragraph" w:styleId="CommentSubject">
    <w:name w:val="annotation subject"/>
    <w:basedOn w:val="CommentText"/>
    <w:next w:val="CommentText"/>
    <w:link w:val="CommentSubjectChar"/>
    <w:uiPriority w:val="99"/>
    <w:semiHidden/>
    <w:unhideWhenUsed/>
    <w:rsid w:val="00E81F2E"/>
    <w:rPr>
      <w:b/>
      <w:bCs/>
    </w:rPr>
  </w:style>
  <w:style w:type="character" w:customStyle="1" w:styleId="CommentSubjectChar">
    <w:name w:val="Comment Subject Char"/>
    <w:basedOn w:val="CommentTextChar"/>
    <w:link w:val="CommentSubject"/>
    <w:uiPriority w:val="99"/>
    <w:semiHidden/>
    <w:rsid w:val="00E81F2E"/>
    <w:rPr>
      <w:b/>
      <w:bCs/>
    </w:rPr>
  </w:style>
  <w:style w:type="paragraph" w:styleId="Revision">
    <w:name w:val="Revision"/>
    <w:hidden/>
    <w:uiPriority w:val="99"/>
    <w:semiHidden/>
    <w:rsid w:val="00E81F2E"/>
    <w:rPr>
      <w:sz w:val="24"/>
      <w:szCs w:val="24"/>
      <w:lang w:eastAsia="en-US"/>
    </w:rPr>
  </w:style>
  <w:style w:type="character" w:styleId="Hyperlink">
    <w:name w:val="Hyperlink"/>
    <w:basedOn w:val="DefaultParagraphFont"/>
    <w:uiPriority w:val="99"/>
    <w:unhideWhenUsed/>
    <w:rsid w:val="004238B4"/>
    <w:rPr>
      <w:color w:val="0000FF" w:themeColor="hyperlink"/>
      <w:u w:val="single"/>
    </w:rPr>
  </w:style>
  <w:style w:type="paragraph" w:styleId="Header">
    <w:name w:val="header"/>
    <w:basedOn w:val="Normal"/>
    <w:link w:val="HeaderChar"/>
    <w:uiPriority w:val="99"/>
    <w:unhideWhenUsed/>
    <w:rsid w:val="002C51FB"/>
    <w:pPr>
      <w:tabs>
        <w:tab w:val="center" w:pos="4513"/>
        <w:tab w:val="right" w:pos="9026"/>
      </w:tabs>
    </w:pPr>
  </w:style>
  <w:style w:type="character" w:customStyle="1" w:styleId="HeaderChar">
    <w:name w:val="Header Char"/>
    <w:basedOn w:val="DefaultParagraphFont"/>
    <w:link w:val="Header"/>
    <w:uiPriority w:val="99"/>
    <w:rsid w:val="002C51FB"/>
    <w:rPr>
      <w:sz w:val="24"/>
      <w:szCs w:val="24"/>
      <w:lang w:eastAsia="en-US"/>
    </w:rPr>
  </w:style>
  <w:style w:type="paragraph" w:styleId="Footer">
    <w:name w:val="footer"/>
    <w:basedOn w:val="Normal"/>
    <w:link w:val="FooterChar"/>
    <w:uiPriority w:val="99"/>
    <w:semiHidden/>
    <w:unhideWhenUsed/>
    <w:rsid w:val="002C51FB"/>
    <w:pPr>
      <w:tabs>
        <w:tab w:val="center" w:pos="4513"/>
        <w:tab w:val="right" w:pos="9026"/>
      </w:tabs>
    </w:pPr>
  </w:style>
  <w:style w:type="character" w:customStyle="1" w:styleId="FooterChar">
    <w:name w:val="Footer Char"/>
    <w:basedOn w:val="DefaultParagraphFont"/>
    <w:link w:val="Footer"/>
    <w:uiPriority w:val="99"/>
    <w:semiHidden/>
    <w:rsid w:val="002C51FB"/>
    <w:rPr>
      <w:sz w:val="24"/>
      <w:szCs w:val="24"/>
      <w:lang w:eastAsia="en-US"/>
    </w:rPr>
  </w:style>
  <w:style w:type="paragraph" w:styleId="DocumentMap">
    <w:name w:val="Document Map"/>
    <w:basedOn w:val="Normal"/>
    <w:link w:val="DocumentMapChar"/>
    <w:uiPriority w:val="99"/>
    <w:semiHidden/>
    <w:unhideWhenUsed/>
    <w:rsid w:val="008C49AD"/>
    <w:rPr>
      <w:rFonts w:ascii="Tahoma" w:hAnsi="Tahoma" w:cs="Tahoma"/>
      <w:sz w:val="16"/>
      <w:szCs w:val="16"/>
    </w:rPr>
  </w:style>
  <w:style w:type="character" w:customStyle="1" w:styleId="DocumentMapChar">
    <w:name w:val="Document Map Char"/>
    <w:basedOn w:val="DefaultParagraphFont"/>
    <w:link w:val="DocumentMap"/>
    <w:uiPriority w:val="99"/>
    <w:semiHidden/>
    <w:rsid w:val="008C49AD"/>
    <w:rPr>
      <w:rFonts w:ascii="Tahoma" w:hAnsi="Tahoma" w:cs="Tahoma"/>
      <w:sz w:val="16"/>
      <w:szCs w:val="16"/>
      <w:lang w:eastAsia="en-US"/>
    </w:rPr>
  </w:style>
  <w:style w:type="paragraph" w:styleId="ListParagraph">
    <w:name w:val="List Paragraph"/>
    <w:basedOn w:val="Normal"/>
    <w:uiPriority w:val="34"/>
    <w:qFormat/>
    <w:rsid w:val="007E3EA3"/>
    <w:pPr>
      <w:ind w:left="720"/>
      <w:contextualSpacing/>
    </w:pPr>
  </w:style>
  <w:style w:type="paragraph" w:styleId="EndnoteText">
    <w:name w:val="endnote text"/>
    <w:basedOn w:val="Normal"/>
    <w:link w:val="EndnoteTextChar"/>
    <w:uiPriority w:val="99"/>
    <w:semiHidden/>
    <w:unhideWhenUsed/>
    <w:rsid w:val="002B74AD"/>
    <w:rPr>
      <w:sz w:val="20"/>
      <w:szCs w:val="20"/>
    </w:rPr>
  </w:style>
  <w:style w:type="character" w:customStyle="1" w:styleId="EndnoteTextChar">
    <w:name w:val="Endnote Text Char"/>
    <w:basedOn w:val="DefaultParagraphFont"/>
    <w:link w:val="EndnoteText"/>
    <w:uiPriority w:val="99"/>
    <w:semiHidden/>
    <w:rsid w:val="002B74AD"/>
    <w:rPr>
      <w:lang w:eastAsia="en-US"/>
    </w:rPr>
  </w:style>
  <w:style w:type="character" w:styleId="EndnoteReference">
    <w:name w:val="endnote reference"/>
    <w:basedOn w:val="DefaultParagraphFont"/>
    <w:uiPriority w:val="99"/>
    <w:semiHidden/>
    <w:unhideWhenUsed/>
    <w:rsid w:val="002B74AD"/>
    <w:rPr>
      <w:vertAlign w:val="superscript"/>
    </w:rPr>
  </w:style>
  <w:style w:type="character" w:styleId="PlaceholderText">
    <w:name w:val="Placeholder Text"/>
    <w:basedOn w:val="DefaultParagraphFont"/>
    <w:uiPriority w:val="99"/>
    <w:semiHidden/>
    <w:rsid w:val="00B3158A"/>
    <w:rPr>
      <w:color w:val="808080"/>
    </w:rPr>
  </w:style>
  <w:style w:type="character" w:customStyle="1" w:styleId="Heading1Char">
    <w:name w:val="Heading 1 Char"/>
    <w:basedOn w:val="DefaultParagraphFont"/>
    <w:link w:val="Heading1"/>
    <w:rsid w:val="003B12CA"/>
    <w:rPr>
      <w:rFonts w:ascii="Arial" w:hAnsi="Arial"/>
      <w:b/>
      <w:sz w:val="28"/>
      <w:lang w:eastAsia="en-US"/>
    </w:rPr>
  </w:style>
  <w:style w:type="character" w:customStyle="1" w:styleId="Heading2Char">
    <w:name w:val="Heading 2 Char"/>
    <w:basedOn w:val="DefaultParagraphFont"/>
    <w:link w:val="Heading2"/>
    <w:rsid w:val="003B12CA"/>
    <w:rPr>
      <w:rFonts w:ascii="Arial" w:hAnsi="Arial"/>
      <w:b/>
      <w:i/>
      <w:sz w:val="24"/>
      <w:lang w:eastAsia="en-US"/>
    </w:rPr>
  </w:style>
  <w:style w:type="paragraph" w:styleId="BodyText">
    <w:name w:val="Body Text"/>
    <w:basedOn w:val="Normal"/>
    <w:link w:val="BodyTextChar"/>
    <w:rsid w:val="003B12CA"/>
    <w:pPr>
      <w:numPr>
        <w:ilvl w:val="2"/>
        <w:numId w:val="13"/>
      </w:numPr>
      <w:spacing w:before="160" w:after="160" w:line="300" w:lineRule="atLeast"/>
      <w:jc w:val="both"/>
    </w:pPr>
    <w:rPr>
      <w:rFonts w:ascii="Arial" w:hAnsi="Arial"/>
      <w:sz w:val="20"/>
      <w:szCs w:val="20"/>
    </w:rPr>
  </w:style>
  <w:style w:type="character" w:customStyle="1" w:styleId="BodyTextChar">
    <w:name w:val="Body Text Char"/>
    <w:basedOn w:val="DefaultParagraphFont"/>
    <w:link w:val="BodyText"/>
    <w:rsid w:val="003B12CA"/>
    <w:rPr>
      <w:rFonts w:ascii="Arial" w:hAnsi="Arial"/>
      <w:lang w:eastAsia="en-US"/>
    </w:rPr>
  </w:style>
  <w:style w:type="paragraph" w:styleId="BodyText2">
    <w:name w:val="Body Text 2"/>
    <w:basedOn w:val="Normal"/>
    <w:link w:val="BodyText2Char"/>
    <w:rsid w:val="003B12CA"/>
    <w:pPr>
      <w:numPr>
        <w:ilvl w:val="3"/>
        <w:numId w:val="13"/>
      </w:numPr>
      <w:spacing w:before="160" w:after="160" w:line="300" w:lineRule="atLeast"/>
      <w:jc w:val="both"/>
    </w:pPr>
    <w:rPr>
      <w:rFonts w:ascii="Arial" w:hAnsi="Arial"/>
      <w:sz w:val="20"/>
      <w:szCs w:val="20"/>
    </w:rPr>
  </w:style>
  <w:style w:type="character" w:customStyle="1" w:styleId="BodyText2Char">
    <w:name w:val="Body Text 2 Char"/>
    <w:basedOn w:val="DefaultParagraphFont"/>
    <w:link w:val="BodyText2"/>
    <w:rsid w:val="003B12CA"/>
    <w:rPr>
      <w:rFonts w:ascii="Arial" w:hAnsi="Arial"/>
      <w:lang w:eastAsia="en-US"/>
    </w:rPr>
  </w:style>
  <w:style w:type="paragraph" w:customStyle="1" w:styleId="Blockquote">
    <w:name w:val="Block quote"/>
    <w:basedOn w:val="Normal"/>
    <w:rsid w:val="000D034E"/>
    <w:pPr>
      <w:spacing w:before="100"/>
      <w:ind w:left="2693"/>
    </w:pPr>
    <w:rPr>
      <w:sz w:val="21"/>
      <w:szCs w:val="21"/>
      <w:lang w:eastAsia="en-A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rli.gov.a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moneysmart.gov.au" TargetMode="External"/><Relationship Id="rId4" Type="http://schemas.openxmlformats.org/officeDocument/2006/relationships/settings" Target="settings.xml"/><Relationship Id="rId9" Type="http://schemas.openxmlformats.org/officeDocument/2006/relationships/hyperlink" Target="http://www.moneysmart.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E2E160-8B55-4D85-B60D-A298CC6F1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7</Pages>
  <Words>1961</Words>
  <Characters>9938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ASIC</Company>
  <LinksUpToDate>false</LinksUpToDate>
  <CharactersWithSpaces>11876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_</dc:creator>
  <cp:keywords/>
  <dc:description/>
  <cp:lastModifiedBy>Stephen Yen</cp:lastModifiedBy>
  <cp:revision>3</cp:revision>
  <cp:lastPrinted>2011-12-01T03:59:00Z</cp:lastPrinted>
  <dcterms:created xsi:type="dcterms:W3CDTF">2011-12-01T03:47:00Z</dcterms:created>
  <dcterms:modified xsi:type="dcterms:W3CDTF">2011-12-01T04:02:00Z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A2857963</vt:lpwstr>
  </property>
  <property fmtid="{D5CDD505-2E9C-101B-9397-08002B2CF9AE}" pid="4" name="Objective-Title">
    <vt:lpwstr>Draft Class Order Relief for providers of retirement estimates 20111129 - PR</vt:lpwstr>
  </property>
  <property fmtid="{D5CDD505-2E9C-101B-9397-08002B2CF9AE}" pid="5" name="Objective-Comment">
    <vt:lpwstr/>
  </property>
  <property fmtid="{D5CDD505-2E9C-101B-9397-08002B2CF9AE}" pid="6" name="Objective-CreationStamp">
    <vt:filetime>2011-11-29T04:40:49Z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2011-11-29T04:47:42Z</vt:filetime>
  </property>
  <property fmtid="{D5CDD505-2E9C-101B-9397-08002B2CF9AE}" pid="10" name="Objective-ModificationStamp">
    <vt:filetime>2011-11-29T04:47:43Z</vt:filetime>
  </property>
  <property fmtid="{D5CDD505-2E9C-101B-9397-08002B2CF9AE}" pid="11" name="Objective-Owner">
    <vt:lpwstr>Prashanti Ravindra</vt:lpwstr>
  </property>
  <property fmtid="{D5CDD505-2E9C-101B-9397-08002B2CF9AE}" pid="12" name="Objective-Path">
    <vt:lpwstr>ASIC BCS:POLICY &amp; REGULATORY FRAMEWORK:Policy Development:Financial Services Regulation (FSR):New RG - Superannuation forecasts:Class Order:</vt:lpwstr>
  </property>
  <property fmtid="{D5CDD505-2E9C-101B-9397-08002B2CF9AE}" pid="13" name="Objective-Parent">
    <vt:lpwstr>Class Order</vt:lpwstr>
  </property>
  <property fmtid="{D5CDD505-2E9C-101B-9397-08002B2CF9AE}" pid="14" name="Objective-State">
    <vt:lpwstr>Published</vt:lpwstr>
  </property>
  <property fmtid="{D5CDD505-2E9C-101B-9397-08002B2CF9AE}" pid="15" name="Objective-Version">
    <vt:lpwstr>1.0</vt:lpwstr>
  </property>
  <property fmtid="{D5CDD505-2E9C-101B-9397-08002B2CF9AE}" pid="16" name="Objective-VersionNumber">
    <vt:i4>2</vt:i4>
  </property>
  <property fmtid="{D5CDD505-2E9C-101B-9397-08002B2CF9AE}" pid="17" name="Objective-VersionComment">
    <vt:lpwstr>Version 2</vt:lpwstr>
  </property>
  <property fmtid="{D5CDD505-2E9C-101B-9397-08002B2CF9AE}" pid="18" name="Objective-FileNumber">
    <vt:lpwstr>2009 - 001422</vt:lpwstr>
  </property>
  <property fmtid="{D5CDD505-2E9C-101B-9397-08002B2CF9AE}" pid="19" name="Objective-Classification">
    <vt:lpwstr>[Inherited - IN-CONFIDENCE]</vt:lpwstr>
  </property>
  <property fmtid="{D5CDD505-2E9C-101B-9397-08002B2CF9AE}" pid="20" name="Objective-Caveats">
    <vt:lpwstr/>
  </property>
  <property fmtid="{D5CDD505-2E9C-101B-9397-08002B2CF9AE}" pid="21" name="Objective-Category [system]">
    <vt:lpwstr/>
  </property>
</Properties>
</file>