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4" w:rsidRPr="005E64B4" w:rsidRDefault="000A77E4" w:rsidP="007C3464">
      <w:pPr>
        <w:pStyle w:val="Subtitle"/>
        <w:rPr>
          <w:i/>
          <w:color w:val="262626" w:themeColor="text1" w:themeTint="D9"/>
          <w:szCs w:val="24"/>
        </w:rPr>
      </w:pPr>
    </w:p>
    <w:p w:rsidR="007C3464" w:rsidRPr="005E64B4" w:rsidRDefault="007C3464" w:rsidP="007C3464">
      <w:pPr>
        <w:pStyle w:val="Title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EXPLANATORY STATEMENT</w:t>
      </w:r>
    </w:p>
    <w:p w:rsidR="007C3464" w:rsidRPr="005E64B4" w:rsidRDefault="007C3464" w:rsidP="007C3464">
      <w:pPr>
        <w:jc w:val="center"/>
        <w:rPr>
          <w:rFonts w:ascii="Arial" w:hAnsi="Arial" w:cs="Arial"/>
          <w:color w:val="262626" w:themeColor="text1" w:themeTint="D9"/>
          <w:sz w:val="21"/>
          <w:szCs w:val="21"/>
        </w:rPr>
      </w:pPr>
    </w:p>
    <w:p w:rsidR="007C3464" w:rsidRPr="005E64B4" w:rsidRDefault="007C3464" w:rsidP="007C3464">
      <w:pPr>
        <w:pStyle w:val="Subtitle"/>
        <w:spacing w:after="8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Issued by the </w:t>
      </w:r>
      <w:r w:rsidR="00463A5D"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uthority of the Australian Communications and Media Authority</w:t>
      </w:r>
    </w:p>
    <w:p w:rsidR="007C3464" w:rsidRPr="005E64B4" w:rsidRDefault="007C3464" w:rsidP="007C3464">
      <w:pPr>
        <w:pStyle w:val="BodyText"/>
        <w:spacing w:after="80"/>
        <w:rPr>
          <w:rFonts w:ascii="Arial" w:hAnsi="Arial" w:cs="Arial"/>
          <w:i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(Interpretati</w:t>
      </w:r>
      <w:r w:rsidR="00DE7B75">
        <w:rPr>
          <w:rFonts w:ascii="Arial" w:hAnsi="Arial" w:cs="Arial"/>
          <w:i/>
          <w:color w:val="262626" w:themeColor="text1" w:themeTint="D9"/>
          <w:sz w:val="21"/>
          <w:szCs w:val="21"/>
        </w:rPr>
        <w:t>on) Amendment Determination 2011</w:t>
      </w: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 (No.</w:t>
      </w:r>
      <w:r w:rsidR="00915A27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 </w:t>
      </w:r>
      <w:r w:rsidR="001F3FA2">
        <w:rPr>
          <w:rFonts w:ascii="Arial" w:hAnsi="Arial" w:cs="Arial"/>
          <w:i/>
          <w:color w:val="262626" w:themeColor="text1" w:themeTint="D9"/>
          <w:sz w:val="21"/>
          <w:szCs w:val="21"/>
        </w:rPr>
        <w:t>2</w:t>
      </w: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)</w:t>
      </w:r>
    </w:p>
    <w:p w:rsidR="007C3464" w:rsidRPr="005E64B4" w:rsidRDefault="007C3464" w:rsidP="007C3464">
      <w:pPr>
        <w:pStyle w:val="Subtitle"/>
        <w:spacing w:after="80"/>
        <w:rPr>
          <w:rFonts w:ascii="Arial" w:hAnsi="Arial" w:cs="Arial"/>
          <w:i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Act 1992</w:t>
      </w:r>
    </w:p>
    <w:p w:rsidR="007C3464" w:rsidRPr="005E64B4" w:rsidRDefault="007C3464" w:rsidP="007C3464">
      <w:pPr>
        <w:rPr>
          <w:color w:val="262626" w:themeColor="text1" w:themeTint="D9"/>
          <w:szCs w:val="24"/>
        </w:rPr>
      </w:pPr>
    </w:p>
    <w:p w:rsidR="007C3464" w:rsidRPr="005E64B4" w:rsidRDefault="007C3464" w:rsidP="00E511A1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Purpose</w:t>
      </w:r>
    </w:p>
    <w:p w:rsidR="007C3464" w:rsidRPr="005E64B4" w:rsidRDefault="007C3464" w:rsidP="00E511A1">
      <w:pPr>
        <w:pStyle w:val="BodyText"/>
        <w:spacing w:before="80" w:after="120" w:line="280" w:lineRule="atLeast"/>
        <w:jc w:val="left"/>
        <w:rPr>
          <w:rFonts w:ascii="Arial" w:hAnsi="Arial" w:cs="Arial"/>
          <w:i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The purpose of the </w:t>
      </w:r>
      <w:r w:rsidR="0092350C"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Radiocommunications (Interpretati</w:t>
      </w:r>
      <w:r w:rsidR="00DE7B75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on) Amendment Determination 2011</w:t>
      </w:r>
      <w:r w:rsidR="0092350C"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 xml:space="preserve"> (No. </w:t>
      </w:r>
      <w:r w:rsidR="001F3FA2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2</w:t>
      </w:r>
      <w:r w:rsidR="0092350C"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)</w:t>
      </w:r>
      <w:r w:rsidR="0092350C"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>(the</w:t>
      </w:r>
      <w:r w:rsidR="0092350C"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Amendment Determination</w:t>
      </w: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>)</w:t>
      </w:r>
      <w:r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 xml:space="preserve">, </w:t>
      </w: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and related instruments, is to delete legislative references to the </w:t>
      </w:r>
      <w:r w:rsidR="00762032">
        <w:rPr>
          <w:rFonts w:ascii="Arial" w:hAnsi="Arial" w:cs="Arial"/>
          <w:b w:val="0"/>
          <w:color w:val="262626" w:themeColor="text1" w:themeTint="D9"/>
          <w:sz w:val="21"/>
          <w:szCs w:val="21"/>
        </w:rPr>
        <w:t>a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>eronautical non a</w:t>
      </w:r>
      <w:r w:rsid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ssigned 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>s</w:t>
      </w:r>
      <w:r w:rsid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>tation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and the </w:t>
      </w:r>
      <w:r w:rsidR="00762032">
        <w:rPr>
          <w:rFonts w:ascii="Arial" w:hAnsi="Arial" w:cs="Arial"/>
          <w:b w:val="0"/>
          <w:color w:val="262626" w:themeColor="text1" w:themeTint="D9"/>
          <w:sz w:val="21"/>
          <w:szCs w:val="21"/>
        </w:rPr>
        <w:t>a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>ircraft n</w:t>
      </w:r>
      <w:r w:rsidR="00454676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on 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>assigned a</w:t>
      </w:r>
      <w:r w:rsidR="00454676">
        <w:rPr>
          <w:rFonts w:ascii="Arial" w:hAnsi="Arial" w:cs="Arial"/>
          <w:b w:val="0"/>
          <w:color w:val="262626" w:themeColor="text1" w:themeTint="D9"/>
          <w:sz w:val="21"/>
          <w:szCs w:val="21"/>
        </w:rPr>
        <w:t>pparatus licence types</w:t>
      </w: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>.</w:t>
      </w:r>
    </w:p>
    <w:p w:rsidR="007C3464" w:rsidRPr="005E64B4" w:rsidRDefault="00454676" w:rsidP="00E511A1">
      <w:pPr>
        <w:pStyle w:val="BodyText"/>
        <w:spacing w:before="80" w:after="120" w:line="280" w:lineRule="atLeast"/>
        <w:jc w:val="left"/>
        <w:rPr>
          <w:rFonts w:ascii="Arial" w:hAnsi="Arial" w:cs="Arial"/>
          <w:b w:val="0"/>
          <w:color w:val="262626" w:themeColor="text1" w:themeTint="D9"/>
          <w:sz w:val="21"/>
          <w:szCs w:val="21"/>
        </w:rPr>
      </w:pPr>
      <w:r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Both apparatus licence types are </w:t>
      </w:r>
      <w:r w:rsidR="007C3464"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>redundant</w:t>
      </w:r>
      <w:r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as they have expired.  </w:t>
      </w:r>
      <w:r w:rsidR="00571670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Aircraft stations and </w:t>
      </w:r>
      <w:r w:rsidR="00DE7B75" w:rsidRP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>aeronautical</w:t>
      </w:r>
      <w:r w:rsidR="00DE7B75" w:rsidRPr="00DE7B75">
        <w:rPr>
          <w:rFonts w:ascii="Arial" w:hAnsi="Arial" w:cs="Arial"/>
          <w:b w:val="0"/>
          <w:szCs w:val="24"/>
        </w:rPr>
        <w:t xml:space="preserve"> </w:t>
      </w:r>
      <w:r w:rsidR="00571670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radiocommunications that operate on a common group of aviation frequencies are now </w:t>
      </w:r>
      <w:r w:rsidR="00DE7B75" w:rsidRP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authorised under the associated </w:t>
      </w:r>
      <w:r w:rsidR="00DE7B75" w:rsidRPr="00DE7B75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Radiocommunications (Aircraft and Aeronautical Mobile Stations) Class Licence 2006</w:t>
      </w:r>
      <w:r w:rsidR="00571670">
        <w:rPr>
          <w:rFonts w:ascii="Arial" w:hAnsi="Arial" w:cs="Arial"/>
          <w:b w:val="0"/>
          <w:color w:val="262626" w:themeColor="text1" w:themeTint="D9"/>
          <w:sz w:val="21"/>
          <w:szCs w:val="21"/>
        </w:rPr>
        <w:t>.  Therefore, t</w:t>
      </w:r>
      <w:r w:rsid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>he</w:t>
      </w:r>
      <w:r w:rsidR="007C3464" w:rsidRP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>re</w:t>
      </w:r>
      <w:r w:rsidR="007C3464"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is no need to issue any </w:t>
      </w:r>
      <w:r w:rsidR="00B02FE8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non </w:t>
      </w:r>
      <w:r w:rsidR="00DE7B75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assigned </w:t>
      </w:r>
      <w:r w:rsidR="007C3464"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licences in the future. </w:t>
      </w:r>
    </w:p>
    <w:p w:rsidR="007C3464" w:rsidRPr="005E64B4" w:rsidRDefault="007C3464" w:rsidP="00E511A1">
      <w:pPr>
        <w:pStyle w:val="BodyText"/>
        <w:spacing w:before="80" w:after="120" w:line="280" w:lineRule="atLeast"/>
        <w:jc w:val="left"/>
        <w:rPr>
          <w:rFonts w:ascii="Arial" w:hAnsi="Arial" w:cs="Arial"/>
          <w:i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The </w:t>
      </w:r>
      <w:r w:rsidR="00C57612" w:rsidRPr="005E64B4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Amendment Determination amends the </w:t>
      </w:r>
      <w:r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 xml:space="preserve">Radiocommunications </w:t>
      </w:r>
      <w:r w:rsidR="00C57612"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>(Interpretation) Determination 2000</w:t>
      </w:r>
      <w:r w:rsidR="00CC267C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 xml:space="preserve"> </w:t>
      </w:r>
      <w:r w:rsidR="00CC267C">
        <w:rPr>
          <w:rFonts w:ascii="Arial" w:hAnsi="Arial" w:cs="Arial"/>
          <w:b w:val="0"/>
          <w:color w:val="262626" w:themeColor="text1" w:themeTint="D9"/>
          <w:sz w:val="21"/>
          <w:szCs w:val="21"/>
        </w:rPr>
        <w:t>(Interpretation Determination)</w:t>
      </w:r>
      <w:r w:rsidRPr="005E64B4">
        <w:rPr>
          <w:rFonts w:ascii="Arial" w:hAnsi="Arial" w:cs="Arial"/>
          <w:b w:val="0"/>
          <w:i/>
          <w:color w:val="262626" w:themeColor="text1" w:themeTint="D9"/>
          <w:sz w:val="21"/>
          <w:szCs w:val="21"/>
        </w:rPr>
        <w:t xml:space="preserve">. </w:t>
      </w:r>
    </w:p>
    <w:p w:rsidR="007C3464" w:rsidRPr="005E64B4" w:rsidRDefault="007C3464" w:rsidP="00E511A1">
      <w:pPr>
        <w:pStyle w:val="indenta"/>
        <w:tabs>
          <w:tab w:val="left" w:pos="720"/>
        </w:tabs>
        <w:spacing w:before="240" w:after="120" w:line="280" w:lineRule="atLeast"/>
        <w:ind w:left="0" w:firstLine="0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Legislative Provisions</w:t>
      </w:r>
    </w:p>
    <w:p w:rsidR="00CC7CB1" w:rsidRPr="005E64B4" w:rsidRDefault="007C3464" w:rsidP="00E511A1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S</w:t>
      </w:r>
      <w:r w:rsidR="00C57612" w:rsidRPr="005E64B4">
        <w:rPr>
          <w:rFonts w:ascii="Arial" w:hAnsi="Arial" w:cs="Arial"/>
          <w:color w:val="262626" w:themeColor="text1" w:themeTint="D9"/>
          <w:sz w:val="21"/>
          <w:szCs w:val="21"/>
        </w:rPr>
        <w:t>ubsection 64</w:t>
      </w:r>
      <w:r w:rsidR="00FE2EDB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(1) of the </w:t>
      </w:r>
      <w:r w:rsidR="00C57612"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Australian Communications and Media Authority Act 2005</w:t>
      </w:r>
      <w:r w:rsidR="00C57612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(the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ACMA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Act) provides that the </w:t>
      </w:r>
      <w:r w:rsidR="00762032">
        <w:rPr>
          <w:rFonts w:ascii="Arial" w:hAnsi="Arial" w:cs="Arial"/>
          <w:color w:val="262626" w:themeColor="text1" w:themeTint="D9"/>
          <w:sz w:val="21"/>
          <w:szCs w:val="21"/>
        </w:rPr>
        <w:t xml:space="preserve">Australian Communications and Media Authority (the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ACMA</w:t>
      </w:r>
      <w:r w:rsidR="00762032">
        <w:rPr>
          <w:rFonts w:ascii="Arial" w:hAnsi="Arial" w:cs="Arial"/>
          <w:color w:val="262626" w:themeColor="text1" w:themeTint="D9"/>
          <w:sz w:val="21"/>
          <w:szCs w:val="21"/>
        </w:rPr>
        <w:t>)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may make a </w:t>
      </w:r>
      <w:r w:rsidR="0093128E" w:rsidRPr="005E64B4">
        <w:rPr>
          <w:rFonts w:ascii="Arial" w:hAnsi="Arial" w:cs="Arial"/>
          <w:color w:val="262626" w:themeColor="text1" w:themeTint="D9"/>
          <w:sz w:val="21"/>
          <w:szCs w:val="21"/>
        </w:rPr>
        <w:t>written determination defining one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or more expressions used in specified</w:t>
      </w:r>
      <w:r w:rsidR="003501B6">
        <w:rPr>
          <w:rFonts w:ascii="Arial" w:hAnsi="Arial" w:cs="Arial"/>
          <w:color w:val="262626" w:themeColor="text1" w:themeTint="D9"/>
          <w:sz w:val="21"/>
          <w:szCs w:val="21"/>
        </w:rPr>
        <w:t xml:space="preserve"> instruments, being instruments made under one or more specified 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>laws of the Commonwealth.</w:t>
      </w:r>
      <w:r w:rsidR="00CC267C">
        <w:rPr>
          <w:rFonts w:ascii="Arial" w:hAnsi="Arial" w:cs="Arial"/>
          <w:color w:val="262626" w:themeColor="text1" w:themeTint="D9"/>
          <w:sz w:val="21"/>
          <w:szCs w:val="21"/>
        </w:rPr>
        <w:t xml:space="preserve"> The ACMA has made the Interpretation Determination under </w:t>
      </w:r>
      <w:r w:rsidR="002C5E91">
        <w:rPr>
          <w:rFonts w:ascii="Arial" w:hAnsi="Arial" w:cs="Arial"/>
          <w:color w:val="262626" w:themeColor="text1" w:themeTint="D9"/>
          <w:sz w:val="21"/>
          <w:szCs w:val="21"/>
        </w:rPr>
        <w:t>this provision</w:t>
      </w:r>
      <w:r w:rsidR="00CC267C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7C3464" w:rsidRPr="005E64B4" w:rsidRDefault="003501B6" w:rsidP="00E511A1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The</w:t>
      </w:r>
      <w:r w:rsidR="00CC267C">
        <w:rPr>
          <w:rFonts w:ascii="Arial" w:hAnsi="Arial" w:cs="Arial"/>
          <w:color w:val="262626" w:themeColor="text1" w:themeTint="D9"/>
          <w:sz w:val="21"/>
          <w:szCs w:val="21"/>
        </w:rPr>
        <w:t xml:space="preserve"> Interpretation Determination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defines expressions used in numerous legislative instruments made under 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the </w:t>
      </w:r>
      <w:r w:rsidR="00CC7CB1"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Act 1992</w:t>
      </w:r>
      <w:r w:rsidR="00CC7CB1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5D368C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(the </w:t>
      </w:r>
      <w:r w:rsidR="00FC703F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Radiocommunications </w:t>
      </w:r>
      <w:r w:rsidR="005D368C" w:rsidRPr="005E64B4">
        <w:rPr>
          <w:rFonts w:ascii="Arial" w:hAnsi="Arial" w:cs="Arial"/>
          <w:color w:val="262626" w:themeColor="text1" w:themeTint="D9"/>
          <w:sz w:val="21"/>
          <w:szCs w:val="21"/>
        </w:rPr>
        <w:t>Act)</w:t>
      </w:r>
      <w:r>
        <w:rPr>
          <w:rFonts w:ascii="Arial" w:hAnsi="Arial" w:cs="Arial"/>
          <w:color w:val="262626" w:themeColor="text1" w:themeTint="D9"/>
          <w:sz w:val="21"/>
          <w:szCs w:val="21"/>
        </w:rPr>
        <w:t>, including</w:t>
      </w:r>
      <w:r w:rsidR="006F7BE8">
        <w:rPr>
          <w:rFonts w:ascii="Arial" w:hAnsi="Arial" w:cs="Arial"/>
          <w:color w:val="262626" w:themeColor="text1" w:themeTint="D9"/>
          <w:sz w:val="21"/>
          <w:szCs w:val="21"/>
        </w:rPr>
        <w:t xml:space="preserve"> expressions used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in determinations made under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paragraph 107(1</w:t>
      </w:r>
      <w:proofErr w:type="gramStart"/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)</w:t>
      </w:r>
      <w:r>
        <w:rPr>
          <w:rFonts w:ascii="Arial" w:hAnsi="Arial" w:cs="Arial"/>
          <w:color w:val="262626" w:themeColor="text1" w:themeTint="D9"/>
          <w:sz w:val="21"/>
          <w:szCs w:val="21"/>
        </w:rPr>
        <w:t>(</w:t>
      </w:r>
      <w:proofErr w:type="gramEnd"/>
      <w:r>
        <w:rPr>
          <w:rFonts w:ascii="Arial" w:hAnsi="Arial" w:cs="Arial"/>
          <w:color w:val="262626" w:themeColor="text1" w:themeTint="D9"/>
          <w:sz w:val="21"/>
          <w:szCs w:val="21"/>
        </w:rPr>
        <w:t>f)</w:t>
      </w:r>
      <w:r w:rsidRPr="003501B6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of the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Radiocommunications Act</w:t>
      </w:r>
      <w:r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5D368C" w:rsidRPr="005E64B4" w:rsidRDefault="005D368C" w:rsidP="00E511A1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Subsection 33(3) of the </w:t>
      </w: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Acts Interpretation Act 1901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provides that</w:t>
      </w: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when exercising its power to </w:t>
      </w:r>
      <w:r w:rsidR="00FE2EDB" w:rsidRPr="005E64B4">
        <w:rPr>
          <w:rFonts w:ascii="Arial" w:hAnsi="Arial" w:cs="Arial"/>
          <w:color w:val="262626" w:themeColor="text1" w:themeTint="D9"/>
          <w:sz w:val="21"/>
          <w:szCs w:val="21"/>
        </w:rPr>
        <w:t>make written instruments under an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Act, the ACMA also has the power to repeal, rescind, revoke, amend, or vary such instruments. </w:t>
      </w:r>
    </w:p>
    <w:p w:rsidR="0093128E" w:rsidRPr="005E64B4" w:rsidRDefault="0011782E" w:rsidP="00E511A1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A d</w:t>
      </w:r>
      <w:r w:rsidR="00620E19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etermination made under subsection 64 (1) of the ACMA Act is a </w:t>
      </w:r>
      <w:r w:rsidR="00747D6A">
        <w:rPr>
          <w:rFonts w:ascii="Arial" w:hAnsi="Arial" w:cs="Arial"/>
          <w:color w:val="262626" w:themeColor="text1" w:themeTint="D9"/>
          <w:sz w:val="21"/>
          <w:szCs w:val="21"/>
        </w:rPr>
        <w:t>legislative</w:t>
      </w:r>
      <w:r w:rsidR="00747D6A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620E19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instrument for the purposes of the </w:t>
      </w:r>
      <w:r w:rsidR="00620E19"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Legislative Instruments Act 2003</w:t>
      </w:r>
      <w:r w:rsidR="00620E19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(the LIA).</w:t>
      </w:r>
    </w:p>
    <w:p w:rsidR="007C3464" w:rsidRPr="005E64B4" w:rsidRDefault="007C3464" w:rsidP="00E511A1">
      <w:pPr>
        <w:pStyle w:val="Heading1"/>
        <w:spacing w:after="120" w:line="280" w:lineRule="atLeast"/>
        <w:rPr>
          <w:rFonts w:ascii="Arial" w:hAnsi="Arial" w:cs="Arial"/>
          <w:caps w:val="0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aps w:val="0"/>
          <w:color w:val="262626" w:themeColor="text1" w:themeTint="D9"/>
          <w:sz w:val="21"/>
          <w:szCs w:val="21"/>
        </w:rPr>
        <w:t>Background</w:t>
      </w:r>
    </w:p>
    <w:p w:rsidR="00B02FE8" w:rsidRPr="00F640BA" w:rsidRDefault="00B02FE8" w:rsidP="009741FB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F640BA">
        <w:rPr>
          <w:rFonts w:ascii="Arial" w:hAnsi="Arial" w:cs="Arial"/>
          <w:color w:val="262626" w:themeColor="text1" w:themeTint="D9"/>
          <w:sz w:val="21"/>
          <w:szCs w:val="21"/>
        </w:rPr>
        <w:t>Following a review into the licensing framework for aircraft and aeronautical licensing arrangements, the ACMA formed the view that the range of ground-based mobile aeronautical stations, operating on the same common group of aviation frequencies, could logically and practicably be included in a class licence.</w:t>
      </w:r>
    </w:p>
    <w:p w:rsidR="007869D6" w:rsidRPr="007869D6" w:rsidRDefault="007869D6" w:rsidP="007869D6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7869D6">
        <w:rPr>
          <w:rFonts w:ascii="Arial" w:hAnsi="Arial" w:cs="Arial"/>
          <w:color w:val="262626" w:themeColor="text1" w:themeTint="D9"/>
          <w:sz w:val="21"/>
          <w:szCs w:val="21"/>
        </w:rPr>
        <w:t xml:space="preserve">The </w:t>
      </w:r>
      <w:r w:rsidRPr="007869D6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(Aircraft and Aeronautical Mobile Stations) Class Licence 2006</w:t>
      </w:r>
      <w:r w:rsidRPr="007869D6">
        <w:rPr>
          <w:rFonts w:ascii="Arial" w:hAnsi="Arial" w:cs="Arial"/>
          <w:color w:val="262626" w:themeColor="text1" w:themeTint="D9"/>
          <w:sz w:val="21"/>
          <w:szCs w:val="21"/>
        </w:rPr>
        <w:t xml:space="preserve"> (the Class Licence) was introduced to authorise the operation of aircraft stations and most hand-held and mobile aeronautical stations operating on a common group of aviation frequencies. </w:t>
      </w:r>
    </w:p>
    <w:p w:rsidR="00DE7B75" w:rsidRPr="00A14FC5" w:rsidRDefault="007869D6" w:rsidP="007869D6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D010B0">
        <w:rPr>
          <w:rFonts w:ascii="Arial" w:hAnsi="Arial" w:cs="Arial"/>
          <w:color w:val="262626" w:themeColor="text1" w:themeTint="D9"/>
          <w:sz w:val="21"/>
          <w:szCs w:val="21"/>
        </w:rPr>
        <w:lastRenderedPageBreak/>
        <w:t xml:space="preserve">The </w:t>
      </w:r>
      <w:r w:rsidRPr="009741FB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Licence Conditions (Aeronautical Licence) Determination No. 1 of 1997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was also amended to introduce a</w:t>
      </w: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 xml:space="preserve"> new licensing option (aeronautical assigned system) designed to replace the two existing licensing options (aeronautical assigned and aeronautical non-assigned) to allow networks to authorise all related aeronautical stations under one aeronautical licence.  </w:t>
      </w:r>
    </w:p>
    <w:p w:rsidR="00A14FC5" w:rsidRPr="00A14FC5" w:rsidRDefault="00A14FC5" w:rsidP="007869D6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 xml:space="preserve">The changes to the </w:t>
      </w:r>
      <w:r w:rsidR="0092028C"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 xml:space="preserve">eronautical and </w:t>
      </w:r>
      <w:r w:rsidR="0092028C"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>ircraft licensing regime also meant that no new aeronautical</w:t>
      </w:r>
      <w:r w:rsidR="00C07600">
        <w:rPr>
          <w:rFonts w:ascii="Arial" w:hAnsi="Arial" w:cs="Arial"/>
          <w:color w:val="262626" w:themeColor="text1" w:themeTint="D9"/>
          <w:sz w:val="21"/>
          <w:szCs w:val="21"/>
        </w:rPr>
        <w:t xml:space="preserve"> non assigned</w:t>
      </w: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 xml:space="preserve"> and aircraft non assigned licences were issued, and existing aeronautical and aircraft non</w:t>
      </w:r>
      <w:r w:rsidR="00C07600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A14FC5">
        <w:rPr>
          <w:rFonts w:ascii="Arial" w:hAnsi="Arial" w:cs="Arial"/>
          <w:color w:val="262626" w:themeColor="text1" w:themeTint="D9"/>
          <w:sz w:val="21"/>
          <w:szCs w:val="21"/>
        </w:rPr>
        <w:t>assigned licences were allowed to expire.</w:t>
      </w:r>
    </w:p>
    <w:p w:rsidR="007C3464" w:rsidRDefault="00C07600" w:rsidP="00D010B0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Currently</w:t>
      </w:r>
      <w:r w:rsidR="009B7635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5437FD" w:rsidRPr="005437FD">
        <w:rPr>
          <w:rFonts w:ascii="Arial" w:hAnsi="Arial" w:cs="Arial"/>
          <w:color w:val="262626" w:themeColor="text1" w:themeTint="D9"/>
          <w:sz w:val="21"/>
          <w:szCs w:val="21"/>
        </w:rPr>
        <w:t>there are no valid aeronautical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non assigned</w:t>
      </w:r>
      <w:r w:rsidR="005437FD" w:rsidRPr="005437FD">
        <w:rPr>
          <w:rFonts w:ascii="Arial" w:hAnsi="Arial" w:cs="Arial"/>
          <w:color w:val="262626" w:themeColor="text1" w:themeTint="D9"/>
          <w:sz w:val="21"/>
          <w:szCs w:val="21"/>
        </w:rPr>
        <w:t xml:space="preserve"> and aircraft non assigned licences</w:t>
      </w:r>
      <w:r w:rsidR="00DE7B75" w:rsidRPr="00DE7B75">
        <w:rPr>
          <w:rFonts w:ascii="Arial" w:hAnsi="Arial" w:cs="Arial"/>
          <w:color w:val="262626" w:themeColor="text1" w:themeTint="D9"/>
          <w:sz w:val="21"/>
          <w:szCs w:val="21"/>
        </w:rPr>
        <w:t xml:space="preserve">.  </w:t>
      </w:r>
    </w:p>
    <w:p w:rsidR="007C3464" w:rsidRPr="005E64B4" w:rsidRDefault="007C3464" w:rsidP="00E511A1">
      <w:pPr>
        <w:pStyle w:val="Heading3"/>
        <w:spacing w:after="120" w:line="280" w:lineRule="atLeast"/>
        <w:rPr>
          <w:color w:val="262626" w:themeColor="text1" w:themeTint="D9"/>
          <w:sz w:val="21"/>
          <w:szCs w:val="21"/>
        </w:rPr>
      </w:pPr>
      <w:r w:rsidRPr="005E64B4">
        <w:rPr>
          <w:color w:val="262626" w:themeColor="text1" w:themeTint="D9"/>
          <w:sz w:val="21"/>
          <w:szCs w:val="21"/>
        </w:rPr>
        <w:t>Package of Legislative Instruments</w:t>
      </w:r>
    </w:p>
    <w:p w:rsidR="007C3464" w:rsidRPr="00475D8E" w:rsidRDefault="00C07600" w:rsidP="00475D8E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</w:rPr>
        <w:t>The</w:t>
      </w:r>
      <w:r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Amendment </w:t>
      </w:r>
      <w:r w:rsidR="00030FB8">
        <w:rPr>
          <w:rFonts w:ascii="Arial" w:hAnsi="Arial" w:cs="Arial"/>
          <w:color w:val="262626" w:themeColor="text1" w:themeTint="D9"/>
          <w:sz w:val="21"/>
          <w:szCs w:val="21"/>
        </w:rPr>
        <w:t>D</w:t>
      </w:r>
      <w:r w:rsidR="005D43B5" w:rsidRPr="00475D8E">
        <w:rPr>
          <w:rFonts w:ascii="Arial" w:hAnsi="Arial" w:cs="Arial"/>
          <w:color w:val="262626" w:themeColor="text1" w:themeTint="D9"/>
          <w:sz w:val="21"/>
          <w:szCs w:val="21"/>
        </w:rPr>
        <w:t>etermination</w:t>
      </w:r>
      <w:r w:rsidR="007C3464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form</w:t>
      </w:r>
      <w:r w:rsidR="00030FB8">
        <w:rPr>
          <w:rFonts w:ascii="Arial" w:hAnsi="Arial" w:cs="Arial"/>
          <w:color w:val="262626" w:themeColor="text1" w:themeTint="D9"/>
          <w:sz w:val="21"/>
          <w:szCs w:val="21"/>
        </w:rPr>
        <w:t>s</w:t>
      </w:r>
      <w:r w:rsidR="007C3464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part of a package of instruments m</w:t>
      </w:r>
      <w:r w:rsidR="001F0F57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ade simultaneously to remove </w:t>
      </w:r>
      <w:r w:rsidR="007C3464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legislative references to the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eronautical </w:t>
      </w:r>
      <w:r w:rsidR="00B02FE8" w:rsidRPr="00475D8E">
        <w:rPr>
          <w:rFonts w:ascii="Arial" w:hAnsi="Arial" w:cs="Arial"/>
          <w:color w:val="262626" w:themeColor="text1" w:themeTint="D9"/>
          <w:sz w:val="21"/>
          <w:szCs w:val="21"/>
        </w:rPr>
        <w:t>non a</w:t>
      </w:r>
      <w:r w:rsidR="001F0F57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ssigned </w:t>
      </w:r>
      <w:r w:rsidR="00B02FE8" w:rsidRPr="00475D8E">
        <w:rPr>
          <w:rFonts w:ascii="Arial" w:hAnsi="Arial" w:cs="Arial"/>
          <w:color w:val="262626" w:themeColor="text1" w:themeTint="D9"/>
          <w:sz w:val="21"/>
          <w:szCs w:val="21"/>
        </w:rPr>
        <w:t>s</w:t>
      </w:r>
      <w:r w:rsidR="009B7635" w:rsidRPr="00475D8E">
        <w:rPr>
          <w:rFonts w:ascii="Arial" w:hAnsi="Arial" w:cs="Arial"/>
          <w:color w:val="262626" w:themeColor="text1" w:themeTint="D9"/>
          <w:sz w:val="21"/>
          <w:szCs w:val="21"/>
        </w:rPr>
        <w:t>tation</w:t>
      </w:r>
      <w:r w:rsidR="001F0F57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9B7635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and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a</w:t>
      </w:r>
      <w:r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ircraft </w:t>
      </w:r>
      <w:r w:rsidR="00B02FE8" w:rsidRPr="00475D8E">
        <w:rPr>
          <w:rFonts w:ascii="Arial" w:hAnsi="Arial" w:cs="Arial"/>
          <w:color w:val="262626" w:themeColor="text1" w:themeTint="D9"/>
          <w:sz w:val="21"/>
          <w:szCs w:val="21"/>
        </w:rPr>
        <w:t>non a</w:t>
      </w:r>
      <w:r w:rsidR="009B7635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ssigned </w:t>
      </w:r>
      <w:r w:rsidR="007C3464" w:rsidRPr="00475D8E">
        <w:rPr>
          <w:rFonts w:ascii="Arial" w:hAnsi="Arial" w:cs="Arial"/>
          <w:color w:val="262626" w:themeColor="text1" w:themeTint="D9"/>
          <w:sz w:val="21"/>
          <w:szCs w:val="21"/>
        </w:rPr>
        <w:t>licence type</w:t>
      </w:r>
      <w:r w:rsidR="009B7635" w:rsidRPr="00475D8E">
        <w:rPr>
          <w:rFonts w:ascii="Arial" w:hAnsi="Arial" w:cs="Arial"/>
          <w:color w:val="262626" w:themeColor="text1" w:themeTint="D9"/>
          <w:sz w:val="21"/>
          <w:szCs w:val="21"/>
        </w:rPr>
        <w:t>s</w:t>
      </w:r>
      <w:r w:rsidR="007C3464"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from subordinate legislation. </w:t>
      </w:r>
    </w:p>
    <w:p w:rsidR="009741FB" w:rsidRDefault="007C3464" w:rsidP="00E511A1">
      <w:pPr>
        <w:spacing w:before="80" w:after="120" w:line="280" w:lineRule="atLeast"/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</w:pPr>
      <w:r w:rsidRPr="005E64B4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References to 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a</w:t>
      </w:r>
      <w:r w:rsidR="00C07600" w:rsidRPr="00712446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eronautical 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n</w:t>
      </w:r>
      <w:r w:rsidR="00C07600" w:rsidRPr="00712446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on 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a</w:t>
      </w:r>
      <w:r w:rsidR="00C07600" w:rsidRPr="00712446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ssigned</w:t>
      </w:r>
      <w:r w:rsidR="00C07600">
        <w:rPr>
          <w:color w:val="262626" w:themeColor="text1" w:themeTint="D9"/>
          <w:sz w:val="21"/>
          <w:szCs w:val="21"/>
        </w:rPr>
        <w:t xml:space="preserve"> 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station</w:t>
      </w:r>
      <w:r w:rsidR="00C07600" w:rsidRPr="00712446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 </w:t>
      </w:r>
      <w:r w:rsidR="009B7635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and </w:t>
      </w:r>
      <w:r w:rsidR="00073741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aircraft non assigned station 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a</w:t>
      </w:r>
      <w:r w:rsidR="00C07600" w:rsidRPr="005E64B4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pparat</w:t>
      </w:r>
      <w:r w:rsidR="00C07600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us </w:t>
      </w:r>
      <w:r w:rsidR="009741FB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licences also appear in </w:t>
      </w:r>
      <w:r w:rsidR="00030FB8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>the following</w:t>
      </w:r>
      <w:r w:rsidR="009741FB">
        <w:rPr>
          <w:rFonts w:ascii="HelveticaNeueLT Std Med" w:hAnsi="HelveticaNeueLT Std Med" w:cs="Arial"/>
          <w:iCs/>
          <w:noProof/>
          <w:color w:val="262626" w:themeColor="text1" w:themeTint="D9"/>
          <w:sz w:val="21"/>
          <w:szCs w:val="21"/>
        </w:rPr>
        <w:t xml:space="preserve">:  </w:t>
      </w:r>
    </w:p>
    <w:p w:rsidR="007C3464" w:rsidRPr="00D010B0" w:rsidRDefault="009741FB" w:rsidP="00D010B0">
      <w:pPr>
        <w:numPr>
          <w:ilvl w:val="0"/>
          <w:numId w:val="18"/>
        </w:numPr>
        <w:spacing w:before="80" w:after="12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9741FB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Licence Conditions (Aeronautical Licence) Determination No. 1 of 1997</w:t>
      </w:r>
      <w:r>
        <w:rPr>
          <w:rFonts w:ascii="Arial" w:hAnsi="Arial" w:cs="Arial"/>
          <w:i/>
          <w:color w:val="262626" w:themeColor="text1" w:themeTint="D9"/>
          <w:sz w:val="21"/>
          <w:szCs w:val="21"/>
        </w:rPr>
        <w:t>.</w:t>
      </w:r>
    </w:p>
    <w:p w:rsidR="00D010B0" w:rsidRPr="00D010B0" w:rsidRDefault="00D010B0" w:rsidP="00D010B0">
      <w:pPr>
        <w:numPr>
          <w:ilvl w:val="0"/>
          <w:numId w:val="18"/>
        </w:numPr>
        <w:spacing w:before="80" w:after="12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9741FB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Licence Conditions (A</w:t>
      </w:r>
      <w:r>
        <w:rPr>
          <w:rFonts w:ascii="Arial" w:hAnsi="Arial" w:cs="Arial"/>
          <w:i/>
          <w:color w:val="262626" w:themeColor="text1" w:themeTint="D9"/>
          <w:sz w:val="21"/>
          <w:szCs w:val="21"/>
        </w:rPr>
        <w:t>ircraft</w:t>
      </w:r>
      <w:r w:rsidRPr="009741FB">
        <w:rPr>
          <w:rFonts w:ascii="Arial" w:hAnsi="Arial" w:cs="Arial"/>
          <w:i/>
          <w:color w:val="262626" w:themeColor="text1" w:themeTint="D9"/>
          <w:sz w:val="21"/>
          <w:szCs w:val="21"/>
        </w:rPr>
        <w:t xml:space="preserve"> Licence) Determination No. 1 of 1997</w:t>
      </w:r>
      <w:r>
        <w:rPr>
          <w:rFonts w:ascii="Arial" w:hAnsi="Arial" w:cs="Arial"/>
          <w:i/>
          <w:color w:val="262626" w:themeColor="text1" w:themeTint="D9"/>
          <w:sz w:val="21"/>
          <w:szCs w:val="21"/>
        </w:rPr>
        <w:t>.</w:t>
      </w:r>
    </w:p>
    <w:p w:rsidR="007C3464" w:rsidRPr="005E64B4" w:rsidRDefault="007C3464" w:rsidP="00E511A1">
      <w:pPr>
        <w:spacing w:before="240" w:after="12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Consultation</w:t>
      </w:r>
    </w:p>
    <w:p w:rsidR="00543241" w:rsidRPr="00543241" w:rsidRDefault="00543241" w:rsidP="00543241">
      <w:pPr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</w:pP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In accordance with </w:t>
      </w:r>
      <w:r w:rsidR="0092028C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paragraph</w:t>
      </w:r>
      <w:r w:rsidR="0092028C"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 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18(2</w:t>
      </w:r>
      <w:proofErr w:type="gramStart"/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)(</w:t>
      </w:r>
      <w:proofErr w:type="gramEnd"/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a) of the</w:t>
      </w:r>
      <w:r w:rsidR="00C07600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 LIA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, consultation is considered unnecessary as </w:t>
      </w:r>
      <w:r w:rsidR="0092028C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the 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changes </w:t>
      </w:r>
      <w:r w:rsidR="0092028C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made by the Amendment Determination 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are </w:t>
      </w:r>
      <w:r w:rsidR="00FC53FD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of</w:t>
      </w:r>
      <w:r w:rsidR="00C07600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 a</w:t>
      </w:r>
      <w:r w:rsidR="00FC53FD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 minor </w:t>
      </w:r>
      <w:r w:rsidR="00C07600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or 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machinery nature</w:t>
      </w:r>
      <w:r w:rsidR="00FC53FD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>,</w:t>
      </w:r>
      <w:r w:rsidRPr="00543241">
        <w:rPr>
          <w:rFonts w:ascii="Arial" w:hAnsi="Arial" w:cs="Arial"/>
          <w:color w:val="262626" w:themeColor="text1" w:themeTint="D9"/>
          <w:sz w:val="21"/>
          <w:szCs w:val="21"/>
          <w:lang w:eastAsia="en-US"/>
        </w:rPr>
        <w:t xml:space="preserve"> and do not substantially alter existing arrangements.</w:t>
      </w:r>
    </w:p>
    <w:p w:rsidR="007C3464" w:rsidRPr="005E64B4" w:rsidRDefault="007C3464" w:rsidP="00E511A1">
      <w:pPr>
        <w:spacing w:before="240" w:after="12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Regulatory Impact</w:t>
      </w:r>
    </w:p>
    <w:p w:rsidR="007C3464" w:rsidRPr="005E64B4" w:rsidRDefault="007C3464" w:rsidP="00475D8E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The ACMA has undertaken a preliminary assessment of the regulatory impact in accordance with the requirements of the Office of Best Practice Regulation</w:t>
      </w:r>
      <w:r w:rsidR="00A60F69">
        <w:rPr>
          <w:rFonts w:ascii="Arial" w:hAnsi="Arial" w:cs="Arial"/>
          <w:color w:val="262626" w:themeColor="text1" w:themeTint="D9"/>
          <w:sz w:val="21"/>
          <w:szCs w:val="21"/>
        </w:rPr>
        <w:t xml:space="preserve"> (OBPR)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. It has been determined that </w:t>
      </w:r>
      <w:r w:rsidR="00DB0500">
        <w:rPr>
          <w:rFonts w:ascii="Arial" w:hAnsi="Arial" w:cs="Arial"/>
          <w:color w:val="262626" w:themeColor="text1" w:themeTint="D9"/>
          <w:sz w:val="21"/>
          <w:szCs w:val="21"/>
        </w:rPr>
        <w:t>the Amendment</w:t>
      </w:r>
      <w:r w:rsidR="00C07600">
        <w:rPr>
          <w:rFonts w:ascii="Arial" w:hAnsi="Arial" w:cs="Arial"/>
          <w:color w:val="262626" w:themeColor="text1" w:themeTint="D9"/>
          <w:sz w:val="21"/>
          <w:szCs w:val="21"/>
        </w:rPr>
        <w:t xml:space="preserve"> Determination</w:t>
      </w:r>
      <w:r w:rsidRPr="00475D8E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would have no direct or significant indirect impact on business or the economy. For those reasons, an exemption from the need to provide a Regulatory Impact Statement (RIS) and Business Cost Calculator Report has been obtained. The </w:t>
      </w:r>
      <w:r w:rsidR="00A60F69">
        <w:rPr>
          <w:rFonts w:ascii="Arial" w:hAnsi="Arial" w:cs="Arial"/>
          <w:color w:val="262626" w:themeColor="text1" w:themeTint="D9"/>
          <w:sz w:val="21"/>
          <w:szCs w:val="21"/>
        </w:rPr>
        <w:t xml:space="preserve">OBPR 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RIS exemption reference number is </w:t>
      </w:r>
      <w:r w:rsidR="00A60F69">
        <w:rPr>
          <w:rFonts w:ascii="Arial" w:hAnsi="Arial" w:cs="Arial"/>
          <w:color w:val="262626" w:themeColor="text1" w:themeTint="D9"/>
          <w:sz w:val="21"/>
          <w:szCs w:val="21"/>
        </w:rPr>
        <w:t xml:space="preserve">12565.  </w:t>
      </w:r>
    </w:p>
    <w:p w:rsidR="00A01692" w:rsidRPr="005E64B4" w:rsidRDefault="00A01692" w:rsidP="00E511A1">
      <w:pPr>
        <w:spacing w:before="240" w:after="12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Determination Details</w:t>
      </w:r>
    </w:p>
    <w:p w:rsidR="00A01692" w:rsidRPr="005E64B4" w:rsidRDefault="00A01692" w:rsidP="00475D8E">
      <w:pPr>
        <w:pStyle w:val="indenta"/>
        <w:tabs>
          <w:tab w:val="left" w:pos="720"/>
        </w:tabs>
        <w:spacing w:before="80" w:after="120" w:line="280" w:lineRule="atLeast"/>
        <w:ind w:left="0" w:firstLine="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Details of the Amendment Determination are provided in Attachment A.</w:t>
      </w:r>
    </w:p>
    <w:p w:rsidR="00A01692" w:rsidRPr="005E64B4" w:rsidRDefault="00A01692" w:rsidP="00A01692">
      <w:pPr>
        <w:spacing w:after="240" w:line="280" w:lineRule="atLeast"/>
        <w:jc w:val="righ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lastRenderedPageBreak/>
        <w:t>Attachment A</w:t>
      </w:r>
    </w:p>
    <w:p w:rsidR="00A01692" w:rsidRPr="005E64B4" w:rsidRDefault="00A01692" w:rsidP="00A01692">
      <w:pPr>
        <w:spacing w:after="24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Notes on </w:t>
      </w:r>
      <w:r w:rsidR="007349A2"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Determination</w:t>
      </w:r>
    </w:p>
    <w:p w:rsidR="00A01692" w:rsidRPr="005E64B4" w:rsidRDefault="00A01692" w:rsidP="00A01692">
      <w:pPr>
        <w:spacing w:after="8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Section 1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  <w:t>Name of Determination</w:t>
      </w:r>
    </w:p>
    <w:p w:rsidR="00A01692" w:rsidRPr="005E64B4" w:rsidRDefault="00A01692" w:rsidP="00A01692">
      <w:pPr>
        <w:spacing w:after="80" w:line="280" w:lineRule="atLeast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ab/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ab/>
        <w:t>Section 1 provides the name of the Determination</w:t>
      </w:r>
      <w:r w:rsidR="008941EE" w:rsidRPr="005E64B4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A01692" w:rsidRPr="005E64B4" w:rsidRDefault="00A01692" w:rsidP="00A01692">
      <w:pPr>
        <w:spacing w:after="80" w:line="280" w:lineRule="atLeast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Section 2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  <w:t xml:space="preserve">Commencement </w:t>
      </w:r>
    </w:p>
    <w:p w:rsidR="00A01692" w:rsidRPr="005E64B4" w:rsidRDefault="00A01692" w:rsidP="00A01692">
      <w:pPr>
        <w:spacing w:after="80" w:line="280" w:lineRule="atLeast"/>
        <w:ind w:left="144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Section 2 provides that the Determination commences on the day after it is registered.</w:t>
      </w:r>
    </w:p>
    <w:p w:rsidR="00A01692" w:rsidRPr="005E64B4" w:rsidRDefault="00A01692" w:rsidP="00A01692">
      <w:pPr>
        <w:spacing w:after="80" w:line="280" w:lineRule="atLeast"/>
        <w:ind w:left="1440" w:hanging="1440"/>
        <w:rPr>
          <w:rFonts w:ascii="Arial" w:hAnsi="Arial" w:cs="Arial"/>
          <w:b/>
          <w:i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Section 3</w:t>
      </w:r>
      <w:r w:rsidRPr="005E64B4">
        <w:rPr>
          <w:rFonts w:ascii="Arial" w:hAnsi="Arial" w:cs="Arial"/>
          <w:b/>
          <w:i/>
          <w:color w:val="262626" w:themeColor="text1" w:themeTint="D9"/>
          <w:sz w:val="21"/>
          <w:szCs w:val="21"/>
        </w:rPr>
        <w:tab/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Amendment of</w:t>
      </w:r>
      <w:r w:rsidRPr="005E64B4">
        <w:rPr>
          <w:rFonts w:ascii="Arial" w:hAnsi="Arial" w:cs="Arial"/>
          <w:b/>
          <w:i/>
          <w:color w:val="262626" w:themeColor="text1" w:themeTint="D9"/>
          <w:sz w:val="21"/>
          <w:szCs w:val="21"/>
        </w:rPr>
        <w:t xml:space="preserve"> Radiocommunications (Interpretation) Determination 2000</w:t>
      </w:r>
    </w:p>
    <w:p w:rsidR="00A01692" w:rsidRPr="005E64B4" w:rsidRDefault="00A01692" w:rsidP="00A01692">
      <w:pPr>
        <w:spacing w:after="80" w:line="280" w:lineRule="atLeast"/>
        <w:ind w:left="1440" w:hanging="1440"/>
        <w:rPr>
          <w:rFonts w:ascii="Arial" w:hAnsi="Arial" w:cs="Arial"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Section 3 provides that Schedule 1 amends the </w:t>
      </w:r>
      <w:r w:rsidRPr="005E64B4">
        <w:rPr>
          <w:rFonts w:ascii="Arial" w:hAnsi="Arial" w:cs="Arial"/>
          <w:i/>
          <w:color w:val="262626" w:themeColor="text1" w:themeTint="D9"/>
          <w:sz w:val="21"/>
          <w:szCs w:val="21"/>
        </w:rPr>
        <w:t>Radiocommunications (Interpretation) Determination 2000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BB40BA" w:rsidRDefault="00BB40BA" w:rsidP="00BB40BA">
      <w:pPr>
        <w:spacing w:after="80" w:line="280" w:lineRule="atLeast"/>
        <w:ind w:left="1440" w:hanging="1440"/>
        <w:rPr>
          <w:rFonts w:ascii="Arial" w:hAnsi="Arial" w:cs="Arial"/>
          <w:color w:val="262626" w:themeColor="text1" w:themeTint="D9"/>
          <w:sz w:val="18"/>
          <w:szCs w:val="18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Schedule 1 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  <w:t>Amendments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5E64B4">
        <w:rPr>
          <w:rFonts w:ascii="Arial" w:hAnsi="Arial" w:cs="Arial"/>
          <w:color w:val="262626" w:themeColor="text1" w:themeTint="D9"/>
          <w:sz w:val="18"/>
          <w:szCs w:val="18"/>
        </w:rPr>
        <w:t>(section 3)</w:t>
      </w:r>
    </w:p>
    <w:p w:rsidR="00073741" w:rsidRPr="005E64B4" w:rsidRDefault="00073741" w:rsidP="00BB40BA">
      <w:pPr>
        <w:spacing w:after="80" w:line="280" w:lineRule="atLeast"/>
        <w:ind w:left="1440" w:hanging="1440"/>
        <w:rPr>
          <w:rFonts w:ascii="Arial" w:hAnsi="Arial" w:cs="Arial"/>
          <w:i/>
          <w:color w:val="262626" w:themeColor="text1" w:themeTint="D9"/>
          <w:sz w:val="21"/>
          <w:szCs w:val="21"/>
        </w:rPr>
      </w:pPr>
    </w:p>
    <w:p w:rsidR="00A64F58" w:rsidRDefault="00BB40BA" w:rsidP="00BB40BA">
      <w:pPr>
        <w:spacing w:after="80" w:line="280" w:lineRule="atLeast"/>
        <w:ind w:left="1440" w:hanging="1440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[1]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="00A64F58">
        <w:rPr>
          <w:rFonts w:ascii="Arial" w:hAnsi="Arial" w:cs="Arial"/>
          <w:b/>
          <w:color w:val="262626" w:themeColor="text1" w:themeTint="D9"/>
          <w:sz w:val="21"/>
          <w:szCs w:val="21"/>
        </w:rPr>
        <w:t>S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chedule 1, </w:t>
      </w:r>
      <w:r w:rsidR="00D5365E">
        <w:rPr>
          <w:rFonts w:ascii="Arial" w:hAnsi="Arial" w:cs="Arial"/>
          <w:b/>
          <w:color w:val="262626" w:themeColor="text1" w:themeTint="D9"/>
          <w:sz w:val="21"/>
          <w:szCs w:val="21"/>
        </w:rPr>
        <w:t>Dictionary</w:t>
      </w:r>
    </w:p>
    <w:p w:rsidR="00D5365E" w:rsidRDefault="00A64F58" w:rsidP="00CA0335">
      <w:pPr>
        <w:spacing w:after="80" w:line="280" w:lineRule="atLeast"/>
        <w:ind w:left="1440"/>
        <w:rPr>
          <w:rFonts w:ascii="Arial" w:hAnsi="Arial" w:cs="Arial"/>
          <w:color w:val="262626" w:themeColor="text1" w:themeTint="D9"/>
          <w:sz w:val="21"/>
          <w:szCs w:val="21"/>
        </w:rPr>
      </w:pPr>
      <w:r w:rsidRPr="00A64F58">
        <w:rPr>
          <w:rFonts w:ascii="Arial" w:hAnsi="Arial" w:cs="Arial"/>
          <w:color w:val="262626" w:themeColor="text1" w:themeTint="D9"/>
          <w:sz w:val="21"/>
          <w:szCs w:val="21"/>
        </w:rPr>
        <w:t>I</w:t>
      </w:r>
      <w:r>
        <w:rPr>
          <w:rFonts w:ascii="Arial" w:hAnsi="Arial" w:cs="Arial"/>
          <w:color w:val="262626" w:themeColor="text1" w:themeTint="D9"/>
          <w:sz w:val="21"/>
          <w:szCs w:val="21"/>
        </w:rPr>
        <w:t>tem 1</w:t>
      </w:r>
      <w:r w:rsidR="00BB40BA"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9B7635">
        <w:rPr>
          <w:rFonts w:ascii="Arial" w:hAnsi="Arial" w:cs="Arial"/>
          <w:color w:val="262626" w:themeColor="text1" w:themeTint="D9"/>
          <w:sz w:val="21"/>
          <w:szCs w:val="21"/>
        </w:rPr>
        <w:t>deletes the</w:t>
      </w:r>
      <w:r w:rsidR="00073741">
        <w:rPr>
          <w:rFonts w:ascii="Arial" w:hAnsi="Arial" w:cs="Arial"/>
          <w:color w:val="262626" w:themeColor="text1" w:themeTint="D9"/>
          <w:sz w:val="21"/>
          <w:szCs w:val="21"/>
        </w:rPr>
        <w:t xml:space="preserve"> “</w:t>
      </w:r>
      <w:r>
        <w:rPr>
          <w:rFonts w:ascii="Arial" w:hAnsi="Arial" w:cs="Arial"/>
          <w:color w:val="262626" w:themeColor="text1" w:themeTint="D9"/>
          <w:sz w:val="21"/>
          <w:szCs w:val="21"/>
        </w:rPr>
        <w:t>aer</w:t>
      </w:r>
      <w:r w:rsidR="009B7635">
        <w:rPr>
          <w:rFonts w:ascii="Arial" w:hAnsi="Arial" w:cs="Arial"/>
          <w:color w:val="262626" w:themeColor="text1" w:themeTint="D9"/>
          <w:sz w:val="21"/>
          <w:szCs w:val="21"/>
        </w:rPr>
        <w:t>onautical non assigned station</w:t>
      </w:r>
      <w:r w:rsidR="00073741">
        <w:rPr>
          <w:rFonts w:ascii="Arial" w:hAnsi="Arial" w:cs="Arial"/>
          <w:color w:val="262626" w:themeColor="text1" w:themeTint="D9"/>
          <w:sz w:val="21"/>
          <w:szCs w:val="21"/>
        </w:rPr>
        <w:t>” definition.</w:t>
      </w:r>
    </w:p>
    <w:p w:rsidR="00073741" w:rsidRDefault="00073741" w:rsidP="00073741">
      <w:pPr>
        <w:spacing w:after="80" w:line="280" w:lineRule="atLeast"/>
        <w:ind w:left="1440" w:hanging="1440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>
        <w:rPr>
          <w:rFonts w:ascii="Arial" w:hAnsi="Arial" w:cs="Arial"/>
          <w:b/>
          <w:color w:val="262626" w:themeColor="text1" w:themeTint="D9"/>
          <w:sz w:val="21"/>
          <w:szCs w:val="21"/>
        </w:rPr>
        <w:t>[2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>]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>
        <w:rPr>
          <w:rFonts w:ascii="Arial" w:hAnsi="Arial" w:cs="Arial"/>
          <w:b/>
          <w:color w:val="262626" w:themeColor="text1" w:themeTint="D9"/>
          <w:sz w:val="21"/>
          <w:szCs w:val="21"/>
        </w:rPr>
        <w:t>S</w:t>
      </w:r>
      <w:r w:rsidRPr="005E64B4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chedule 1, </w:t>
      </w:r>
      <w:r>
        <w:rPr>
          <w:rFonts w:ascii="Arial" w:hAnsi="Arial" w:cs="Arial"/>
          <w:b/>
          <w:color w:val="262626" w:themeColor="text1" w:themeTint="D9"/>
          <w:sz w:val="21"/>
          <w:szCs w:val="21"/>
        </w:rPr>
        <w:t>Dictionary</w:t>
      </w:r>
    </w:p>
    <w:p w:rsidR="00073741" w:rsidRPr="005E64B4" w:rsidRDefault="00073741" w:rsidP="00073741">
      <w:pPr>
        <w:spacing w:after="80" w:line="280" w:lineRule="atLeast"/>
        <w:ind w:left="1440"/>
        <w:rPr>
          <w:b/>
          <w:color w:val="262626" w:themeColor="text1" w:themeTint="D9"/>
          <w:szCs w:val="24"/>
        </w:rPr>
      </w:pPr>
      <w:r w:rsidRPr="00A64F58">
        <w:rPr>
          <w:rFonts w:ascii="Arial" w:hAnsi="Arial" w:cs="Arial"/>
          <w:color w:val="262626" w:themeColor="text1" w:themeTint="D9"/>
          <w:sz w:val="21"/>
          <w:szCs w:val="21"/>
        </w:rPr>
        <w:t>I</w:t>
      </w:r>
      <w:r>
        <w:rPr>
          <w:rFonts w:ascii="Arial" w:hAnsi="Arial" w:cs="Arial"/>
          <w:color w:val="262626" w:themeColor="text1" w:themeTint="D9"/>
          <w:sz w:val="21"/>
          <w:szCs w:val="21"/>
        </w:rPr>
        <w:t>tem 2</w:t>
      </w:r>
      <w:r w:rsidRPr="005E64B4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deletes the “aircraft non assigned station” definition.  </w:t>
      </w:r>
    </w:p>
    <w:p w:rsidR="00073741" w:rsidRPr="005E64B4" w:rsidRDefault="00073741" w:rsidP="00A64F58">
      <w:pPr>
        <w:spacing w:after="80" w:line="280" w:lineRule="atLeast"/>
        <w:ind w:left="1440"/>
        <w:rPr>
          <w:b/>
          <w:color w:val="262626" w:themeColor="text1" w:themeTint="D9"/>
          <w:szCs w:val="24"/>
        </w:rPr>
      </w:pPr>
    </w:p>
    <w:sectPr w:rsidR="00073741" w:rsidRPr="005E64B4" w:rsidSect="009F3B35">
      <w:headerReference w:type="default" r:id="rId8"/>
      <w:footerReference w:type="default" r:id="rId9"/>
      <w:pgSz w:w="11906" w:h="16838"/>
      <w:pgMar w:top="1361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B8" w:rsidRDefault="00DC07B8">
      <w:r>
        <w:separator/>
      </w:r>
    </w:p>
  </w:endnote>
  <w:endnote w:type="continuationSeparator" w:id="0">
    <w:p w:rsidR="00DC07B8" w:rsidRDefault="00DC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C" w:rsidRDefault="00967B61">
    <w:pPr>
      <w:pStyle w:val="Footer"/>
      <w:jc w:val="right"/>
    </w:pPr>
    <w:fldSimple w:instr=" PAGE   \* MERGEFORMAT ">
      <w:r w:rsidR="003B5B91">
        <w:rPr>
          <w:noProof/>
        </w:rPr>
        <w:t>1</w:t>
      </w:r>
    </w:fldSimple>
  </w:p>
  <w:p w:rsidR="00CC267C" w:rsidRDefault="00CC2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B8" w:rsidRDefault="00DC07B8">
      <w:r>
        <w:separator/>
      </w:r>
    </w:p>
  </w:footnote>
  <w:footnote w:type="continuationSeparator" w:id="0">
    <w:p w:rsidR="00DC07B8" w:rsidRDefault="00DC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C" w:rsidRDefault="00CC267C" w:rsidP="00FC272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7D6"/>
    <w:multiLevelType w:val="hybridMultilevel"/>
    <w:tmpl w:val="BC942B6E"/>
    <w:lvl w:ilvl="0" w:tplc="969E96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042"/>
    <w:multiLevelType w:val="multilevel"/>
    <w:tmpl w:val="17102B2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93F63"/>
    <w:multiLevelType w:val="hybridMultilevel"/>
    <w:tmpl w:val="DACEC94A"/>
    <w:lvl w:ilvl="0" w:tplc="2BBE80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E0F"/>
    <w:multiLevelType w:val="hybridMultilevel"/>
    <w:tmpl w:val="614AB048"/>
    <w:lvl w:ilvl="0" w:tplc="1ADEFCC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290"/>
    <w:multiLevelType w:val="hybridMultilevel"/>
    <w:tmpl w:val="7C10CE16"/>
    <w:lvl w:ilvl="0" w:tplc="CA72F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3BC"/>
    <w:multiLevelType w:val="hybridMultilevel"/>
    <w:tmpl w:val="B40EEFD6"/>
    <w:lvl w:ilvl="0" w:tplc="BAAA86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26344572"/>
    <w:multiLevelType w:val="hybridMultilevel"/>
    <w:tmpl w:val="AD0AE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D1869"/>
    <w:multiLevelType w:val="hybridMultilevel"/>
    <w:tmpl w:val="44CCDBB4"/>
    <w:lvl w:ilvl="0" w:tplc="D7546EB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E6F9F"/>
    <w:multiLevelType w:val="hybridMultilevel"/>
    <w:tmpl w:val="A41A19A8"/>
    <w:lvl w:ilvl="0" w:tplc="969E96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B8C0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D377E"/>
    <w:multiLevelType w:val="multilevel"/>
    <w:tmpl w:val="AAEA4A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980"/>
        </w:tabs>
        <w:ind w:left="1980" w:hanging="360"/>
      </w:pPr>
      <w:rPr>
        <w:rFonts w:ascii="Times New (W1)" w:hAnsi="Times New (W1)" w:hint="default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57ED6"/>
    <w:multiLevelType w:val="multilevel"/>
    <w:tmpl w:val="28EEB3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none"/>
      <w:lvlText w:val="(a)"/>
      <w:lvlJc w:val="left"/>
      <w:pPr>
        <w:tabs>
          <w:tab w:val="num" w:pos="1980"/>
        </w:tabs>
        <w:ind w:left="1980" w:hanging="360"/>
      </w:pPr>
      <w:rPr>
        <w:rFonts w:ascii="Times New (W1)" w:hAnsi="Times New (W1)" w:hint="default"/>
        <w:b w:val="0"/>
        <w:i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0A0FBC"/>
    <w:multiLevelType w:val="multilevel"/>
    <w:tmpl w:val="28EEB3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none"/>
      <w:lvlText w:val="(a)"/>
      <w:lvlJc w:val="left"/>
      <w:pPr>
        <w:tabs>
          <w:tab w:val="num" w:pos="1980"/>
        </w:tabs>
        <w:ind w:left="1980" w:hanging="360"/>
      </w:pPr>
      <w:rPr>
        <w:rFonts w:ascii="Times New (W1)" w:hAnsi="Times New (W1)" w:hint="default"/>
        <w:b w:val="0"/>
        <w:i w:val="0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6A3480"/>
    <w:multiLevelType w:val="hybridMultilevel"/>
    <w:tmpl w:val="A15CBD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84A75"/>
    <w:multiLevelType w:val="hybridMultilevel"/>
    <w:tmpl w:val="4B7055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D3B526B"/>
    <w:multiLevelType w:val="hybridMultilevel"/>
    <w:tmpl w:val="65F28594"/>
    <w:lvl w:ilvl="0" w:tplc="A5AC4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0F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57542F"/>
    <w:multiLevelType w:val="singleLevel"/>
    <w:tmpl w:val="9C12F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6">
    <w:nsid w:val="7AD6477C"/>
    <w:multiLevelType w:val="hybridMultilevel"/>
    <w:tmpl w:val="AAA4F930"/>
    <w:lvl w:ilvl="0" w:tplc="F5CC15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8F88C9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BD1FBD"/>
    <w:multiLevelType w:val="hybridMultilevel"/>
    <w:tmpl w:val="B9B862A0"/>
    <w:lvl w:ilvl="0" w:tplc="969E96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oNotTrackMove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950"/>
    <w:rsid w:val="000210B3"/>
    <w:rsid w:val="00030FB8"/>
    <w:rsid w:val="00035091"/>
    <w:rsid w:val="00036D84"/>
    <w:rsid w:val="00041A46"/>
    <w:rsid w:val="00042BF9"/>
    <w:rsid w:val="0004728E"/>
    <w:rsid w:val="000545E1"/>
    <w:rsid w:val="00056E62"/>
    <w:rsid w:val="000600B6"/>
    <w:rsid w:val="00064DBD"/>
    <w:rsid w:val="00070457"/>
    <w:rsid w:val="00073741"/>
    <w:rsid w:val="000738AF"/>
    <w:rsid w:val="0007734D"/>
    <w:rsid w:val="000778BC"/>
    <w:rsid w:val="0008373E"/>
    <w:rsid w:val="00083A81"/>
    <w:rsid w:val="000A77E4"/>
    <w:rsid w:val="000B14D1"/>
    <w:rsid w:val="000B4D09"/>
    <w:rsid w:val="000C0F9F"/>
    <w:rsid w:val="000C688B"/>
    <w:rsid w:val="000D02FB"/>
    <w:rsid w:val="000D271A"/>
    <w:rsid w:val="000D3AC6"/>
    <w:rsid w:val="000D4C1B"/>
    <w:rsid w:val="00101FA3"/>
    <w:rsid w:val="00103CF4"/>
    <w:rsid w:val="00115AA2"/>
    <w:rsid w:val="0011782E"/>
    <w:rsid w:val="00130393"/>
    <w:rsid w:val="001311DF"/>
    <w:rsid w:val="00132D90"/>
    <w:rsid w:val="00134BA3"/>
    <w:rsid w:val="00136663"/>
    <w:rsid w:val="00142CFC"/>
    <w:rsid w:val="00143FCF"/>
    <w:rsid w:val="00144A41"/>
    <w:rsid w:val="00156EEA"/>
    <w:rsid w:val="00162146"/>
    <w:rsid w:val="00163BCA"/>
    <w:rsid w:val="001844C9"/>
    <w:rsid w:val="00192498"/>
    <w:rsid w:val="001B17B6"/>
    <w:rsid w:val="001C0445"/>
    <w:rsid w:val="001C30B3"/>
    <w:rsid w:val="001C347B"/>
    <w:rsid w:val="001C3CD1"/>
    <w:rsid w:val="001C6AFA"/>
    <w:rsid w:val="001F0F57"/>
    <w:rsid w:val="001F3632"/>
    <w:rsid w:val="001F3FA2"/>
    <w:rsid w:val="002022DE"/>
    <w:rsid w:val="002027AC"/>
    <w:rsid w:val="00206846"/>
    <w:rsid w:val="00212722"/>
    <w:rsid w:val="00213463"/>
    <w:rsid w:val="00220CBA"/>
    <w:rsid w:val="00222C1D"/>
    <w:rsid w:val="00231A4F"/>
    <w:rsid w:val="00231D1A"/>
    <w:rsid w:val="002518F3"/>
    <w:rsid w:val="002535D9"/>
    <w:rsid w:val="0025421E"/>
    <w:rsid w:val="002613AA"/>
    <w:rsid w:val="002632D0"/>
    <w:rsid w:val="0026370C"/>
    <w:rsid w:val="002654CA"/>
    <w:rsid w:val="0029015A"/>
    <w:rsid w:val="00290D1E"/>
    <w:rsid w:val="0029772C"/>
    <w:rsid w:val="002A08AE"/>
    <w:rsid w:val="002B7F8B"/>
    <w:rsid w:val="002C5DCA"/>
    <w:rsid w:val="002C5E91"/>
    <w:rsid w:val="002C62F9"/>
    <w:rsid w:val="002D4E66"/>
    <w:rsid w:val="002D689A"/>
    <w:rsid w:val="002E2CC5"/>
    <w:rsid w:val="002E3FDB"/>
    <w:rsid w:val="002E4BB8"/>
    <w:rsid w:val="002F03C3"/>
    <w:rsid w:val="002F667D"/>
    <w:rsid w:val="0030005C"/>
    <w:rsid w:val="00302543"/>
    <w:rsid w:val="0030583E"/>
    <w:rsid w:val="003112D2"/>
    <w:rsid w:val="0031194D"/>
    <w:rsid w:val="00312E75"/>
    <w:rsid w:val="0031422B"/>
    <w:rsid w:val="00326BEB"/>
    <w:rsid w:val="00327D26"/>
    <w:rsid w:val="003501B6"/>
    <w:rsid w:val="003566A2"/>
    <w:rsid w:val="00361C2B"/>
    <w:rsid w:val="00364B0F"/>
    <w:rsid w:val="00365ABE"/>
    <w:rsid w:val="00365EE9"/>
    <w:rsid w:val="003817AA"/>
    <w:rsid w:val="003849DF"/>
    <w:rsid w:val="003867A9"/>
    <w:rsid w:val="003912AE"/>
    <w:rsid w:val="00396F2E"/>
    <w:rsid w:val="003B184F"/>
    <w:rsid w:val="003B5B91"/>
    <w:rsid w:val="003B6E2C"/>
    <w:rsid w:val="003C5C08"/>
    <w:rsid w:val="003E79FF"/>
    <w:rsid w:val="00401BA5"/>
    <w:rsid w:val="00402B73"/>
    <w:rsid w:val="00405A68"/>
    <w:rsid w:val="004148AA"/>
    <w:rsid w:val="004164C2"/>
    <w:rsid w:val="0042149A"/>
    <w:rsid w:val="00424B06"/>
    <w:rsid w:val="00436CBC"/>
    <w:rsid w:val="0044132C"/>
    <w:rsid w:val="004518B8"/>
    <w:rsid w:val="00452CF1"/>
    <w:rsid w:val="00454676"/>
    <w:rsid w:val="004610D1"/>
    <w:rsid w:val="00462CB4"/>
    <w:rsid w:val="00463A5D"/>
    <w:rsid w:val="00464FBC"/>
    <w:rsid w:val="00465F0D"/>
    <w:rsid w:val="00471B8F"/>
    <w:rsid w:val="004749D8"/>
    <w:rsid w:val="00475D8E"/>
    <w:rsid w:val="00477787"/>
    <w:rsid w:val="00483E90"/>
    <w:rsid w:val="00495F61"/>
    <w:rsid w:val="004A4401"/>
    <w:rsid w:val="004A7D28"/>
    <w:rsid w:val="004B1763"/>
    <w:rsid w:val="004C0640"/>
    <w:rsid w:val="004C1906"/>
    <w:rsid w:val="00500D78"/>
    <w:rsid w:val="0050587E"/>
    <w:rsid w:val="00513A28"/>
    <w:rsid w:val="00540893"/>
    <w:rsid w:val="00543241"/>
    <w:rsid w:val="005437FD"/>
    <w:rsid w:val="0055038A"/>
    <w:rsid w:val="00550A03"/>
    <w:rsid w:val="0055598C"/>
    <w:rsid w:val="00555C19"/>
    <w:rsid w:val="005575D4"/>
    <w:rsid w:val="00563AD1"/>
    <w:rsid w:val="00571670"/>
    <w:rsid w:val="00572967"/>
    <w:rsid w:val="00574F5E"/>
    <w:rsid w:val="005A1844"/>
    <w:rsid w:val="005A1E05"/>
    <w:rsid w:val="005A22FB"/>
    <w:rsid w:val="005A48E6"/>
    <w:rsid w:val="005C70F5"/>
    <w:rsid w:val="005D16A1"/>
    <w:rsid w:val="005D368C"/>
    <w:rsid w:val="005D3FA5"/>
    <w:rsid w:val="005D43B5"/>
    <w:rsid w:val="005D6E6D"/>
    <w:rsid w:val="005E64B4"/>
    <w:rsid w:val="005F71C2"/>
    <w:rsid w:val="00620E19"/>
    <w:rsid w:val="00641471"/>
    <w:rsid w:val="00641DFE"/>
    <w:rsid w:val="00652A2F"/>
    <w:rsid w:val="006565DC"/>
    <w:rsid w:val="006617D8"/>
    <w:rsid w:val="006664C4"/>
    <w:rsid w:val="00671073"/>
    <w:rsid w:val="006905DE"/>
    <w:rsid w:val="006A0AA8"/>
    <w:rsid w:val="006B7416"/>
    <w:rsid w:val="006C12B2"/>
    <w:rsid w:val="006C1F63"/>
    <w:rsid w:val="006C69D9"/>
    <w:rsid w:val="006D0A9C"/>
    <w:rsid w:val="006D2211"/>
    <w:rsid w:val="006D3AC3"/>
    <w:rsid w:val="006E095B"/>
    <w:rsid w:val="006E3AA0"/>
    <w:rsid w:val="006E692C"/>
    <w:rsid w:val="006F7BE8"/>
    <w:rsid w:val="006F7E2D"/>
    <w:rsid w:val="007014CD"/>
    <w:rsid w:val="00707102"/>
    <w:rsid w:val="00712446"/>
    <w:rsid w:val="007236F3"/>
    <w:rsid w:val="007349A2"/>
    <w:rsid w:val="0074621D"/>
    <w:rsid w:val="00747D6A"/>
    <w:rsid w:val="00754098"/>
    <w:rsid w:val="00762032"/>
    <w:rsid w:val="007624F4"/>
    <w:rsid w:val="007652DA"/>
    <w:rsid w:val="007726BB"/>
    <w:rsid w:val="00781637"/>
    <w:rsid w:val="007869D6"/>
    <w:rsid w:val="00796D63"/>
    <w:rsid w:val="007A005E"/>
    <w:rsid w:val="007C19A5"/>
    <w:rsid w:val="007C3464"/>
    <w:rsid w:val="007C4854"/>
    <w:rsid w:val="007C6661"/>
    <w:rsid w:val="007E4D5D"/>
    <w:rsid w:val="007E6677"/>
    <w:rsid w:val="007E7B77"/>
    <w:rsid w:val="007F3F18"/>
    <w:rsid w:val="007F6F48"/>
    <w:rsid w:val="0081529F"/>
    <w:rsid w:val="00821D3C"/>
    <w:rsid w:val="00823CD5"/>
    <w:rsid w:val="00824065"/>
    <w:rsid w:val="00842BA3"/>
    <w:rsid w:val="0084452B"/>
    <w:rsid w:val="008460C9"/>
    <w:rsid w:val="00846B88"/>
    <w:rsid w:val="0085716E"/>
    <w:rsid w:val="0085748C"/>
    <w:rsid w:val="00863771"/>
    <w:rsid w:val="00877666"/>
    <w:rsid w:val="0088656D"/>
    <w:rsid w:val="008941EE"/>
    <w:rsid w:val="008976B3"/>
    <w:rsid w:val="008A47DB"/>
    <w:rsid w:val="008A5E61"/>
    <w:rsid w:val="008C1E49"/>
    <w:rsid w:val="008C2AC4"/>
    <w:rsid w:val="008C59CE"/>
    <w:rsid w:val="008D5CCE"/>
    <w:rsid w:val="008E7F85"/>
    <w:rsid w:val="008F664D"/>
    <w:rsid w:val="009017E3"/>
    <w:rsid w:val="009026A7"/>
    <w:rsid w:val="00905DAA"/>
    <w:rsid w:val="00910950"/>
    <w:rsid w:val="009119AE"/>
    <w:rsid w:val="00915A27"/>
    <w:rsid w:val="0091685F"/>
    <w:rsid w:val="0092028C"/>
    <w:rsid w:val="0092350C"/>
    <w:rsid w:val="00926DD3"/>
    <w:rsid w:val="0093128E"/>
    <w:rsid w:val="009345B8"/>
    <w:rsid w:val="00944456"/>
    <w:rsid w:val="00944727"/>
    <w:rsid w:val="00944A8F"/>
    <w:rsid w:val="00967B61"/>
    <w:rsid w:val="00971878"/>
    <w:rsid w:val="009741FB"/>
    <w:rsid w:val="00974DFA"/>
    <w:rsid w:val="00982AA0"/>
    <w:rsid w:val="00995463"/>
    <w:rsid w:val="009A2415"/>
    <w:rsid w:val="009A4D85"/>
    <w:rsid w:val="009B2ECB"/>
    <w:rsid w:val="009B6A35"/>
    <w:rsid w:val="009B7635"/>
    <w:rsid w:val="009B76E7"/>
    <w:rsid w:val="009C746D"/>
    <w:rsid w:val="009D24E1"/>
    <w:rsid w:val="009E4273"/>
    <w:rsid w:val="009F10DE"/>
    <w:rsid w:val="009F3B35"/>
    <w:rsid w:val="00A01692"/>
    <w:rsid w:val="00A03484"/>
    <w:rsid w:val="00A1118C"/>
    <w:rsid w:val="00A13C29"/>
    <w:rsid w:val="00A14FC5"/>
    <w:rsid w:val="00A310B2"/>
    <w:rsid w:val="00A316BC"/>
    <w:rsid w:val="00A330AC"/>
    <w:rsid w:val="00A42C73"/>
    <w:rsid w:val="00A4588B"/>
    <w:rsid w:val="00A514AB"/>
    <w:rsid w:val="00A60F69"/>
    <w:rsid w:val="00A62247"/>
    <w:rsid w:val="00A64F58"/>
    <w:rsid w:val="00A762FA"/>
    <w:rsid w:val="00A84247"/>
    <w:rsid w:val="00A86377"/>
    <w:rsid w:val="00A873BB"/>
    <w:rsid w:val="00A90232"/>
    <w:rsid w:val="00A90751"/>
    <w:rsid w:val="00A9300D"/>
    <w:rsid w:val="00A95D4D"/>
    <w:rsid w:val="00A97656"/>
    <w:rsid w:val="00AB0B34"/>
    <w:rsid w:val="00AB36D0"/>
    <w:rsid w:val="00AC1CE7"/>
    <w:rsid w:val="00AF4786"/>
    <w:rsid w:val="00AF7938"/>
    <w:rsid w:val="00B02FE8"/>
    <w:rsid w:val="00B0514C"/>
    <w:rsid w:val="00B11909"/>
    <w:rsid w:val="00B3041A"/>
    <w:rsid w:val="00B332E0"/>
    <w:rsid w:val="00B36698"/>
    <w:rsid w:val="00B41491"/>
    <w:rsid w:val="00B426F0"/>
    <w:rsid w:val="00B459DF"/>
    <w:rsid w:val="00B53876"/>
    <w:rsid w:val="00B66765"/>
    <w:rsid w:val="00B67A29"/>
    <w:rsid w:val="00B73125"/>
    <w:rsid w:val="00B831FC"/>
    <w:rsid w:val="00B8531F"/>
    <w:rsid w:val="00BB3E5D"/>
    <w:rsid w:val="00BB40BA"/>
    <w:rsid w:val="00BB473C"/>
    <w:rsid w:val="00BB4B21"/>
    <w:rsid w:val="00BC768D"/>
    <w:rsid w:val="00BD0D3A"/>
    <w:rsid w:val="00BD47E4"/>
    <w:rsid w:val="00BD6847"/>
    <w:rsid w:val="00BD7B49"/>
    <w:rsid w:val="00BE2877"/>
    <w:rsid w:val="00BF3E97"/>
    <w:rsid w:val="00BF4BE7"/>
    <w:rsid w:val="00BF720D"/>
    <w:rsid w:val="00C047BE"/>
    <w:rsid w:val="00C07600"/>
    <w:rsid w:val="00C15F94"/>
    <w:rsid w:val="00C25319"/>
    <w:rsid w:val="00C33FDB"/>
    <w:rsid w:val="00C40AA0"/>
    <w:rsid w:val="00C57612"/>
    <w:rsid w:val="00C62B86"/>
    <w:rsid w:val="00C63DB3"/>
    <w:rsid w:val="00C66519"/>
    <w:rsid w:val="00C80669"/>
    <w:rsid w:val="00C90E63"/>
    <w:rsid w:val="00C91587"/>
    <w:rsid w:val="00CA0335"/>
    <w:rsid w:val="00CC267C"/>
    <w:rsid w:val="00CC7CB1"/>
    <w:rsid w:val="00CE222B"/>
    <w:rsid w:val="00CF22BA"/>
    <w:rsid w:val="00D010B0"/>
    <w:rsid w:val="00D137F8"/>
    <w:rsid w:val="00D23E14"/>
    <w:rsid w:val="00D262CC"/>
    <w:rsid w:val="00D41595"/>
    <w:rsid w:val="00D430CE"/>
    <w:rsid w:val="00D5365E"/>
    <w:rsid w:val="00D86BC7"/>
    <w:rsid w:val="00DA2451"/>
    <w:rsid w:val="00DB0500"/>
    <w:rsid w:val="00DB14F7"/>
    <w:rsid w:val="00DC07B8"/>
    <w:rsid w:val="00DC3944"/>
    <w:rsid w:val="00DC7923"/>
    <w:rsid w:val="00DD11A2"/>
    <w:rsid w:val="00DD346A"/>
    <w:rsid w:val="00DD65FF"/>
    <w:rsid w:val="00DE19C4"/>
    <w:rsid w:val="00DE25A4"/>
    <w:rsid w:val="00DE62E3"/>
    <w:rsid w:val="00DE7B75"/>
    <w:rsid w:val="00DF0864"/>
    <w:rsid w:val="00DF0984"/>
    <w:rsid w:val="00DF2F2A"/>
    <w:rsid w:val="00E00FC8"/>
    <w:rsid w:val="00E02EE1"/>
    <w:rsid w:val="00E14EB9"/>
    <w:rsid w:val="00E17821"/>
    <w:rsid w:val="00E22536"/>
    <w:rsid w:val="00E33BB5"/>
    <w:rsid w:val="00E36C0F"/>
    <w:rsid w:val="00E511A1"/>
    <w:rsid w:val="00E57FAF"/>
    <w:rsid w:val="00E60B27"/>
    <w:rsid w:val="00E806FA"/>
    <w:rsid w:val="00E877A9"/>
    <w:rsid w:val="00E92B23"/>
    <w:rsid w:val="00E95089"/>
    <w:rsid w:val="00EC0A47"/>
    <w:rsid w:val="00EC2C32"/>
    <w:rsid w:val="00EC4FD4"/>
    <w:rsid w:val="00EC7E3B"/>
    <w:rsid w:val="00ED0282"/>
    <w:rsid w:val="00ED5286"/>
    <w:rsid w:val="00EE2F8D"/>
    <w:rsid w:val="00EE7D13"/>
    <w:rsid w:val="00EF0A10"/>
    <w:rsid w:val="00EF5E37"/>
    <w:rsid w:val="00EF664D"/>
    <w:rsid w:val="00F019A7"/>
    <w:rsid w:val="00F120F7"/>
    <w:rsid w:val="00F14DC8"/>
    <w:rsid w:val="00F20D47"/>
    <w:rsid w:val="00F22A64"/>
    <w:rsid w:val="00F2766C"/>
    <w:rsid w:val="00F33885"/>
    <w:rsid w:val="00F35B3F"/>
    <w:rsid w:val="00F44639"/>
    <w:rsid w:val="00F539D6"/>
    <w:rsid w:val="00F62C6F"/>
    <w:rsid w:val="00F640BA"/>
    <w:rsid w:val="00F66C00"/>
    <w:rsid w:val="00F726DF"/>
    <w:rsid w:val="00F80361"/>
    <w:rsid w:val="00F80952"/>
    <w:rsid w:val="00F8096F"/>
    <w:rsid w:val="00F80F00"/>
    <w:rsid w:val="00F83DA1"/>
    <w:rsid w:val="00F9040B"/>
    <w:rsid w:val="00F93145"/>
    <w:rsid w:val="00FA60B2"/>
    <w:rsid w:val="00FC2725"/>
    <w:rsid w:val="00FC2D25"/>
    <w:rsid w:val="00FC4A05"/>
    <w:rsid w:val="00FC53FD"/>
    <w:rsid w:val="00FC703F"/>
    <w:rsid w:val="00FD2D10"/>
    <w:rsid w:val="00FE2EDB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3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14DC8"/>
    <w:pPr>
      <w:keepNext/>
      <w:spacing w:before="240" w:after="60"/>
      <w:outlineLvl w:val="0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905D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aliases w:val="s"/>
    <w:basedOn w:val="Heading1"/>
    <w:next w:val="Normal"/>
    <w:qFormat/>
    <w:rsid w:val="00F14DC8"/>
    <w:pPr>
      <w:keepLines/>
      <w:spacing w:before="280" w:after="0" w:line="260" w:lineRule="atLeast"/>
      <w:ind w:left="1134" w:hanging="1134"/>
      <w:outlineLvl w:val="4"/>
    </w:pPr>
    <w:rPr>
      <w:rFonts w:ascii="Times" w:hAnsi="Times"/>
      <w:b w:val="0"/>
      <w:caps w:val="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14DC8"/>
  </w:style>
  <w:style w:type="paragraph" w:styleId="Title">
    <w:name w:val="Title"/>
    <w:basedOn w:val="Normal"/>
    <w:link w:val="TitleChar"/>
    <w:qFormat/>
    <w:rsid w:val="00F14DC8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F14DC8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F14DC8"/>
    <w:pPr>
      <w:jc w:val="center"/>
    </w:pPr>
    <w:rPr>
      <w:b/>
    </w:rPr>
  </w:style>
  <w:style w:type="paragraph" w:customStyle="1" w:styleId="indenta">
    <w:name w:val="indent(a)"/>
    <w:aliases w:val="a"/>
    <w:basedOn w:val="Normal"/>
    <w:rsid w:val="00F14DC8"/>
    <w:pPr>
      <w:tabs>
        <w:tab w:val="right" w:pos="1531"/>
      </w:tabs>
      <w:spacing w:before="40" w:line="260" w:lineRule="atLeast"/>
      <w:ind w:left="1644" w:hanging="1644"/>
    </w:pPr>
    <w:rPr>
      <w:rFonts w:ascii="Times" w:hAnsi="Times"/>
      <w:sz w:val="22"/>
      <w:lang w:eastAsia="en-US"/>
    </w:rPr>
  </w:style>
  <w:style w:type="character" w:customStyle="1" w:styleId="CharSectno">
    <w:name w:val="CharSectno"/>
    <w:basedOn w:val="DefaultParagraphFont"/>
    <w:rsid w:val="00F14DC8"/>
  </w:style>
  <w:style w:type="paragraph" w:styleId="BalloonText">
    <w:name w:val="Balloon Text"/>
    <w:basedOn w:val="Normal"/>
    <w:semiHidden/>
    <w:rsid w:val="00BF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7B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7B77"/>
    <w:pPr>
      <w:tabs>
        <w:tab w:val="center" w:pos="4153"/>
        <w:tab w:val="right" w:pos="8306"/>
      </w:tabs>
    </w:pPr>
  </w:style>
  <w:style w:type="paragraph" w:customStyle="1" w:styleId="ACMABodyText">
    <w:name w:val="ACMA Body Text"/>
    <w:link w:val="ACMABodyTextChar"/>
    <w:rsid w:val="00E14EB9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character" w:customStyle="1" w:styleId="ACMABodyTextChar">
    <w:name w:val="ACMA Body Text Char"/>
    <w:basedOn w:val="DefaultParagraphFont"/>
    <w:link w:val="ACMABodyText"/>
    <w:rsid w:val="00E14EB9"/>
    <w:rPr>
      <w:snapToGrid w:val="0"/>
      <w:sz w:val="24"/>
      <w:lang w:val="en-AU" w:eastAsia="en-US" w:bidi="ar-SA"/>
    </w:rPr>
  </w:style>
  <w:style w:type="paragraph" w:customStyle="1" w:styleId="ACMANumberedList">
    <w:name w:val="ACMA Numbered List"/>
    <w:link w:val="ACMANumberedListChar"/>
    <w:rsid w:val="008C2AC4"/>
    <w:pPr>
      <w:numPr>
        <w:numId w:val="15"/>
      </w:numPr>
      <w:tabs>
        <w:tab w:val="clear" w:pos="720"/>
      </w:tabs>
      <w:spacing w:before="20" w:after="20"/>
      <w:ind w:left="360"/>
    </w:pPr>
    <w:rPr>
      <w:sz w:val="24"/>
      <w:lang w:eastAsia="en-US"/>
    </w:rPr>
  </w:style>
  <w:style w:type="character" w:customStyle="1" w:styleId="ACMANumberedListChar">
    <w:name w:val="ACMA Numbered List Char"/>
    <w:basedOn w:val="DefaultParagraphFont"/>
    <w:link w:val="ACMANumberedList"/>
    <w:rsid w:val="008C2AC4"/>
    <w:rPr>
      <w:sz w:val="24"/>
      <w:lang w:val="en-AU" w:eastAsia="en-US" w:bidi="ar-SA"/>
    </w:rPr>
  </w:style>
  <w:style w:type="paragraph" w:customStyle="1" w:styleId="CharCharCharCharCharCharChar">
    <w:name w:val="Char Char Char Char Char Char Char"/>
    <w:basedOn w:val="Normal"/>
    <w:semiHidden/>
    <w:rsid w:val="008C2AC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basedOn w:val="DefaultParagraphFont"/>
    <w:rsid w:val="00131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1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11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C3464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7C3464"/>
    <w:rPr>
      <w:rFonts w:ascii="Arial" w:hAnsi="Arial" w:cs="Arial"/>
      <w:b/>
      <w:bCs/>
      <w:sz w:val="26"/>
      <w:szCs w:val="26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locked/>
    <w:rsid w:val="007C3464"/>
  </w:style>
  <w:style w:type="paragraph" w:styleId="FootnoteText">
    <w:name w:val="footnote text"/>
    <w:aliases w:val="ACMA Footnote Text"/>
    <w:basedOn w:val="Normal"/>
    <w:link w:val="FootnoteTextChar"/>
    <w:unhideWhenUsed/>
    <w:rsid w:val="007C3464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7C3464"/>
  </w:style>
  <w:style w:type="character" w:customStyle="1" w:styleId="TitleChar">
    <w:name w:val="Title Char"/>
    <w:basedOn w:val="DefaultParagraphFont"/>
    <w:link w:val="Title"/>
    <w:rsid w:val="007C3464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7C3464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C3464"/>
    <w:rPr>
      <w:b/>
      <w:sz w:val="24"/>
    </w:rPr>
  </w:style>
  <w:style w:type="character" w:customStyle="1" w:styleId="ACMABodyTextChar1">
    <w:name w:val="ACMA Body Text Char1"/>
    <w:basedOn w:val="DefaultParagraphFont"/>
    <w:locked/>
    <w:rsid w:val="007C3464"/>
    <w:rPr>
      <w:snapToGrid w:val="0"/>
      <w:sz w:val="24"/>
      <w:lang w:val="en-AU" w:eastAsia="en-US" w:bidi="ar-SA"/>
    </w:rPr>
  </w:style>
  <w:style w:type="paragraph" w:customStyle="1" w:styleId="ACMAHeading3">
    <w:name w:val="ACMA Heading 3"/>
    <w:next w:val="ACMABodyText"/>
    <w:rsid w:val="007C3464"/>
    <w:pPr>
      <w:keepNext/>
      <w:suppressAutoHyphens/>
      <w:spacing w:before="240"/>
      <w:outlineLvl w:val="3"/>
    </w:pPr>
    <w:rPr>
      <w:rFonts w:ascii="Arial" w:hAnsi="Arial"/>
      <w:b/>
      <w:sz w:val="24"/>
      <w:lang w:eastAsia="en-US"/>
    </w:rPr>
  </w:style>
  <w:style w:type="character" w:styleId="FootnoteReference">
    <w:name w:val="footnote reference"/>
    <w:aliases w:val="Appel note de bas de p,Appel note de bas de p + 11 pt,Italic"/>
    <w:basedOn w:val="DefaultParagraphFont"/>
    <w:unhideWhenUsed/>
    <w:rsid w:val="007C3464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rsid w:val="007652DA"/>
  </w:style>
  <w:style w:type="character" w:customStyle="1" w:styleId="FooterChar">
    <w:name w:val="Footer Char"/>
    <w:basedOn w:val="DefaultParagraphFont"/>
    <w:link w:val="Footer"/>
    <w:uiPriority w:val="99"/>
    <w:rsid w:val="00E511A1"/>
    <w:rPr>
      <w:sz w:val="24"/>
    </w:rPr>
  </w:style>
  <w:style w:type="paragraph" w:customStyle="1" w:styleId="ACMAChapterHeading">
    <w:name w:val="ACMA Chapter Heading"/>
    <w:next w:val="ACMABodyText"/>
    <w:rsid w:val="007869D6"/>
    <w:pPr>
      <w:keepNext/>
      <w:suppressAutoHyphens/>
      <w:spacing w:before="2160" w:after="480"/>
      <w:outlineLvl w:val="0"/>
    </w:pPr>
    <w:rPr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A606-110B-4A5D-A5CD-17BBBD2F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Australian Communications Authority</Company>
  <LinksUpToDate>false</LinksUpToDate>
  <CharactersWithSpaces>5478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http://www.comlaw.gov.au/ComLaw/Legislation/LegislativeInstrument1.nsf/asmade/bytitle/519A2437C539F1AFCA256FE70016A334?OpenDocument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http://www.comlaw.gov.au/ComLaw/Legislation/LegislativeInstrument1.nsf/asmade/bytitle/519A2437C539F1AFCA256FE70016A334?OpenDocument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dveitch</dc:creator>
  <cp:lastModifiedBy>Paul Miszalski</cp:lastModifiedBy>
  <cp:revision>5</cp:revision>
  <cp:lastPrinted>2007-08-07T01:31:00Z</cp:lastPrinted>
  <dcterms:created xsi:type="dcterms:W3CDTF">2011-11-02T00:55:00Z</dcterms:created>
  <dcterms:modified xsi:type="dcterms:W3CDTF">2011-11-02T01:21:00Z</dcterms:modified>
</cp:coreProperties>
</file>