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01" w:rsidRPr="004813FB" w:rsidRDefault="00A67801" w:rsidP="004813FB">
      <w:pPr>
        <w:jc w:val="center"/>
        <w:rPr>
          <w:rFonts w:cs="Arial"/>
          <w:b/>
          <w:szCs w:val="19"/>
          <w:u w:val="single"/>
        </w:rPr>
      </w:pPr>
      <w:r w:rsidRPr="004813FB">
        <w:rPr>
          <w:rFonts w:cs="Arial"/>
          <w:b/>
          <w:szCs w:val="19"/>
          <w:u w:val="single"/>
        </w:rPr>
        <w:t>EXPLANATORY STATEMENT</w:t>
      </w:r>
    </w:p>
    <w:p w:rsidR="00A67801" w:rsidRPr="004813FB" w:rsidRDefault="00A67801" w:rsidP="004813FB">
      <w:pPr>
        <w:jc w:val="center"/>
        <w:rPr>
          <w:rFonts w:cs="Arial"/>
          <w:b/>
          <w:szCs w:val="19"/>
          <w:u w:val="single"/>
        </w:rPr>
      </w:pPr>
    </w:p>
    <w:p w:rsidR="00A67801" w:rsidRPr="004813FB" w:rsidRDefault="00A67801" w:rsidP="004813FB">
      <w:pPr>
        <w:jc w:val="center"/>
        <w:rPr>
          <w:rFonts w:cs="Arial"/>
          <w:b/>
          <w:szCs w:val="19"/>
          <w:u w:val="single"/>
        </w:rPr>
      </w:pPr>
      <w:r w:rsidRPr="004813FB">
        <w:rPr>
          <w:rFonts w:cs="Arial"/>
          <w:b/>
          <w:szCs w:val="19"/>
          <w:u w:val="single"/>
        </w:rPr>
        <w:t>Select Legislative Instrument 2011 No.</w:t>
      </w:r>
      <w:r w:rsidR="00FB25E6">
        <w:rPr>
          <w:rFonts w:cs="Arial"/>
          <w:b/>
          <w:szCs w:val="19"/>
          <w:u w:val="single"/>
        </w:rPr>
        <w:t xml:space="preserve"> </w:t>
      </w:r>
      <w:r w:rsidR="00A76C3B">
        <w:rPr>
          <w:rFonts w:cs="Arial"/>
          <w:b/>
          <w:szCs w:val="19"/>
          <w:u w:val="single"/>
        </w:rPr>
        <w:t>208</w:t>
      </w:r>
    </w:p>
    <w:p w:rsidR="00A67801" w:rsidRDefault="00A67801" w:rsidP="00A67801">
      <w:pPr>
        <w:rPr>
          <w:rFonts w:cs="Arial"/>
          <w:szCs w:val="19"/>
        </w:rPr>
      </w:pPr>
    </w:p>
    <w:p w:rsidR="00B90763" w:rsidRDefault="00B90763" w:rsidP="00B90763">
      <w:pPr>
        <w:jc w:val="center"/>
        <w:rPr>
          <w:rFonts w:cs="Arial"/>
          <w:szCs w:val="19"/>
        </w:rPr>
      </w:pPr>
      <w:r>
        <w:rPr>
          <w:rFonts w:cs="Arial"/>
          <w:szCs w:val="19"/>
        </w:rPr>
        <w:t>Issued by authority of the Minister for Broadband, Communications and the Digital Economy</w:t>
      </w:r>
    </w:p>
    <w:p w:rsidR="00B90763" w:rsidRDefault="00B90763" w:rsidP="00A67801">
      <w:pPr>
        <w:rPr>
          <w:rFonts w:cs="Arial"/>
          <w:szCs w:val="19"/>
        </w:rPr>
      </w:pPr>
    </w:p>
    <w:p w:rsidR="00A67801" w:rsidRDefault="00A67801" w:rsidP="00B90763">
      <w:pPr>
        <w:jc w:val="center"/>
        <w:rPr>
          <w:rFonts w:cs="Arial"/>
          <w:i/>
          <w:szCs w:val="19"/>
        </w:rPr>
      </w:pPr>
      <w:r>
        <w:rPr>
          <w:rFonts w:cs="Arial"/>
          <w:i/>
          <w:szCs w:val="19"/>
        </w:rPr>
        <w:t>Radiocommunications Act 1992</w:t>
      </w:r>
    </w:p>
    <w:p w:rsidR="00B90763" w:rsidRDefault="00B90763" w:rsidP="00B90763">
      <w:pPr>
        <w:jc w:val="center"/>
        <w:rPr>
          <w:rFonts w:cs="Arial"/>
          <w:i/>
          <w:szCs w:val="19"/>
        </w:rPr>
      </w:pPr>
    </w:p>
    <w:p w:rsidR="00B90763" w:rsidRDefault="007300AE" w:rsidP="00B90763">
      <w:pPr>
        <w:jc w:val="center"/>
        <w:rPr>
          <w:rFonts w:cs="Arial"/>
          <w:i/>
          <w:szCs w:val="19"/>
        </w:rPr>
      </w:pPr>
      <w:r>
        <w:rPr>
          <w:rFonts w:cs="Arial"/>
          <w:i/>
          <w:szCs w:val="19"/>
        </w:rPr>
        <w:t>Radiocommunications</w:t>
      </w:r>
      <w:r w:rsidR="00BB048C">
        <w:rPr>
          <w:rFonts w:cs="Arial"/>
          <w:i/>
          <w:szCs w:val="19"/>
        </w:rPr>
        <w:t xml:space="preserve"> Amendment</w:t>
      </w:r>
      <w:r w:rsidR="00B90763" w:rsidRPr="00AA04BF">
        <w:rPr>
          <w:rFonts w:cs="Arial"/>
          <w:i/>
          <w:szCs w:val="19"/>
        </w:rPr>
        <w:t xml:space="preserve"> Regulations</w:t>
      </w:r>
      <w:r w:rsidR="0089777C">
        <w:rPr>
          <w:rFonts w:cs="Arial"/>
          <w:i/>
          <w:szCs w:val="19"/>
        </w:rPr>
        <w:t xml:space="preserve"> 2011 (No. 1</w:t>
      </w:r>
      <w:r w:rsidR="00BB048C">
        <w:rPr>
          <w:rFonts w:cs="Arial"/>
          <w:i/>
          <w:szCs w:val="19"/>
        </w:rPr>
        <w:t>)</w:t>
      </w:r>
    </w:p>
    <w:p w:rsidR="0012578B" w:rsidRDefault="0012578B" w:rsidP="00A67801">
      <w:pPr>
        <w:rPr>
          <w:rFonts w:cs="Arial"/>
          <w:szCs w:val="19"/>
        </w:rPr>
      </w:pPr>
    </w:p>
    <w:p w:rsidR="00A67801" w:rsidRDefault="00A67801" w:rsidP="00A67801">
      <w:pPr>
        <w:rPr>
          <w:rFonts w:cs="Arial"/>
          <w:szCs w:val="19"/>
        </w:rPr>
      </w:pPr>
      <w:r w:rsidRPr="00E341D9">
        <w:rPr>
          <w:rFonts w:cs="Arial"/>
          <w:szCs w:val="19"/>
        </w:rPr>
        <w:t xml:space="preserve">Subsection 314(1) of the </w:t>
      </w:r>
      <w:r w:rsidRPr="00E341D9">
        <w:rPr>
          <w:rFonts w:cs="Arial"/>
          <w:i/>
          <w:szCs w:val="19"/>
        </w:rPr>
        <w:t>Radiocommunications Act 1992</w:t>
      </w:r>
      <w:r w:rsidR="0089777C">
        <w:rPr>
          <w:rFonts w:cs="Arial"/>
          <w:szCs w:val="19"/>
        </w:rPr>
        <w:t xml:space="preserve"> (the Act) provides that</w:t>
      </w:r>
      <w:r w:rsidR="00581E81">
        <w:rPr>
          <w:rFonts w:cs="Arial"/>
          <w:szCs w:val="19"/>
        </w:rPr>
        <w:t xml:space="preserve"> the Governor-General may </w:t>
      </w:r>
      <w:r w:rsidRPr="00E341D9">
        <w:rPr>
          <w:rFonts w:cs="Arial"/>
          <w:szCs w:val="19"/>
        </w:rPr>
        <w:t>make regulations prescribing</w:t>
      </w:r>
      <w:r w:rsidR="00581E81">
        <w:rPr>
          <w:rFonts w:cs="Arial"/>
          <w:szCs w:val="19"/>
        </w:rPr>
        <w:t xml:space="preserve"> all</w:t>
      </w:r>
      <w:r w:rsidRPr="00E341D9">
        <w:rPr>
          <w:rFonts w:cs="Arial"/>
          <w:szCs w:val="19"/>
        </w:rPr>
        <w:t xml:space="preserve"> matters required or permitted by the Act to be prescribed, or necessary or convenient to be prescribed for carrying out or giving </w:t>
      </w:r>
      <w:r w:rsidR="00BB048C">
        <w:rPr>
          <w:rFonts w:cs="Arial"/>
          <w:szCs w:val="19"/>
        </w:rPr>
        <w:t>e</w:t>
      </w:r>
      <w:r w:rsidRPr="00E341D9">
        <w:rPr>
          <w:rFonts w:cs="Arial"/>
          <w:szCs w:val="19"/>
        </w:rPr>
        <w:t xml:space="preserve">ffect to the Act. </w:t>
      </w:r>
    </w:p>
    <w:p w:rsidR="0012578B" w:rsidRPr="0012578B" w:rsidRDefault="0012578B">
      <w:pPr>
        <w:rPr>
          <w:b/>
          <w:i/>
        </w:rPr>
      </w:pPr>
    </w:p>
    <w:p w:rsidR="0012578B" w:rsidRDefault="0012578B" w:rsidP="0012578B">
      <w:r w:rsidRPr="00E341D9">
        <w:rPr>
          <w:rFonts w:cs="Arial"/>
          <w:szCs w:val="19"/>
        </w:rPr>
        <w:t xml:space="preserve">Regulation 3 </w:t>
      </w:r>
      <w:r>
        <w:rPr>
          <w:rFonts w:cs="Arial"/>
          <w:szCs w:val="19"/>
        </w:rPr>
        <w:t xml:space="preserve">of the </w:t>
      </w:r>
      <w:r w:rsidRPr="00AA04BF">
        <w:rPr>
          <w:rFonts w:cs="Arial"/>
          <w:i/>
          <w:szCs w:val="19"/>
        </w:rPr>
        <w:t xml:space="preserve">Radiocommunications Regulations </w:t>
      </w:r>
      <w:r>
        <w:rPr>
          <w:rFonts w:cs="Arial"/>
          <w:i/>
          <w:szCs w:val="19"/>
        </w:rPr>
        <w:t>1993</w:t>
      </w:r>
      <w:r>
        <w:rPr>
          <w:rFonts w:cs="Arial"/>
          <w:szCs w:val="19"/>
        </w:rPr>
        <w:t xml:space="preserve"> (the </w:t>
      </w:r>
      <w:r w:rsidR="00BB048C">
        <w:rPr>
          <w:rFonts w:cs="Arial"/>
          <w:szCs w:val="19"/>
        </w:rPr>
        <w:t xml:space="preserve">Principal </w:t>
      </w:r>
      <w:r>
        <w:rPr>
          <w:rFonts w:cs="Arial"/>
          <w:szCs w:val="19"/>
        </w:rPr>
        <w:t>Regulations) provides</w:t>
      </w:r>
      <w:r w:rsidRPr="00E341D9">
        <w:rPr>
          <w:rFonts w:cs="Arial"/>
          <w:szCs w:val="19"/>
        </w:rPr>
        <w:t xml:space="preserve"> for the interpretation of terms.</w:t>
      </w:r>
      <w:r>
        <w:rPr>
          <w:rFonts w:cs="Arial"/>
          <w:szCs w:val="19"/>
        </w:rPr>
        <w:t xml:space="preserve"> Under the p</w:t>
      </w:r>
      <w:r w:rsidR="00581E81">
        <w:rPr>
          <w:rFonts w:cs="Arial"/>
          <w:szCs w:val="19"/>
        </w:rPr>
        <w:t>revious regulatory arrangements</w:t>
      </w:r>
      <w:r w:rsidR="00BB048C">
        <w:rPr>
          <w:rFonts w:cs="Arial"/>
          <w:szCs w:val="19"/>
        </w:rPr>
        <w:t>,</w:t>
      </w:r>
      <w:r>
        <w:rPr>
          <w:rFonts w:cs="Arial"/>
          <w:szCs w:val="19"/>
        </w:rPr>
        <w:t xml:space="preserve"> r</w:t>
      </w:r>
      <w:r w:rsidRPr="00E341D9">
        <w:rPr>
          <w:rFonts w:cs="Arial"/>
          <w:szCs w:val="19"/>
        </w:rPr>
        <w:t>adiocommunications definitions</w:t>
      </w:r>
      <w:r>
        <w:rPr>
          <w:rFonts w:cs="Arial"/>
          <w:szCs w:val="19"/>
        </w:rPr>
        <w:t xml:space="preserve"> were </w:t>
      </w:r>
      <w:r w:rsidR="00BB048C">
        <w:rPr>
          <w:rFonts w:cs="Arial"/>
          <w:szCs w:val="19"/>
        </w:rPr>
        <w:t>expressed in</w:t>
      </w:r>
      <w:r>
        <w:rPr>
          <w:rFonts w:cs="Arial"/>
          <w:szCs w:val="19"/>
        </w:rPr>
        <w:t xml:space="preserve"> a number of instruments, m</w:t>
      </w:r>
      <w:r w:rsidRPr="00E341D9">
        <w:rPr>
          <w:rFonts w:cs="Arial"/>
          <w:szCs w:val="19"/>
        </w:rPr>
        <w:t xml:space="preserve">ore specifically, the </w:t>
      </w:r>
      <w:r w:rsidR="00BB048C">
        <w:rPr>
          <w:rFonts w:cs="Arial"/>
          <w:szCs w:val="19"/>
        </w:rPr>
        <w:t xml:space="preserve">Principal </w:t>
      </w:r>
      <w:r w:rsidRPr="00E341D9">
        <w:rPr>
          <w:rFonts w:cs="Arial"/>
          <w:szCs w:val="19"/>
        </w:rPr>
        <w:t xml:space="preserve">Regulations, the </w:t>
      </w:r>
      <w:r w:rsidRPr="00E341D9">
        <w:rPr>
          <w:rFonts w:cs="Arial"/>
          <w:i/>
          <w:szCs w:val="19"/>
        </w:rPr>
        <w:t xml:space="preserve">Radiocommunications (Interpretation) Determination 2000 </w:t>
      </w:r>
      <w:r w:rsidRPr="00E341D9">
        <w:rPr>
          <w:rFonts w:cs="Arial"/>
          <w:szCs w:val="19"/>
        </w:rPr>
        <w:t>(the Interpretation Determination) and a number of legislative instruments ma</w:t>
      </w:r>
      <w:r>
        <w:rPr>
          <w:rFonts w:cs="Arial"/>
          <w:szCs w:val="19"/>
        </w:rPr>
        <w:t xml:space="preserve">de by the Australian Communications and Media Authority (ACMA). This resulted in a cumbersome and </w:t>
      </w:r>
      <w:r w:rsidR="00BB048C">
        <w:rPr>
          <w:rFonts w:cs="Arial"/>
          <w:szCs w:val="19"/>
        </w:rPr>
        <w:t>complex</w:t>
      </w:r>
      <w:r>
        <w:rPr>
          <w:rFonts w:cs="Arial"/>
          <w:szCs w:val="19"/>
        </w:rPr>
        <w:t xml:space="preserve"> referencing process.</w:t>
      </w:r>
    </w:p>
    <w:p w:rsidR="0012578B" w:rsidRDefault="0012578B"/>
    <w:p w:rsidR="00BA3EC9" w:rsidRDefault="00BA3EC9" w:rsidP="00BA3EC9">
      <w:pPr>
        <w:jc w:val="both"/>
      </w:pPr>
      <w:r>
        <w:t xml:space="preserve">The purpose of the </w:t>
      </w:r>
      <w:r w:rsidR="00BB048C">
        <w:t>R</w:t>
      </w:r>
      <w:r>
        <w:t xml:space="preserve">egulations </w:t>
      </w:r>
      <w:r w:rsidR="00722F2A">
        <w:t xml:space="preserve">is </w:t>
      </w:r>
      <w:r>
        <w:t>to make a number of minor</w:t>
      </w:r>
      <w:r w:rsidR="00BB048C">
        <w:t>,</w:t>
      </w:r>
      <w:r>
        <w:t xml:space="preserve"> administrative amendments to the </w:t>
      </w:r>
      <w:r w:rsidR="00BB048C">
        <w:t xml:space="preserve">Principal </w:t>
      </w:r>
      <w:r>
        <w:t>Regulations</w:t>
      </w:r>
      <w:r w:rsidR="0012578B">
        <w:rPr>
          <w:rFonts w:cs="Arial"/>
          <w:szCs w:val="19"/>
        </w:rPr>
        <w:t xml:space="preserve"> designed</w:t>
      </w:r>
      <w:r>
        <w:t xml:space="preserve"> to:</w:t>
      </w:r>
    </w:p>
    <w:p w:rsidR="001B037D" w:rsidRDefault="001B037D" w:rsidP="00BA3EC9">
      <w:pPr>
        <w:jc w:val="both"/>
      </w:pPr>
    </w:p>
    <w:p w:rsidR="00BA3EC9" w:rsidRDefault="00BA3EC9" w:rsidP="00BA3EC9">
      <w:pPr>
        <w:numPr>
          <w:ilvl w:val="0"/>
          <w:numId w:val="2"/>
        </w:numPr>
        <w:jc w:val="both"/>
      </w:pPr>
      <w:r>
        <w:t xml:space="preserve">remove a number of </w:t>
      </w:r>
      <w:r w:rsidR="00D52D52">
        <w:t xml:space="preserve">obsolete </w:t>
      </w:r>
      <w:r>
        <w:t xml:space="preserve">definitions that are no longer used in the </w:t>
      </w:r>
      <w:r w:rsidR="00D52D52">
        <w:t xml:space="preserve">Principal </w:t>
      </w:r>
      <w:r>
        <w:t xml:space="preserve">Regulations and the Interpretation Determination; </w:t>
      </w:r>
    </w:p>
    <w:p w:rsidR="00D52D52" w:rsidRPr="00D52D52" w:rsidRDefault="00BA3EC9" w:rsidP="00BA3EC9">
      <w:pPr>
        <w:numPr>
          <w:ilvl w:val="0"/>
          <w:numId w:val="2"/>
        </w:numPr>
        <w:jc w:val="both"/>
        <w:rPr>
          <w:i/>
        </w:rPr>
      </w:pPr>
      <w:r>
        <w:t>amend several definitions to provide consistency with the definitions contained in other legislative instruments;</w:t>
      </w:r>
    </w:p>
    <w:p w:rsidR="00BA3EC9" w:rsidRPr="00A70BDC" w:rsidRDefault="00D52D52" w:rsidP="00BA3EC9">
      <w:pPr>
        <w:numPr>
          <w:ilvl w:val="0"/>
          <w:numId w:val="2"/>
        </w:numPr>
        <w:jc w:val="both"/>
        <w:rPr>
          <w:i/>
        </w:rPr>
      </w:pPr>
      <w:r>
        <w:t xml:space="preserve">remove a number of unnecessary duplicate definitions used in both the Principal Regulations and the Interpretation Determination; </w:t>
      </w:r>
    </w:p>
    <w:p w:rsidR="007329B9" w:rsidRDefault="00BA3EC9" w:rsidP="00BA3EC9">
      <w:pPr>
        <w:numPr>
          <w:ilvl w:val="0"/>
          <w:numId w:val="2"/>
        </w:numPr>
        <w:jc w:val="both"/>
      </w:pPr>
      <w:r>
        <w:t>update references from the former ACA (Australian Communications Authority) to its successor the ACMA</w:t>
      </w:r>
      <w:r w:rsidR="007329B9">
        <w:t>; and</w:t>
      </w:r>
    </w:p>
    <w:p w:rsidR="00BA3EC9" w:rsidRDefault="007329B9" w:rsidP="00BA3EC9">
      <w:pPr>
        <w:numPr>
          <w:ilvl w:val="0"/>
          <w:numId w:val="2"/>
        </w:numPr>
        <w:jc w:val="both"/>
      </w:pPr>
      <w:r>
        <w:t xml:space="preserve">update references to </w:t>
      </w:r>
      <w:r w:rsidR="00AF2E8C">
        <w:t xml:space="preserve">the former </w:t>
      </w:r>
      <w:r w:rsidR="00AF2E8C">
        <w:rPr>
          <w:i/>
        </w:rPr>
        <w:t>Australian Communications Authority Act 1997</w:t>
      </w:r>
      <w:r w:rsidR="00E71F06">
        <w:rPr>
          <w:i/>
        </w:rPr>
        <w:t xml:space="preserve"> </w:t>
      </w:r>
      <w:r w:rsidR="008A7FAC" w:rsidRPr="008A7FAC">
        <w:t>(ACA Act)</w:t>
      </w:r>
      <w:r>
        <w:t xml:space="preserve"> with</w:t>
      </w:r>
      <w:r w:rsidR="00A83062">
        <w:t xml:space="preserve"> </w:t>
      </w:r>
      <w:r w:rsidR="00AF2E8C">
        <w:t xml:space="preserve">the </w:t>
      </w:r>
      <w:r w:rsidR="00AF2E8C">
        <w:rPr>
          <w:i/>
        </w:rPr>
        <w:t>Australian Communications and Media Authority Act 2005</w:t>
      </w:r>
      <w:r w:rsidR="00E71F06">
        <w:rPr>
          <w:i/>
        </w:rPr>
        <w:t xml:space="preserve"> </w:t>
      </w:r>
      <w:r w:rsidR="008A7FAC" w:rsidRPr="008A7FAC">
        <w:t>(ACMA Act)</w:t>
      </w:r>
      <w:r>
        <w:t xml:space="preserve"> which replaced</w:t>
      </w:r>
      <w:r w:rsidR="00A83062">
        <w:t xml:space="preserve"> </w:t>
      </w:r>
      <w:r>
        <w:t>the ACA Act following its repeal.</w:t>
      </w:r>
    </w:p>
    <w:p w:rsidR="0012578B" w:rsidRDefault="0012578B" w:rsidP="00BA3EC9"/>
    <w:p w:rsidR="001D5821" w:rsidRDefault="001D5821" w:rsidP="00BA3EC9">
      <w:pPr>
        <w:rPr>
          <w:rFonts w:cs="Arial"/>
          <w:szCs w:val="19"/>
        </w:rPr>
      </w:pPr>
      <w:r w:rsidRPr="00E341D9">
        <w:rPr>
          <w:rFonts w:cs="Arial"/>
          <w:szCs w:val="19"/>
        </w:rPr>
        <w:t>The</w:t>
      </w:r>
      <w:r w:rsidR="00637969">
        <w:rPr>
          <w:rFonts w:cs="Arial"/>
          <w:szCs w:val="19"/>
        </w:rPr>
        <w:t>se minor, administrative changes</w:t>
      </w:r>
      <w:r w:rsidRPr="00E341D9">
        <w:rPr>
          <w:rFonts w:cs="Arial"/>
          <w:szCs w:val="19"/>
        </w:rPr>
        <w:t xml:space="preserve"> improve the management of radiocommunications definitions </w:t>
      </w:r>
      <w:r w:rsidR="00637969">
        <w:rPr>
          <w:rFonts w:cs="Arial"/>
          <w:szCs w:val="19"/>
        </w:rPr>
        <w:t>by</w:t>
      </w:r>
      <w:r w:rsidRPr="00E341D9">
        <w:rPr>
          <w:rFonts w:cs="Arial"/>
          <w:szCs w:val="19"/>
        </w:rPr>
        <w:t xml:space="preserve"> reduc</w:t>
      </w:r>
      <w:r w:rsidR="00637969">
        <w:rPr>
          <w:rFonts w:cs="Arial"/>
          <w:szCs w:val="19"/>
        </w:rPr>
        <w:t>ing</w:t>
      </w:r>
      <w:r w:rsidRPr="00E341D9">
        <w:rPr>
          <w:rFonts w:cs="Arial"/>
          <w:szCs w:val="19"/>
        </w:rPr>
        <w:t xml:space="preserve"> the need for cross-referencing </w:t>
      </w:r>
      <w:r w:rsidR="00A83062">
        <w:rPr>
          <w:rFonts w:cs="Arial"/>
          <w:szCs w:val="19"/>
        </w:rPr>
        <w:t>through the</w:t>
      </w:r>
      <w:r w:rsidR="00A83062" w:rsidRPr="00E341D9">
        <w:rPr>
          <w:rFonts w:cs="Arial"/>
          <w:szCs w:val="19"/>
        </w:rPr>
        <w:t xml:space="preserve"> remov</w:t>
      </w:r>
      <w:r w:rsidR="00A83062">
        <w:rPr>
          <w:rFonts w:cs="Arial"/>
          <w:szCs w:val="19"/>
        </w:rPr>
        <w:t>al of</w:t>
      </w:r>
      <w:r w:rsidR="00A83062" w:rsidRPr="00E341D9">
        <w:rPr>
          <w:rFonts w:cs="Arial"/>
          <w:szCs w:val="19"/>
        </w:rPr>
        <w:t xml:space="preserve"> </w:t>
      </w:r>
      <w:r w:rsidR="00637969">
        <w:rPr>
          <w:rFonts w:cs="Arial"/>
          <w:szCs w:val="19"/>
        </w:rPr>
        <w:t xml:space="preserve">redundant and duplicate </w:t>
      </w:r>
      <w:r w:rsidRPr="00E341D9">
        <w:rPr>
          <w:rFonts w:cs="Arial"/>
          <w:szCs w:val="19"/>
        </w:rPr>
        <w:t xml:space="preserve">definitions that are no longer necessary </w:t>
      </w:r>
      <w:r w:rsidR="00637969">
        <w:rPr>
          <w:rFonts w:cs="Arial"/>
          <w:szCs w:val="19"/>
        </w:rPr>
        <w:t xml:space="preserve">in </w:t>
      </w:r>
      <w:r>
        <w:rPr>
          <w:rFonts w:cs="Arial"/>
          <w:szCs w:val="19"/>
        </w:rPr>
        <w:t>the</w:t>
      </w:r>
      <w:r w:rsidR="00637969">
        <w:rPr>
          <w:rFonts w:cs="Arial"/>
          <w:szCs w:val="19"/>
        </w:rPr>
        <w:t xml:space="preserve"> Principal</w:t>
      </w:r>
      <w:r>
        <w:rPr>
          <w:rFonts w:cs="Arial"/>
          <w:szCs w:val="19"/>
        </w:rPr>
        <w:t xml:space="preserve"> Regulations.</w:t>
      </w:r>
    </w:p>
    <w:p w:rsidR="001D5821" w:rsidRDefault="001D5821" w:rsidP="00BA3EC9">
      <w:pPr>
        <w:rPr>
          <w:rFonts w:cs="Arial"/>
          <w:szCs w:val="19"/>
        </w:rPr>
      </w:pPr>
    </w:p>
    <w:p w:rsidR="0089130B" w:rsidRDefault="00D67ADD" w:rsidP="0089130B">
      <w:pPr>
        <w:rPr>
          <w:rFonts w:cs="Arial"/>
          <w:szCs w:val="19"/>
        </w:rPr>
      </w:pPr>
      <w:r>
        <w:rPr>
          <w:rFonts w:cs="Arial"/>
          <w:szCs w:val="19"/>
        </w:rPr>
        <w:t>Consequential to the amendments made by the Regulations, t</w:t>
      </w:r>
      <w:r w:rsidR="001D5821">
        <w:rPr>
          <w:rFonts w:cs="Arial"/>
          <w:szCs w:val="19"/>
        </w:rPr>
        <w:t>he ACMA</w:t>
      </w:r>
      <w:r>
        <w:rPr>
          <w:rFonts w:cs="Arial"/>
          <w:szCs w:val="19"/>
        </w:rPr>
        <w:t xml:space="preserve"> have</w:t>
      </w:r>
      <w:r w:rsidR="00793EE1">
        <w:rPr>
          <w:rFonts w:cs="Arial"/>
          <w:szCs w:val="19"/>
        </w:rPr>
        <w:t>,</w:t>
      </w:r>
      <w:r>
        <w:rPr>
          <w:rFonts w:cs="Arial"/>
          <w:szCs w:val="19"/>
        </w:rPr>
        <w:t xml:space="preserve"> </w:t>
      </w:r>
      <w:r w:rsidR="00793EE1">
        <w:rPr>
          <w:rFonts w:cs="Arial"/>
          <w:szCs w:val="19"/>
        </w:rPr>
        <w:t xml:space="preserve">in parallel, </w:t>
      </w:r>
      <w:r>
        <w:rPr>
          <w:rFonts w:cs="Arial"/>
          <w:szCs w:val="19"/>
        </w:rPr>
        <w:t xml:space="preserve">made necessary changes </w:t>
      </w:r>
      <w:r w:rsidR="001D5821">
        <w:rPr>
          <w:rFonts w:cs="Arial"/>
          <w:szCs w:val="19"/>
        </w:rPr>
        <w:t>to the Interpretation Determination</w:t>
      </w:r>
      <w:r w:rsidR="00E71F06">
        <w:rPr>
          <w:rFonts w:cs="Arial"/>
          <w:szCs w:val="19"/>
        </w:rPr>
        <w:t xml:space="preserve">, through the </w:t>
      </w:r>
      <w:r w:rsidR="00E71F06">
        <w:rPr>
          <w:rFonts w:cs="Arial"/>
          <w:i/>
          <w:szCs w:val="19"/>
        </w:rPr>
        <w:t xml:space="preserve">Radiocommunications (Interpretation) Amendment Determination 2011 (No. 1) </w:t>
      </w:r>
      <w:r w:rsidR="00E71F06">
        <w:rPr>
          <w:rFonts w:cs="Arial"/>
          <w:szCs w:val="19"/>
        </w:rPr>
        <w:t>(the Interpretation Amendment Determination)</w:t>
      </w:r>
      <w:r w:rsidR="001D5821">
        <w:rPr>
          <w:rFonts w:cs="Arial"/>
          <w:szCs w:val="19"/>
        </w:rPr>
        <w:t>.</w:t>
      </w:r>
      <w:r w:rsidR="00E71F06">
        <w:rPr>
          <w:rFonts w:cs="Arial"/>
          <w:szCs w:val="19"/>
        </w:rPr>
        <w:t xml:space="preserve"> The Interpretation Amendment Determination </w:t>
      </w:r>
      <w:r w:rsidR="004B573F">
        <w:rPr>
          <w:rFonts w:cs="Arial"/>
          <w:szCs w:val="19"/>
        </w:rPr>
        <w:t xml:space="preserve">also </w:t>
      </w:r>
      <w:r w:rsidR="00E71F06">
        <w:rPr>
          <w:rFonts w:cs="Arial"/>
          <w:szCs w:val="19"/>
        </w:rPr>
        <w:t>makes a number of minor, administrative changes</w:t>
      </w:r>
      <w:r w:rsidR="001D5821">
        <w:rPr>
          <w:rFonts w:cs="Arial"/>
          <w:szCs w:val="19"/>
        </w:rPr>
        <w:t xml:space="preserve"> to the Interpretation Determination </w:t>
      </w:r>
      <w:r w:rsidR="00E71F06">
        <w:rPr>
          <w:rFonts w:cs="Arial"/>
          <w:szCs w:val="19"/>
        </w:rPr>
        <w:t>to remove redundant definitions and update some references to ensure</w:t>
      </w:r>
      <w:r w:rsidR="001D5821">
        <w:rPr>
          <w:rFonts w:cs="Arial"/>
          <w:szCs w:val="19"/>
        </w:rPr>
        <w:t xml:space="preserve"> consistency with other relevant radiocommunications subordinate legislation</w:t>
      </w:r>
      <w:r w:rsidR="001B57EE">
        <w:rPr>
          <w:rFonts w:cs="Arial"/>
          <w:szCs w:val="19"/>
        </w:rPr>
        <w:t>.</w:t>
      </w:r>
      <w:r w:rsidR="00E71F06">
        <w:rPr>
          <w:rFonts w:cs="Arial"/>
          <w:szCs w:val="19"/>
        </w:rPr>
        <w:t xml:space="preserve"> The Interpretation Amendment </w:t>
      </w:r>
      <w:r w:rsidR="00E71F06">
        <w:rPr>
          <w:rFonts w:cs="Arial"/>
          <w:szCs w:val="19"/>
        </w:rPr>
        <w:lastRenderedPageBreak/>
        <w:t>Determination similarly</w:t>
      </w:r>
      <w:r w:rsidR="00A83062">
        <w:rPr>
          <w:rFonts w:cs="Arial"/>
          <w:szCs w:val="19"/>
        </w:rPr>
        <w:t xml:space="preserve"> </w:t>
      </w:r>
      <w:r w:rsidR="0089130B">
        <w:t>update</w:t>
      </w:r>
      <w:r w:rsidR="00E71F06">
        <w:t>s</w:t>
      </w:r>
      <w:r w:rsidR="0089130B">
        <w:t xml:space="preserve"> references made in the Interpretation Determination to the </w:t>
      </w:r>
      <w:r w:rsidR="00E71F06">
        <w:t xml:space="preserve">ACMA Act, rather than the superseded ACA Act. </w:t>
      </w:r>
    </w:p>
    <w:p w:rsidR="0089130B" w:rsidRDefault="0089130B" w:rsidP="0089130B">
      <w:pPr>
        <w:rPr>
          <w:rFonts w:cs="Arial"/>
          <w:szCs w:val="19"/>
        </w:rPr>
      </w:pPr>
    </w:p>
    <w:p w:rsidR="008239C5" w:rsidRDefault="00E33FBA" w:rsidP="0089130B">
      <w:pPr>
        <w:rPr>
          <w:rFonts w:cs="Arial"/>
          <w:szCs w:val="19"/>
        </w:rPr>
      </w:pPr>
      <w:r>
        <w:rPr>
          <w:rFonts w:cs="Arial"/>
          <w:szCs w:val="19"/>
        </w:rPr>
        <w:t xml:space="preserve">As </w:t>
      </w:r>
      <w:r w:rsidR="00E71F06">
        <w:rPr>
          <w:rFonts w:cs="Arial"/>
          <w:szCs w:val="19"/>
        </w:rPr>
        <w:t>the</w:t>
      </w:r>
      <w:r>
        <w:rPr>
          <w:rFonts w:cs="Arial"/>
          <w:szCs w:val="19"/>
        </w:rPr>
        <w:t xml:space="preserve"> amendments to the Principal Regulations and the Interpretation Determination are dependent on each other to provide</w:t>
      </w:r>
      <w:r w:rsidR="00793EE1">
        <w:rPr>
          <w:rFonts w:cs="Arial"/>
          <w:szCs w:val="19"/>
        </w:rPr>
        <w:t xml:space="preserve"> a</w:t>
      </w:r>
      <w:r>
        <w:rPr>
          <w:rFonts w:cs="Arial"/>
          <w:szCs w:val="19"/>
        </w:rPr>
        <w:t xml:space="preserve"> consisten</w:t>
      </w:r>
      <w:r w:rsidR="00793EE1">
        <w:rPr>
          <w:rFonts w:cs="Arial"/>
          <w:szCs w:val="19"/>
        </w:rPr>
        <w:t>t</w:t>
      </w:r>
      <w:r>
        <w:rPr>
          <w:rFonts w:cs="Arial"/>
          <w:szCs w:val="19"/>
        </w:rPr>
        <w:t xml:space="preserve"> and functional</w:t>
      </w:r>
      <w:r w:rsidR="00793EE1">
        <w:rPr>
          <w:rFonts w:cs="Arial"/>
          <w:szCs w:val="19"/>
        </w:rPr>
        <w:t xml:space="preserve"> legal basis for the on</w:t>
      </w:r>
      <w:r w:rsidR="00793EE1">
        <w:rPr>
          <w:rFonts w:cs="Arial"/>
          <w:szCs w:val="19"/>
        </w:rPr>
        <w:noBreakHyphen/>
        <w:t>going regulation of radiocommunications by the ACMA</w:t>
      </w:r>
      <w:r>
        <w:rPr>
          <w:rFonts w:cs="Arial"/>
          <w:szCs w:val="19"/>
        </w:rPr>
        <w:t xml:space="preserve">, </w:t>
      </w:r>
      <w:r w:rsidR="004B573F">
        <w:rPr>
          <w:rFonts w:cs="Arial"/>
          <w:szCs w:val="19"/>
        </w:rPr>
        <w:t xml:space="preserve">there is a need for both instruments to commence </w:t>
      </w:r>
      <w:r w:rsidR="0043651D">
        <w:rPr>
          <w:rFonts w:cs="Arial"/>
          <w:szCs w:val="19"/>
        </w:rPr>
        <w:t>at the same time</w:t>
      </w:r>
      <w:r w:rsidR="004B573F">
        <w:rPr>
          <w:rFonts w:cs="Arial"/>
          <w:szCs w:val="19"/>
        </w:rPr>
        <w:t xml:space="preserve">. </w:t>
      </w:r>
      <w:r w:rsidR="0043651D">
        <w:rPr>
          <w:rFonts w:cs="Arial"/>
          <w:szCs w:val="19"/>
        </w:rPr>
        <w:t>The commencement date for b</w:t>
      </w:r>
      <w:r w:rsidR="004B573F">
        <w:rPr>
          <w:rFonts w:cs="Arial"/>
          <w:szCs w:val="19"/>
        </w:rPr>
        <w:t xml:space="preserve">oth </w:t>
      </w:r>
      <w:r w:rsidR="0043651D">
        <w:rPr>
          <w:rFonts w:cs="Arial"/>
          <w:szCs w:val="19"/>
        </w:rPr>
        <w:t>the Regulations and the Interpretation Amendment Determination is specified as being the day after each instrument is</w:t>
      </w:r>
      <w:r w:rsidR="004B573F">
        <w:rPr>
          <w:rFonts w:cs="Arial"/>
          <w:szCs w:val="19"/>
        </w:rPr>
        <w:t xml:space="preserve"> registered on the Federal Register of Legislative Instruments</w:t>
      </w:r>
      <w:r w:rsidR="0043651D">
        <w:rPr>
          <w:rFonts w:cs="Arial"/>
          <w:szCs w:val="19"/>
        </w:rPr>
        <w:t xml:space="preserve">. As such, both instruments </w:t>
      </w:r>
      <w:r w:rsidR="00EE586A">
        <w:rPr>
          <w:rFonts w:cs="Arial"/>
          <w:szCs w:val="19"/>
        </w:rPr>
        <w:t xml:space="preserve">are to be </w:t>
      </w:r>
      <w:r w:rsidR="0043651D">
        <w:rPr>
          <w:rFonts w:cs="Arial"/>
          <w:szCs w:val="19"/>
        </w:rPr>
        <w:t>registered on the same day</w:t>
      </w:r>
      <w:r w:rsidR="00EE586A">
        <w:rPr>
          <w:rFonts w:cs="Arial"/>
          <w:szCs w:val="19"/>
        </w:rPr>
        <w:t xml:space="preserve"> to allow for each instrument to commence simultaneously. </w:t>
      </w:r>
    </w:p>
    <w:p w:rsidR="004B573F" w:rsidRDefault="004B573F" w:rsidP="00BA3EC9">
      <w:pPr>
        <w:rPr>
          <w:rFonts w:cs="Arial"/>
          <w:b/>
          <w:i/>
          <w:szCs w:val="19"/>
        </w:rPr>
      </w:pPr>
    </w:p>
    <w:p w:rsidR="00640941" w:rsidRPr="00640941" w:rsidRDefault="00640941" w:rsidP="00BA3EC9">
      <w:pPr>
        <w:rPr>
          <w:rFonts w:cs="Arial"/>
          <w:i/>
          <w:szCs w:val="19"/>
        </w:rPr>
      </w:pPr>
      <w:r w:rsidRPr="00640941">
        <w:rPr>
          <w:rFonts w:cs="Arial"/>
          <w:i/>
          <w:szCs w:val="19"/>
        </w:rPr>
        <w:t>Consultation</w:t>
      </w:r>
    </w:p>
    <w:p w:rsidR="00640941" w:rsidRDefault="00640941" w:rsidP="00BA3EC9">
      <w:pPr>
        <w:rPr>
          <w:rFonts w:cs="Arial"/>
          <w:b/>
          <w:i/>
          <w:szCs w:val="19"/>
        </w:rPr>
      </w:pPr>
    </w:p>
    <w:p w:rsidR="004A0FF0" w:rsidRDefault="004145D8" w:rsidP="00BA3EC9">
      <w:r>
        <w:t xml:space="preserve">Consultation on the proposed amendments to the </w:t>
      </w:r>
      <w:r w:rsidR="00741182">
        <w:t xml:space="preserve">Principal </w:t>
      </w:r>
      <w:r>
        <w:t xml:space="preserve">Regulations was undertaken as part of the consultation process conducted by the ACMA in relation to changes to </w:t>
      </w:r>
      <w:r w:rsidR="00741182">
        <w:t>the</w:t>
      </w:r>
      <w:r>
        <w:t xml:space="preserve"> Interpretation Determination</w:t>
      </w:r>
      <w:r w:rsidR="002355E2">
        <w:t>. This level of consultation was considered appropriate as</w:t>
      </w:r>
      <w:r>
        <w:t xml:space="preserve"> c</w:t>
      </w:r>
      <w:r w:rsidR="00793EE1">
        <w:t xml:space="preserve">onsistent with the proposed amendments </w:t>
      </w:r>
      <w:r w:rsidR="004A0FF0">
        <w:t xml:space="preserve">being characterised as </w:t>
      </w:r>
      <w:r w:rsidR="002355E2">
        <w:t xml:space="preserve">minor, </w:t>
      </w:r>
      <w:r w:rsidR="004A0FF0">
        <w:t>administrative changes</w:t>
      </w:r>
      <w:r w:rsidR="002355E2">
        <w:t xml:space="preserve">, per sections 17 and 18 of the </w:t>
      </w:r>
      <w:r w:rsidR="002355E2">
        <w:rPr>
          <w:i/>
        </w:rPr>
        <w:t xml:space="preserve">Legislative Instruments </w:t>
      </w:r>
      <w:r w:rsidR="001C45AE" w:rsidRPr="001C45AE">
        <w:rPr>
          <w:i/>
        </w:rPr>
        <w:t>Act 2003</w:t>
      </w:r>
      <w:r w:rsidR="00AF165B">
        <w:rPr>
          <w:i/>
        </w:rPr>
        <w:t xml:space="preserve"> </w:t>
      </w:r>
      <w:r w:rsidR="00AF165B" w:rsidRPr="00AF165B">
        <w:t>(LIA)</w:t>
      </w:r>
      <w:r w:rsidRPr="00AF165B">
        <w:t>.</w:t>
      </w:r>
      <w:r>
        <w:rPr>
          <w:i/>
        </w:rPr>
        <w:t xml:space="preserve">  </w:t>
      </w:r>
      <w:r w:rsidR="00D75920">
        <w:t>One submission was received in response to the consultation process</w:t>
      </w:r>
      <w:r w:rsidR="00AF165B">
        <w:t xml:space="preserve"> which was supportive of the proposed amendments to the </w:t>
      </w:r>
      <w:r w:rsidR="00A72EC8">
        <w:t xml:space="preserve">Principal Regulations. </w:t>
      </w:r>
    </w:p>
    <w:p w:rsidR="00793EE1" w:rsidRDefault="00793EE1" w:rsidP="00BA3EC9"/>
    <w:p w:rsidR="00640941" w:rsidRDefault="00640941" w:rsidP="00640941">
      <w:pPr>
        <w:rPr>
          <w:szCs w:val="24"/>
          <w:u w:val="single"/>
        </w:rPr>
      </w:pPr>
      <w:r w:rsidRPr="005F0C8C">
        <w:rPr>
          <w:szCs w:val="24"/>
        </w:rPr>
        <w:t xml:space="preserve">Details of the accompanying </w:t>
      </w:r>
      <w:r w:rsidR="00385FF2">
        <w:rPr>
          <w:szCs w:val="24"/>
        </w:rPr>
        <w:t>Regulations</w:t>
      </w:r>
      <w:r>
        <w:rPr>
          <w:szCs w:val="24"/>
        </w:rPr>
        <w:t xml:space="preserve"> </w:t>
      </w:r>
      <w:r w:rsidRPr="005F0C8C">
        <w:rPr>
          <w:szCs w:val="24"/>
        </w:rPr>
        <w:t xml:space="preserve">are set out in the </w:t>
      </w:r>
      <w:r w:rsidRPr="0075022E">
        <w:rPr>
          <w:szCs w:val="24"/>
          <w:u w:val="single"/>
        </w:rPr>
        <w:t>Attachment.</w:t>
      </w:r>
    </w:p>
    <w:p w:rsidR="00CA45A6" w:rsidRDefault="00CA45A6" w:rsidP="00640941">
      <w:pPr>
        <w:rPr>
          <w:szCs w:val="24"/>
          <w:u w:val="single"/>
        </w:rPr>
      </w:pPr>
    </w:p>
    <w:p w:rsidR="00CA45A6" w:rsidRDefault="00CA45A6" w:rsidP="00CA45A6">
      <w:pPr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The Act specifies no conditions that need to be satisfied before the power to make the</w:t>
      </w:r>
    </w:p>
    <w:p w:rsidR="00CA45A6" w:rsidRDefault="00CA45A6" w:rsidP="00CA45A6">
      <w:pPr>
        <w:rPr>
          <w:szCs w:val="24"/>
          <w:u w:val="single"/>
        </w:rPr>
      </w:pPr>
      <w:r>
        <w:rPr>
          <w:rFonts w:eastAsiaTheme="minorHAnsi"/>
          <w:szCs w:val="24"/>
          <w:lang w:eastAsia="en-US"/>
        </w:rPr>
        <w:t>Regulations may be exercised.</w:t>
      </w:r>
    </w:p>
    <w:p w:rsidR="00E33FBA" w:rsidRDefault="00E33FBA" w:rsidP="00640941">
      <w:pPr>
        <w:rPr>
          <w:szCs w:val="24"/>
          <w:u w:val="single"/>
        </w:rPr>
      </w:pPr>
    </w:p>
    <w:p w:rsidR="00E33FBA" w:rsidRPr="00AF165B" w:rsidRDefault="00385FF2" w:rsidP="00640941">
      <w:pPr>
        <w:rPr>
          <w:i/>
          <w:szCs w:val="24"/>
        </w:rPr>
      </w:pPr>
      <w:r w:rsidRPr="00AF165B">
        <w:rPr>
          <w:szCs w:val="24"/>
        </w:rPr>
        <w:t>The Regulations are a legislative instrument for the purposes of the</w:t>
      </w:r>
      <w:r w:rsidR="00AF165B">
        <w:rPr>
          <w:szCs w:val="24"/>
        </w:rPr>
        <w:t xml:space="preserve"> LIA.</w:t>
      </w:r>
      <w:r w:rsidRPr="00AF165B">
        <w:rPr>
          <w:szCs w:val="24"/>
        </w:rPr>
        <w:t xml:space="preserve"> </w:t>
      </w:r>
    </w:p>
    <w:p w:rsidR="00385FF2" w:rsidRDefault="00385FF2" w:rsidP="00640941">
      <w:pPr>
        <w:rPr>
          <w:i/>
          <w:szCs w:val="24"/>
          <w:u w:val="single"/>
        </w:rPr>
      </w:pPr>
    </w:p>
    <w:p w:rsidR="00385FF2" w:rsidRPr="00385FF2" w:rsidRDefault="00385FF2" w:rsidP="00640941">
      <w:pPr>
        <w:rPr>
          <w:szCs w:val="24"/>
        </w:rPr>
      </w:pPr>
      <w:r>
        <w:rPr>
          <w:szCs w:val="24"/>
        </w:rPr>
        <w:t xml:space="preserve">The Regulations commenced on the day after they </w:t>
      </w:r>
      <w:r w:rsidR="008A002B">
        <w:rPr>
          <w:szCs w:val="24"/>
        </w:rPr>
        <w:t xml:space="preserve">were </w:t>
      </w:r>
      <w:r>
        <w:rPr>
          <w:szCs w:val="24"/>
        </w:rPr>
        <w:t>registered on the Federal Register of Legislative Instruments.</w:t>
      </w:r>
    </w:p>
    <w:p w:rsidR="00640941" w:rsidRDefault="00640941" w:rsidP="00BA3EC9"/>
    <w:p w:rsidR="00FA741F" w:rsidRDefault="00FA741F" w:rsidP="00BA3EC9"/>
    <w:p w:rsidR="00257BE4" w:rsidRDefault="00257BE4">
      <w:pPr>
        <w:spacing w:after="200" w:line="276" w:lineRule="auto"/>
      </w:pPr>
      <w:r>
        <w:br w:type="page"/>
      </w:r>
    </w:p>
    <w:p w:rsidR="00640941" w:rsidRDefault="00640941" w:rsidP="00640941">
      <w:pPr>
        <w:jc w:val="right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ATTACHMENT</w:t>
      </w:r>
    </w:p>
    <w:p w:rsidR="00640941" w:rsidRDefault="00640941" w:rsidP="00BA3EC9">
      <w:pPr>
        <w:rPr>
          <w:b/>
          <w:szCs w:val="24"/>
          <w:u w:val="single"/>
        </w:rPr>
      </w:pPr>
    </w:p>
    <w:p w:rsidR="0012578B" w:rsidRDefault="00257BE4" w:rsidP="009160C2">
      <w:pPr>
        <w:rPr>
          <w:b/>
          <w:i/>
          <w:szCs w:val="24"/>
          <w:u w:val="single"/>
        </w:rPr>
      </w:pPr>
      <w:r w:rsidRPr="00BA0B99">
        <w:rPr>
          <w:b/>
          <w:szCs w:val="24"/>
          <w:u w:val="single"/>
        </w:rPr>
        <w:t>Details of the</w:t>
      </w:r>
      <w:r>
        <w:rPr>
          <w:b/>
          <w:szCs w:val="24"/>
          <w:u w:val="single"/>
        </w:rPr>
        <w:t xml:space="preserve"> </w:t>
      </w:r>
      <w:r>
        <w:rPr>
          <w:b/>
          <w:i/>
          <w:szCs w:val="24"/>
          <w:u w:val="single"/>
        </w:rPr>
        <w:t>Radiocommunications Amendment Regulations 2011</w:t>
      </w:r>
      <w:r w:rsidR="00385FF2">
        <w:rPr>
          <w:b/>
          <w:i/>
          <w:szCs w:val="24"/>
          <w:u w:val="single"/>
        </w:rPr>
        <w:t xml:space="preserve"> (No. 1)</w:t>
      </w:r>
    </w:p>
    <w:p w:rsidR="00E73B15" w:rsidRDefault="00E73B15" w:rsidP="00BA3EC9">
      <w:pPr>
        <w:rPr>
          <w:b/>
          <w:i/>
          <w:szCs w:val="24"/>
          <w:u w:val="single"/>
        </w:rPr>
      </w:pPr>
    </w:p>
    <w:p w:rsidR="00257BE4" w:rsidRPr="00E73B15" w:rsidRDefault="00385FF2" w:rsidP="00BA3EC9">
      <w:pPr>
        <w:rPr>
          <w:b/>
        </w:rPr>
      </w:pPr>
      <w:r>
        <w:rPr>
          <w:b/>
        </w:rPr>
        <w:t xml:space="preserve">Regulation </w:t>
      </w:r>
      <w:r w:rsidR="00640941">
        <w:rPr>
          <w:b/>
        </w:rPr>
        <w:t xml:space="preserve">1 - </w:t>
      </w:r>
      <w:r w:rsidR="00257BE4" w:rsidRPr="00E73B15">
        <w:rPr>
          <w:b/>
        </w:rPr>
        <w:t>Name of the Regulations</w:t>
      </w:r>
    </w:p>
    <w:p w:rsidR="00257BE4" w:rsidRDefault="00257BE4" w:rsidP="00BA3EC9">
      <w:pPr>
        <w:rPr>
          <w:u w:val="single"/>
        </w:rPr>
      </w:pPr>
    </w:p>
    <w:p w:rsidR="00257BE4" w:rsidRDefault="00257BE4" w:rsidP="00BA3EC9">
      <w:r>
        <w:t xml:space="preserve">This regulation provides that the title of the Regulations is the </w:t>
      </w:r>
      <w:r>
        <w:rPr>
          <w:i/>
        </w:rPr>
        <w:t>Radiocommunications Amendment Regulations 2011</w:t>
      </w:r>
      <w:r w:rsidR="00385FF2">
        <w:rPr>
          <w:i/>
        </w:rPr>
        <w:t xml:space="preserve"> (No. 1)</w:t>
      </w:r>
      <w:r>
        <w:t xml:space="preserve">. </w:t>
      </w:r>
    </w:p>
    <w:p w:rsidR="00E73B15" w:rsidRDefault="00E73B15" w:rsidP="00BA3EC9"/>
    <w:p w:rsidR="00257BE4" w:rsidRPr="00E73B15" w:rsidRDefault="00385FF2" w:rsidP="00BA3EC9">
      <w:pPr>
        <w:rPr>
          <w:b/>
        </w:rPr>
      </w:pPr>
      <w:r>
        <w:rPr>
          <w:b/>
        </w:rPr>
        <w:t xml:space="preserve">Regulation </w:t>
      </w:r>
      <w:r w:rsidR="00C808EE">
        <w:rPr>
          <w:b/>
        </w:rPr>
        <w:t xml:space="preserve">2 - </w:t>
      </w:r>
      <w:r w:rsidR="00257BE4" w:rsidRPr="00E73B15">
        <w:rPr>
          <w:b/>
        </w:rPr>
        <w:t>Commencement</w:t>
      </w:r>
    </w:p>
    <w:p w:rsidR="00257BE4" w:rsidRDefault="00257BE4" w:rsidP="00BA3EC9">
      <w:pPr>
        <w:rPr>
          <w:u w:val="single"/>
        </w:rPr>
      </w:pPr>
    </w:p>
    <w:p w:rsidR="00257BE4" w:rsidRDefault="00257BE4" w:rsidP="00BA3EC9">
      <w:r>
        <w:t xml:space="preserve">This regulation </w:t>
      </w:r>
      <w:r w:rsidR="00256006">
        <w:t>provides that t</w:t>
      </w:r>
      <w:r>
        <w:t>he Regulations are t</w:t>
      </w:r>
      <w:r w:rsidR="00447D04">
        <w:t>o commence on the day after they are registered on the Federal Register of Legislative Instruments.</w:t>
      </w:r>
    </w:p>
    <w:p w:rsidR="00385FF2" w:rsidRDefault="00385FF2" w:rsidP="00BA3EC9"/>
    <w:p w:rsidR="00385FF2" w:rsidRPr="00385FF2" w:rsidRDefault="00385FF2" w:rsidP="00BA3EC9">
      <w:pPr>
        <w:rPr>
          <w:b/>
        </w:rPr>
      </w:pPr>
      <w:r>
        <w:rPr>
          <w:b/>
        </w:rPr>
        <w:t xml:space="preserve">Regulation 3 – Amendment of </w:t>
      </w:r>
      <w:r w:rsidR="008A7FAC" w:rsidRPr="008A7FAC">
        <w:rPr>
          <w:b/>
          <w:i/>
        </w:rPr>
        <w:t>Radiocommunications Regulations 1993</w:t>
      </w:r>
    </w:p>
    <w:p w:rsidR="00447D04" w:rsidRDefault="00447D04" w:rsidP="00BA3EC9"/>
    <w:p w:rsidR="00385FF2" w:rsidRDefault="00385FF2" w:rsidP="00BA3EC9">
      <w:r>
        <w:t xml:space="preserve">This regulation provides that the </w:t>
      </w:r>
      <w:r>
        <w:rPr>
          <w:i/>
        </w:rPr>
        <w:t xml:space="preserve">Radiocommunications Regulations 1993 </w:t>
      </w:r>
      <w:r w:rsidR="008A7FAC" w:rsidRPr="008A7FAC">
        <w:t>(</w:t>
      </w:r>
      <w:r w:rsidRPr="00385FF2">
        <w:t>t</w:t>
      </w:r>
      <w:r>
        <w:t>he Principal Regulations) are amended as set out in Schedule 1.</w:t>
      </w:r>
    </w:p>
    <w:p w:rsidR="00385FF2" w:rsidRDefault="00385FF2" w:rsidP="00BA3EC9"/>
    <w:p w:rsidR="00385FF2" w:rsidRDefault="00385FF2" w:rsidP="00BA3EC9">
      <w:pPr>
        <w:rPr>
          <w:b/>
        </w:rPr>
      </w:pPr>
      <w:r>
        <w:rPr>
          <w:b/>
        </w:rPr>
        <w:t>Schedule 1 – Amendments</w:t>
      </w:r>
    </w:p>
    <w:p w:rsidR="00385FF2" w:rsidRDefault="00385FF2" w:rsidP="00BA3EC9">
      <w:pPr>
        <w:rPr>
          <w:b/>
        </w:rPr>
      </w:pPr>
    </w:p>
    <w:p w:rsidR="00385FF2" w:rsidRDefault="00256006" w:rsidP="00BA3EC9">
      <w:pPr>
        <w:rPr>
          <w:b/>
        </w:rPr>
      </w:pPr>
      <w:r>
        <w:rPr>
          <w:b/>
        </w:rPr>
        <w:t>Item 1</w:t>
      </w:r>
      <w:r w:rsidR="00385FF2">
        <w:rPr>
          <w:b/>
        </w:rPr>
        <w:t xml:space="preserve"> – Regulation 3</w:t>
      </w:r>
    </w:p>
    <w:p w:rsidR="00385FF2" w:rsidRDefault="00385FF2" w:rsidP="00BA3EC9">
      <w:pPr>
        <w:rPr>
          <w:b/>
        </w:rPr>
      </w:pPr>
    </w:p>
    <w:p w:rsidR="00AC4D3A" w:rsidRDefault="00AC4D3A" w:rsidP="00AA35FC">
      <w:pPr>
        <w:ind w:right="91"/>
        <w:rPr>
          <w:szCs w:val="24"/>
        </w:rPr>
      </w:pPr>
      <w:r>
        <w:rPr>
          <w:szCs w:val="24"/>
        </w:rPr>
        <w:t>Sub</w:t>
      </w:r>
      <w:r w:rsidR="001B01DE">
        <w:rPr>
          <w:szCs w:val="24"/>
        </w:rPr>
        <w:t>r</w:t>
      </w:r>
      <w:r w:rsidR="00447D04" w:rsidRPr="00BA0B99">
        <w:rPr>
          <w:szCs w:val="24"/>
        </w:rPr>
        <w:t>egulation</w:t>
      </w:r>
      <w:r>
        <w:rPr>
          <w:szCs w:val="24"/>
        </w:rPr>
        <w:t xml:space="preserve"> 3(1)</w:t>
      </w:r>
      <w:r w:rsidR="00447D04" w:rsidRPr="00BA0B99">
        <w:rPr>
          <w:szCs w:val="24"/>
        </w:rPr>
        <w:t xml:space="preserve"> provides definition</w:t>
      </w:r>
      <w:r w:rsidR="00857348">
        <w:rPr>
          <w:szCs w:val="24"/>
        </w:rPr>
        <w:t>s</w:t>
      </w:r>
      <w:r w:rsidR="00447D04" w:rsidRPr="00BA0B99">
        <w:rPr>
          <w:szCs w:val="24"/>
        </w:rPr>
        <w:t xml:space="preserve"> for certain terms used in the </w:t>
      </w:r>
      <w:r w:rsidR="00256006">
        <w:rPr>
          <w:szCs w:val="24"/>
        </w:rPr>
        <w:t xml:space="preserve">Principal </w:t>
      </w:r>
      <w:r w:rsidR="00447D04">
        <w:rPr>
          <w:szCs w:val="24"/>
        </w:rPr>
        <w:t>R</w:t>
      </w:r>
      <w:r w:rsidR="00447D04" w:rsidRPr="00BA0B99">
        <w:rPr>
          <w:szCs w:val="24"/>
        </w:rPr>
        <w:t>egulations.</w:t>
      </w:r>
    </w:p>
    <w:p w:rsidR="00AC4D3A" w:rsidRDefault="00AC4D3A" w:rsidP="00AA35FC">
      <w:pPr>
        <w:ind w:right="91"/>
        <w:rPr>
          <w:szCs w:val="24"/>
        </w:rPr>
      </w:pPr>
    </w:p>
    <w:p w:rsidR="00447D04" w:rsidRPr="00907A70" w:rsidRDefault="00EE586A" w:rsidP="00AA35FC">
      <w:pPr>
        <w:ind w:right="91"/>
        <w:rPr>
          <w:szCs w:val="24"/>
        </w:rPr>
      </w:pPr>
      <w:r>
        <w:rPr>
          <w:szCs w:val="24"/>
        </w:rPr>
        <w:t>By substituting the existing definitions in the Principal Regulations with a new definitions section, t</w:t>
      </w:r>
      <w:r w:rsidR="00AC4D3A">
        <w:rPr>
          <w:szCs w:val="24"/>
        </w:rPr>
        <w:t>his item amend</w:t>
      </w:r>
      <w:r>
        <w:rPr>
          <w:szCs w:val="24"/>
        </w:rPr>
        <w:t>s</w:t>
      </w:r>
      <w:r w:rsidR="00AC4D3A">
        <w:rPr>
          <w:szCs w:val="24"/>
        </w:rPr>
        <w:t xml:space="preserve"> subregulation 3(1) </w:t>
      </w:r>
      <w:r>
        <w:rPr>
          <w:szCs w:val="24"/>
        </w:rPr>
        <w:t>by</w:t>
      </w:r>
      <w:r w:rsidR="00AC4D3A">
        <w:rPr>
          <w:szCs w:val="24"/>
        </w:rPr>
        <w:t xml:space="preserve"> remov</w:t>
      </w:r>
      <w:r>
        <w:rPr>
          <w:szCs w:val="24"/>
        </w:rPr>
        <w:t>ing</w:t>
      </w:r>
      <w:r w:rsidR="00AC4D3A">
        <w:rPr>
          <w:szCs w:val="24"/>
        </w:rPr>
        <w:t xml:space="preserve"> a number of obsolete</w:t>
      </w:r>
      <w:r w:rsidR="00447D04" w:rsidRPr="00BA0B99">
        <w:rPr>
          <w:szCs w:val="24"/>
        </w:rPr>
        <w:t xml:space="preserve"> </w:t>
      </w:r>
      <w:r w:rsidR="00AC4D3A">
        <w:rPr>
          <w:szCs w:val="24"/>
        </w:rPr>
        <w:t>definitions for the purposes of the Principal Regulations.</w:t>
      </w:r>
      <w:r w:rsidR="00907A70">
        <w:rPr>
          <w:szCs w:val="24"/>
        </w:rPr>
        <w:t xml:space="preserve"> This item also remove</w:t>
      </w:r>
      <w:r>
        <w:rPr>
          <w:szCs w:val="24"/>
        </w:rPr>
        <w:t>s</w:t>
      </w:r>
      <w:r w:rsidR="00907A70">
        <w:rPr>
          <w:szCs w:val="24"/>
        </w:rPr>
        <w:t xml:space="preserve"> definitions which are to be defined under the </w:t>
      </w:r>
      <w:r w:rsidR="00907A70" w:rsidRPr="00E44370">
        <w:rPr>
          <w:rFonts w:cs="Arial"/>
          <w:i/>
          <w:szCs w:val="19"/>
        </w:rPr>
        <w:t>Radioc</w:t>
      </w:r>
      <w:r w:rsidR="00907A70">
        <w:rPr>
          <w:rFonts w:cs="Arial"/>
          <w:i/>
          <w:szCs w:val="19"/>
        </w:rPr>
        <w:t>ommunications (I</w:t>
      </w:r>
      <w:r w:rsidR="00907A70" w:rsidRPr="00E44370">
        <w:rPr>
          <w:rFonts w:cs="Arial"/>
          <w:i/>
          <w:szCs w:val="19"/>
        </w:rPr>
        <w:t>nterpretation</w:t>
      </w:r>
      <w:r w:rsidR="00907A70">
        <w:rPr>
          <w:rFonts w:cs="Arial"/>
          <w:i/>
          <w:szCs w:val="19"/>
        </w:rPr>
        <w:t>)</w:t>
      </w:r>
      <w:r w:rsidR="00907A70" w:rsidRPr="00E44370">
        <w:rPr>
          <w:rFonts w:cs="Arial"/>
          <w:i/>
          <w:szCs w:val="19"/>
        </w:rPr>
        <w:t xml:space="preserve"> Determination 2000</w:t>
      </w:r>
      <w:r w:rsidR="00907A70">
        <w:rPr>
          <w:rFonts w:cs="Arial"/>
          <w:i/>
          <w:szCs w:val="19"/>
        </w:rPr>
        <w:t xml:space="preserve"> </w:t>
      </w:r>
      <w:r>
        <w:rPr>
          <w:rFonts w:cs="Arial"/>
          <w:szCs w:val="19"/>
        </w:rPr>
        <w:t xml:space="preserve">so as </w:t>
      </w:r>
      <w:r w:rsidR="008A7FAC" w:rsidRPr="008A7FAC">
        <w:rPr>
          <w:rFonts w:cs="Arial"/>
          <w:szCs w:val="19"/>
        </w:rPr>
        <w:t>to remove duplication (see subregulation 3(2) below).</w:t>
      </w:r>
    </w:p>
    <w:p w:rsidR="00356CCB" w:rsidRDefault="00356CCB" w:rsidP="00356CCB">
      <w:pPr>
        <w:rPr>
          <w:rFonts w:cs="Arial"/>
          <w:szCs w:val="19"/>
        </w:rPr>
      </w:pPr>
    </w:p>
    <w:p w:rsidR="00356CCB" w:rsidRDefault="00356CCB" w:rsidP="00356CCB">
      <w:pPr>
        <w:rPr>
          <w:rFonts w:cs="Arial"/>
          <w:szCs w:val="19"/>
        </w:rPr>
      </w:pPr>
      <w:r>
        <w:rPr>
          <w:rFonts w:cs="Arial"/>
          <w:szCs w:val="19"/>
        </w:rPr>
        <w:t>However, the following terms have been retained in the definitions to the Regulations and have the same meaning as applies to these terms under the Principal Regulations:</w:t>
      </w:r>
    </w:p>
    <w:p w:rsidR="00356CCB" w:rsidRPr="00BD5A2A" w:rsidRDefault="00356CCB" w:rsidP="00356CCB">
      <w:pPr>
        <w:pStyle w:val="ListParagraph"/>
        <w:numPr>
          <w:ilvl w:val="0"/>
          <w:numId w:val="3"/>
        </w:numPr>
        <w:rPr>
          <w:rFonts w:cs="Arial"/>
          <w:szCs w:val="19"/>
        </w:rPr>
      </w:pPr>
      <w:r>
        <w:rPr>
          <w:rFonts w:cs="Arial"/>
          <w:b/>
          <w:i/>
          <w:szCs w:val="19"/>
        </w:rPr>
        <w:t>Act</w:t>
      </w:r>
    </w:p>
    <w:p w:rsidR="00356CCB" w:rsidRPr="00BD5A2A" w:rsidRDefault="00356CCB" w:rsidP="00356CCB">
      <w:pPr>
        <w:pStyle w:val="ListParagraph"/>
        <w:numPr>
          <w:ilvl w:val="0"/>
          <w:numId w:val="3"/>
        </w:numPr>
        <w:rPr>
          <w:rFonts w:cs="Arial"/>
          <w:szCs w:val="19"/>
        </w:rPr>
      </w:pPr>
      <w:r>
        <w:rPr>
          <w:rFonts w:cs="Arial"/>
          <w:b/>
          <w:i/>
          <w:szCs w:val="19"/>
        </w:rPr>
        <w:t>Distress, Urgency, Alarm and Safety Signals</w:t>
      </w:r>
    </w:p>
    <w:p w:rsidR="00356CCB" w:rsidRPr="00BD5A2A" w:rsidRDefault="00356CCB" w:rsidP="00356CCB">
      <w:pPr>
        <w:pStyle w:val="ListParagraph"/>
        <w:numPr>
          <w:ilvl w:val="0"/>
          <w:numId w:val="3"/>
        </w:numPr>
        <w:rPr>
          <w:rFonts w:cs="Arial"/>
          <w:szCs w:val="19"/>
        </w:rPr>
      </w:pPr>
      <w:r>
        <w:rPr>
          <w:rFonts w:cs="Arial"/>
          <w:b/>
          <w:i/>
          <w:szCs w:val="19"/>
        </w:rPr>
        <w:t>examination</w:t>
      </w:r>
    </w:p>
    <w:p w:rsidR="00356CCB" w:rsidRPr="00BD5A2A" w:rsidRDefault="00356CCB" w:rsidP="00356CCB">
      <w:pPr>
        <w:pStyle w:val="ListParagraph"/>
        <w:numPr>
          <w:ilvl w:val="0"/>
          <w:numId w:val="3"/>
        </w:numPr>
        <w:rPr>
          <w:rFonts w:cs="Arial"/>
          <w:szCs w:val="19"/>
        </w:rPr>
      </w:pPr>
      <w:r>
        <w:rPr>
          <w:rFonts w:cs="Arial"/>
          <w:b/>
          <w:i/>
          <w:szCs w:val="19"/>
        </w:rPr>
        <w:t>penalty</w:t>
      </w:r>
    </w:p>
    <w:p w:rsidR="00356CCB" w:rsidRPr="00BD5A2A" w:rsidRDefault="00356CCB" w:rsidP="00356CCB">
      <w:pPr>
        <w:pStyle w:val="ListParagraph"/>
        <w:numPr>
          <w:ilvl w:val="0"/>
          <w:numId w:val="3"/>
        </w:numPr>
        <w:rPr>
          <w:rFonts w:cs="Arial"/>
          <w:szCs w:val="19"/>
        </w:rPr>
      </w:pPr>
      <w:r>
        <w:rPr>
          <w:rFonts w:cs="Arial"/>
          <w:b/>
          <w:i/>
          <w:szCs w:val="19"/>
        </w:rPr>
        <w:t>Telecommunications Convention</w:t>
      </w:r>
    </w:p>
    <w:p w:rsidR="00356CCB" w:rsidRDefault="00356CCB" w:rsidP="00447D04">
      <w:pPr>
        <w:rPr>
          <w:szCs w:val="24"/>
        </w:rPr>
      </w:pPr>
    </w:p>
    <w:p w:rsidR="00246C6C" w:rsidRPr="00BD5A2A" w:rsidRDefault="00AC4D3A" w:rsidP="00246C6C">
      <w:pPr>
        <w:rPr>
          <w:szCs w:val="24"/>
        </w:rPr>
      </w:pPr>
      <w:r>
        <w:rPr>
          <w:szCs w:val="24"/>
        </w:rPr>
        <w:t>This item also amend</w:t>
      </w:r>
      <w:r w:rsidR="00EE586A">
        <w:rPr>
          <w:szCs w:val="24"/>
        </w:rPr>
        <w:t>s</w:t>
      </w:r>
      <w:r>
        <w:rPr>
          <w:szCs w:val="24"/>
        </w:rPr>
        <w:t xml:space="preserve"> t</w:t>
      </w:r>
      <w:r w:rsidR="00447D04">
        <w:rPr>
          <w:szCs w:val="24"/>
        </w:rPr>
        <w:t>he</w:t>
      </w:r>
      <w:r w:rsidR="008146AE">
        <w:rPr>
          <w:szCs w:val="24"/>
        </w:rPr>
        <w:t xml:space="preserve"> </w:t>
      </w:r>
      <w:r w:rsidR="00AA35FC">
        <w:rPr>
          <w:szCs w:val="24"/>
        </w:rPr>
        <w:t xml:space="preserve">definition of the </w:t>
      </w:r>
      <w:r w:rsidR="008146AE">
        <w:rPr>
          <w:szCs w:val="24"/>
        </w:rPr>
        <w:t>term</w:t>
      </w:r>
      <w:r w:rsidR="00447D04">
        <w:rPr>
          <w:szCs w:val="24"/>
        </w:rPr>
        <w:t xml:space="preserve"> </w:t>
      </w:r>
      <w:r w:rsidR="00447D04">
        <w:rPr>
          <w:b/>
          <w:i/>
          <w:szCs w:val="24"/>
        </w:rPr>
        <w:t>authorised person</w:t>
      </w:r>
      <w:r w:rsidR="00AA35FC">
        <w:rPr>
          <w:szCs w:val="24"/>
        </w:rPr>
        <w:t xml:space="preserve"> </w:t>
      </w:r>
      <w:r>
        <w:rPr>
          <w:szCs w:val="24"/>
        </w:rPr>
        <w:t>as a consequential amendment</w:t>
      </w:r>
      <w:r w:rsidDel="00AC4D3A">
        <w:rPr>
          <w:szCs w:val="24"/>
        </w:rPr>
        <w:t xml:space="preserve"> </w:t>
      </w:r>
      <w:r w:rsidR="00EE586A">
        <w:rPr>
          <w:szCs w:val="24"/>
        </w:rPr>
        <w:t xml:space="preserve">following </w:t>
      </w:r>
      <w:r>
        <w:rPr>
          <w:szCs w:val="24"/>
        </w:rPr>
        <w:t>the change in nomenclature from</w:t>
      </w:r>
      <w:r w:rsidR="00A83062">
        <w:rPr>
          <w:szCs w:val="24"/>
        </w:rPr>
        <w:t xml:space="preserve"> </w:t>
      </w:r>
      <w:r w:rsidR="00AA35FC">
        <w:rPr>
          <w:szCs w:val="24"/>
        </w:rPr>
        <w:t xml:space="preserve">‘Chairman’ </w:t>
      </w:r>
      <w:r>
        <w:rPr>
          <w:szCs w:val="24"/>
        </w:rPr>
        <w:t>to</w:t>
      </w:r>
      <w:r w:rsidR="00AA35FC">
        <w:rPr>
          <w:szCs w:val="24"/>
        </w:rPr>
        <w:t xml:space="preserve"> ‘Chair’</w:t>
      </w:r>
      <w:r>
        <w:rPr>
          <w:szCs w:val="24"/>
        </w:rPr>
        <w:t xml:space="preserve"> as described below</w:t>
      </w:r>
      <w:r w:rsidR="00AA35FC">
        <w:rPr>
          <w:szCs w:val="24"/>
        </w:rPr>
        <w:t xml:space="preserve">. </w:t>
      </w:r>
    </w:p>
    <w:p w:rsidR="00246C6C" w:rsidRDefault="00246C6C" w:rsidP="00246C6C">
      <w:pPr>
        <w:rPr>
          <w:b/>
          <w:i/>
          <w:szCs w:val="24"/>
        </w:rPr>
      </w:pPr>
    </w:p>
    <w:p w:rsidR="00F34051" w:rsidRDefault="00AC4D3A" w:rsidP="00F34051">
      <w:pPr>
        <w:rPr>
          <w:rFonts w:cs="Arial"/>
          <w:szCs w:val="19"/>
        </w:rPr>
      </w:pPr>
      <w:r>
        <w:rPr>
          <w:szCs w:val="24"/>
        </w:rPr>
        <w:t>Prior to the commencement of the Regulations, regulation 3 defined the term ‘Chairman’ by reference to its meaning given under</w:t>
      </w:r>
      <w:r w:rsidR="00F34051">
        <w:rPr>
          <w:szCs w:val="24"/>
        </w:rPr>
        <w:t xml:space="preserve"> </w:t>
      </w:r>
      <w:r w:rsidR="00F34051">
        <w:rPr>
          <w:rFonts w:cs="Arial"/>
          <w:szCs w:val="19"/>
        </w:rPr>
        <w:t xml:space="preserve">section 7 of the </w:t>
      </w:r>
      <w:r w:rsidR="00F34051" w:rsidRPr="00D03997">
        <w:rPr>
          <w:rFonts w:cs="Arial"/>
          <w:i/>
          <w:szCs w:val="19"/>
        </w:rPr>
        <w:t>Telecommunications Act</w:t>
      </w:r>
      <w:r w:rsidR="00F34051">
        <w:rPr>
          <w:rFonts w:cs="Arial"/>
          <w:i/>
          <w:szCs w:val="19"/>
        </w:rPr>
        <w:t xml:space="preserve"> </w:t>
      </w:r>
      <w:r w:rsidR="00F34051" w:rsidRPr="00D03997">
        <w:rPr>
          <w:rFonts w:cs="Arial"/>
          <w:i/>
          <w:szCs w:val="19"/>
        </w:rPr>
        <w:t>1997</w:t>
      </w:r>
      <w:r w:rsidR="00F34051">
        <w:rPr>
          <w:rFonts w:cs="Arial"/>
          <w:szCs w:val="19"/>
        </w:rPr>
        <w:t xml:space="preserve"> (Tel Act). This definition has been repealed in the Tel Act.</w:t>
      </w:r>
    </w:p>
    <w:p w:rsidR="00F34051" w:rsidRDefault="00F34051" w:rsidP="00F34051">
      <w:pPr>
        <w:rPr>
          <w:rFonts w:cs="Arial"/>
          <w:szCs w:val="19"/>
        </w:rPr>
      </w:pPr>
    </w:p>
    <w:p w:rsidR="00955459" w:rsidRDefault="008146AE" w:rsidP="00246C6C">
      <w:pPr>
        <w:rPr>
          <w:szCs w:val="24"/>
        </w:rPr>
      </w:pPr>
      <w:r>
        <w:rPr>
          <w:szCs w:val="24"/>
        </w:rPr>
        <w:t>Th</w:t>
      </w:r>
      <w:r w:rsidR="00AC4D3A">
        <w:rPr>
          <w:szCs w:val="24"/>
        </w:rPr>
        <w:t>is item</w:t>
      </w:r>
      <w:r w:rsidR="00356CCB">
        <w:rPr>
          <w:szCs w:val="24"/>
        </w:rPr>
        <w:t xml:space="preserve"> substitutes</w:t>
      </w:r>
      <w:r w:rsidR="00AC4D3A">
        <w:rPr>
          <w:szCs w:val="24"/>
        </w:rPr>
        <w:t xml:space="preserve"> the</w:t>
      </w:r>
      <w:r>
        <w:rPr>
          <w:szCs w:val="24"/>
        </w:rPr>
        <w:t xml:space="preserve"> term</w:t>
      </w:r>
      <w:r w:rsidR="00AC4D3A">
        <w:rPr>
          <w:szCs w:val="24"/>
        </w:rPr>
        <w:t xml:space="preserve"> ‘Chairman</w:t>
      </w:r>
      <w:r w:rsidR="00F34051">
        <w:rPr>
          <w:szCs w:val="24"/>
        </w:rPr>
        <w:t>’</w:t>
      </w:r>
      <w:r w:rsidR="00AC4D3A">
        <w:rPr>
          <w:szCs w:val="24"/>
        </w:rPr>
        <w:t xml:space="preserve"> </w:t>
      </w:r>
      <w:r w:rsidR="00356CCB">
        <w:rPr>
          <w:szCs w:val="24"/>
        </w:rPr>
        <w:t>with</w:t>
      </w:r>
      <w:r w:rsidR="00A83062">
        <w:rPr>
          <w:szCs w:val="24"/>
        </w:rPr>
        <w:t xml:space="preserve"> </w:t>
      </w:r>
      <w:r>
        <w:rPr>
          <w:b/>
          <w:i/>
          <w:szCs w:val="24"/>
        </w:rPr>
        <w:t>Chair</w:t>
      </w:r>
      <w:r w:rsidR="00356CCB">
        <w:rPr>
          <w:b/>
          <w:i/>
          <w:szCs w:val="24"/>
        </w:rPr>
        <w:t xml:space="preserve">, </w:t>
      </w:r>
      <w:r w:rsidR="008A7FAC" w:rsidRPr="008A7FAC">
        <w:rPr>
          <w:szCs w:val="24"/>
        </w:rPr>
        <w:t>which is defined</w:t>
      </w:r>
      <w:r w:rsidR="00356CCB">
        <w:rPr>
          <w:b/>
          <w:i/>
          <w:szCs w:val="24"/>
        </w:rPr>
        <w:t xml:space="preserve"> </w:t>
      </w:r>
      <w:r w:rsidR="00356CCB">
        <w:rPr>
          <w:szCs w:val="24"/>
        </w:rPr>
        <w:t>by reference to</w:t>
      </w:r>
      <w:r w:rsidR="00A83062">
        <w:rPr>
          <w:szCs w:val="24"/>
        </w:rPr>
        <w:t xml:space="preserve"> </w:t>
      </w:r>
      <w:r w:rsidR="003A454E" w:rsidRPr="00D62A1F">
        <w:rPr>
          <w:szCs w:val="24"/>
        </w:rPr>
        <w:t>s</w:t>
      </w:r>
      <w:r w:rsidR="003A454E">
        <w:rPr>
          <w:szCs w:val="24"/>
        </w:rPr>
        <w:t>ection</w:t>
      </w:r>
      <w:r w:rsidR="00AC4D3A">
        <w:rPr>
          <w:szCs w:val="24"/>
        </w:rPr>
        <w:t> </w:t>
      </w:r>
      <w:r w:rsidR="003A454E" w:rsidRPr="00D62A1F">
        <w:rPr>
          <w:szCs w:val="24"/>
        </w:rPr>
        <w:t xml:space="preserve">3 of </w:t>
      </w:r>
      <w:r w:rsidR="003A454E">
        <w:rPr>
          <w:szCs w:val="24"/>
        </w:rPr>
        <w:t xml:space="preserve">the </w:t>
      </w:r>
      <w:r w:rsidR="00246C6C">
        <w:rPr>
          <w:i/>
          <w:szCs w:val="24"/>
        </w:rPr>
        <w:t xml:space="preserve">Australian Communications and Media Authority Act 2005 </w:t>
      </w:r>
      <w:r w:rsidR="00246C6C">
        <w:rPr>
          <w:szCs w:val="24"/>
        </w:rPr>
        <w:t>(</w:t>
      </w:r>
      <w:r w:rsidR="003A454E">
        <w:rPr>
          <w:szCs w:val="24"/>
        </w:rPr>
        <w:t>ACMA Act</w:t>
      </w:r>
      <w:r w:rsidR="00246C6C">
        <w:rPr>
          <w:szCs w:val="24"/>
        </w:rPr>
        <w:t>)</w:t>
      </w:r>
      <w:r w:rsidR="00016E26">
        <w:rPr>
          <w:szCs w:val="24"/>
        </w:rPr>
        <w:t xml:space="preserve">. </w:t>
      </w:r>
      <w:r w:rsidR="00AC4D3A">
        <w:rPr>
          <w:szCs w:val="24"/>
        </w:rPr>
        <w:t xml:space="preserve">Under section 3 of the ACMA Act, the term </w:t>
      </w:r>
      <w:r w:rsidR="00016E26">
        <w:rPr>
          <w:szCs w:val="24"/>
        </w:rPr>
        <w:t>‘Chair’ means ‘head of the ACMA’</w:t>
      </w:r>
      <w:r>
        <w:rPr>
          <w:szCs w:val="24"/>
        </w:rPr>
        <w:t>.</w:t>
      </w:r>
    </w:p>
    <w:p w:rsidR="00955459" w:rsidRDefault="00955459" w:rsidP="00246C6C">
      <w:pPr>
        <w:rPr>
          <w:szCs w:val="24"/>
        </w:rPr>
      </w:pPr>
    </w:p>
    <w:p w:rsidR="00246C6C" w:rsidRDefault="00955459" w:rsidP="00246C6C">
      <w:pPr>
        <w:rPr>
          <w:rFonts w:cs="Arial"/>
          <w:szCs w:val="19"/>
        </w:rPr>
      </w:pPr>
      <w:r>
        <w:rPr>
          <w:szCs w:val="24"/>
        </w:rPr>
        <w:t xml:space="preserve">This item also makes a </w:t>
      </w:r>
      <w:r w:rsidR="008033B7">
        <w:rPr>
          <w:szCs w:val="24"/>
        </w:rPr>
        <w:t>technical</w:t>
      </w:r>
      <w:r>
        <w:rPr>
          <w:szCs w:val="24"/>
        </w:rPr>
        <w:t xml:space="preserve"> change in nomenclature for the term </w:t>
      </w:r>
      <w:r>
        <w:rPr>
          <w:b/>
          <w:i/>
          <w:szCs w:val="24"/>
        </w:rPr>
        <w:t>facsimile</w:t>
      </w:r>
      <w:r w:rsidR="00BD40B0">
        <w:rPr>
          <w:szCs w:val="24"/>
        </w:rPr>
        <w:t>.</w:t>
      </w:r>
      <w:r>
        <w:rPr>
          <w:b/>
          <w:i/>
          <w:szCs w:val="24"/>
        </w:rPr>
        <w:t xml:space="preserve"> </w:t>
      </w:r>
      <w:r w:rsidR="008146AE">
        <w:rPr>
          <w:szCs w:val="24"/>
        </w:rPr>
        <w:t xml:space="preserve"> </w:t>
      </w:r>
    </w:p>
    <w:p w:rsidR="009C0C52" w:rsidRDefault="009C0C52" w:rsidP="003A454E">
      <w:pPr>
        <w:rPr>
          <w:rFonts w:cs="Arial"/>
          <w:szCs w:val="19"/>
        </w:rPr>
      </w:pPr>
    </w:p>
    <w:p w:rsidR="009C0C52" w:rsidRDefault="009C0C52" w:rsidP="003A454E">
      <w:pPr>
        <w:rPr>
          <w:rFonts w:cs="Arial"/>
          <w:szCs w:val="19"/>
        </w:rPr>
      </w:pPr>
      <w:r>
        <w:rPr>
          <w:rFonts w:cs="Arial"/>
          <w:szCs w:val="19"/>
        </w:rPr>
        <w:t>Th</w:t>
      </w:r>
      <w:r w:rsidR="00F34051">
        <w:rPr>
          <w:rFonts w:cs="Arial"/>
          <w:szCs w:val="19"/>
        </w:rPr>
        <w:t>is item also inserts the</w:t>
      </w:r>
      <w:r>
        <w:rPr>
          <w:rFonts w:cs="Arial"/>
          <w:szCs w:val="19"/>
        </w:rPr>
        <w:t xml:space="preserve"> term </w:t>
      </w:r>
      <w:r w:rsidR="00E44370">
        <w:rPr>
          <w:rFonts w:cs="Arial"/>
          <w:b/>
          <w:i/>
          <w:szCs w:val="19"/>
        </w:rPr>
        <w:t>Interpretation Determination</w:t>
      </w:r>
      <w:r w:rsidR="00E44370">
        <w:rPr>
          <w:rFonts w:cs="Arial"/>
          <w:b/>
          <w:szCs w:val="19"/>
        </w:rPr>
        <w:t xml:space="preserve"> </w:t>
      </w:r>
      <w:r w:rsidR="00356CCB" w:rsidRPr="001115F4">
        <w:rPr>
          <w:rFonts w:cs="Arial"/>
          <w:szCs w:val="19"/>
        </w:rPr>
        <w:t>into subregulation 3(1)</w:t>
      </w:r>
      <w:r w:rsidR="00356CCB">
        <w:rPr>
          <w:rFonts w:cs="Arial"/>
          <w:szCs w:val="19"/>
        </w:rPr>
        <w:t xml:space="preserve"> and define</w:t>
      </w:r>
      <w:r w:rsidR="008F3D32">
        <w:rPr>
          <w:rFonts w:cs="Arial"/>
          <w:szCs w:val="19"/>
        </w:rPr>
        <w:t>s</w:t>
      </w:r>
      <w:r w:rsidR="00356CCB">
        <w:rPr>
          <w:rFonts w:cs="Arial"/>
          <w:szCs w:val="19"/>
        </w:rPr>
        <w:t xml:space="preserve"> it </w:t>
      </w:r>
      <w:r w:rsidR="00F34051" w:rsidRPr="00A83062">
        <w:rPr>
          <w:rFonts w:cs="Arial"/>
          <w:szCs w:val="19"/>
        </w:rPr>
        <w:t xml:space="preserve">to </w:t>
      </w:r>
      <w:r w:rsidR="00E44370">
        <w:rPr>
          <w:rFonts w:cs="Arial"/>
          <w:szCs w:val="19"/>
        </w:rPr>
        <w:t xml:space="preserve">mean the </w:t>
      </w:r>
      <w:r w:rsidR="00E44370" w:rsidRPr="00E44370">
        <w:rPr>
          <w:rFonts w:cs="Arial"/>
          <w:i/>
          <w:szCs w:val="19"/>
        </w:rPr>
        <w:t>Radioc</w:t>
      </w:r>
      <w:r w:rsidR="00BD5A2A">
        <w:rPr>
          <w:rFonts w:cs="Arial"/>
          <w:i/>
          <w:szCs w:val="19"/>
        </w:rPr>
        <w:t xml:space="preserve">ommunications </w:t>
      </w:r>
      <w:r w:rsidR="00AB198E">
        <w:rPr>
          <w:rFonts w:cs="Arial"/>
          <w:i/>
          <w:szCs w:val="19"/>
        </w:rPr>
        <w:t>(</w:t>
      </w:r>
      <w:r w:rsidR="00BD5A2A">
        <w:rPr>
          <w:rFonts w:cs="Arial"/>
          <w:i/>
          <w:szCs w:val="19"/>
        </w:rPr>
        <w:t>I</w:t>
      </w:r>
      <w:r w:rsidR="00BD5A2A" w:rsidRPr="00E44370">
        <w:rPr>
          <w:rFonts w:cs="Arial"/>
          <w:i/>
          <w:szCs w:val="19"/>
        </w:rPr>
        <w:t>nterpretation</w:t>
      </w:r>
      <w:r w:rsidR="00BD5A2A">
        <w:rPr>
          <w:rFonts w:cs="Arial"/>
          <w:i/>
          <w:szCs w:val="19"/>
        </w:rPr>
        <w:t>)</w:t>
      </w:r>
      <w:r w:rsidR="00E44370" w:rsidRPr="00E44370">
        <w:rPr>
          <w:rFonts w:cs="Arial"/>
          <w:i/>
          <w:szCs w:val="19"/>
        </w:rPr>
        <w:t xml:space="preserve"> Determination 2000</w:t>
      </w:r>
      <w:r w:rsidR="00A83062">
        <w:rPr>
          <w:rFonts w:cs="Arial"/>
          <w:i/>
          <w:szCs w:val="19"/>
        </w:rPr>
        <w:t>.</w:t>
      </w:r>
      <w:r w:rsidR="00F34051">
        <w:rPr>
          <w:rFonts w:cs="Arial"/>
          <w:i/>
          <w:szCs w:val="19"/>
        </w:rPr>
        <w:t xml:space="preserve"> </w:t>
      </w:r>
      <w:r w:rsidR="00F34051">
        <w:rPr>
          <w:rFonts w:cs="Arial"/>
          <w:szCs w:val="19"/>
        </w:rPr>
        <w:t>This change is because of th</w:t>
      </w:r>
      <w:r w:rsidR="001B38E7">
        <w:rPr>
          <w:rFonts w:cs="Arial"/>
          <w:szCs w:val="19"/>
        </w:rPr>
        <w:t>e insertion of subregulation 3(2</w:t>
      </w:r>
      <w:r w:rsidR="00F34051">
        <w:rPr>
          <w:rFonts w:cs="Arial"/>
          <w:szCs w:val="19"/>
        </w:rPr>
        <w:t>)</w:t>
      </w:r>
      <w:r w:rsidR="001B38E7">
        <w:rPr>
          <w:rFonts w:cs="Arial"/>
          <w:szCs w:val="19"/>
        </w:rPr>
        <w:t xml:space="preserve"> as described below</w:t>
      </w:r>
      <w:r w:rsidR="00F34051">
        <w:rPr>
          <w:rFonts w:cs="Arial"/>
          <w:szCs w:val="19"/>
        </w:rPr>
        <w:t>.</w:t>
      </w:r>
    </w:p>
    <w:p w:rsidR="00E16ECF" w:rsidRDefault="00E16ECF" w:rsidP="003A454E">
      <w:pPr>
        <w:rPr>
          <w:rFonts w:cs="Arial"/>
          <w:szCs w:val="19"/>
        </w:rPr>
      </w:pPr>
    </w:p>
    <w:p w:rsidR="00E16ECF" w:rsidRPr="00E16ECF" w:rsidRDefault="00E16ECF" w:rsidP="003A454E">
      <w:pPr>
        <w:rPr>
          <w:rFonts w:cs="Arial"/>
          <w:szCs w:val="19"/>
        </w:rPr>
      </w:pPr>
      <w:r>
        <w:rPr>
          <w:rFonts w:cs="Arial"/>
          <w:szCs w:val="19"/>
        </w:rPr>
        <w:t xml:space="preserve">This item also makes a minor change to the </w:t>
      </w:r>
      <w:r w:rsidR="008F3D32">
        <w:rPr>
          <w:rFonts w:cs="Arial"/>
          <w:szCs w:val="19"/>
        </w:rPr>
        <w:t xml:space="preserve">definition of the </w:t>
      </w:r>
      <w:r>
        <w:rPr>
          <w:rFonts w:cs="Arial"/>
          <w:szCs w:val="19"/>
        </w:rPr>
        <w:t xml:space="preserve">term </w:t>
      </w:r>
      <w:r>
        <w:rPr>
          <w:rFonts w:cs="Arial"/>
          <w:b/>
          <w:i/>
          <w:szCs w:val="19"/>
        </w:rPr>
        <w:t xml:space="preserve">SOLAS </w:t>
      </w:r>
      <w:r>
        <w:rPr>
          <w:rFonts w:cs="Arial"/>
          <w:szCs w:val="19"/>
        </w:rPr>
        <w:t xml:space="preserve">to </w:t>
      </w:r>
      <w:r w:rsidR="00B90E72">
        <w:rPr>
          <w:rFonts w:cs="Arial"/>
          <w:szCs w:val="19"/>
        </w:rPr>
        <w:t xml:space="preserve">note that the Protocol to the International Convention for the Safety of Life at Sea was done </w:t>
      </w:r>
      <w:r w:rsidR="0065745A">
        <w:rPr>
          <w:rFonts w:cs="Arial"/>
          <w:szCs w:val="19"/>
        </w:rPr>
        <w:t>at</w:t>
      </w:r>
      <w:r w:rsidR="00B90E72">
        <w:rPr>
          <w:rFonts w:cs="Arial"/>
          <w:szCs w:val="19"/>
        </w:rPr>
        <w:t xml:space="preserve"> London</w:t>
      </w:r>
      <w:r w:rsidR="0065745A">
        <w:rPr>
          <w:rFonts w:cs="Arial"/>
          <w:szCs w:val="19"/>
        </w:rPr>
        <w:t xml:space="preserve"> on 17 February 1978. This change is intended to </w:t>
      </w:r>
      <w:r>
        <w:rPr>
          <w:rFonts w:cs="Arial"/>
          <w:szCs w:val="19"/>
        </w:rPr>
        <w:t>provide further info</w:t>
      </w:r>
      <w:r w:rsidR="00B90E72">
        <w:rPr>
          <w:rFonts w:cs="Arial"/>
          <w:szCs w:val="19"/>
        </w:rPr>
        <w:t>rmation to the reader</w:t>
      </w:r>
      <w:r w:rsidR="0065745A">
        <w:rPr>
          <w:rFonts w:cs="Arial"/>
          <w:szCs w:val="19"/>
        </w:rPr>
        <w:t xml:space="preserve"> on the particular </w:t>
      </w:r>
      <w:r>
        <w:rPr>
          <w:rFonts w:cs="Arial"/>
          <w:szCs w:val="19"/>
        </w:rPr>
        <w:t>Protocol</w:t>
      </w:r>
      <w:r w:rsidR="0065745A">
        <w:rPr>
          <w:rFonts w:cs="Arial"/>
          <w:szCs w:val="19"/>
        </w:rPr>
        <w:t>.</w:t>
      </w:r>
    </w:p>
    <w:p w:rsidR="00BD5A2A" w:rsidRDefault="00BD5A2A" w:rsidP="00BD5A2A">
      <w:pPr>
        <w:rPr>
          <w:rFonts w:cs="Arial"/>
          <w:szCs w:val="19"/>
        </w:rPr>
      </w:pPr>
    </w:p>
    <w:p w:rsidR="00E73B15" w:rsidRDefault="00907A70" w:rsidP="00E73B15">
      <w:pPr>
        <w:keepNext/>
        <w:rPr>
          <w:rFonts w:cs="Arial"/>
          <w:szCs w:val="19"/>
        </w:rPr>
      </w:pPr>
      <w:r>
        <w:rPr>
          <w:rFonts w:cs="Arial"/>
          <w:szCs w:val="19"/>
        </w:rPr>
        <w:t>This item also inserts a subr</w:t>
      </w:r>
      <w:r w:rsidR="00AA35FC">
        <w:rPr>
          <w:rFonts w:cs="Arial"/>
          <w:szCs w:val="19"/>
        </w:rPr>
        <w:t>egulation 3(2)</w:t>
      </w:r>
      <w:r>
        <w:rPr>
          <w:rFonts w:cs="Arial"/>
          <w:szCs w:val="19"/>
        </w:rPr>
        <w:t xml:space="preserve"> into the Principal Regulations</w:t>
      </w:r>
      <w:r w:rsidR="001B01DE">
        <w:rPr>
          <w:rFonts w:cs="Arial"/>
          <w:szCs w:val="19"/>
        </w:rPr>
        <w:t xml:space="preserve"> that</w:t>
      </w:r>
      <w:r w:rsidR="00AA35FC">
        <w:rPr>
          <w:rFonts w:cs="Arial"/>
          <w:szCs w:val="19"/>
        </w:rPr>
        <w:t xml:space="preserve"> identifies certain </w:t>
      </w:r>
      <w:r w:rsidR="00722F2A">
        <w:rPr>
          <w:rFonts w:cs="Arial"/>
          <w:szCs w:val="19"/>
        </w:rPr>
        <w:t>terms that</w:t>
      </w:r>
      <w:r w:rsidR="00D4709B">
        <w:rPr>
          <w:rFonts w:cs="Arial"/>
          <w:szCs w:val="19"/>
        </w:rPr>
        <w:t>,</w:t>
      </w:r>
      <w:r w:rsidR="00AA35FC">
        <w:rPr>
          <w:rFonts w:cs="Arial"/>
          <w:szCs w:val="19"/>
        </w:rPr>
        <w:t xml:space="preserve"> unless noted o</w:t>
      </w:r>
      <w:r w:rsidR="00722F2A">
        <w:rPr>
          <w:rFonts w:cs="Arial"/>
          <w:szCs w:val="19"/>
        </w:rPr>
        <w:t>therwise</w:t>
      </w:r>
      <w:r w:rsidR="00857348">
        <w:rPr>
          <w:rFonts w:cs="Arial"/>
          <w:szCs w:val="19"/>
        </w:rPr>
        <w:t>,</w:t>
      </w:r>
      <w:r w:rsidR="00AA35FC">
        <w:rPr>
          <w:rFonts w:cs="Arial"/>
          <w:szCs w:val="19"/>
        </w:rPr>
        <w:t xml:space="preserve"> have the same meaning in the </w:t>
      </w:r>
      <w:r w:rsidR="001B01DE">
        <w:rPr>
          <w:rFonts w:cs="Arial"/>
          <w:szCs w:val="19"/>
        </w:rPr>
        <w:t xml:space="preserve">Principal </w:t>
      </w:r>
      <w:r w:rsidR="00AA35FC">
        <w:rPr>
          <w:rFonts w:cs="Arial"/>
          <w:szCs w:val="19"/>
        </w:rPr>
        <w:t xml:space="preserve">Regulations as they do in the Interpretation Determination. </w:t>
      </w:r>
      <w:r w:rsidR="000505FB">
        <w:rPr>
          <w:rFonts w:cs="Arial"/>
          <w:szCs w:val="19"/>
        </w:rPr>
        <w:t>A note is included at the end of th</w:t>
      </w:r>
      <w:r w:rsidR="00223F78">
        <w:rPr>
          <w:rFonts w:cs="Arial"/>
          <w:szCs w:val="19"/>
        </w:rPr>
        <w:t>is</w:t>
      </w:r>
      <w:r w:rsidR="000505FB">
        <w:rPr>
          <w:rFonts w:cs="Arial"/>
          <w:szCs w:val="19"/>
        </w:rPr>
        <w:t xml:space="preserve"> </w:t>
      </w:r>
      <w:r w:rsidR="00223F78">
        <w:rPr>
          <w:rFonts w:cs="Arial"/>
          <w:szCs w:val="19"/>
        </w:rPr>
        <w:t>sub</w:t>
      </w:r>
      <w:r w:rsidR="000505FB">
        <w:rPr>
          <w:rFonts w:cs="Arial"/>
          <w:szCs w:val="19"/>
        </w:rPr>
        <w:t>regulation to specify that</w:t>
      </w:r>
      <w:r w:rsidR="00857348">
        <w:rPr>
          <w:rFonts w:cs="Arial"/>
          <w:szCs w:val="19"/>
        </w:rPr>
        <w:t xml:space="preserve"> these</w:t>
      </w:r>
      <w:r w:rsidR="00AA35FC">
        <w:rPr>
          <w:rFonts w:cs="Arial"/>
          <w:szCs w:val="19"/>
        </w:rPr>
        <w:t xml:space="preserve"> terms are defined in </w:t>
      </w:r>
      <w:r w:rsidR="00123F39">
        <w:rPr>
          <w:rFonts w:cs="Arial"/>
          <w:szCs w:val="19"/>
        </w:rPr>
        <w:t>the</w:t>
      </w:r>
      <w:r w:rsidR="00AA35FC">
        <w:rPr>
          <w:rFonts w:cs="Arial"/>
          <w:szCs w:val="19"/>
        </w:rPr>
        <w:t xml:space="preserve"> Dictionary to Schedule 1 of the Interpretation Determination:</w:t>
      </w:r>
    </w:p>
    <w:p w:rsidR="00AA35FC" w:rsidRPr="00123F39" w:rsidRDefault="00123F39" w:rsidP="00E73B15">
      <w:pPr>
        <w:pStyle w:val="ListParagraph"/>
        <w:keepNext/>
        <w:numPr>
          <w:ilvl w:val="0"/>
          <w:numId w:val="4"/>
        </w:numPr>
        <w:rPr>
          <w:rFonts w:cs="Arial"/>
          <w:b/>
          <w:i/>
          <w:szCs w:val="19"/>
        </w:rPr>
      </w:pPr>
      <w:r w:rsidRPr="00123F39">
        <w:rPr>
          <w:rFonts w:cs="Arial"/>
          <w:b/>
          <w:i/>
          <w:szCs w:val="19"/>
        </w:rPr>
        <w:t>m</w:t>
      </w:r>
      <w:r w:rsidR="00AA35FC" w:rsidRPr="00123F39">
        <w:rPr>
          <w:rFonts w:cs="Arial"/>
          <w:b/>
          <w:i/>
          <w:szCs w:val="19"/>
        </w:rPr>
        <w:t>aritime coast stat</w:t>
      </w:r>
      <w:r w:rsidRPr="00123F39">
        <w:rPr>
          <w:rFonts w:cs="Arial"/>
          <w:b/>
          <w:i/>
          <w:szCs w:val="19"/>
        </w:rPr>
        <w:t>ion</w:t>
      </w:r>
    </w:p>
    <w:p w:rsidR="00123F39" w:rsidRPr="00123F39" w:rsidRDefault="00123F39" w:rsidP="00E73B15">
      <w:pPr>
        <w:pStyle w:val="ListParagraph"/>
        <w:keepNext/>
        <w:numPr>
          <w:ilvl w:val="0"/>
          <w:numId w:val="4"/>
        </w:numPr>
        <w:rPr>
          <w:rFonts w:cs="Arial"/>
          <w:b/>
          <w:i/>
          <w:szCs w:val="19"/>
        </w:rPr>
      </w:pPr>
      <w:r w:rsidRPr="00123F39">
        <w:rPr>
          <w:rFonts w:cs="Arial"/>
          <w:b/>
          <w:i/>
          <w:szCs w:val="19"/>
        </w:rPr>
        <w:t>message</w:t>
      </w:r>
    </w:p>
    <w:p w:rsidR="00123F39" w:rsidRPr="00123F39" w:rsidRDefault="00123F39" w:rsidP="00E73B15">
      <w:pPr>
        <w:pStyle w:val="ListParagraph"/>
        <w:keepNext/>
        <w:numPr>
          <w:ilvl w:val="0"/>
          <w:numId w:val="4"/>
        </w:numPr>
        <w:rPr>
          <w:rFonts w:cs="Arial"/>
          <w:b/>
          <w:i/>
          <w:szCs w:val="19"/>
        </w:rPr>
      </w:pPr>
      <w:r w:rsidRPr="00123F39">
        <w:rPr>
          <w:rFonts w:cs="Arial"/>
          <w:b/>
          <w:i/>
          <w:szCs w:val="19"/>
        </w:rPr>
        <w:t>ship</w:t>
      </w:r>
    </w:p>
    <w:p w:rsidR="00123F39" w:rsidRPr="00123F39" w:rsidRDefault="00123F39" w:rsidP="00E73B15">
      <w:pPr>
        <w:pStyle w:val="ListParagraph"/>
        <w:keepNext/>
        <w:numPr>
          <w:ilvl w:val="0"/>
          <w:numId w:val="4"/>
        </w:numPr>
        <w:rPr>
          <w:rFonts w:cs="Arial"/>
          <w:b/>
          <w:i/>
          <w:szCs w:val="19"/>
        </w:rPr>
      </w:pPr>
      <w:r w:rsidRPr="00123F39">
        <w:rPr>
          <w:rFonts w:cs="Arial"/>
          <w:b/>
          <w:i/>
          <w:szCs w:val="19"/>
        </w:rPr>
        <w:t>ship station Class B</w:t>
      </w:r>
    </w:p>
    <w:p w:rsidR="00123F39" w:rsidRPr="00123F39" w:rsidRDefault="00123F39" w:rsidP="00E73B15">
      <w:pPr>
        <w:pStyle w:val="ListParagraph"/>
        <w:keepNext/>
        <w:numPr>
          <w:ilvl w:val="0"/>
          <w:numId w:val="4"/>
        </w:numPr>
        <w:rPr>
          <w:rFonts w:cs="Arial"/>
          <w:b/>
          <w:i/>
          <w:szCs w:val="19"/>
        </w:rPr>
      </w:pPr>
      <w:r w:rsidRPr="00123F39">
        <w:rPr>
          <w:rFonts w:cs="Arial"/>
          <w:b/>
          <w:i/>
          <w:szCs w:val="19"/>
        </w:rPr>
        <w:t xml:space="preserve">ship </w:t>
      </w:r>
      <w:r w:rsidR="00D4709B">
        <w:rPr>
          <w:rFonts w:cs="Arial"/>
          <w:b/>
          <w:i/>
          <w:szCs w:val="19"/>
        </w:rPr>
        <w:t>s</w:t>
      </w:r>
      <w:r w:rsidRPr="00123F39">
        <w:rPr>
          <w:rFonts w:cs="Arial"/>
          <w:b/>
          <w:i/>
          <w:szCs w:val="19"/>
        </w:rPr>
        <w:t xml:space="preserve">tation </w:t>
      </w:r>
      <w:r w:rsidR="00A83062">
        <w:rPr>
          <w:rFonts w:cs="Arial"/>
          <w:b/>
          <w:i/>
          <w:szCs w:val="19"/>
        </w:rPr>
        <w:t>C</w:t>
      </w:r>
      <w:r w:rsidR="00A83062" w:rsidRPr="00123F39">
        <w:rPr>
          <w:rFonts w:cs="Arial"/>
          <w:b/>
          <w:i/>
          <w:szCs w:val="19"/>
        </w:rPr>
        <w:t xml:space="preserve">lass </w:t>
      </w:r>
      <w:r w:rsidRPr="00123F39">
        <w:rPr>
          <w:rFonts w:cs="Arial"/>
          <w:b/>
          <w:i/>
          <w:szCs w:val="19"/>
        </w:rPr>
        <w:t>C</w:t>
      </w:r>
    </w:p>
    <w:p w:rsidR="00123F39" w:rsidRPr="00123F39" w:rsidRDefault="00123F39" w:rsidP="00E73B15">
      <w:pPr>
        <w:pStyle w:val="ListParagraph"/>
        <w:keepNext/>
        <w:numPr>
          <w:ilvl w:val="0"/>
          <w:numId w:val="4"/>
        </w:numPr>
        <w:rPr>
          <w:rFonts w:cs="Arial"/>
          <w:b/>
          <w:i/>
          <w:szCs w:val="19"/>
        </w:rPr>
      </w:pPr>
      <w:r w:rsidRPr="00123F39">
        <w:rPr>
          <w:rFonts w:cs="Arial"/>
          <w:b/>
          <w:i/>
          <w:szCs w:val="19"/>
        </w:rPr>
        <w:t>station</w:t>
      </w:r>
    </w:p>
    <w:p w:rsidR="00123F39" w:rsidRDefault="00123F39" w:rsidP="00123F39">
      <w:pPr>
        <w:rPr>
          <w:rFonts w:cs="Arial"/>
          <w:szCs w:val="19"/>
        </w:rPr>
      </w:pPr>
    </w:p>
    <w:p w:rsidR="008033B7" w:rsidRDefault="002005A7" w:rsidP="00123F39">
      <w:pPr>
        <w:rPr>
          <w:rFonts w:cs="Arial"/>
          <w:b/>
          <w:szCs w:val="19"/>
        </w:rPr>
      </w:pPr>
      <w:r>
        <w:rPr>
          <w:rFonts w:cs="Arial"/>
          <w:b/>
          <w:szCs w:val="19"/>
        </w:rPr>
        <w:t>Item 2 – Regulation 20</w:t>
      </w:r>
    </w:p>
    <w:p w:rsidR="002005A7" w:rsidRDefault="002005A7" w:rsidP="00123F39">
      <w:pPr>
        <w:rPr>
          <w:rFonts w:cs="Arial"/>
          <w:b/>
          <w:szCs w:val="19"/>
        </w:rPr>
      </w:pPr>
    </w:p>
    <w:p w:rsidR="00FB6A31" w:rsidRPr="00B21A31" w:rsidRDefault="002005A7" w:rsidP="00FB6A31">
      <w:pPr>
        <w:rPr>
          <w:rFonts w:cs="Arial"/>
          <w:szCs w:val="19"/>
        </w:rPr>
      </w:pPr>
      <w:r>
        <w:rPr>
          <w:rFonts w:cs="Arial"/>
          <w:szCs w:val="19"/>
        </w:rPr>
        <w:t>Item 2 substitutes regulation 20 of the Principal Regulations</w:t>
      </w:r>
      <w:r w:rsidR="00047970">
        <w:rPr>
          <w:rFonts w:cs="Arial"/>
          <w:szCs w:val="19"/>
        </w:rPr>
        <w:t xml:space="preserve"> to change two references to ‘the ACA’</w:t>
      </w:r>
      <w:r w:rsidR="00FB6A31">
        <w:rPr>
          <w:rFonts w:cs="Arial"/>
          <w:szCs w:val="19"/>
        </w:rPr>
        <w:t xml:space="preserve"> (referring to the former Australian Communications Authority) from the Principal Regulations with the acronym ‘ACMA’ (as the successor to the Australian Communications Authority) throughout the Principal Regulations. </w:t>
      </w:r>
      <w:r w:rsidR="00FB6A31" w:rsidRPr="00E341D9">
        <w:rPr>
          <w:rFonts w:cs="Arial"/>
          <w:szCs w:val="19"/>
        </w:rPr>
        <w:t>On 1 July</w:t>
      </w:r>
      <w:r w:rsidR="00FB6A31">
        <w:rPr>
          <w:rFonts w:cs="Arial"/>
          <w:szCs w:val="19"/>
        </w:rPr>
        <w:t xml:space="preserve"> 2005</w:t>
      </w:r>
      <w:r w:rsidR="00FB6A31" w:rsidRPr="00E341D9">
        <w:rPr>
          <w:rFonts w:cs="Arial"/>
          <w:szCs w:val="19"/>
        </w:rPr>
        <w:t>, the former Australian Broadcasting Authority (ABA) and the former ACA were amalgamated to form the ACMA (established under the</w:t>
      </w:r>
      <w:r w:rsidR="00FB6A31">
        <w:rPr>
          <w:rFonts w:cs="Arial"/>
          <w:szCs w:val="19"/>
        </w:rPr>
        <w:t xml:space="preserve"> ACMA Act).</w:t>
      </w:r>
      <w:r w:rsidR="00FB6A31" w:rsidRPr="00E341D9">
        <w:rPr>
          <w:rFonts w:cs="Arial"/>
          <w:szCs w:val="19"/>
        </w:rPr>
        <w:t xml:space="preserve"> </w:t>
      </w:r>
      <w:r w:rsidR="00FB6A31">
        <w:rPr>
          <w:rFonts w:cs="Arial"/>
          <w:szCs w:val="19"/>
        </w:rPr>
        <w:t xml:space="preserve"> Whilst item 8 of </w:t>
      </w:r>
      <w:r w:rsidR="00FB6A31" w:rsidRPr="00E341D9">
        <w:rPr>
          <w:rFonts w:cs="Arial"/>
          <w:szCs w:val="19"/>
        </w:rPr>
        <w:t xml:space="preserve">Schedule 4 to the </w:t>
      </w:r>
      <w:r w:rsidR="00FB6A31" w:rsidRPr="008A7FAC">
        <w:rPr>
          <w:rFonts w:cs="Arial"/>
          <w:i/>
          <w:szCs w:val="19"/>
        </w:rPr>
        <w:t xml:space="preserve">Australian </w:t>
      </w:r>
      <w:r w:rsidR="00FB6A31" w:rsidRPr="001B38E7">
        <w:rPr>
          <w:rFonts w:cs="Arial"/>
          <w:i/>
          <w:szCs w:val="19"/>
        </w:rPr>
        <w:t>Communications</w:t>
      </w:r>
      <w:r w:rsidR="00FB6A31" w:rsidRPr="00E341D9">
        <w:rPr>
          <w:rFonts w:cs="Arial"/>
          <w:i/>
          <w:szCs w:val="19"/>
        </w:rPr>
        <w:t xml:space="preserve"> and Media Authority (Consequential and Transitional Provisions) Act</w:t>
      </w:r>
      <w:r w:rsidR="00FB6A31" w:rsidRPr="00E341D9">
        <w:rPr>
          <w:rFonts w:cs="Arial"/>
          <w:szCs w:val="19"/>
        </w:rPr>
        <w:t xml:space="preserve"> </w:t>
      </w:r>
      <w:r w:rsidR="00FB6A31" w:rsidRPr="00E341D9">
        <w:rPr>
          <w:rFonts w:cs="Arial"/>
          <w:i/>
          <w:szCs w:val="19"/>
        </w:rPr>
        <w:t>2005</w:t>
      </w:r>
      <w:r w:rsidR="00FB6A31" w:rsidRPr="00E341D9">
        <w:rPr>
          <w:rFonts w:cs="Arial"/>
          <w:szCs w:val="19"/>
        </w:rPr>
        <w:t xml:space="preserve"> provides that instruments (including regulations) which contain references to the ACA continue to have effect from the transition time as if </w:t>
      </w:r>
      <w:r w:rsidR="00FB6A31">
        <w:rPr>
          <w:rFonts w:cs="Arial"/>
          <w:szCs w:val="19"/>
        </w:rPr>
        <w:t xml:space="preserve">a </w:t>
      </w:r>
      <w:r w:rsidR="00FB6A31" w:rsidRPr="00E341D9">
        <w:rPr>
          <w:rFonts w:cs="Arial"/>
          <w:szCs w:val="19"/>
        </w:rPr>
        <w:t>reference in the instrume</w:t>
      </w:r>
      <w:r w:rsidR="00FB6A31">
        <w:rPr>
          <w:rFonts w:cs="Arial"/>
          <w:szCs w:val="19"/>
        </w:rPr>
        <w:t xml:space="preserve">nt were a reference to the ACMA, the update is considered necessary for providing ease of use and manageability of the Principal Regulations. </w:t>
      </w:r>
    </w:p>
    <w:p w:rsidR="001B01DE" w:rsidRDefault="001B01DE" w:rsidP="00123F39">
      <w:pPr>
        <w:rPr>
          <w:rFonts w:cs="Arial"/>
          <w:szCs w:val="19"/>
        </w:rPr>
      </w:pPr>
    </w:p>
    <w:p w:rsidR="001B01DE" w:rsidRDefault="001B01DE" w:rsidP="00123F39">
      <w:pPr>
        <w:rPr>
          <w:rFonts w:cs="Arial"/>
          <w:b/>
          <w:szCs w:val="19"/>
        </w:rPr>
      </w:pPr>
      <w:r>
        <w:rPr>
          <w:rFonts w:cs="Arial"/>
          <w:b/>
          <w:szCs w:val="19"/>
        </w:rPr>
        <w:t xml:space="preserve">Item </w:t>
      </w:r>
      <w:r w:rsidR="008033B7">
        <w:rPr>
          <w:rFonts w:cs="Arial"/>
          <w:b/>
          <w:szCs w:val="19"/>
        </w:rPr>
        <w:t>3</w:t>
      </w:r>
      <w:r>
        <w:rPr>
          <w:rFonts w:cs="Arial"/>
          <w:b/>
          <w:szCs w:val="19"/>
        </w:rPr>
        <w:t xml:space="preserve"> – Paragraph 21(1)(b)</w:t>
      </w:r>
    </w:p>
    <w:p w:rsidR="001B01DE" w:rsidRDefault="001B01DE" w:rsidP="00123F39">
      <w:pPr>
        <w:rPr>
          <w:rFonts w:cs="Arial"/>
          <w:b/>
          <w:szCs w:val="19"/>
        </w:rPr>
      </w:pPr>
    </w:p>
    <w:p w:rsidR="000505FB" w:rsidRDefault="003C2F52" w:rsidP="00123F39">
      <w:pPr>
        <w:rPr>
          <w:rFonts w:cs="Arial"/>
          <w:szCs w:val="19"/>
        </w:rPr>
      </w:pPr>
      <w:r>
        <w:rPr>
          <w:rFonts w:cs="Arial"/>
          <w:szCs w:val="19"/>
        </w:rPr>
        <w:t xml:space="preserve">Item </w:t>
      </w:r>
      <w:r w:rsidR="00FB6A31">
        <w:rPr>
          <w:rFonts w:cs="Arial"/>
          <w:szCs w:val="19"/>
        </w:rPr>
        <w:t>3</w:t>
      </w:r>
      <w:r>
        <w:rPr>
          <w:rFonts w:cs="Arial"/>
          <w:szCs w:val="19"/>
        </w:rPr>
        <w:t xml:space="preserve"> </w:t>
      </w:r>
      <w:r w:rsidR="00B907BA">
        <w:rPr>
          <w:rFonts w:cs="Arial"/>
          <w:szCs w:val="19"/>
        </w:rPr>
        <w:t xml:space="preserve">substitutes </w:t>
      </w:r>
      <w:r w:rsidR="007300AE">
        <w:rPr>
          <w:rFonts w:cs="Arial"/>
          <w:szCs w:val="19"/>
        </w:rPr>
        <w:t xml:space="preserve">from </w:t>
      </w:r>
      <w:r w:rsidR="00B907BA">
        <w:rPr>
          <w:rFonts w:cs="Arial"/>
          <w:szCs w:val="19"/>
        </w:rPr>
        <w:t>p</w:t>
      </w:r>
      <w:r w:rsidR="007300AE">
        <w:rPr>
          <w:rFonts w:cs="Arial"/>
          <w:szCs w:val="19"/>
        </w:rPr>
        <w:t xml:space="preserve">aragraph 21(1)(b) of the </w:t>
      </w:r>
      <w:r w:rsidR="00B907BA">
        <w:rPr>
          <w:rFonts w:cs="Arial"/>
          <w:szCs w:val="19"/>
        </w:rPr>
        <w:t xml:space="preserve">Principal </w:t>
      </w:r>
      <w:r w:rsidR="007300AE">
        <w:rPr>
          <w:rFonts w:cs="Arial"/>
          <w:szCs w:val="19"/>
        </w:rPr>
        <w:t xml:space="preserve">Regulations </w:t>
      </w:r>
      <w:r w:rsidR="000505FB">
        <w:rPr>
          <w:rFonts w:cs="Arial"/>
          <w:szCs w:val="19"/>
        </w:rPr>
        <w:t>the phrase ‘section 53 of the</w:t>
      </w:r>
      <w:r w:rsidR="007300AE">
        <w:rPr>
          <w:rFonts w:cs="Arial"/>
          <w:szCs w:val="19"/>
        </w:rPr>
        <w:t xml:space="preserve"> </w:t>
      </w:r>
      <w:r w:rsidR="007300AE">
        <w:rPr>
          <w:rFonts w:cs="Arial"/>
          <w:i/>
          <w:szCs w:val="19"/>
        </w:rPr>
        <w:t xml:space="preserve">Australian </w:t>
      </w:r>
      <w:r w:rsidR="00A24729">
        <w:rPr>
          <w:rFonts w:cs="Arial"/>
          <w:i/>
          <w:szCs w:val="19"/>
        </w:rPr>
        <w:t>C</w:t>
      </w:r>
      <w:r w:rsidR="007300AE">
        <w:rPr>
          <w:rFonts w:cs="Arial"/>
          <w:i/>
          <w:szCs w:val="19"/>
        </w:rPr>
        <w:t>ommunications Authority Act 1997</w:t>
      </w:r>
      <w:r w:rsidR="007300AE">
        <w:rPr>
          <w:rFonts w:cs="Arial"/>
          <w:szCs w:val="19"/>
        </w:rPr>
        <w:t xml:space="preserve">’ </w:t>
      </w:r>
      <w:r w:rsidR="00B907BA">
        <w:rPr>
          <w:rFonts w:cs="Arial"/>
          <w:szCs w:val="19"/>
        </w:rPr>
        <w:t>with</w:t>
      </w:r>
      <w:r w:rsidR="007300AE">
        <w:rPr>
          <w:rFonts w:cs="Arial"/>
          <w:szCs w:val="19"/>
        </w:rPr>
        <w:t xml:space="preserve"> ‘section</w:t>
      </w:r>
      <w:r w:rsidR="00B907BA">
        <w:rPr>
          <w:rFonts w:cs="Arial"/>
          <w:szCs w:val="19"/>
        </w:rPr>
        <w:t> </w:t>
      </w:r>
      <w:r w:rsidR="007300AE">
        <w:rPr>
          <w:rFonts w:cs="Arial"/>
          <w:szCs w:val="19"/>
        </w:rPr>
        <w:t>60 o</w:t>
      </w:r>
      <w:r w:rsidR="00B907BA">
        <w:rPr>
          <w:rFonts w:cs="Arial"/>
          <w:szCs w:val="19"/>
        </w:rPr>
        <w:t>f</w:t>
      </w:r>
      <w:r w:rsidR="007300AE">
        <w:rPr>
          <w:rFonts w:cs="Arial"/>
          <w:szCs w:val="19"/>
        </w:rPr>
        <w:t xml:space="preserve"> the </w:t>
      </w:r>
      <w:r w:rsidR="007300AE">
        <w:rPr>
          <w:rFonts w:cs="Arial"/>
          <w:i/>
          <w:szCs w:val="19"/>
        </w:rPr>
        <w:t xml:space="preserve">Australian Communications and Media </w:t>
      </w:r>
      <w:r w:rsidR="00A24729">
        <w:rPr>
          <w:rFonts w:cs="Arial"/>
          <w:i/>
          <w:szCs w:val="19"/>
        </w:rPr>
        <w:t>A</w:t>
      </w:r>
      <w:r w:rsidR="007300AE">
        <w:rPr>
          <w:rFonts w:cs="Arial"/>
          <w:i/>
          <w:szCs w:val="19"/>
        </w:rPr>
        <w:t>uthority Act 2005</w:t>
      </w:r>
      <w:r w:rsidR="007300AE">
        <w:rPr>
          <w:rFonts w:cs="Arial"/>
          <w:szCs w:val="19"/>
        </w:rPr>
        <w:t>’. This</w:t>
      </w:r>
      <w:r w:rsidR="00A24729">
        <w:rPr>
          <w:rFonts w:cs="Arial"/>
          <w:szCs w:val="19"/>
        </w:rPr>
        <w:t xml:space="preserve"> change brings the regulation up to date with the legislative regime to which it applies.</w:t>
      </w:r>
    </w:p>
    <w:p w:rsidR="00B907BA" w:rsidRDefault="00B907BA" w:rsidP="00123F39">
      <w:pPr>
        <w:rPr>
          <w:rFonts w:cs="Arial"/>
          <w:szCs w:val="19"/>
        </w:rPr>
      </w:pPr>
    </w:p>
    <w:p w:rsidR="00B907BA" w:rsidRPr="00B907BA" w:rsidRDefault="00B907BA" w:rsidP="004813A6">
      <w:pPr>
        <w:keepNext/>
        <w:rPr>
          <w:rFonts w:cs="Arial"/>
          <w:b/>
          <w:szCs w:val="19"/>
        </w:rPr>
      </w:pPr>
      <w:r>
        <w:rPr>
          <w:rFonts w:cs="Arial"/>
          <w:b/>
          <w:szCs w:val="19"/>
        </w:rPr>
        <w:t xml:space="preserve">Item </w:t>
      </w:r>
      <w:r w:rsidR="008033B7">
        <w:rPr>
          <w:rFonts w:cs="Arial"/>
          <w:b/>
          <w:szCs w:val="19"/>
        </w:rPr>
        <w:t>4</w:t>
      </w:r>
      <w:r>
        <w:rPr>
          <w:rFonts w:cs="Arial"/>
          <w:b/>
          <w:szCs w:val="19"/>
        </w:rPr>
        <w:t xml:space="preserve"> – Paragraph 25(1)(f)</w:t>
      </w:r>
    </w:p>
    <w:p w:rsidR="00A24729" w:rsidRDefault="00A24729" w:rsidP="004813A6">
      <w:pPr>
        <w:keepNext/>
        <w:rPr>
          <w:rFonts w:cs="Arial"/>
          <w:szCs w:val="19"/>
        </w:rPr>
      </w:pPr>
    </w:p>
    <w:p w:rsidR="00724EE8" w:rsidRDefault="005552CA" w:rsidP="004813A6">
      <w:pPr>
        <w:keepNext/>
        <w:rPr>
          <w:rFonts w:cs="Arial"/>
          <w:szCs w:val="19"/>
        </w:rPr>
      </w:pPr>
      <w:r>
        <w:rPr>
          <w:rFonts w:cs="Arial"/>
          <w:szCs w:val="19"/>
        </w:rPr>
        <w:t xml:space="preserve">Item </w:t>
      </w:r>
      <w:r w:rsidR="00FB6A31">
        <w:rPr>
          <w:rFonts w:cs="Arial"/>
          <w:szCs w:val="19"/>
        </w:rPr>
        <w:t>4</w:t>
      </w:r>
      <w:r>
        <w:rPr>
          <w:rFonts w:cs="Arial"/>
          <w:szCs w:val="19"/>
        </w:rPr>
        <w:t xml:space="preserve"> </w:t>
      </w:r>
      <w:r w:rsidR="00A24729">
        <w:rPr>
          <w:rFonts w:cs="Arial"/>
          <w:szCs w:val="19"/>
        </w:rPr>
        <w:t xml:space="preserve">omits from </w:t>
      </w:r>
      <w:r w:rsidR="00B907BA">
        <w:rPr>
          <w:rFonts w:cs="Arial"/>
          <w:szCs w:val="19"/>
        </w:rPr>
        <w:t>p</w:t>
      </w:r>
      <w:r w:rsidR="00A24729">
        <w:rPr>
          <w:rFonts w:cs="Arial"/>
          <w:szCs w:val="19"/>
        </w:rPr>
        <w:t xml:space="preserve">aragraph 25(1)(f) of the </w:t>
      </w:r>
      <w:r w:rsidR="00B907BA">
        <w:rPr>
          <w:rFonts w:cs="Arial"/>
          <w:szCs w:val="19"/>
        </w:rPr>
        <w:t xml:space="preserve">Principal </w:t>
      </w:r>
      <w:r w:rsidR="00A24729">
        <w:rPr>
          <w:rFonts w:cs="Arial"/>
          <w:szCs w:val="19"/>
        </w:rPr>
        <w:t>Regulations the phrase ‘the Chairman or’. Th</w:t>
      </w:r>
      <w:r w:rsidR="00B907BA">
        <w:rPr>
          <w:rFonts w:cs="Arial"/>
          <w:szCs w:val="19"/>
        </w:rPr>
        <w:t>is is a necessary consequential amendment because</w:t>
      </w:r>
      <w:r w:rsidR="00223F78">
        <w:rPr>
          <w:rFonts w:cs="Arial"/>
          <w:szCs w:val="19"/>
        </w:rPr>
        <w:t xml:space="preserve"> of the following:</w:t>
      </w:r>
      <w:r w:rsidR="00A24729">
        <w:rPr>
          <w:rFonts w:cs="Arial"/>
          <w:szCs w:val="19"/>
        </w:rPr>
        <w:t xml:space="preserve"> </w:t>
      </w:r>
    </w:p>
    <w:p w:rsidR="00A24729" w:rsidRDefault="00724EE8" w:rsidP="00724EE8">
      <w:pPr>
        <w:pStyle w:val="ListParagraph"/>
        <w:numPr>
          <w:ilvl w:val="0"/>
          <w:numId w:val="5"/>
        </w:numPr>
        <w:rPr>
          <w:rFonts w:cs="Arial"/>
          <w:szCs w:val="19"/>
        </w:rPr>
      </w:pPr>
      <w:r>
        <w:rPr>
          <w:rFonts w:cs="Arial"/>
          <w:szCs w:val="19"/>
        </w:rPr>
        <w:t>The repeal of the term ‘Chairman’</w:t>
      </w:r>
      <w:r w:rsidR="00B907BA">
        <w:rPr>
          <w:rFonts w:cs="Arial"/>
          <w:szCs w:val="19"/>
        </w:rPr>
        <w:t xml:space="preserve"> from regulation 3 under item 1; and</w:t>
      </w:r>
      <w:r>
        <w:rPr>
          <w:rFonts w:cs="Arial"/>
          <w:szCs w:val="19"/>
        </w:rPr>
        <w:t xml:space="preserve"> </w:t>
      </w:r>
    </w:p>
    <w:p w:rsidR="00B907BA" w:rsidRDefault="00223F78" w:rsidP="00724EE8">
      <w:pPr>
        <w:pStyle w:val="ListParagraph"/>
        <w:numPr>
          <w:ilvl w:val="0"/>
          <w:numId w:val="5"/>
        </w:numPr>
        <w:rPr>
          <w:rFonts w:cs="Arial"/>
          <w:szCs w:val="19"/>
        </w:rPr>
      </w:pPr>
      <w:r>
        <w:rPr>
          <w:rFonts w:cs="Arial"/>
          <w:szCs w:val="19"/>
        </w:rPr>
        <w:lastRenderedPageBreak/>
        <w:t>P</w:t>
      </w:r>
      <w:r w:rsidR="005552CA">
        <w:rPr>
          <w:rFonts w:cs="Arial"/>
          <w:szCs w:val="19"/>
        </w:rPr>
        <w:t xml:space="preserve">aragraph 25(1)(f) allows for ‘an authorised person’ to carry out the same activity as the Chairman. </w:t>
      </w:r>
      <w:r w:rsidR="00FB25E6">
        <w:rPr>
          <w:rFonts w:cs="Arial"/>
          <w:szCs w:val="19"/>
        </w:rPr>
        <w:t>Thus, a</w:t>
      </w:r>
      <w:r w:rsidR="005552CA">
        <w:rPr>
          <w:rFonts w:cs="Arial"/>
          <w:szCs w:val="19"/>
        </w:rPr>
        <w:t>s the term ‘authorised person’ encompasses the term ‘Chair’ into its definition</w:t>
      </w:r>
      <w:r w:rsidR="004B2696">
        <w:rPr>
          <w:rFonts w:cs="Arial"/>
          <w:szCs w:val="19"/>
        </w:rPr>
        <w:t xml:space="preserve"> under </w:t>
      </w:r>
      <w:r w:rsidR="00B907BA">
        <w:rPr>
          <w:rFonts w:cs="Arial"/>
          <w:szCs w:val="19"/>
        </w:rPr>
        <w:t>item 1</w:t>
      </w:r>
      <w:r w:rsidR="005552CA">
        <w:rPr>
          <w:rFonts w:cs="Arial"/>
          <w:szCs w:val="19"/>
        </w:rPr>
        <w:t xml:space="preserve">, it would be </w:t>
      </w:r>
      <w:r w:rsidR="00050EF4">
        <w:rPr>
          <w:rFonts w:cs="Arial"/>
          <w:szCs w:val="19"/>
        </w:rPr>
        <w:t>unnecessary</w:t>
      </w:r>
      <w:r w:rsidR="005552CA">
        <w:rPr>
          <w:rFonts w:cs="Arial"/>
          <w:szCs w:val="19"/>
        </w:rPr>
        <w:t xml:space="preserve"> to replace ‘Chairman’ with ‘Chair’.</w:t>
      </w:r>
    </w:p>
    <w:p w:rsidR="008A7FAC" w:rsidRDefault="005552CA" w:rsidP="008A7FAC">
      <w:pPr>
        <w:pStyle w:val="ListParagraph"/>
        <w:rPr>
          <w:rFonts w:cs="Arial"/>
          <w:szCs w:val="19"/>
        </w:rPr>
      </w:pPr>
      <w:r>
        <w:rPr>
          <w:rFonts w:cs="Arial"/>
          <w:szCs w:val="19"/>
        </w:rPr>
        <w:t xml:space="preserve"> </w:t>
      </w:r>
    </w:p>
    <w:p w:rsidR="005552CA" w:rsidRDefault="00B907BA" w:rsidP="005552CA">
      <w:pPr>
        <w:rPr>
          <w:rFonts w:cs="Arial"/>
          <w:b/>
          <w:szCs w:val="19"/>
        </w:rPr>
      </w:pPr>
      <w:r>
        <w:rPr>
          <w:rFonts w:cs="Arial"/>
          <w:b/>
          <w:szCs w:val="19"/>
        </w:rPr>
        <w:t xml:space="preserve">Item </w:t>
      </w:r>
      <w:r w:rsidR="008033B7">
        <w:rPr>
          <w:rFonts w:cs="Arial"/>
          <w:b/>
          <w:szCs w:val="19"/>
        </w:rPr>
        <w:t>5</w:t>
      </w:r>
      <w:r>
        <w:rPr>
          <w:rFonts w:cs="Arial"/>
          <w:b/>
          <w:szCs w:val="19"/>
        </w:rPr>
        <w:t xml:space="preserve"> – Regulation 26</w:t>
      </w:r>
    </w:p>
    <w:p w:rsidR="00B907BA" w:rsidRPr="00B907BA" w:rsidRDefault="00B907BA" w:rsidP="005552CA">
      <w:pPr>
        <w:rPr>
          <w:rFonts w:cs="Arial"/>
          <w:b/>
          <w:szCs w:val="19"/>
        </w:rPr>
      </w:pPr>
    </w:p>
    <w:p w:rsidR="005552CA" w:rsidRDefault="005552CA" w:rsidP="005552CA">
      <w:pPr>
        <w:rPr>
          <w:rFonts w:cs="Arial"/>
          <w:szCs w:val="19"/>
        </w:rPr>
      </w:pPr>
      <w:r>
        <w:rPr>
          <w:rFonts w:cs="Arial"/>
          <w:szCs w:val="19"/>
        </w:rPr>
        <w:t xml:space="preserve">Item </w:t>
      </w:r>
      <w:r w:rsidR="00FB6A31">
        <w:rPr>
          <w:rFonts w:cs="Arial"/>
          <w:szCs w:val="19"/>
        </w:rPr>
        <w:t>5</w:t>
      </w:r>
      <w:r>
        <w:rPr>
          <w:rFonts w:cs="Arial"/>
          <w:szCs w:val="19"/>
        </w:rPr>
        <w:t xml:space="preserve"> </w:t>
      </w:r>
      <w:r w:rsidR="00B907BA">
        <w:rPr>
          <w:rFonts w:cs="Arial"/>
          <w:szCs w:val="19"/>
        </w:rPr>
        <w:t xml:space="preserve">substitutes </w:t>
      </w:r>
      <w:r>
        <w:rPr>
          <w:rFonts w:cs="Arial"/>
          <w:szCs w:val="19"/>
        </w:rPr>
        <w:t xml:space="preserve">from </w:t>
      </w:r>
      <w:r w:rsidR="00B907BA">
        <w:rPr>
          <w:rFonts w:cs="Arial"/>
          <w:szCs w:val="19"/>
        </w:rPr>
        <w:t>r</w:t>
      </w:r>
      <w:r>
        <w:rPr>
          <w:rFonts w:cs="Arial"/>
          <w:szCs w:val="19"/>
        </w:rPr>
        <w:t>egulation 26</w:t>
      </w:r>
      <w:r w:rsidR="00B907BA">
        <w:rPr>
          <w:rFonts w:cs="Arial"/>
          <w:szCs w:val="19"/>
        </w:rPr>
        <w:t xml:space="preserve"> of the Principal Regulations</w:t>
      </w:r>
      <w:r>
        <w:rPr>
          <w:rFonts w:cs="Arial"/>
          <w:szCs w:val="19"/>
        </w:rPr>
        <w:t xml:space="preserve"> each mention of the phrase, ‘the Chairman, or an authorised person,’ </w:t>
      </w:r>
      <w:r w:rsidR="00B907BA">
        <w:rPr>
          <w:rFonts w:cs="Arial"/>
          <w:szCs w:val="19"/>
        </w:rPr>
        <w:t>with</w:t>
      </w:r>
      <w:r w:rsidR="00050EF4">
        <w:rPr>
          <w:rFonts w:cs="Arial"/>
          <w:szCs w:val="19"/>
        </w:rPr>
        <w:t xml:space="preserve"> ‘an authorised person’</w:t>
      </w:r>
      <w:r>
        <w:rPr>
          <w:rFonts w:cs="Arial"/>
          <w:szCs w:val="19"/>
        </w:rPr>
        <w:t xml:space="preserve">. As </w:t>
      </w:r>
      <w:r w:rsidR="00B907BA">
        <w:rPr>
          <w:rFonts w:cs="Arial"/>
          <w:szCs w:val="19"/>
        </w:rPr>
        <w:t xml:space="preserve">noted </w:t>
      </w:r>
      <w:r>
        <w:rPr>
          <w:rFonts w:cs="Arial"/>
          <w:szCs w:val="19"/>
        </w:rPr>
        <w:t xml:space="preserve">with item </w:t>
      </w:r>
      <w:r w:rsidR="00E87E8E">
        <w:rPr>
          <w:rFonts w:cs="Arial"/>
          <w:szCs w:val="19"/>
        </w:rPr>
        <w:t>4</w:t>
      </w:r>
      <w:r>
        <w:rPr>
          <w:rFonts w:cs="Arial"/>
          <w:szCs w:val="19"/>
        </w:rPr>
        <w:t xml:space="preserve"> above, this amendment is design</w:t>
      </w:r>
      <w:r w:rsidR="00050EF4">
        <w:rPr>
          <w:rFonts w:cs="Arial"/>
          <w:szCs w:val="19"/>
        </w:rPr>
        <w:t>ed to clean up the redundant us</w:t>
      </w:r>
      <w:r>
        <w:rPr>
          <w:rFonts w:cs="Arial"/>
          <w:szCs w:val="19"/>
        </w:rPr>
        <w:t>age of the term, ‘the Chairman’</w:t>
      </w:r>
      <w:r w:rsidR="00050EF4">
        <w:rPr>
          <w:rFonts w:cs="Arial"/>
          <w:szCs w:val="19"/>
        </w:rPr>
        <w:t>, and replace it with the all encompassing</w:t>
      </w:r>
      <w:r w:rsidR="00223F78">
        <w:rPr>
          <w:rFonts w:cs="Arial"/>
          <w:szCs w:val="19"/>
        </w:rPr>
        <w:t xml:space="preserve"> term</w:t>
      </w:r>
      <w:r w:rsidR="00050EF4">
        <w:rPr>
          <w:rFonts w:cs="Arial"/>
          <w:szCs w:val="19"/>
        </w:rPr>
        <w:t xml:space="preserve"> ‘authorised person’</w:t>
      </w:r>
      <w:r w:rsidR="00B907BA">
        <w:rPr>
          <w:rFonts w:cs="Arial"/>
          <w:szCs w:val="19"/>
        </w:rPr>
        <w:t xml:space="preserve">, which </w:t>
      </w:r>
      <w:r w:rsidR="007E2749">
        <w:rPr>
          <w:rFonts w:cs="Arial"/>
          <w:szCs w:val="19"/>
        </w:rPr>
        <w:t xml:space="preserve">encompasses the term </w:t>
      </w:r>
      <w:r w:rsidR="00B907BA">
        <w:rPr>
          <w:rFonts w:cs="Arial"/>
          <w:szCs w:val="19"/>
        </w:rPr>
        <w:t>‘the Chair’ (see item 1 above)</w:t>
      </w:r>
      <w:r w:rsidR="00050EF4">
        <w:rPr>
          <w:rFonts w:cs="Arial"/>
          <w:szCs w:val="19"/>
        </w:rPr>
        <w:t>.</w:t>
      </w:r>
    </w:p>
    <w:p w:rsidR="00B907BA" w:rsidRDefault="00B907BA" w:rsidP="005552CA">
      <w:pPr>
        <w:rPr>
          <w:rFonts w:cs="Arial"/>
          <w:szCs w:val="19"/>
        </w:rPr>
      </w:pPr>
    </w:p>
    <w:p w:rsidR="00B907BA" w:rsidRPr="00B907BA" w:rsidRDefault="00B907BA" w:rsidP="005552CA">
      <w:pPr>
        <w:rPr>
          <w:rFonts w:cs="Arial"/>
          <w:b/>
          <w:szCs w:val="19"/>
        </w:rPr>
      </w:pPr>
      <w:r>
        <w:rPr>
          <w:rFonts w:cs="Arial"/>
          <w:b/>
          <w:szCs w:val="19"/>
        </w:rPr>
        <w:t xml:space="preserve">Item </w:t>
      </w:r>
      <w:r w:rsidR="008033B7">
        <w:rPr>
          <w:rFonts w:cs="Arial"/>
          <w:b/>
          <w:szCs w:val="19"/>
        </w:rPr>
        <w:t>6</w:t>
      </w:r>
      <w:r>
        <w:rPr>
          <w:rFonts w:cs="Arial"/>
          <w:b/>
          <w:szCs w:val="19"/>
        </w:rPr>
        <w:t xml:space="preserve"> – Paragraph 27(1)(a)</w:t>
      </w:r>
    </w:p>
    <w:p w:rsidR="00050EF4" w:rsidRDefault="00050EF4" w:rsidP="005552CA">
      <w:pPr>
        <w:rPr>
          <w:rFonts w:cs="Arial"/>
          <w:szCs w:val="19"/>
        </w:rPr>
      </w:pPr>
    </w:p>
    <w:p w:rsidR="00050EF4" w:rsidRDefault="00050EF4" w:rsidP="005552CA">
      <w:pPr>
        <w:rPr>
          <w:rFonts w:cs="Arial"/>
          <w:szCs w:val="19"/>
        </w:rPr>
      </w:pPr>
      <w:r>
        <w:rPr>
          <w:rFonts w:cs="Arial"/>
          <w:szCs w:val="19"/>
        </w:rPr>
        <w:t xml:space="preserve">Item </w:t>
      </w:r>
      <w:r w:rsidR="00FB6A31">
        <w:rPr>
          <w:rFonts w:cs="Arial"/>
          <w:szCs w:val="19"/>
        </w:rPr>
        <w:t>6</w:t>
      </w:r>
      <w:r>
        <w:rPr>
          <w:rFonts w:cs="Arial"/>
          <w:szCs w:val="19"/>
        </w:rPr>
        <w:t xml:space="preserve"> omits from </w:t>
      </w:r>
      <w:r w:rsidR="00B907BA">
        <w:rPr>
          <w:rFonts w:cs="Arial"/>
          <w:szCs w:val="19"/>
        </w:rPr>
        <w:t>p</w:t>
      </w:r>
      <w:r>
        <w:rPr>
          <w:rFonts w:cs="Arial"/>
          <w:szCs w:val="19"/>
        </w:rPr>
        <w:t xml:space="preserve">aragraph 27(1)(a) </w:t>
      </w:r>
      <w:r w:rsidR="00B907BA">
        <w:rPr>
          <w:rFonts w:cs="Arial"/>
          <w:szCs w:val="19"/>
        </w:rPr>
        <w:t xml:space="preserve">of the Principal Regulations </w:t>
      </w:r>
      <w:r>
        <w:rPr>
          <w:rFonts w:cs="Arial"/>
          <w:szCs w:val="19"/>
        </w:rPr>
        <w:t xml:space="preserve">the phrase, ‘the Chairman or’. As with item </w:t>
      </w:r>
      <w:r w:rsidR="00E87E8E">
        <w:rPr>
          <w:rFonts w:cs="Arial"/>
          <w:szCs w:val="19"/>
        </w:rPr>
        <w:t>4</w:t>
      </w:r>
      <w:r>
        <w:rPr>
          <w:rFonts w:cs="Arial"/>
          <w:szCs w:val="19"/>
        </w:rPr>
        <w:t xml:space="preserve"> above, the rationale behind this amendment is to remove the redundant terminology</w:t>
      </w:r>
      <w:r w:rsidR="001B38E7">
        <w:rPr>
          <w:rFonts w:cs="Arial"/>
          <w:szCs w:val="19"/>
        </w:rPr>
        <w:t>, since the</w:t>
      </w:r>
      <w:r w:rsidR="00D4709B">
        <w:rPr>
          <w:rFonts w:cs="Arial"/>
          <w:szCs w:val="19"/>
        </w:rPr>
        <w:t xml:space="preserve"> phrase</w:t>
      </w:r>
      <w:r>
        <w:rPr>
          <w:rFonts w:cs="Arial"/>
          <w:szCs w:val="19"/>
        </w:rPr>
        <w:t>, ‘an authorised person’</w:t>
      </w:r>
      <w:r w:rsidR="001B38E7">
        <w:rPr>
          <w:rFonts w:cs="Arial"/>
          <w:szCs w:val="19"/>
        </w:rPr>
        <w:t xml:space="preserve"> includes ‘the Chair’ (see item 1 above)</w:t>
      </w:r>
      <w:r>
        <w:rPr>
          <w:rFonts w:cs="Arial"/>
          <w:szCs w:val="19"/>
        </w:rPr>
        <w:t>.</w:t>
      </w:r>
    </w:p>
    <w:p w:rsidR="001B38E7" w:rsidRDefault="001B38E7" w:rsidP="005552CA">
      <w:pPr>
        <w:rPr>
          <w:rFonts w:cs="Arial"/>
          <w:szCs w:val="19"/>
        </w:rPr>
      </w:pPr>
    </w:p>
    <w:p w:rsidR="001B38E7" w:rsidRPr="001B38E7" w:rsidRDefault="001B38E7" w:rsidP="005552CA">
      <w:pPr>
        <w:rPr>
          <w:rFonts w:cs="Arial"/>
          <w:b/>
          <w:szCs w:val="19"/>
        </w:rPr>
      </w:pPr>
      <w:r>
        <w:rPr>
          <w:rFonts w:cs="Arial"/>
          <w:b/>
          <w:szCs w:val="19"/>
        </w:rPr>
        <w:t xml:space="preserve">Item </w:t>
      </w:r>
      <w:r w:rsidR="002005A7">
        <w:rPr>
          <w:rFonts w:cs="Arial"/>
          <w:b/>
          <w:szCs w:val="19"/>
        </w:rPr>
        <w:t>7</w:t>
      </w:r>
      <w:r>
        <w:rPr>
          <w:rFonts w:cs="Arial"/>
          <w:b/>
          <w:szCs w:val="19"/>
        </w:rPr>
        <w:t xml:space="preserve"> – Further amendments</w:t>
      </w:r>
    </w:p>
    <w:p w:rsidR="00050EF4" w:rsidRDefault="00050EF4" w:rsidP="005552CA">
      <w:pPr>
        <w:rPr>
          <w:rFonts w:cs="Arial"/>
          <w:szCs w:val="19"/>
        </w:rPr>
      </w:pPr>
    </w:p>
    <w:p w:rsidR="00D4709B" w:rsidRPr="00B21A31" w:rsidRDefault="00050EF4" w:rsidP="005552CA">
      <w:pPr>
        <w:rPr>
          <w:rFonts w:cs="Arial"/>
          <w:szCs w:val="19"/>
        </w:rPr>
      </w:pPr>
      <w:r>
        <w:rPr>
          <w:rFonts w:cs="Arial"/>
          <w:szCs w:val="19"/>
        </w:rPr>
        <w:t xml:space="preserve">Item </w:t>
      </w:r>
      <w:r w:rsidR="00FB6A31">
        <w:rPr>
          <w:rFonts w:cs="Arial"/>
          <w:szCs w:val="19"/>
        </w:rPr>
        <w:t>7</w:t>
      </w:r>
      <w:r>
        <w:rPr>
          <w:rFonts w:cs="Arial"/>
          <w:szCs w:val="19"/>
        </w:rPr>
        <w:t xml:space="preserve"> </w:t>
      </w:r>
      <w:r w:rsidR="001B38E7">
        <w:rPr>
          <w:rFonts w:cs="Arial"/>
          <w:szCs w:val="19"/>
        </w:rPr>
        <w:t xml:space="preserve">substitutes </w:t>
      </w:r>
      <w:r w:rsidR="000D2462">
        <w:rPr>
          <w:rFonts w:cs="Arial"/>
          <w:szCs w:val="19"/>
        </w:rPr>
        <w:t>the acronym ‘ACA’</w:t>
      </w:r>
      <w:r w:rsidR="001B38E7">
        <w:rPr>
          <w:rFonts w:cs="Arial"/>
          <w:szCs w:val="19"/>
        </w:rPr>
        <w:t xml:space="preserve"> </w:t>
      </w:r>
      <w:r w:rsidR="000D2462">
        <w:rPr>
          <w:rFonts w:cs="Arial"/>
          <w:szCs w:val="19"/>
        </w:rPr>
        <w:t xml:space="preserve">from the </w:t>
      </w:r>
      <w:r w:rsidR="001B38E7">
        <w:rPr>
          <w:rFonts w:cs="Arial"/>
          <w:szCs w:val="19"/>
        </w:rPr>
        <w:t xml:space="preserve">Principal </w:t>
      </w:r>
      <w:r w:rsidR="000D2462">
        <w:rPr>
          <w:rFonts w:cs="Arial"/>
          <w:szCs w:val="19"/>
        </w:rPr>
        <w:t>Regulations with the acronym ‘ACMA’</w:t>
      </w:r>
      <w:r w:rsidR="001B38E7">
        <w:rPr>
          <w:rFonts w:cs="Arial"/>
          <w:szCs w:val="19"/>
        </w:rPr>
        <w:t xml:space="preserve"> throughout the Principal Regulations</w:t>
      </w:r>
      <w:r w:rsidR="000D2462">
        <w:rPr>
          <w:rFonts w:cs="Arial"/>
          <w:szCs w:val="19"/>
        </w:rPr>
        <w:t xml:space="preserve">. </w:t>
      </w:r>
      <w:r w:rsidR="004743D3">
        <w:rPr>
          <w:rFonts w:cs="Arial"/>
          <w:szCs w:val="19"/>
        </w:rPr>
        <w:t xml:space="preserve">As noted with item 2 above, </w:t>
      </w:r>
      <w:r w:rsidR="00E87E8E">
        <w:rPr>
          <w:rFonts w:cs="Arial"/>
          <w:szCs w:val="19"/>
        </w:rPr>
        <w:t>the rationale for this change is to provide ease of use and manageability of the Principal Regulations</w:t>
      </w:r>
      <w:r w:rsidR="00260D96">
        <w:rPr>
          <w:rFonts w:cs="Arial"/>
          <w:szCs w:val="19"/>
        </w:rPr>
        <w:t xml:space="preserve">, by bringing references </w:t>
      </w:r>
      <w:r w:rsidR="00747CF8">
        <w:rPr>
          <w:rFonts w:cs="Arial"/>
          <w:szCs w:val="19"/>
        </w:rPr>
        <w:t xml:space="preserve">to the ACA </w:t>
      </w:r>
      <w:r w:rsidR="00260D96">
        <w:rPr>
          <w:rFonts w:cs="Arial"/>
          <w:szCs w:val="19"/>
        </w:rPr>
        <w:t>up to date to the ACMA</w:t>
      </w:r>
      <w:r w:rsidR="00E87E8E">
        <w:rPr>
          <w:rFonts w:cs="Arial"/>
          <w:szCs w:val="19"/>
        </w:rPr>
        <w:t xml:space="preserve">. </w:t>
      </w:r>
    </w:p>
    <w:sectPr w:rsidR="00D4709B" w:rsidRPr="00B21A31" w:rsidSect="00A17AEF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0C2" w:rsidRDefault="009160C2" w:rsidP="00857348">
      <w:r>
        <w:separator/>
      </w:r>
    </w:p>
  </w:endnote>
  <w:endnote w:type="continuationSeparator" w:id="0">
    <w:p w:rsidR="009160C2" w:rsidRDefault="009160C2" w:rsidP="00857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0C2" w:rsidRDefault="009160C2" w:rsidP="00857348">
      <w:r>
        <w:separator/>
      </w:r>
    </w:p>
  </w:footnote>
  <w:footnote w:type="continuationSeparator" w:id="0">
    <w:p w:rsidR="009160C2" w:rsidRDefault="009160C2" w:rsidP="00857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32187"/>
      <w:docPartObj>
        <w:docPartGallery w:val="Page Numbers (Top of Page)"/>
        <w:docPartUnique/>
      </w:docPartObj>
    </w:sdtPr>
    <w:sdtContent>
      <w:p w:rsidR="009160C2" w:rsidRDefault="00B66F0E">
        <w:pPr>
          <w:pStyle w:val="Header"/>
          <w:jc w:val="center"/>
        </w:pPr>
        <w:fldSimple w:instr=" PAGE   \* MERGEFORMAT ">
          <w:r w:rsidR="00A76C3B">
            <w:rPr>
              <w:noProof/>
            </w:rPr>
            <w:t>3</w:t>
          </w:r>
        </w:fldSimple>
      </w:p>
    </w:sdtContent>
  </w:sdt>
  <w:p w:rsidR="009160C2" w:rsidRDefault="009160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F1C8C"/>
    <w:multiLevelType w:val="hybridMultilevel"/>
    <w:tmpl w:val="DAB6F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123DE"/>
    <w:multiLevelType w:val="hybridMultilevel"/>
    <w:tmpl w:val="69FA1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A27A9"/>
    <w:multiLevelType w:val="hybridMultilevel"/>
    <w:tmpl w:val="5C20A6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BF5B92"/>
    <w:multiLevelType w:val="hybridMultilevel"/>
    <w:tmpl w:val="6F7A06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E18DE"/>
    <w:multiLevelType w:val="hybridMultilevel"/>
    <w:tmpl w:val="7DA4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67801"/>
    <w:rsid w:val="00016E26"/>
    <w:rsid w:val="000423A2"/>
    <w:rsid w:val="00047970"/>
    <w:rsid w:val="000505FB"/>
    <w:rsid w:val="00050EF4"/>
    <w:rsid w:val="00074D4F"/>
    <w:rsid w:val="000D2462"/>
    <w:rsid w:val="001115F4"/>
    <w:rsid w:val="00123F39"/>
    <w:rsid w:val="0012578B"/>
    <w:rsid w:val="00132032"/>
    <w:rsid w:val="001511CA"/>
    <w:rsid w:val="00172143"/>
    <w:rsid w:val="001B01DE"/>
    <w:rsid w:val="001B037D"/>
    <w:rsid w:val="001B38E7"/>
    <w:rsid w:val="001B57EE"/>
    <w:rsid w:val="001C45AE"/>
    <w:rsid w:val="001D5821"/>
    <w:rsid w:val="002005A7"/>
    <w:rsid w:val="00223F78"/>
    <w:rsid w:val="002355E2"/>
    <w:rsid w:val="00246A91"/>
    <w:rsid w:val="00246C6C"/>
    <w:rsid w:val="00247884"/>
    <w:rsid w:val="00256006"/>
    <w:rsid w:val="00257BE4"/>
    <w:rsid w:val="00260D96"/>
    <w:rsid w:val="003053E0"/>
    <w:rsid w:val="00323B98"/>
    <w:rsid w:val="00356CCB"/>
    <w:rsid w:val="00385FF2"/>
    <w:rsid w:val="0039076E"/>
    <w:rsid w:val="003909CA"/>
    <w:rsid w:val="003A454E"/>
    <w:rsid w:val="003C2F52"/>
    <w:rsid w:val="003C7C74"/>
    <w:rsid w:val="003F1C56"/>
    <w:rsid w:val="004145D8"/>
    <w:rsid w:val="0043651D"/>
    <w:rsid w:val="00447D04"/>
    <w:rsid w:val="0046383B"/>
    <w:rsid w:val="004743D3"/>
    <w:rsid w:val="004813A6"/>
    <w:rsid w:val="004813FB"/>
    <w:rsid w:val="004A0FF0"/>
    <w:rsid w:val="004B2696"/>
    <w:rsid w:val="004B573F"/>
    <w:rsid w:val="004E7567"/>
    <w:rsid w:val="005552CA"/>
    <w:rsid w:val="00581E81"/>
    <w:rsid w:val="005A02DB"/>
    <w:rsid w:val="005E6D5F"/>
    <w:rsid w:val="00610C99"/>
    <w:rsid w:val="00637969"/>
    <w:rsid w:val="00640941"/>
    <w:rsid w:val="0065745A"/>
    <w:rsid w:val="00664F5D"/>
    <w:rsid w:val="00697678"/>
    <w:rsid w:val="006A4837"/>
    <w:rsid w:val="00722F2A"/>
    <w:rsid w:val="00724EE8"/>
    <w:rsid w:val="007300AE"/>
    <w:rsid w:val="007329B9"/>
    <w:rsid w:val="00741182"/>
    <w:rsid w:val="00747CF8"/>
    <w:rsid w:val="00771F54"/>
    <w:rsid w:val="00793EE1"/>
    <w:rsid w:val="007B04C3"/>
    <w:rsid w:val="007E2749"/>
    <w:rsid w:val="008033B7"/>
    <w:rsid w:val="00812A31"/>
    <w:rsid w:val="008146AE"/>
    <w:rsid w:val="008239C5"/>
    <w:rsid w:val="00857348"/>
    <w:rsid w:val="00874EB7"/>
    <w:rsid w:val="0089130B"/>
    <w:rsid w:val="0089777C"/>
    <w:rsid w:val="008A002B"/>
    <w:rsid w:val="008A7FAC"/>
    <w:rsid w:val="008D1EE1"/>
    <w:rsid w:val="008F3D32"/>
    <w:rsid w:val="00907A70"/>
    <w:rsid w:val="009160C2"/>
    <w:rsid w:val="00947410"/>
    <w:rsid w:val="00952772"/>
    <w:rsid w:val="00955459"/>
    <w:rsid w:val="00957D6A"/>
    <w:rsid w:val="00984C07"/>
    <w:rsid w:val="009C0C52"/>
    <w:rsid w:val="009D326F"/>
    <w:rsid w:val="00A17AEF"/>
    <w:rsid w:val="00A24729"/>
    <w:rsid w:val="00A66369"/>
    <w:rsid w:val="00A67801"/>
    <w:rsid w:val="00A72EC8"/>
    <w:rsid w:val="00A76C3B"/>
    <w:rsid w:val="00A83062"/>
    <w:rsid w:val="00A85E34"/>
    <w:rsid w:val="00AA04BF"/>
    <w:rsid w:val="00AA35FC"/>
    <w:rsid w:val="00AB198E"/>
    <w:rsid w:val="00AC13BE"/>
    <w:rsid w:val="00AC4D3A"/>
    <w:rsid w:val="00AC681B"/>
    <w:rsid w:val="00AF165B"/>
    <w:rsid w:val="00AF2E8C"/>
    <w:rsid w:val="00B21A31"/>
    <w:rsid w:val="00B66F0E"/>
    <w:rsid w:val="00B85FBA"/>
    <w:rsid w:val="00B90763"/>
    <w:rsid w:val="00B907BA"/>
    <w:rsid w:val="00B90E72"/>
    <w:rsid w:val="00BA3EC9"/>
    <w:rsid w:val="00BB048C"/>
    <w:rsid w:val="00BB3D32"/>
    <w:rsid w:val="00BC5AFC"/>
    <w:rsid w:val="00BD40B0"/>
    <w:rsid w:val="00BD5A2A"/>
    <w:rsid w:val="00BF4EC9"/>
    <w:rsid w:val="00C808EE"/>
    <w:rsid w:val="00CA45A6"/>
    <w:rsid w:val="00CC6868"/>
    <w:rsid w:val="00D274E6"/>
    <w:rsid w:val="00D4709B"/>
    <w:rsid w:val="00D52D52"/>
    <w:rsid w:val="00D67ADD"/>
    <w:rsid w:val="00D75920"/>
    <w:rsid w:val="00E13C26"/>
    <w:rsid w:val="00E16ECF"/>
    <w:rsid w:val="00E30D19"/>
    <w:rsid w:val="00E33FBA"/>
    <w:rsid w:val="00E44370"/>
    <w:rsid w:val="00E71F06"/>
    <w:rsid w:val="00E73B15"/>
    <w:rsid w:val="00E827DE"/>
    <w:rsid w:val="00E87E8E"/>
    <w:rsid w:val="00E92837"/>
    <w:rsid w:val="00EE586A"/>
    <w:rsid w:val="00F25A43"/>
    <w:rsid w:val="00F269B0"/>
    <w:rsid w:val="00F34051"/>
    <w:rsid w:val="00FA741F"/>
    <w:rsid w:val="00FB25E6"/>
    <w:rsid w:val="00FB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3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6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C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C6C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C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6C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573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348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8573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348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5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68C6-7B36-476D-9FDC-12E8F02F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1484</Words>
  <Characters>9163</Characters>
  <Application>Microsoft Office Word</Application>
  <DocSecurity>0</DocSecurity>
  <Lines>416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DBCDE</Company>
  <LinksUpToDate>false</LinksUpToDate>
  <CharactersWithSpaces>10352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apurtell</dc:creator>
  <cp:lastModifiedBy>hilhma</cp:lastModifiedBy>
  <cp:revision>9</cp:revision>
  <cp:lastPrinted>2011-07-12T03:28:00Z</cp:lastPrinted>
  <dcterms:created xsi:type="dcterms:W3CDTF">2011-10-27T05:51:00Z</dcterms:created>
  <dcterms:modified xsi:type="dcterms:W3CDTF">2011-11-22T01:38:00Z</dcterms:modified>
</cp:coreProperties>
</file>