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A1" w:rsidRDefault="000E3045" w:rsidP="000E3045">
      <w:pPr>
        <w:jc w:val="center"/>
        <w:rPr>
          <w:rFonts w:ascii="Times New Roman" w:hAnsi="Times New Roman" w:cs="Times New Roman"/>
          <w:b/>
          <w:caps/>
          <w:sz w:val="24"/>
          <w:szCs w:val="24"/>
        </w:rPr>
      </w:pPr>
      <w:r w:rsidRPr="000E3045">
        <w:rPr>
          <w:rFonts w:ascii="Times New Roman" w:hAnsi="Times New Roman" w:cs="Times New Roman"/>
          <w:b/>
          <w:caps/>
          <w:sz w:val="24"/>
          <w:szCs w:val="24"/>
        </w:rPr>
        <w:t>Explanatory Statement</w:t>
      </w:r>
    </w:p>
    <w:p w:rsidR="008824A1" w:rsidRPr="008824A1" w:rsidRDefault="008824A1" w:rsidP="000E3045">
      <w:pPr>
        <w:jc w:val="center"/>
        <w:rPr>
          <w:rFonts w:ascii="Times New Roman" w:hAnsi="Times New Roman" w:cs="Times New Roman"/>
          <w:b/>
          <w:caps/>
          <w:sz w:val="24"/>
          <w:szCs w:val="24"/>
          <w:u w:val="single"/>
        </w:rPr>
      </w:pPr>
      <w:r w:rsidRPr="008824A1">
        <w:rPr>
          <w:rFonts w:ascii="Times New Roman" w:hAnsi="Times New Roman" w:cs="Times New Roman"/>
          <w:b/>
          <w:sz w:val="24"/>
          <w:szCs w:val="24"/>
          <w:u w:val="single"/>
        </w:rPr>
        <w:t>Select Legislative Instrument No. 223</w:t>
      </w:r>
    </w:p>
    <w:p w:rsidR="000E3045" w:rsidRPr="000E3045" w:rsidRDefault="000E3045" w:rsidP="000E3045">
      <w:pPr>
        <w:jc w:val="center"/>
        <w:rPr>
          <w:rFonts w:ascii="Times New Roman" w:hAnsi="Times New Roman" w:cs="Times New Roman"/>
          <w:i/>
          <w:sz w:val="24"/>
          <w:szCs w:val="24"/>
        </w:rPr>
      </w:pPr>
      <w:r w:rsidRPr="000E3045">
        <w:rPr>
          <w:rFonts w:ascii="Times New Roman" w:hAnsi="Times New Roman" w:cs="Times New Roman"/>
          <w:i/>
          <w:sz w:val="24"/>
          <w:szCs w:val="24"/>
        </w:rPr>
        <w:t>Australian Prudential Regulatory Authority Act 1998</w:t>
      </w:r>
    </w:p>
    <w:p w:rsidR="000E3045" w:rsidRDefault="000E3045" w:rsidP="000E3045">
      <w:pPr>
        <w:jc w:val="center"/>
        <w:rPr>
          <w:rFonts w:ascii="Times New Roman" w:hAnsi="Times New Roman" w:cs="Times New Roman"/>
          <w:i/>
          <w:sz w:val="24"/>
          <w:szCs w:val="24"/>
        </w:rPr>
      </w:pPr>
      <w:r w:rsidRPr="000E3045">
        <w:rPr>
          <w:rFonts w:ascii="Times New Roman" w:hAnsi="Times New Roman" w:cs="Times New Roman"/>
          <w:i/>
          <w:sz w:val="24"/>
          <w:szCs w:val="24"/>
        </w:rPr>
        <w:t xml:space="preserve">Australian Prudential Regulation Authority Regulations </w:t>
      </w:r>
      <w:r w:rsidR="002732E5">
        <w:rPr>
          <w:rFonts w:ascii="Times New Roman" w:hAnsi="Times New Roman" w:cs="Times New Roman"/>
          <w:i/>
          <w:sz w:val="24"/>
          <w:szCs w:val="24"/>
        </w:rPr>
        <w:t>2011</w:t>
      </w:r>
      <w:r w:rsidR="00A8581F">
        <w:rPr>
          <w:rFonts w:ascii="Times New Roman" w:hAnsi="Times New Roman" w:cs="Times New Roman"/>
          <w:i/>
          <w:sz w:val="24"/>
          <w:szCs w:val="24"/>
        </w:rPr>
        <w:t xml:space="preserve"> (No. </w:t>
      </w:r>
      <w:r w:rsidR="008824A1">
        <w:rPr>
          <w:rFonts w:ascii="Times New Roman" w:hAnsi="Times New Roman" w:cs="Times New Roman"/>
          <w:i/>
          <w:sz w:val="24"/>
          <w:szCs w:val="24"/>
        </w:rPr>
        <w:t>1</w:t>
      </w:r>
      <w:r w:rsidR="00A8581F">
        <w:rPr>
          <w:rFonts w:ascii="Times New Roman" w:hAnsi="Times New Roman" w:cs="Times New Roman"/>
          <w:i/>
          <w:sz w:val="24"/>
          <w:szCs w:val="24"/>
        </w:rPr>
        <w:t>)</w:t>
      </w:r>
    </w:p>
    <w:p w:rsidR="008C275B" w:rsidRPr="00F33E84" w:rsidRDefault="00563ECF" w:rsidP="000E3045">
      <w:pPr>
        <w:rPr>
          <w:rFonts w:ascii="Times New Roman" w:hAnsi="Times New Roman" w:cs="Times New Roman"/>
          <w:sz w:val="24"/>
          <w:szCs w:val="24"/>
        </w:rPr>
      </w:pPr>
      <w:r w:rsidRPr="00563ECF">
        <w:rPr>
          <w:rFonts w:ascii="Times New Roman" w:hAnsi="Times New Roman" w:cs="Times New Roman"/>
          <w:sz w:val="24"/>
          <w:szCs w:val="24"/>
        </w:rPr>
        <w:t xml:space="preserve">Section 60 of the </w:t>
      </w:r>
      <w:r w:rsidRPr="00563ECF">
        <w:rPr>
          <w:rFonts w:ascii="Times New Roman" w:hAnsi="Times New Roman" w:cs="Times New Roman"/>
          <w:i/>
          <w:sz w:val="24"/>
          <w:szCs w:val="24"/>
        </w:rPr>
        <w:t>Australian Prudential Regulation Authority Act 1998</w:t>
      </w:r>
      <w:r>
        <w:rPr>
          <w:rFonts w:ascii="Times New Roman" w:hAnsi="Times New Roman" w:cs="Times New Roman"/>
          <w:sz w:val="24"/>
          <w:szCs w:val="24"/>
        </w:rPr>
        <w:t xml:space="preserve"> (the Act) provides that</w:t>
      </w:r>
      <w:r w:rsidR="00A8581F">
        <w:rPr>
          <w:rFonts w:ascii="Times New Roman" w:hAnsi="Times New Roman" w:cs="Times New Roman"/>
          <w:sz w:val="24"/>
          <w:szCs w:val="24"/>
        </w:rPr>
        <w:t xml:space="preserve"> </w:t>
      </w:r>
      <w:r w:rsidRPr="00563ECF">
        <w:rPr>
          <w:rFonts w:ascii="Times New Roman" w:hAnsi="Times New Roman" w:cs="Times New Roman"/>
          <w:sz w:val="24"/>
          <w:szCs w:val="24"/>
        </w:rPr>
        <w:t xml:space="preserve">the Governor-General may make regulations prescribing matters which are required or permitted by the Act to be prescribed, or which are necessary or convenient to </w:t>
      </w:r>
      <w:r w:rsidR="00995311">
        <w:rPr>
          <w:rFonts w:ascii="Times New Roman" w:hAnsi="Times New Roman" w:cs="Times New Roman"/>
          <w:sz w:val="24"/>
          <w:szCs w:val="24"/>
        </w:rPr>
        <w:t>be</w:t>
      </w:r>
      <w:r w:rsidRPr="00563ECF">
        <w:rPr>
          <w:rFonts w:ascii="Times New Roman" w:hAnsi="Times New Roman" w:cs="Times New Roman"/>
          <w:sz w:val="24"/>
          <w:szCs w:val="24"/>
        </w:rPr>
        <w:t xml:space="preserve"> prescribed </w:t>
      </w:r>
      <w:r w:rsidR="00995311">
        <w:rPr>
          <w:rFonts w:ascii="Times New Roman" w:hAnsi="Times New Roman" w:cs="Times New Roman"/>
          <w:sz w:val="24"/>
          <w:szCs w:val="24"/>
        </w:rPr>
        <w:t>in order to carry out or give</w:t>
      </w:r>
      <w:r w:rsidRPr="00563ECF">
        <w:rPr>
          <w:rFonts w:ascii="Times New Roman" w:hAnsi="Times New Roman" w:cs="Times New Roman"/>
          <w:sz w:val="24"/>
          <w:szCs w:val="24"/>
        </w:rPr>
        <w:t xml:space="preserve"> effect to the Act. </w:t>
      </w:r>
      <w:r>
        <w:rPr>
          <w:rFonts w:ascii="Times New Roman" w:hAnsi="Times New Roman" w:cs="Times New Roman"/>
          <w:sz w:val="24"/>
          <w:szCs w:val="24"/>
        </w:rPr>
        <w:t xml:space="preserve"> </w:t>
      </w:r>
    </w:p>
    <w:p w:rsidR="000B6450" w:rsidRPr="00F33E84" w:rsidRDefault="00927147" w:rsidP="000E3045">
      <w:pPr>
        <w:rPr>
          <w:rFonts w:ascii="Times New Roman" w:hAnsi="Times New Roman" w:cs="Times New Roman"/>
          <w:sz w:val="24"/>
          <w:szCs w:val="24"/>
        </w:rPr>
      </w:pPr>
      <w:r>
        <w:rPr>
          <w:rFonts w:ascii="Times New Roman" w:hAnsi="Times New Roman" w:cs="Times New Roman"/>
          <w:sz w:val="24"/>
          <w:szCs w:val="24"/>
        </w:rPr>
        <w:t>Subsection 56(5)(a) of t</w:t>
      </w:r>
      <w:r w:rsidR="00563ECF">
        <w:rPr>
          <w:rFonts w:ascii="Times New Roman" w:hAnsi="Times New Roman" w:cs="Times New Roman"/>
          <w:sz w:val="24"/>
          <w:szCs w:val="24"/>
        </w:rPr>
        <w:t xml:space="preserve">he Act allows APRA to disclose protected information in the course of its prudential supervision to a financial sector supervisory agency or a prescribed agency (including foreign agencies) specified in the </w:t>
      </w:r>
      <w:r w:rsidR="00563ECF">
        <w:rPr>
          <w:rFonts w:ascii="Times New Roman" w:hAnsi="Times New Roman" w:cs="Times New Roman"/>
          <w:i/>
          <w:sz w:val="24"/>
          <w:szCs w:val="24"/>
        </w:rPr>
        <w:t>Australian Prudential Regulation Authority Regulations 1998</w:t>
      </w:r>
      <w:r w:rsidR="00563ECF">
        <w:rPr>
          <w:rFonts w:ascii="Times New Roman" w:hAnsi="Times New Roman" w:cs="Times New Roman"/>
          <w:sz w:val="24"/>
          <w:szCs w:val="24"/>
        </w:rPr>
        <w:t xml:space="preserve"> (the Regulations).</w:t>
      </w:r>
      <w:r w:rsidR="00995311">
        <w:rPr>
          <w:rFonts w:ascii="Times New Roman" w:hAnsi="Times New Roman" w:cs="Times New Roman"/>
          <w:sz w:val="24"/>
          <w:szCs w:val="24"/>
        </w:rPr>
        <w:t xml:space="preserve"> </w:t>
      </w:r>
      <w:r w:rsidR="00995311" w:rsidRPr="00995311">
        <w:rPr>
          <w:rFonts w:ascii="Times New Roman" w:hAnsi="Times New Roman" w:cs="Times New Roman"/>
          <w:sz w:val="24"/>
          <w:szCs w:val="24"/>
        </w:rPr>
        <w:t>Protected information is information which APRA has obtained in relation to a prudential regulation framework law, relating to a financial sector entity, a related body corporate or a customer of certain classes of financial institution.</w:t>
      </w:r>
    </w:p>
    <w:p w:rsidR="00B823FE" w:rsidRPr="00F33E84" w:rsidRDefault="00563ECF" w:rsidP="000E3045">
      <w:pPr>
        <w:rPr>
          <w:rFonts w:ascii="Times New Roman" w:hAnsi="Times New Roman" w:cs="Times New Roman"/>
          <w:sz w:val="24"/>
          <w:szCs w:val="24"/>
        </w:rPr>
      </w:pPr>
      <w:r>
        <w:rPr>
          <w:rFonts w:ascii="Times New Roman" w:hAnsi="Times New Roman" w:cs="Times New Roman"/>
          <w:sz w:val="24"/>
          <w:szCs w:val="24"/>
        </w:rPr>
        <w:t xml:space="preserve">The Trans-Tasman </w:t>
      </w:r>
      <w:r w:rsidR="00995311">
        <w:rPr>
          <w:rFonts w:ascii="Times New Roman" w:hAnsi="Times New Roman" w:cs="Times New Roman"/>
          <w:sz w:val="24"/>
          <w:szCs w:val="24"/>
        </w:rPr>
        <w:t>Council on Banking Supervision</w:t>
      </w:r>
      <w:r>
        <w:rPr>
          <w:rFonts w:ascii="Times New Roman" w:hAnsi="Times New Roman" w:cs="Times New Roman"/>
          <w:sz w:val="24"/>
          <w:szCs w:val="24"/>
        </w:rPr>
        <w:t xml:space="preserve"> (</w:t>
      </w:r>
      <w:r w:rsidR="004E0CE7">
        <w:rPr>
          <w:rFonts w:ascii="Times New Roman" w:hAnsi="Times New Roman" w:cs="Times New Roman"/>
          <w:sz w:val="24"/>
          <w:szCs w:val="24"/>
        </w:rPr>
        <w:t>TTBC</w:t>
      </w:r>
      <w:r>
        <w:rPr>
          <w:rFonts w:ascii="Times New Roman" w:hAnsi="Times New Roman" w:cs="Times New Roman"/>
          <w:sz w:val="24"/>
          <w:szCs w:val="24"/>
        </w:rPr>
        <w:t>), which comprises APRA, the Reserve Bank of Australia</w:t>
      </w:r>
      <w:r w:rsidR="002732E5">
        <w:rPr>
          <w:rFonts w:ascii="Times New Roman" w:hAnsi="Times New Roman" w:cs="Times New Roman"/>
          <w:sz w:val="24"/>
          <w:szCs w:val="24"/>
        </w:rPr>
        <w:t xml:space="preserve"> (RBA)</w:t>
      </w:r>
      <w:r>
        <w:rPr>
          <w:rFonts w:ascii="Times New Roman" w:hAnsi="Times New Roman" w:cs="Times New Roman"/>
          <w:sz w:val="24"/>
          <w:szCs w:val="24"/>
        </w:rPr>
        <w:t>, the Australian Treasury, the Australian Securities and Investments Commission</w:t>
      </w:r>
      <w:r w:rsidR="002732E5">
        <w:rPr>
          <w:rFonts w:ascii="Times New Roman" w:hAnsi="Times New Roman" w:cs="Times New Roman"/>
          <w:sz w:val="24"/>
          <w:szCs w:val="24"/>
        </w:rPr>
        <w:t xml:space="preserve"> (ASIC)</w:t>
      </w:r>
      <w:r>
        <w:rPr>
          <w:rFonts w:ascii="Times New Roman" w:hAnsi="Times New Roman" w:cs="Times New Roman"/>
          <w:sz w:val="24"/>
          <w:szCs w:val="24"/>
        </w:rPr>
        <w:t xml:space="preserve">, the </w:t>
      </w:r>
      <w:r w:rsidR="002732E5">
        <w:rPr>
          <w:rFonts w:ascii="Times New Roman" w:hAnsi="Times New Roman" w:cs="Times New Roman"/>
          <w:sz w:val="24"/>
          <w:szCs w:val="24"/>
        </w:rPr>
        <w:t xml:space="preserve">New Zealand </w:t>
      </w:r>
      <w:r>
        <w:rPr>
          <w:rFonts w:ascii="Times New Roman" w:hAnsi="Times New Roman" w:cs="Times New Roman"/>
          <w:sz w:val="24"/>
          <w:szCs w:val="24"/>
        </w:rPr>
        <w:t>Treasury and the Reserve Bank of New Zealand</w:t>
      </w:r>
      <w:r w:rsidR="00CC4574">
        <w:rPr>
          <w:rFonts w:ascii="Times New Roman" w:hAnsi="Times New Roman" w:cs="Times New Roman"/>
          <w:sz w:val="24"/>
          <w:szCs w:val="24"/>
        </w:rPr>
        <w:t xml:space="preserve"> (RBNZ)</w:t>
      </w:r>
      <w:r>
        <w:rPr>
          <w:rFonts w:ascii="Times New Roman" w:hAnsi="Times New Roman" w:cs="Times New Roman"/>
          <w:sz w:val="24"/>
          <w:szCs w:val="24"/>
        </w:rPr>
        <w:t xml:space="preserve">, </w:t>
      </w:r>
      <w:r w:rsidRPr="00563ECF">
        <w:rPr>
          <w:rFonts w:ascii="Times New Roman" w:hAnsi="Times New Roman" w:cs="Times New Roman"/>
          <w:sz w:val="24"/>
          <w:szCs w:val="24"/>
        </w:rPr>
        <w:t xml:space="preserve">was formed to enhance co-operation on the supervision and information sharing of </w:t>
      </w:r>
      <w:r w:rsidR="00696721">
        <w:rPr>
          <w:rFonts w:ascii="Times New Roman" w:hAnsi="Times New Roman" w:cs="Times New Roman"/>
          <w:sz w:val="24"/>
          <w:szCs w:val="24"/>
        </w:rPr>
        <w:t>deposit-taking institutions</w:t>
      </w:r>
      <w:r w:rsidR="00A8581F">
        <w:rPr>
          <w:rFonts w:ascii="Times New Roman" w:hAnsi="Times New Roman" w:cs="Times New Roman"/>
          <w:sz w:val="24"/>
          <w:szCs w:val="24"/>
        </w:rPr>
        <w:t xml:space="preserve"> which have </w:t>
      </w:r>
      <w:r w:rsidR="00723634">
        <w:rPr>
          <w:rFonts w:ascii="Times New Roman" w:hAnsi="Times New Roman" w:cs="Times New Roman"/>
          <w:sz w:val="24"/>
          <w:szCs w:val="24"/>
        </w:rPr>
        <w:t xml:space="preserve">a </w:t>
      </w:r>
      <w:r w:rsidR="00A8581F">
        <w:rPr>
          <w:rFonts w:ascii="Times New Roman" w:hAnsi="Times New Roman" w:cs="Times New Roman"/>
          <w:sz w:val="24"/>
          <w:szCs w:val="24"/>
        </w:rPr>
        <w:t xml:space="preserve">substantial presence in both jurisdictions. </w:t>
      </w:r>
      <w:r>
        <w:rPr>
          <w:rFonts w:ascii="Times New Roman" w:hAnsi="Times New Roman" w:cs="Times New Roman"/>
          <w:sz w:val="24"/>
          <w:szCs w:val="24"/>
        </w:rPr>
        <w:t xml:space="preserve"> </w:t>
      </w:r>
    </w:p>
    <w:p w:rsidR="00363831" w:rsidRDefault="00563ECF" w:rsidP="000E3045">
      <w:pPr>
        <w:rPr>
          <w:rFonts w:ascii="Times New Roman" w:hAnsi="Times New Roman" w:cs="Times New Roman"/>
          <w:sz w:val="24"/>
          <w:szCs w:val="24"/>
        </w:rPr>
      </w:pPr>
      <w:r>
        <w:rPr>
          <w:rFonts w:ascii="Times New Roman" w:hAnsi="Times New Roman" w:cs="Times New Roman"/>
          <w:sz w:val="24"/>
          <w:szCs w:val="24"/>
        </w:rPr>
        <w:t xml:space="preserve">APRA can currently disclose protected information to all </w:t>
      </w:r>
      <w:r w:rsidR="004E0CE7">
        <w:rPr>
          <w:rFonts w:ascii="Times New Roman" w:hAnsi="Times New Roman" w:cs="Times New Roman"/>
          <w:sz w:val="24"/>
          <w:szCs w:val="24"/>
        </w:rPr>
        <w:t>TTBC</w:t>
      </w:r>
      <w:r>
        <w:rPr>
          <w:rFonts w:ascii="Times New Roman" w:hAnsi="Times New Roman" w:cs="Times New Roman"/>
          <w:sz w:val="24"/>
          <w:szCs w:val="24"/>
        </w:rPr>
        <w:t xml:space="preserve"> members </w:t>
      </w:r>
      <w:r w:rsidR="00F33E84" w:rsidRPr="00F33E84">
        <w:rPr>
          <w:rFonts w:ascii="Times New Roman" w:hAnsi="Times New Roman" w:cs="Times New Roman"/>
          <w:sz w:val="24"/>
          <w:szCs w:val="24"/>
        </w:rPr>
        <w:t xml:space="preserve">under subsection 56(5)(a) </w:t>
      </w:r>
      <w:r w:rsidR="00F33E84">
        <w:rPr>
          <w:rFonts w:ascii="Times New Roman" w:hAnsi="Times New Roman" w:cs="Times New Roman"/>
          <w:sz w:val="24"/>
          <w:szCs w:val="24"/>
        </w:rPr>
        <w:t>of the Act</w:t>
      </w:r>
      <w:r w:rsidR="006D04E9">
        <w:rPr>
          <w:rFonts w:ascii="Times New Roman" w:hAnsi="Times New Roman" w:cs="Times New Roman"/>
          <w:sz w:val="24"/>
          <w:szCs w:val="24"/>
        </w:rPr>
        <w:t xml:space="preserve"> and Regulation 5 of the Regulations</w:t>
      </w:r>
      <w:r w:rsidR="00A8581F">
        <w:rPr>
          <w:rFonts w:ascii="Times New Roman" w:hAnsi="Times New Roman" w:cs="Times New Roman"/>
          <w:sz w:val="24"/>
          <w:szCs w:val="24"/>
        </w:rPr>
        <w:t>,</w:t>
      </w:r>
      <w:r w:rsidR="00F33E84">
        <w:rPr>
          <w:rFonts w:ascii="Times New Roman" w:hAnsi="Times New Roman" w:cs="Times New Roman"/>
          <w:sz w:val="24"/>
          <w:szCs w:val="24"/>
        </w:rPr>
        <w:t xml:space="preserve"> </w:t>
      </w:r>
      <w:r>
        <w:rPr>
          <w:rFonts w:ascii="Times New Roman" w:hAnsi="Times New Roman" w:cs="Times New Roman"/>
          <w:sz w:val="24"/>
          <w:szCs w:val="24"/>
        </w:rPr>
        <w:t xml:space="preserve">except </w:t>
      </w:r>
      <w:r w:rsidR="00A8581F">
        <w:rPr>
          <w:rFonts w:ascii="Times New Roman" w:hAnsi="Times New Roman" w:cs="Times New Roman"/>
          <w:sz w:val="24"/>
          <w:szCs w:val="24"/>
        </w:rPr>
        <w:t xml:space="preserve">for </w:t>
      </w:r>
      <w:r>
        <w:rPr>
          <w:rFonts w:ascii="Times New Roman" w:hAnsi="Times New Roman" w:cs="Times New Roman"/>
          <w:sz w:val="24"/>
          <w:szCs w:val="24"/>
        </w:rPr>
        <w:t xml:space="preserve">the New Zealand Treasury. </w:t>
      </w:r>
      <w:r w:rsidR="00927147">
        <w:rPr>
          <w:rFonts w:ascii="Times New Roman" w:hAnsi="Times New Roman" w:cs="Times New Roman"/>
          <w:sz w:val="24"/>
          <w:szCs w:val="24"/>
        </w:rPr>
        <w:t xml:space="preserve">In order to share protected information with New Zealand Treasury, APRA currently needs to make an instrument under subsection 56(5)(b) of the Act.  </w:t>
      </w:r>
      <w:r>
        <w:rPr>
          <w:rFonts w:ascii="Times New Roman" w:hAnsi="Times New Roman" w:cs="Times New Roman"/>
          <w:sz w:val="24"/>
          <w:szCs w:val="24"/>
        </w:rPr>
        <w:t xml:space="preserve">The ability of APRA to share information </w:t>
      </w:r>
      <w:r w:rsidR="006D04E9">
        <w:rPr>
          <w:rFonts w:ascii="Times New Roman" w:hAnsi="Times New Roman" w:cs="Times New Roman"/>
          <w:sz w:val="24"/>
          <w:szCs w:val="24"/>
        </w:rPr>
        <w:t xml:space="preserve">efficiently with all </w:t>
      </w:r>
      <w:r w:rsidR="004E0CE7">
        <w:rPr>
          <w:rFonts w:ascii="Times New Roman" w:hAnsi="Times New Roman" w:cs="Times New Roman"/>
          <w:sz w:val="24"/>
          <w:szCs w:val="24"/>
        </w:rPr>
        <w:t>TTBC</w:t>
      </w:r>
      <w:r w:rsidR="006D04E9">
        <w:rPr>
          <w:rFonts w:ascii="Times New Roman" w:hAnsi="Times New Roman" w:cs="Times New Roman"/>
          <w:sz w:val="24"/>
          <w:szCs w:val="24"/>
        </w:rPr>
        <w:t xml:space="preserve"> members </w:t>
      </w:r>
      <w:r>
        <w:rPr>
          <w:rFonts w:ascii="Times New Roman" w:hAnsi="Times New Roman" w:cs="Times New Roman"/>
          <w:sz w:val="24"/>
          <w:szCs w:val="24"/>
        </w:rPr>
        <w:t xml:space="preserve">is important in diagnosing distress in a trans-Tasman institution and coordinating a response. </w:t>
      </w:r>
    </w:p>
    <w:p w:rsidR="00265A08" w:rsidRPr="00F33E84" w:rsidRDefault="006D04E9" w:rsidP="000E3045">
      <w:pPr>
        <w:rPr>
          <w:rFonts w:ascii="Times New Roman" w:hAnsi="Times New Roman" w:cs="Times New Roman"/>
          <w:sz w:val="24"/>
          <w:szCs w:val="24"/>
        </w:rPr>
      </w:pPr>
      <w:r>
        <w:rPr>
          <w:rFonts w:ascii="Times New Roman" w:hAnsi="Times New Roman" w:cs="Times New Roman"/>
          <w:sz w:val="24"/>
          <w:szCs w:val="24"/>
        </w:rPr>
        <w:t xml:space="preserve">The proposed Regulations would improve the efficiency of information-sharing within the </w:t>
      </w:r>
      <w:r w:rsidR="004E0CE7">
        <w:rPr>
          <w:rFonts w:ascii="Times New Roman" w:hAnsi="Times New Roman" w:cs="Times New Roman"/>
          <w:sz w:val="24"/>
          <w:szCs w:val="24"/>
        </w:rPr>
        <w:t>TTBC</w:t>
      </w:r>
      <w:r>
        <w:rPr>
          <w:rFonts w:ascii="Times New Roman" w:hAnsi="Times New Roman" w:cs="Times New Roman"/>
          <w:sz w:val="24"/>
          <w:szCs w:val="24"/>
        </w:rPr>
        <w:t xml:space="preserve"> by </w:t>
      </w:r>
      <w:r w:rsidR="00363831">
        <w:rPr>
          <w:rFonts w:ascii="Times New Roman" w:hAnsi="Times New Roman" w:cs="Times New Roman"/>
          <w:sz w:val="24"/>
          <w:szCs w:val="24"/>
        </w:rPr>
        <w:t xml:space="preserve">prescribing New Zealand Treasury for the purposes of subsection 56(5)(a) of the Act.  </w:t>
      </w:r>
      <w:r>
        <w:rPr>
          <w:rFonts w:ascii="Times New Roman" w:hAnsi="Times New Roman" w:cs="Times New Roman"/>
          <w:sz w:val="24"/>
          <w:szCs w:val="24"/>
        </w:rPr>
        <w:t xml:space="preserve">This would </w:t>
      </w:r>
      <w:r w:rsidR="00363831">
        <w:rPr>
          <w:rFonts w:ascii="Times New Roman" w:hAnsi="Times New Roman" w:cs="Times New Roman"/>
          <w:sz w:val="24"/>
          <w:szCs w:val="24"/>
        </w:rPr>
        <w:t xml:space="preserve">remove the additional requirement and </w:t>
      </w:r>
      <w:r>
        <w:rPr>
          <w:rFonts w:ascii="Times New Roman" w:hAnsi="Times New Roman" w:cs="Times New Roman"/>
          <w:sz w:val="24"/>
          <w:szCs w:val="24"/>
        </w:rPr>
        <w:t xml:space="preserve">harmonise APRA’s powers to share information with other </w:t>
      </w:r>
      <w:r w:rsidR="004E0CE7">
        <w:rPr>
          <w:rFonts w:ascii="Times New Roman" w:hAnsi="Times New Roman" w:cs="Times New Roman"/>
          <w:sz w:val="24"/>
          <w:szCs w:val="24"/>
        </w:rPr>
        <w:t>TTBC</w:t>
      </w:r>
      <w:r>
        <w:rPr>
          <w:rFonts w:ascii="Times New Roman" w:hAnsi="Times New Roman" w:cs="Times New Roman"/>
          <w:sz w:val="24"/>
          <w:szCs w:val="24"/>
        </w:rPr>
        <w:t xml:space="preserve"> members.</w:t>
      </w:r>
      <w:r w:rsidR="00563ECF">
        <w:rPr>
          <w:rFonts w:ascii="Times New Roman" w:hAnsi="Times New Roman" w:cs="Times New Roman"/>
          <w:sz w:val="24"/>
          <w:szCs w:val="24"/>
        </w:rPr>
        <w:t xml:space="preserve"> </w:t>
      </w:r>
      <w:r w:rsidR="00363831">
        <w:rPr>
          <w:rFonts w:ascii="Times New Roman" w:hAnsi="Times New Roman" w:cs="Times New Roman"/>
          <w:sz w:val="24"/>
          <w:szCs w:val="24"/>
        </w:rPr>
        <w:t xml:space="preserve"> </w:t>
      </w:r>
      <w:r w:rsidR="00563ECF">
        <w:rPr>
          <w:rFonts w:ascii="Times New Roman" w:hAnsi="Times New Roman" w:cs="Times New Roman"/>
          <w:sz w:val="24"/>
          <w:szCs w:val="24"/>
        </w:rPr>
        <w:t xml:space="preserve">Details of the Regulations are set out in </w:t>
      </w:r>
      <w:r w:rsidR="00563ECF">
        <w:rPr>
          <w:rFonts w:ascii="Times New Roman" w:hAnsi="Times New Roman" w:cs="Times New Roman"/>
          <w:b/>
          <w:sz w:val="24"/>
          <w:szCs w:val="24"/>
          <w:u w:val="single"/>
        </w:rPr>
        <w:t>Attachment A</w:t>
      </w:r>
      <w:r w:rsidR="00563ECF">
        <w:rPr>
          <w:rFonts w:ascii="Times New Roman" w:hAnsi="Times New Roman" w:cs="Times New Roman"/>
          <w:sz w:val="24"/>
          <w:szCs w:val="24"/>
        </w:rPr>
        <w:t xml:space="preserve">. </w:t>
      </w:r>
    </w:p>
    <w:p w:rsidR="00246F52" w:rsidRDefault="00363831" w:rsidP="000E3045">
      <w:pPr>
        <w:rPr>
          <w:rFonts w:ascii="Times New Roman" w:hAnsi="Times New Roman" w:cs="Times New Roman"/>
          <w:sz w:val="24"/>
          <w:szCs w:val="24"/>
        </w:rPr>
      </w:pPr>
      <w:r w:rsidRPr="004E0CE7">
        <w:rPr>
          <w:rFonts w:ascii="Times New Roman" w:hAnsi="Times New Roman" w:cs="Times New Roman"/>
          <w:sz w:val="24"/>
          <w:szCs w:val="24"/>
        </w:rPr>
        <w:t xml:space="preserve">Treasury considers that consultation on the proposed Regulations was not necessary, </w:t>
      </w:r>
      <w:r w:rsidR="00246F52">
        <w:rPr>
          <w:rFonts w:ascii="Times New Roman" w:hAnsi="Times New Roman" w:cs="Times New Roman"/>
          <w:sz w:val="24"/>
          <w:szCs w:val="24"/>
        </w:rPr>
        <w:t xml:space="preserve">as </w:t>
      </w:r>
      <w:r w:rsidRPr="004E0CE7">
        <w:rPr>
          <w:rFonts w:ascii="Times New Roman" w:hAnsi="Times New Roman" w:cs="Times New Roman"/>
          <w:sz w:val="24"/>
          <w:szCs w:val="24"/>
        </w:rPr>
        <w:t xml:space="preserve">the proposed Regulations </w:t>
      </w:r>
      <w:r w:rsidR="00246F52">
        <w:rPr>
          <w:rFonts w:ascii="Times New Roman" w:hAnsi="Times New Roman" w:cs="Times New Roman"/>
          <w:sz w:val="24"/>
          <w:szCs w:val="24"/>
        </w:rPr>
        <w:t xml:space="preserve">are </w:t>
      </w:r>
      <w:r w:rsidRPr="004E0CE7">
        <w:rPr>
          <w:rFonts w:ascii="Times New Roman" w:hAnsi="Times New Roman" w:cs="Times New Roman"/>
          <w:sz w:val="24"/>
          <w:szCs w:val="24"/>
        </w:rPr>
        <w:t>of a minor or machinery nature.  They do not alter the substance of APRA’s powers to disclose protection information to New Zealand Treasury, but rather the mechanism by which that information is shared.</w:t>
      </w:r>
      <w:r w:rsidR="00696721" w:rsidRPr="004E0CE7">
        <w:rPr>
          <w:rFonts w:ascii="Times New Roman" w:hAnsi="Times New Roman" w:cs="Times New Roman"/>
          <w:sz w:val="24"/>
          <w:szCs w:val="24"/>
        </w:rPr>
        <w:t xml:space="preserve">  The Office of Best Practice Regulation has agreed with this assessment and so a Regulation Impact Statement has not been required.</w:t>
      </w:r>
      <w:r w:rsidR="00246F52" w:rsidRPr="00246F52">
        <w:rPr>
          <w:rFonts w:ascii="Times New Roman" w:hAnsi="Times New Roman" w:cs="Times New Roman"/>
          <w:sz w:val="24"/>
          <w:szCs w:val="24"/>
        </w:rPr>
        <w:t xml:space="preserve"> </w:t>
      </w:r>
      <w:r w:rsidR="00246F52">
        <w:rPr>
          <w:rFonts w:ascii="Times New Roman" w:hAnsi="Times New Roman" w:cs="Times New Roman"/>
          <w:sz w:val="24"/>
          <w:szCs w:val="24"/>
        </w:rPr>
        <w:t xml:space="preserve"> </w:t>
      </w:r>
    </w:p>
    <w:p w:rsidR="00696721" w:rsidRPr="004E0CE7" w:rsidRDefault="00246F52" w:rsidP="000E3045">
      <w:pPr>
        <w:rPr>
          <w:rFonts w:ascii="Times New Roman" w:hAnsi="Times New Roman" w:cs="Times New Roman"/>
          <w:sz w:val="24"/>
          <w:szCs w:val="24"/>
        </w:rPr>
      </w:pPr>
      <w:r>
        <w:rPr>
          <w:rFonts w:ascii="Times New Roman" w:hAnsi="Times New Roman" w:cs="Times New Roman"/>
          <w:sz w:val="24"/>
          <w:szCs w:val="24"/>
        </w:rPr>
        <w:t xml:space="preserve">Nevertheless, Treasury has undertaken </w:t>
      </w:r>
      <w:r w:rsidRPr="004E0CE7">
        <w:rPr>
          <w:rFonts w:ascii="Times New Roman" w:hAnsi="Times New Roman" w:cs="Times New Roman"/>
          <w:sz w:val="24"/>
          <w:szCs w:val="24"/>
        </w:rPr>
        <w:t>targeted discussion</w:t>
      </w:r>
      <w:r w:rsidR="00E103D9">
        <w:rPr>
          <w:rFonts w:ascii="Times New Roman" w:hAnsi="Times New Roman" w:cs="Times New Roman"/>
          <w:sz w:val="24"/>
          <w:szCs w:val="24"/>
        </w:rPr>
        <w:t>s</w:t>
      </w:r>
      <w:r w:rsidRPr="004E0CE7">
        <w:rPr>
          <w:rFonts w:ascii="Times New Roman" w:hAnsi="Times New Roman" w:cs="Times New Roman"/>
          <w:sz w:val="24"/>
          <w:szCs w:val="24"/>
        </w:rPr>
        <w:t xml:space="preserve"> </w:t>
      </w:r>
      <w:r>
        <w:rPr>
          <w:rFonts w:ascii="Times New Roman" w:hAnsi="Times New Roman" w:cs="Times New Roman"/>
          <w:sz w:val="24"/>
          <w:szCs w:val="24"/>
        </w:rPr>
        <w:t xml:space="preserve">on the proposed regulation </w:t>
      </w:r>
      <w:r w:rsidRPr="004E0CE7">
        <w:rPr>
          <w:rFonts w:ascii="Times New Roman" w:hAnsi="Times New Roman" w:cs="Times New Roman"/>
          <w:sz w:val="24"/>
          <w:szCs w:val="24"/>
        </w:rPr>
        <w:t xml:space="preserve">with relevant stakeholders.  </w:t>
      </w:r>
      <w:r w:rsidR="00696721" w:rsidRPr="004E0CE7">
        <w:rPr>
          <w:rFonts w:ascii="Times New Roman" w:hAnsi="Times New Roman" w:cs="Times New Roman"/>
          <w:sz w:val="24"/>
          <w:szCs w:val="24"/>
        </w:rPr>
        <w:t>Treasury consulted with the Australian Bankers’ Association, the industry group which represents all trans-Tasm</w:t>
      </w:r>
      <w:r w:rsidR="00CC4574" w:rsidRPr="004E0CE7">
        <w:rPr>
          <w:rFonts w:ascii="Times New Roman" w:hAnsi="Times New Roman" w:cs="Times New Roman"/>
          <w:sz w:val="24"/>
          <w:szCs w:val="24"/>
        </w:rPr>
        <w:t>an deposit-taking institutions, in September 2011.  No concerns were raised.  Treasury has also consulted with APRA, the RBA, ASIC, New Zealand Treasury and the RBNZ over the course of 2010 in formulating the proposal.  No concerns were raised.</w:t>
      </w:r>
    </w:p>
    <w:p w:rsidR="00253C03" w:rsidRPr="00F33E84" w:rsidRDefault="00563ECF" w:rsidP="000E3045">
      <w:pPr>
        <w:rPr>
          <w:rFonts w:ascii="Times New Roman" w:hAnsi="Times New Roman" w:cs="Times New Roman"/>
          <w:sz w:val="24"/>
          <w:szCs w:val="24"/>
        </w:rPr>
      </w:pPr>
      <w:r w:rsidRPr="00563ECF">
        <w:rPr>
          <w:rFonts w:ascii="Times New Roman" w:hAnsi="Times New Roman" w:cs="Times New Roman"/>
          <w:sz w:val="24"/>
          <w:szCs w:val="24"/>
        </w:rPr>
        <w:lastRenderedPageBreak/>
        <w:t xml:space="preserve">The Regulations are a legislative instrument for the purposes of the </w:t>
      </w:r>
      <w:r w:rsidRPr="00563ECF">
        <w:rPr>
          <w:rFonts w:ascii="Times New Roman" w:hAnsi="Times New Roman" w:cs="Times New Roman"/>
          <w:i/>
          <w:sz w:val="24"/>
          <w:szCs w:val="24"/>
        </w:rPr>
        <w:t>Legislative Instruments Act 2003</w:t>
      </w:r>
      <w:r w:rsidRPr="00563ECF">
        <w:rPr>
          <w:rFonts w:ascii="Times New Roman" w:hAnsi="Times New Roman" w:cs="Times New Roman"/>
          <w:sz w:val="24"/>
          <w:szCs w:val="24"/>
        </w:rPr>
        <w:t xml:space="preserve">. </w:t>
      </w:r>
    </w:p>
    <w:p w:rsidR="000B6450" w:rsidRPr="00F33E84" w:rsidRDefault="00563ECF" w:rsidP="000E3045">
      <w:pPr>
        <w:rPr>
          <w:rFonts w:ascii="Times New Roman" w:hAnsi="Times New Roman" w:cs="Times New Roman"/>
          <w:sz w:val="24"/>
          <w:szCs w:val="24"/>
        </w:rPr>
      </w:pPr>
      <w:r>
        <w:rPr>
          <w:rFonts w:ascii="Times New Roman" w:hAnsi="Times New Roman" w:cs="Times New Roman"/>
          <w:sz w:val="24"/>
          <w:szCs w:val="24"/>
        </w:rPr>
        <w:t xml:space="preserve">The Regulations commence on the day after they are registered.   </w:t>
      </w:r>
    </w:p>
    <w:p w:rsidR="00265A08" w:rsidRDefault="00265A08" w:rsidP="000E3045">
      <w:pPr>
        <w:rPr>
          <w:rFonts w:ascii="Times New Roman" w:hAnsi="Times New Roman" w:cs="Times New Roman"/>
          <w:sz w:val="24"/>
          <w:szCs w:val="24"/>
        </w:rPr>
      </w:pPr>
    </w:p>
    <w:p w:rsidR="002732E5" w:rsidRDefault="002732E5" w:rsidP="000E3045">
      <w:pPr>
        <w:rPr>
          <w:rFonts w:ascii="Times New Roman" w:hAnsi="Times New Roman" w:cs="Times New Roman"/>
          <w:sz w:val="24"/>
          <w:szCs w:val="24"/>
        </w:rPr>
      </w:pPr>
    </w:p>
    <w:p w:rsidR="00265A08" w:rsidRPr="00265A08" w:rsidRDefault="00265A08" w:rsidP="000E3045">
      <w:pPr>
        <w:rPr>
          <w:rFonts w:ascii="Times New Roman" w:hAnsi="Times New Roman" w:cs="Times New Roman"/>
          <w:b/>
          <w:caps/>
          <w:sz w:val="24"/>
          <w:szCs w:val="24"/>
        </w:rPr>
      </w:pPr>
      <w:r w:rsidRPr="00265A08">
        <w:rPr>
          <w:rFonts w:ascii="Times New Roman" w:hAnsi="Times New Roman" w:cs="Times New Roman"/>
          <w:b/>
          <w:caps/>
          <w:sz w:val="24"/>
          <w:szCs w:val="24"/>
        </w:rPr>
        <w:t>Attachment A</w:t>
      </w:r>
    </w:p>
    <w:p w:rsidR="00265A08" w:rsidRDefault="00265A08" w:rsidP="000E3045">
      <w:pPr>
        <w:rPr>
          <w:rFonts w:ascii="Times New Roman" w:hAnsi="Times New Roman" w:cs="Times New Roman"/>
          <w:b/>
          <w:i/>
          <w:sz w:val="24"/>
          <w:szCs w:val="24"/>
        </w:rPr>
      </w:pPr>
      <w:r w:rsidRPr="00265A08">
        <w:rPr>
          <w:rFonts w:ascii="Times New Roman" w:hAnsi="Times New Roman" w:cs="Times New Roman"/>
          <w:b/>
          <w:i/>
          <w:sz w:val="24"/>
          <w:szCs w:val="24"/>
        </w:rPr>
        <w:t>Details of Australian Prudential Authority Amendment Regulations 2011 (No.</w:t>
      </w:r>
      <w:r w:rsidR="008824A1">
        <w:rPr>
          <w:rFonts w:ascii="Times New Roman" w:hAnsi="Times New Roman" w:cs="Times New Roman"/>
          <w:b/>
          <w:i/>
          <w:sz w:val="24"/>
          <w:szCs w:val="24"/>
        </w:rPr>
        <w:t xml:space="preserve"> 1</w:t>
      </w:r>
      <w:r w:rsidRPr="00265A08">
        <w:rPr>
          <w:rFonts w:ascii="Times New Roman" w:hAnsi="Times New Roman" w:cs="Times New Roman"/>
          <w:b/>
          <w:i/>
          <w:sz w:val="24"/>
          <w:szCs w:val="24"/>
        </w:rPr>
        <w:t>)</w:t>
      </w:r>
    </w:p>
    <w:p w:rsidR="00265A08" w:rsidRPr="00CC4574" w:rsidRDefault="00265A08" w:rsidP="00265A08">
      <w:pPr>
        <w:rPr>
          <w:rFonts w:ascii="Times New Roman" w:hAnsi="Times New Roman" w:cs="Times New Roman"/>
          <w:b/>
          <w:sz w:val="24"/>
          <w:szCs w:val="24"/>
        </w:rPr>
      </w:pPr>
      <w:r w:rsidRPr="00265A08">
        <w:rPr>
          <w:rFonts w:ascii="Times New Roman" w:hAnsi="Times New Roman" w:cs="Times New Roman"/>
          <w:b/>
          <w:sz w:val="24"/>
          <w:szCs w:val="24"/>
        </w:rPr>
        <w:t xml:space="preserve">Regulation 1 </w:t>
      </w:r>
      <w:r w:rsidRPr="00265A08">
        <w:rPr>
          <w:rFonts w:ascii="Times New Roman" w:hAnsi="Times New Roman" w:cs="Times New Roman"/>
          <w:sz w:val="24"/>
          <w:szCs w:val="24"/>
        </w:rPr>
        <w:t xml:space="preserve">specifies the name of the Regulations as the </w:t>
      </w:r>
      <w:r w:rsidR="001E405B">
        <w:rPr>
          <w:rFonts w:ascii="Times New Roman" w:hAnsi="Times New Roman" w:cs="Times New Roman"/>
          <w:i/>
          <w:sz w:val="24"/>
          <w:szCs w:val="24"/>
        </w:rPr>
        <w:t>Australian Prudential Regulation Authority Amendment Regulations</w:t>
      </w:r>
      <w:r w:rsidRPr="00265A08">
        <w:rPr>
          <w:rFonts w:ascii="Times New Roman" w:hAnsi="Times New Roman" w:cs="Times New Roman"/>
          <w:i/>
          <w:sz w:val="24"/>
          <w:szCs w:val="24"/>
        </w:rPr>
        <w:t xml:space="preserve"> 2011 (No. </w:t>
      </w:r>
      <w:r w:rsidR="008824A1">
        <w:rPr>
          <w:rFonts w:ascii="Times New Roman" w:hAnsi="Times New Roman" w:cs="Times New Roman"/>
          <w:i/>
          <w:sz w:val="24"/>
          <w:szCs w:val="24"/>
        </w:rPr>
        <w:t>1</w:t>
      </w:r>
      <w:r w:rsidRPr="00265A08">
        <w:rPr>
          <w:rFonts w:ascii="Times New Roman" w:hAnsi="Times New Roman" w:cs="Times New Roman"/>
          <w:i/>
          <w:sz w:val="24"/>
          <w:szCs w:val="24"/>
        </w:rPr>
        <w:t>)</w:t>
      </w:r>
      <w:r w:rsidR="00EF60FE" w:rsidRPr="00EF60FE">
        <w:rPr>
          <w:rFonts w:ascii="Times New Roman" w:hAnsi="Times New Roman" w:cs="Times New Roman"/>
          <w:sz w:val="24"/>
          <w:szCs w:val="24"/>
        </w:rPr>
        <w:t>.</w:t>
      </w:r>
    </w:p>
    <w:p w:rsidR="00265A08" w:rsidRPr="00265A08" w:rsidRDefault="00265A08" w:rsidP="00265A08">
      <w:pPr>
        <w:rPr>
          <w:rFonts w:ascii="Times New Roman" w:hAnsi="Times New Roman" w:cs="Times New Roman"/>
          <w:sz w:val="24"/>
          <w:szCs w:val="24"/>
        </w:rPr>
      </w:pPr>
      <w:r w:rsidRPr="00265A08">
        <w:rPr>
          <w:rFonts w:ascii="Times New Roman" w:hAnsi="Times New Roman" w:cs="Times New Roman"/>
          <w:b/>
          <w:sz w:val="24"/>
          <w:szCs w:val="24"/>
        </w:rPr>
        <w:t>Regulation 2</w:t>
      </w:r>
      <w:r w:rsidRPr="00265A08">
        <w:rPr>
          <w:rFonts w:ascii="Times New Roman" w:hAnsi="Times New Roman" w:cs="Times New Roman"/>
          <w:sz w:val="24"/>
          <w:szCs w:val="24"/>
        </w:rPr>
        <w:t xml:space="preserve"> provides that the Regulations commence on the day after they are registered.  </w:t>
      </w:r>
    </w:p>
    <w:p w:rsidR="00265A08" w:rsidRDefault="00265A08" w:rsidP="00265A08">
      <w:pPr>
        <w:rPr>
          <w:rFonts w:ascii="Times New Roman" w:hAnsi="Times New Roman" w:cs="Times New Roman"/>
          <w:sz w:val="24"/>
          <w:szCs w:val="24"/>
        </w:rPr>
      </w:pPr>
      <w:r w:rsidRPr="00265A08">
        <w:rPr>
          <w:rFonts w:ascii="Times New Roman" w:hAnsi="Times New Roman" w:cs="Times New Roman"/>
          <w:b/>
          <w:sz w:val="24"/>
          <w:szCs w:val="24"/>
        </w:rPr>
        <w:t xml:space="preserve">Regulation 3 </w:t>
      </w:r>
      <w:r w:rsidRPr="00265A08">
        <w:rPr>
          <w:rFonts w:ascii="Times New Roman" w:hAnsi="Times New Roman" w:cs="Times New Roman"/>
          <w:sz w:val="24"/>
          <w:szCs w:val="24"/>
        </w:rPr>
        <w:t xml:space="preserve">provides that Schedule 1 amends the </w:t>
      </w:r>
      <w:r w:rsidR="001E405B">
        <w:rPr>
          <w:rFonts w:ascii="Times New Roman" w:hAnsi="Times New Roman" w:cs="Times New Roman"/>
          <w:i/>
          <w:sz w:val="24"/>
          <w:szCs w:val="24"/>
        </w:rPr>
        <w:t>Australian Prudential Regulation Authority Regulations 1998</w:t>
      </w:r>
      <w:r w:rsidRPr="00265A08">
        <w:rPr>
          <w:rFonts w:ascii="Times New Roman" w:hAnsi="Times New Roman" w:cs="Times New Roman"/>
          <w:sz w:val="24"/>
          <w:szCs w:val="24"/>
        </w:rPr>
        <w:t xml:space="preserve">. </w:t>
      </w:r>
    </w:p>
    <w:p w:rsidR="001E405B" w:rsidRPr="001E405B" w:rsidRDefault="001E405B" w:rsidP="00265A08">
      <w:pPr>
        <w:rPr>
          <w:rFonts w:ascii="Times New Roman" w:hAnsi="Times New Roman" w:cs="Times New Roman"/>
          <w:b/>
          <w:sz w:val="24"/>
          <w:szCs w:val="24"/>
        </w:rPr>
      </w:pPr>
      <w:r w:rsidRPr="001E405B">
        <w:rPr>
          <w:rFonts w:ascii="Times New Roman" w:hAnsi="Times New Roman" w:cs="Times New Roman"/>
          <w:b/>
          <w:sz w:val="24"/>
          <w:szCs w:val="24"/>
        </w:rPr>
        <w:t>Schedule 1 - Amendment</w:t>
      </w:r>
      <w:r>
        <w:rPr>
          <w:rFonts w:ascii="Times New Roman" w:hAnsi="Times New Roman" w:cs="Times New Roman"/>
          <w:b/>
          <w:sz w:val="24"/>
          <w:szCs w:val="24"/>
        </w:rPr>
        <w:t>s</w:t>
      </w:r>
    </w:p>
    <w:p w:rsidR="00CC4574" w:rsidRPr="00CC4574" w:rsidRDefault="00EF60FE" w:rsidP="00CC4574">
      <w:pPr>
        <w:rPr>
          <w:rFonts w:ascii="Times New Roman" w:hAnsi="Times New Roman" w:cs="Times New Roman"/>
          <w:sz w:val="24"/>
          <w:szCs w:val="24"/>
        </w:rPr>
      </w:pPr>
      <w:r w:rsidRPr="00CE58A9">
        <w:rPr>
          <w:rFonts w:ascii="Times New Roman" w:hAnsi="Times New Roman" w:cs="Times New Roman"/>
          <w:sz w:val="24"/>
          <w:szCs w:val="24"/>
          <w:u w:val="single"/>
        </w:rPr>
        <w:t>Items 1 and 2</w:t>
      </w:r>
      <w:r w:rsidR="00CC4574" w:rsidRPr="00CE58A9">
        <w:rPr>
          <w:rFonts w:ascii="Times New Roman" w:hAnsi="Times New Roman" w:cs="Times New Roman"/>
          <w:sz w:val="24"/>
          <w:szCs w:val="24"/>
        </w:rPr>
        <w:t xml:space="preserve"> insert New Zealand Treasury into the list of prescribed agencies</w:t>
      </w:r>
      <w:r w:rsidR="00CC4574" w:rsidRPr="00CC4574">
        <w:rPr>
          <w:rFonts w:ascii="Times New Roman" w:hAnsi="Times New Roman" w:cs="Times New Roman"/>
          <w:sz w:val="24"/>
          <w:szCs w:val="24"/>
          <w:u w:val="single"/>
        </w:rPr>
        <w:t xml:space="preserve"> </w:t>
      </w:r>
      <w:r w:rsidR="00CC4574" w:rsidRPr="00CC4574">
        <w:rPr>
          <w:rFonts w:ascii="Times New Roman" w:hAnsi="Times New Roman" w:cs="Times New Roman"/>
          <w:sz w:val="24"/>
          <w:szCs w:val="24"/>
        </w:rPr>
        <w:t xml:space="preserve">at Regulation 5 of the current Regulations.  This will allow APRA to share information with New Zealand Treasury under subsection 56(5)(a) of the Act, rather than under 56(5)(b) of the Act. </w:t>
      </w:r>
    </w:p>
    <w:p w:rsidR="001E405B" w:rsidRPr="00CC4574" w:rsidRDefault="001E405B" w:rsidP="00CC4574">
      <w:pPr>
        <w:rPr>
          <w:rFonts w:ascii="Times New Roman" w:hAnsi="Times New Roman" w:cs="Times New Roman"/>
          <w:sz w:val="24"/>
          <w:szCs w:val="24"/>
        </w:rPr>
      </w:pPr>
    </w:p>
    <w:sectPr w:rsidR="001E405B" w:rsidRPr="00CC4574" w:rsidSect="008847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noTabHangInd/>
    <w:noColumnBalance/>
    <w:suppressBottomSpacing/>
    <w:suppressTopSpacing/>
    <w:suppressSpBfAfterPgBrk/>
    <w:noSpaceRaiseLower/>
    <w:doNotUseHTMLParagraphAutoSpacing/>
    <w:useWord2002TableStyleRules/>
    <w:growAutofit/>
  </w:compat>
  <w:rsids>
    <w:rsidRoot w:val="000E3045"/>
    <w:rsid w:val="00006598"/>
    <w:rsid w:val="000215F2"/>
    <w:rsid w:val="00042E69"/>
    <w:rsid w:val="00095C3F"/>
    <w:rsid w:val="000B3D30"/>
    <w:rsid w:val="000B6450"/>
    <w:rsid w:val="000E3045"/>
    <w:rsid w:val="000E4381"/>
    <w:rsid w:val="00130F22"/>
    <w:rsid w:val="00162C23"/>
    <w:rsid w:val="001E405B"/>
    <w:rsid w:val="00246F52"/>
    <w:rsid w:val="00253C03"/>
    <w:rsid w:val="00265A08"/>
    <w:rsid w:val="002732E5"/>
    <w:rsid w:val="00275556"/>
    <w:rsid w:val="002D3AA5"/>
    <w:rsid w:val="00363831"/>
    <w:rsid w:val="00382A35"/>
    <w:rsid w:val="003C2D20"/>
    <w:rsid w:val="003E2F37"/>
    <w:rsid w:val="00460C65"/>
    <w:rsid w:val="0049791F"/>
    <w:rsid w:val="004E0CE7"/>
    <w:rsid w:val="004E7A7A"/>
    <w:rsid w:val="005076EB"/>
    <w:rsid w:val="00516978"/>
    <w:rsid w:val="00563ECF"/>
    <w:rsid w:val="006174DB"/>
    <w:rsid w:val="006450DA"/>
    <w:rsid w:val="00671B00"/>
    <w:rsid w:val="00696721"/>
    <w:rsid w:val="006D04E9"/>
    <w:rsid w:val="006E2C9D"/>
    <w:rsid w:val="00723634"/>
    <w:rsid w:val="0078570C"/>
    <w:rsid w:val="008824A1"/>
    <w:rsid w:val="008847CC"/>
    <w:rsid w:val="008A0784"/>
    <w:rsid w:val="008C275B"/>
    <w:rsid w:val="008D6295"/>
    <w:rsid w:val="008E7DB3"/>
    <w:rsid w:val="00927147"/>
    <w:rsid w:val="00995311"/>
    <w:rsid w:val="009F622C"/>
    <w:rsid w:val="00A04856"/>
    <w:rsid w:val="00A36E16"/>
    <w:rsid w:val="00A46BA5"/>
    <w:rsid w:val="00A8581F"/>
    <w:rsid w:val="00B823FE"/>
    <w:rsid w:val="00BF68A1"/>
    <w:rsid w:val="00C911C1"/>
    <w:rsid w:val="00CC4574"/>
    <w:rsid w:val="00CC67EF"/>
    <w:rsid w:val="00CE3D84"/>
    <w:rsid w:val="00CE58A9"/>
    <w:rsid w:val="00DA10ED"/>
    <w:rsid w:val="00DC3D5D"/>
    <w:rsid w:val="00E103D9"/>
    <w:rsid w:val="00E44260"/>
    <w:rsid w:val="00EF60FE"/>
    <w:rsid w:val="00F33E84"/>
    <w:rsid w:val="00F36DB2"/>
    <w:rsid w:val="00F904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F"/>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eastAsia="Times New Roman" w:cs="Times New Roman"/>
      <w:szCs w:val="20"/>
      <w:lang w:eastAsia="en-AU"/>
    </w:rPr>
  </w:style>
  <w:style w:type="paragraph" w:customStyle="1" w:styleId="TableGraphic">
    <w:name w:val="Table Graphic"/>
    <w:basedOn w:val="Normal"/>
    <w:next w:val="Normal"/>
    <w:rsid w:val="00C911C1"/>
    <w:pPr>
      <w:spacing w:after="0"/>
      <w:ind w:right="-113"/>
      <w:jc w:val="both"/>
    </w:pPr>
    <w:rPr>
      <w:rFonts w:eastAsia="Times New Roman" w:cs="Times New Roman"/>
      <w:szCs w:val="20"/>
      <w:lang w:eastAsia="en-AU"/>
    </w:rPr>
  </w:style>
  <w:style w:type="paragraph" w:styleId="BalloonText">
    <w:name w:val="Balloon Text"/>
    <w:basedOn w:val="Normal"/>
    <w:link w:val="BalloonTextChar"/>
    <w:uiPriority w:val="99"/>
    <w:semiHidden/>
    <w:unhideWhenUsed/>
    <w:rsid w:val="00253C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03"/>
    <w:rPr>
      <w:rFonts w:ascii="Tahoma" w:hAnsi="Tahoma" w:cs="Tahoma"/>
      <w:sz w:val="16"/>
      <w:szCs w:val="16"/>
    </w:rPr>
  </w:style>
  <w:style w:type="character" w:styleId="CommentReference">
    <w:name w:val="annotation reference"/>
    <w:basedOn w:val="DefaultParagraphFont"/>
    <w:uiPriority w:val="99"/>
    <w:semiHidden/>
    <w:unhideWhenUsed/>
    <w:rsid w:val="00BF68A1"/>
    <w:rPr>
      <w:sz w:val="16"/>
      <w:szCs w:val="16"/>
    </w:rPr>
  </w:style>
  <w:style w:type="paragraph" w:styleId="CommentText">
    <w:name w:val="annotation text"/>
    <w:basedOn w:val="Normal"/>
    <w:link w:val="CommentTextChar"/>
    <w:uiPriority w:val="99"/>
    <w:semiHidden/>
    <w:unhideWhenUsed/>
    <w:rsid w:val="00BF68A1"/>
    <w:rPr>
      <w:sz w:val="20"/>
      <w:szCs w:val="20"/>
    </w:rPr>
  </w:style>
  <w:style w:type="character" w:customStyle="1" w:styleId="CommentTextChar">
    <w:name w:val="Comment Text Char"/>
    <w:basedOn w:val="DefaultParagraphFont"/>
    <w:link w:val="CommentText"/>
    <w:uiPriority w:val="99"/>
    <w:semiHidden/>
    <w:rsid w:val="00BF68A1"/>
    <w:rPr>
      <w:sz w:val="20"/>
      <w:szCs w:val="20"/>
    </w:rPr>
  </w:style>
  <w:style w:type="paragraph" w:styleId="CommentSubject">
    <w:name w:val="annotation subject"/>
    <w:basedOn w:val="CommentText"/>
    <w:next w:val="CommentText"/>
    <w:link w:val="CommentSubjectChar"/>
    <w:uiPriority w:val="99"/>
    <w:semiHidden/>
    <w:unhideWhenUsed/>
    <w:rsid w:val="00BF68A1"/>
    <w:rPr>
      <w:b/>
      <w:bCs/>
    </w:rPr>
  </w:style>
  <w:style w:type="character" w:customStyle="1" w:styleId="CommentSubjectChar">
    <w:name w:val="Comment Subject Char"/>
    <w:basedOn w:val="CommentTextChar"/>
    <w:link w:val="CommentSubject"/>
    <w:uiPriority w:val="99"/>
    <w:semiHidden/>
    <w:rsid w:val="00BF68A1"/>
    <w:rPr>
      <w:b/>
      <w:bCs/>
    </w:rPr>
  </w:style>
</w:styles>
</file>

<file path=word/webSettings.xml><?xml version="1.0" encoding="utf-8"?>
<w:webSettings xmlns:r="http://schemas.openxmlformats.org/officeDocument/2006/relationships" xmlns:w="http://schemas.openxmlformats.org/wordprocessingml/2006/main">
  <w:divs>
    <w:div w:id="15536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0AED-7C9C-4105-B3BD-9865796D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Chunxin</dc:creator>
  <cp:lastModifiedBy>hilhma</cp:lastModifiedBy>
  <cp:revision>2</cp:revision>
  <cp:lastPrinted>2011-10-19T03:59:00Z</cp:lastPrinted>
  <dcterms:created xsi:type="dcterms:W3CDTF">2011-11-21T04:46:00Z</dcterms:created>
  <dcterms:modified xsi:type="dcterms:W3CDTF">2011-11-21T04:46:00Z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-1837259442</vt:i4>
  </property>
  <property fmtid="{D5CDD505-2E9C-101B-9397-08002B2CF9AE}" pid="3" name="_NewReviewCycle">
    <vt:lpwstr/>
  </property>
  <property fmtid="{D5CDD505-2E9C-101B-9397-08002B2CF9AE}" pid="4" name="_EmailSubject">
    <vt:lpwstr>ExCo lodgement - APRA Amendment Regulations [SEC=UNCLASSIFIED]</vt:lpwstr>
  </property>
  <property fmtid="{D5CDD505-2E9C-101B-9397-08002B2CF9AE}" pid="5" name="_AuthorEmail">
    <vt:lpwstr>phillip.hu@treasury.gov.au</vt:lpwstr>
  </property>
  <property fmtid="{D5CDD505-2E9C-101B-9397-08002B2CF9AE}" pid="6" name="_AuthorEmailDisplayName">
    <vt:lpwstr>Hu, Chunxin</vt:lpwstr>
  </property>
  <property fmtid="{D5CDD505-2E9C-101B-9397-08002B2CF9AE}" pid="7" name="_PreviousAdHocReviewCycleID">
    <vt:i4>2064448694</vt:i4>
  </property>
  <property fmtid="{D5CDD505-2E9C-101B-9397-08002B2CF9AE}" pid="8" name="_ReviewingToolsShownOnce">
    <vt:lpwstr/>
  </property>
</Properties>
</file>