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C78" w:rsidRPr="00171D83" w:rsidRDefault="00871C78" w:rsidP="00F04B23">
      <w:pPr>
        <w:autoSpaceDE w:val="0"/>
        <w:autoSpaceDN w:val="0"/>
        <w:adjustRightInd w:val="0"/>
        <w:spacing w:after="240"/>
        <w:jc w:val="center"/>
        <w:rPr>
          <w:b/>
          <w:u w:val="single"/>
        </w:rPr>
      </w:pPr>
      <w:bookmarkStart w:id="0" w:name="CursorPositionBM"/>
      <w:bookmarkEnd w:id="0"/>
      <w:r w:rsidRPr="00171D83">
        <w:rPr>
          <w:b/>
          <w:u w:val="single"/>
        </w:rPr>
        <w:t xml:space="preserve">EXPLANATORY </w:t>
      </w:r>
      <w:r>
        <w:rPr>
          <w:b/>
          <w:u w:val="single"/>
        </w:rPr>
        <w:t>STATEMENT</w:t>
      </w:r>
    </w:p>
    <w:p w:rsidR="00871C78" w:rsidRPr="00171D83" w:rsidRDefault="00EA62EB" w:rsidP="00EA62EB">
      <w:pPr>
        <w:autoSpaceDE w:val="0"/>
        <w:autoSpaceDN w:val="0"/>
        <w:adjustRightInd w:val="0"/>
        <w:spacing w:after="240"/>
        <w:jc w:val="center"/>
        <w:rPr>
          <w:b/>
          <w:u w:val="single"/>
        </w:rPr>
      </w:pPr>
      <w:r>
        <w:rPr>
          <w:b/>
          <w:u w:val="single"/>
        </w:rPr>
        <w:t>Select Legislative Instrument 2011 No. 215</w:t>
      </w:r>
    </w:p>
    <w:p w:rsidR="00871C78" w:rsidRDefault="00871C78" w:rsidP="001A30F6">
      <w:pPr>
        <w:autoSpaceDE w:val="0"/>
        <w:autoSpaceDN w:val="0"/>
        <w:adjustRightInd w:val="0"/>
        <w:spacing w:after="240"/>
        <w:jc w:val="center"/>
        <w:rPr>
          <w:u w:val="single"/>
        </w:rPr>
      </w:pPr>
      <w:r>
        <w:rPr>
          <w:lang w:val="en-AU" w:eastAsia="en-AU"/>
        </w:rPr>
        <w:t xml:space="preserve">Issued by the authority of the </w:t>
      </w:r>
      <w:r>
        <w:rPr>
          <w:u w:val="single"/>
        </w:rPr>
        <w:t>Minister for Small Business</w:t>
      </w:r>
    </w:p>
    <w:p w:rsidR="00871C78" w:rsidRDefault="00871C78" w:rsidP="001A30F6">
      <w:pPr>
        <w:spacing w:after="240"/>
        <w:jc w:val="center"/>
        <w:rPr>
          <w:i/>
        </w:rPr>
      </w:pPr>
      <w:r w:rsidRPr="002A565B">
        <w:rPr>
          <w:i/>
        </w:rPr>
        <w:t xml:space="preserve">Business </w:t>
      </w:r>
      <w:r w:rsidRPr="00DF4314">
        <w:rPr>
          <w:i/>
        </w:rPr>
        <w:t>Names Registration (Transitional and Consequential Provisions) Act 2011</w:t>
      </w:r>
    </w:p>
    <w:p w:rsidR="00871C78" w:rsidRDefault="00871C78" w:rsidP="001A30F6">
      <w:pPr>
        <w:spacing w:after="240"/>
        <w:ind w:left="1440" w:hanging="1440"/>
        <w:jc w:val="both"/>
        <w:rPr>
          <w:i/>
        </w:rPr>
      </w:pPr>
      <w:r w:rsidRPr="00134642">
        <w:rPr>
          <w:i/>
        </w:rPr>
        <w:t>Business Names</w:t>
      </w:r>
      <w:r>
        <w:rPr>
          <w:i/>
        </w:rPr>
        <w:t xml:space="preserve"> Registration</w:t>
      </w:r>
      <w:r w:rsidRPr="00134642">
        <w:rPr>
          <w:i/>
        </w:rPr>
        <w:t xml:space="preserve"> </w:t>
      </w:r>
      <w:r>
        <w:rPr>
          <w:i/>
        </w:rPr>
        <w:t>(</w:t>
      </w:r>
      <w:r w:rsidRPr="00134642">
        <w:rPr>
          <w:i/>
        </w:rPr>
        <w:t>Transitional and Consequential Provisions</w:t>
      </w:r>
      <w:r>
        <w:rPr>
          <w:i/>
        </w:rPr>
        <w:t xml:space="preserve">) </w:t>
      </w:r>
      <w:r w:rsidRPr="00134642">
        <w:rPr>
          <w:i/>
        </w:rPr>
        <w:t>Regulations 2011</w:t>
      </w:r>
    </w:p>
    <w:p w:rsidR="00871C78" w:rsidRPr="00847D86" w:rsidRDefault="00871C78" w:rsidP="006B1F3A">
      <w:pPr>
        <w:spacing w:after="240"/>
      </w:pPr>
      <w:proofErr w:type="spellStart"/>
      <w:r>
        <w:t>Subitem</w:t>
      </w:r>
      <w:proofErr w:type="spellEnd"/>
      <w:r w:rsidRPr="009A2469">
        <w:t xml:space="preserve"> 33</w:t>
      </w:r>
      <w:r>
        <w:t>(1)</w:t>
      </w:r>
      <w:r w:rsidRPr="009A2469">
        <w:t xml:space="preserve"> of</w:t>
      </w:r>
      <w:r>
        <w:t xml:space="preserve"> Schedule 1 to</w:t>
      </w:r>
      <w:r w:rsidRPr="009A2469">
        <w:t xml:space="preserve"> the </w:t>
      </w:r>
      <w:r w:rsidRPr="007E6CB2">
        <w:rPr>
          <w:i/>
        </w:rPr>
        <w:t>Business Names Registration</w:t>
      </w:r>
      <w:r>
        <w:rPr>
          <w:i/>
        </w:rPr>
        <w:t xml:space="preserve"> (Transitional and Consequential Provisions) </w:t>
      </w:r>
      <w:r w:rsidRPr="007E6CB2">
        <w:rPr>
          <w:i/>
        </w:rPr>
        <w:t>Act 2011</w:t>
      </w:r>
      <w:r>
        <w:rPr>
          <w:i/>
        </w:rPr>
        <w:t xml:space="preserve"> </w:t>
      </w:r>
      <w:r>
        <w:t>(</w:t>
      </w:r>
      <w:r w:rsidRPr="009A2469">
        <w:t>Transitional Act</w:t>
      </w:r>
      <w:r>
        <w:t>)</w:t>
      </w:r>
      <w:r w:rsidRPr="009A2469">
        <w:t xml:space="preserve"> provides that the </w:t>
      </w:r>
      <w:proofErr w:type="spellStart"/>
      <w:r w:rsidRPr="009A2469">
        <w:t>Governor</w:t>
      </w:r>
      <w:r w:rsidRPr="009A2469">
        <w:noBreakHyphen/>
        <w:t>General</w:t>
      </w:r>
      <w:proofErr w:type="spellEnd"/>
      <w:r w:rsidRPr="009A2469">
        <w:t xml:space="preserve"> may make regulations prescribing matters required or permitted by the Transitional Act to be prescribed, or necessary or convenient to be prescribed for carrying out or giving effect to </w:t>
      </w:r>
      <w:r>
        <w:t>the Transitional</w:t>
      </w:r>
      <w:r w:rsidRPr="009A2469">
        <w:t xml:space="preserve"> Act</w:t>
      </w:r>
      <w:r w:rsidRPr="00847D86">
        <w:t>.</w:t>
      </w:r>
    </w:p>
    <w:p w:rsidR="00871C78" w:rsidRDefault="00871C78" w:rsidP="006B1F3A">
      <w:pPr>
        <w:spacing w:after="240"/>
      </w:pPr>
      <w:r w:rsidRPr="007E6CB2">
        <w:t xml:space="preserve">The </w:t>
      </w:r>
      <w:r>
        <w:t xml:space="preserve">Transitional </w:t>
      </w:r>
      <w:r w:rsidRPr="007E6CB2">
        <w:t xml:space="preserve">Act forms part of the National Business Names Registration </w:t>
      </w:r>
      <w:r>
        <w:t xml:space="preserve">legislative </w:t>
      </w:r>
      <w:r w:rsidRPr="007E6CB2">
        <w:t xml:space="preserve">package </w:t>
      </w:r>
      <w:r>
        <w:t xml:space="preserve">(legislative package) </w:t>
      </w:r>
      <w:r w:rsidRPr="007E6CB2">
        <w:t xml:space="preserve">which also includes the </w:t>
      </w:r>
      <w:r w:rsidRPr="007E6CB2">
        <w:rPr>
          <w:i/>
        </w:rPr>
        <w:t>Business Names Registration</w:t>
      </w:r>
      <w:r>
        <w:rPr>
          <w:i/>
        </w:rPr>
        <w:t xml:space="preserve"> Act</w:t>
      </w:r>
      <w:r w:rsidRPr="007E6CB2">
        <w:rPr>
          <w:i/>
        </w:rPr>
        <w:t xml:space="preserve"> 2011</w:t>
      </w:r>
      <w:r w:rsidRPr="007E6CB2">
        <w:t xml:space="preserve"> (</w:t>
      </w:r>
      <w:r>
        <w:t xml:space="preserve">Registration </w:t>
      </w:r>
      <w:r w:rsidRPr="007E6CB2">
        <w:t xml:space="preserve">Act) and the </w:t>
      </w:r>
      <w:r w:rsidRPr="007E6CB2">
        <w:rPr>
          <w:i/>
        </w:rPr>
        <w:t>Business Names Registration (Fees) Act 2011</w:t>
      </w:r>
      <w:r>
        <w:rPr>
          <w:i/>
        </w:rPr>
        <w:t xml:space="preserve"> </w:t>
      </w:r>
      <w:r w:rsidRPr="007E6CB2">
        <w:t>(Fees Act)</w:t>
      </w:r>
      <w:r>
        <w:t xml:space="preserve">.  A number of </w:t>
      </w:r>
      <w:r w:rsidRPr="007E6CB2">
        <w:t xml:space="preserve">legislative instruments </w:t>
      </w:r>
      <w:r>
        <w:t>also form part of the legislative package</w:t>
      </w:r>
      <w:r w:rsidRPr="007E6CB2">
        <w:t>.</w:t>
      </w:r>
    </w:p>
    <w:p w:rsidR="00871C78" w:rsidRPr="007E6CB2" w:rsidRDefault="00871C78" w:rsidP="009D2CAB">
      <w:pPr>
        <w:pStyle w:val="base-text-paragraph"/>
        <w:numPr>
          <w:ilvl w:val="0"/>
          <w:numId w:val="0"/>
        </w:numPr>
        <w:rPr>
          <w:sz w:val="24"/>
          <w:szCs w:val="24"/>
        </w:rPr>
      </w:pPr>
      <w:r w:rsidRPr="007E6CB2">
        <w:rPr>
          <w:sz w:val="24"/>
          <w:szCs w:val="24"/>
        </w:rPr>
        <w:t>This legislative package establishes a National Business Names Regist</w:t>
      </w:r>
      <w:r>
        <w:rPr>
          <w:sz w:val="24"/>
          <w:szCs w:val="24"/>
        </w:rPr>
        <w:t>er (Register) to be operated by the Australian Securities and Investments Commission (ASIC)</w:t>
      </w:r>
      <w:r w:rsidRPr="007E6CB2">
        <w:rPr>
          <w:sz w:val="24"/>
          <w:szCs w:val="24"/>
        </w:rPr>
        <w:t xml:space="preserve">, a key regulatory reform initiative of the Council of Australian Governments.  The </w:t>
      </w:r>
      <w:r>
        <w:rPr>
          <w:sz w:val="24"/>
          <w:szCs w:val="24"/>
        </w:rPr>
        <w:t>Register</w:t>
      </w:r>
      <w:r w:rsidRPr="007E6CB2">
        <w:rPr>
          <w:sz w:val="24"/>
          <w:szCs w:val="24"/>
        </w:rPr>
        <w:t xml:space="preserve"> replaces the business names registers currently operated by each State and Territory.  </w:t>
      </w:r>
    </w:p>
    <w:p w:rsidR="00871C78" w:rsidRPr="007E6CB2" w:rsidRDefault="00871C78" w:rsidP="009D2CAB">
      <w:pPr>
        <w:pStyle w:val="base-text-paragraph"/>
        <w:numPr>
          <w:ilvl w:val="0"/>
          <w:numId w:val="0"/>
        </w:numPr>
        <w:rPr>
          <w:sz w:val="24"/>
          <w:szCs w:val="24"/>
        </w:rPr>
      </w:pPr>
      <w:r w:rsidRPr="007E6CB2">
        <w:rPr>
          <w:sz w:val="24"/>
          <w:szCs w:val="24"/>
        </w:rPr>
        <w:t>The main purpose of business name registration is to protect consumers, by allowing them to identify the entity(</w:t>
      </w:r>
      <w:proofErr w:type="spellStart"/>
      <w:r>
        <w:rPr>
          <w:sz w:val="24"/>
          <w:szCs w:val="24"/>
        </w:rPr>
        <w:t>ie</w:t>
      </w:r>
      <w:r w:rsidRPr="007E6CB2">
        <w:rPr>
          <w:sz w:val="24"/>
          <w:szCs w:val="24"/>
        </w:rPr>
        <w:t>s</w:t>
      </w:r>
      <w:proofErr w:type="spellEnd"/>
      <w:r w:rsidRPr="007E6CB2">
        <w:rPr>
          <w:sz w:val="24"/>
          <w:szCs w:val="24"/>
        </w:rPr>
        <w:t>) behind a business (trading) name.</w:t>
      </w:r>
    </w:p>
    <w:p w:rsidR="00871C78" w:rsidRDefault="00871C78" w:rsidP="00F04B23">
      <w:pPr>
        <w:spacing w:after="240"/>
      </w:pPr>
      <w:r w:rsidRPr="006D514B">
        <w:t xml:space="preserve">The Registration </w:t>
      </w:r>
      <w:r>
        <w:t>Act,</w:t>
      </w:r>
      <w:r w:rsidRPr="006D514B">
        <w:t xml:space="preserve"> </w:t>
      </w:r>
      <w:r>
        <w:t>T</w:t>
      </w:r>
      <w:r w:rsidRPr="006D514B">
        <w:t>ransitional</w:t>
      </w:r>
      <w:r>
        <w:t xml:space="preserve"> Act and Transitional Regulations </w:t>
      </w:r>
      <w:r w:rsidRPr="006D514B">
        <w:t xml:space="preserve">are intended to </w:t>
      </w:r>
      <w:r>
        <w:t>provide an orderly and seamless transfer of the business names registers between</w:t>
      </w:r>
      <w:r w:rsidRPr="00180E26">
        <w:t xml:space="preserve"> the State</w:t>
      </w:r>
      <w:r>
        <w:t>s</w:t>
      </w:r>
      <w:r w:rsidRPr="00180E26">
        <w:t xml:space="preserve"> and Territor</w:t>
      </w:r>
      <w:r>
        <w:t>ies</w:t>
      </w:r>
      <w:r w:rsidRPr="00180E26">
        <w:t xml:space="preserve"> and the Commonwealth.  A similar transfer of company registers from the States and Territories</w:t>
      </w:r>
      <w:r>
        <w:t xml:space="preserve"> </w:t>
      </w:r>
      <w:r w:rsidRPr="00180E26">
        <w:t xml:space="preserve">to ASIC occurred prior to the </w:t>
      </w:r>
      <w:r>
        <w:t>commencement</w:t>
      </w:r>
      <w:r w:rsidRPr="00180E26">
        <w:t xml:space="preserve"> of the </w:t>
      </w:r>
      <w:r w:rsidRPr="002A565B">
        <w:rPr>
          <w:i/>
        </w:rPr>
        <w:t>Corporations Act 2001</w:t>
      </w:r>
      <w:r>
        <w:t>.</w:t>
      </w:r>
    </w:p>
    <w:p w:rsidR="00871C78" w:rsidRDefault="00871C78" w:rsidP="00F04B23">
      <w:pPr>
        <w:spacing w:after="240"/>
        <w:rPr>
          <w:lang w:val="en-AU" w:eastAsia="en-AU"/>
        </w:rPr>
      </w:pPr>
      <w:r w:rsidRPr="00847D86">
        <w:rPr>
          <w:lang w:val="en-AU" w:eastAsia="en-AU"/>
        </w:rPr>
        <w:t xml:space="preserve">The purpose of the Regulations </w:t>
      </w:r>
      <w:r>
        <w:rPr>
          <w:lang w:val="en-AU" w:eastAsia="en-AU"/>
        </w:rPr>
        <w:t>is</w:t>
      </w:r>
      <w:r w:rsidRPr="00847D86">
        <w:rPr>
          <w:lang w:val="en-AU" w:eastAsia="en-AU"/>
        </w:rPr>
        <w:t xml:space="preserve"> to deal with matters of detail within the framework established by the </w:t>
      </w:r>
      <w:r>
        <w:rPr>
          <w:lang w:val="en-AU" w:eastAsia="en-AU"/>
        </w:rPr>
        <w:t xml:space="preserve">Transitional </w:t>
      </w:r>
      <w:r w:rsidRPr="00847D86">
        <w:rPr>
          <w:lang w:val="en-AU" w:eastAsia="en-AU"/>
        </w:rPr>
        <w:t xml:space="preserve">Act.  </w:t>
      </w:r>
    </w:p>
    <w:p w:rsidR="00871C78" w:rsidRDefault="00871C78" w:rsidP="00F04B23">
      <w:pPr>
        <w:spacing w:after="240"/>
        <w:rPr>
          <w:lang w:val="en-AU" w:eastAsia="en-AU"/>
        </w:rPr>
      </w:pPr>
      <w:r w:rsidRPr="00847D86">
        <w:rPr>
          <w:lang w:val="en-AU" w:eastAsia="en-AU"/>
        </w:rPr>
        <w:t xml:space="preserve">The </w:t>
      </w:r>
      <w:r>
        <w:rPr>
          <w:lang w:val="en-AU" w:eastAsia="en-AU"/>
        </w:rPr>
        <w:t xml:space="preserve">Transitional </w:t>
      </w:r>
      <w:r w:rsidRPr="00847D86">
        <w:rPr>
          <w:lang w:val="en-AU" w:eastAsia="en-AU"/>
        </w:rPr>
        <w:t xml:space="preserve">Regulations </w:t>
      </w:r>
      <w:r>
        <w:rPr>
          <w:lang w:val="en-AU" w:eastAsia="en-AU"/>
        </w:rPr>
        <w:t>contain details of:</w:t>
      </w:r>
    </w:p>
    <w:p w:rsidR="00871C78" w:rsidRDefault="00871C78" w:rsidP="00F04B23">
      <w:pPr>
        <w:pStyle w:val="Bullet"/>
      </w:pPr>
      <w:r>
        <w:t>information that may be included in the Register in relation to business names registered to sole traders;</w:t>
      </w:r>
    </w:p>
    <w:p w:rsidR="00871C78" w:rsidRDefault="00871C78" w:rsidP="00F04B23">
      <w:pPr>
        <w:pStyle w:val="Bullet"/>
      </w:pPr>
      <w:r>
        <w:t>information that may be included in the Register in relation to business names registered to groups of persons; and</w:t>
      </w:r>
    </w:p>
    <w:p w:rsidR="00871C78" w:rsidRDefault="00871C78" w:rsidP="00F04B23">
      <w:pPr>
        <w:pStyle w:val="Bullet"/>
      </w:pPr>
      <w:r>
        <w:t xml:space="preserve">what historical information from the States and Territories can be stored on the Register. </w:t>
      </w:r>
    </w:p>
    <w:p w:rsidR="00871C78" w:rsidRPr="00847D86" w:rsidRDefault="00871C78" w:rsidP="00F04B23">
      <w:pPr>
        <w:spacing w:after="240"/>
        <w:rPr>
          <w:lang w:val="en-AU" w:eastAsia="en-AU"/>
        </w:rPr>
      </w:pPr>
      <w:r w:rsidRPr="00847D86">
        <w:rPr>
          <w:lang w:val="en-AU" w:eastAsia="en-AU"/>
        </w:rPr>
        <w:t xml:space="preserve">Details of the Regulations </w:t>
      </w:r>
      <w:r>
        <w:rPr>
          <w:lang w:val="en-AU" w:eastAsia="en-AU"/>
        </w:rPr>
        <w:t>are set out</w:t>
      </w:r>
      <w:r w:rsidRPr="00847D86">
        <w:rPr>
          <w:lang w:val="en-AU" w:eastAsia="en-AU"/>
        </w:rPr>
        <w:t xml:space="preserve"> in the </w:t>
      </w:r>
      <w:r w:rsidRPr="00847D86">
        <w:rPr>
          <w:u w:val="single"/>
          <w:lang w:val="en-AU" w:eastAsia="en-AU"/>
        </w:rPr>
        <w:t>Attachment.</w:t>
      </w:r>
    </w:p>
    <w:p w:rsidR="00871C78" w:rsidRDefault="00871C78" w:rsidP="00F04B23">
      <w:pPr>
        <w:spacing w:after="240"/>
        <w:ind w:right="91"/>
      </w:pPr>
      <w:r>
        <w:t>Prior to the introduction of the legislative package into Parliament, the draft Registration Bill and the related Fees Bill were exposed for public consultation on two occasions, and all parts of the draft legislative package were exposed on one occasion.  The text of all elements of the legislative package was negotiated with State and Territory officials over a period of more than one year.</w:t>
      </w:r>
    </w:p>
    <w:p w:rsidR="00871C78" w:rsidRDefault="00871C78" w:rsidP="00122C9F">
      <w:pPr>
        <w:spacing w:after="240"/>
        <w:ind w:right="91"/>
      </w:pPr>
      <w:bookmarkStart w:id="1" w:name="OLE_LINK3"/>
      <w:r>
        <w:t>The Office of Best Practice Regulation advised that the National Business Names Registration Project did not require a regulatory impact statement to be prepared.</w:t>
      </w:r>
    </w:p>
    <w:bookmarkEnd w:id="1"/>
    <w:p w:rsidR="00871C78" w:rsidRPr="00847D86" w:rsidRDefault="00871C78" w:rsidP="00F04B23">
      <w:pPr>
        <w:spacing w:after="240"/>
        <w:ind w:right="91"/>
      </w:pPr>
      <w:r w:rsidRPr="00847D86">
        <w:lastRenderedPageBreak/>
        <w:t xml:space="preserve">The </w:t>
      </w:r>
      <w:r>
        <w:t xml:space="preserve">Transitional </w:t>
      </w:r>
      <w:r w:rsidRPr="00847D86">
        <w:t xml:space="preserve">Act </w:t>
      </w:r>
      <w:r>
        <w:t>specifies no</w:t>
      </w:r>
      <w:r w:rsidRPr="00847D86">
        <w:t xml:space="preserve"> conditions that need to be satisfied before the power to make the Regulations may be exercised.</w:t>
      </w:r>
      <w:r>
        <w:t xml:space="preserve"> The Regulations do not operate retrospectively. </w:t>
      </w:r>
    </w:p>
    <w:p w:rsidR="00871C78" w:rsidRPr="00847D86" w:rsidRDefault="00871C78" w:rsidP="00F04B23">
      <w:pPr>
        <w:autoSpaceDE w:val="0"/>
        <w:autoSpaceDN w:val="0"/>
        <w:adjustRightInd w:val="0"/>
        <w:spacing w:after="240"/>
        <w:ind w:right="-262"/>
        <w:rPr>
          <w:lang w:val="en-AU" w:eastAsia="en-AU"/>
        </w:rPr>
      </w:pPr>
      <w:r w:rsidRPr="00847D86">
        <w:rPr>
          <w:lang w:val="en-AU" w:eastAsia="en-AU"/>
        </w:rPr>
        <w:t xml:space="preserve">The Regulations </w:t>
      </w:r>
      <w:r>
        <w:rPr>
          <w:lang w:val="en-AU" w:eastAsia="en-AU"/>
        </w:rPr>
        <w:t>are</w:t>
      </w:r>
      <w:r w:rsidRPr="00847D86">
        <w:rPr>
          <w:lang w:val="en-AU" w:eastAsia="en-AU"/>
        </w:rPr>
        <w:t xml:space="preserve"> a legislative instrument for the purposes of the </w:t>
      </w:r>
      <w:r w:rsidRPr="00847D86">
        <w:rPr>
          <w:i/>
          <w:iCs/>
          <w:lang w:val="en-AU" w:eastAsia="en-AU"/>
        </w:rPr>
        <w:t>Legislative Instruments Act 2003</w:t>
      </w:r>
      <w:r w:rsidRPr="00847D86">
        <w:rPr>
          <w:lang w:val="en-AU" w:eastAsia="en-AU"/>
        </w:rPr>
        <w:t>.</w:t>
      </w:r>
    </w:p>
    <w:p w:rsidR="00871C78" w:rsidRDefault="00871C78" w:rsidP="00F04B23">
      <w:pPr>
        <w:autoSpaceDE w:val="0"/>
        <w:autoSpaceDN w:val="0"/>
        <w:adjustRightInd w:val="0"/>
        <w:spacing w:after="240"/>
        <w:rPr>
          <w:lang w:val="en-AU" w:eastAsia="en-AU"/>
        </w:rPr>
      </w:pPr>
      <w:r w:rsidRPr="00847D86">
        <w:rPr>
          <w:lang w:val="en-AU" w:eastAsia="en-AU"/>
        </w:rPr>
        <w:t xml:space="preserve">The </w:t>
      </w:r>
      <w:r>
        <w:rPr>
          <w:lang w:val="en-AU" w:eastAsia="en-AU"/>
        </w:rPr>
        <w:t>R</w:t>
      </w:r>
      <w:r w:rsidRPr="00847D86">
        <w:rPr>
          <w:lang w:val="en-AU" w:eastAsia="en-AU"/>
        </w:rPr>
        <w:t>egulations commence on</w:t>
      </w:r>
      <w:r>
        <w:rPr>
          <w:lang w:val="en-AU" w:eastAsia="en-AU"/>
        </w:rPr>
        <w:t xml:space="preserve"> the same day as the commencement of Schedule 1 to the </w:t>
      </w:r>
      <w:r w:rsidRPr="00E10A34">
        <w:rPr>
          <w:lang w:val="en-AU" w:eastAsia="en-AU"/>
        </w:rPr>
        <w:t>Transitional Act</w:t>
      </w:r>
      <w:r>
        <w:rPr>
          <w:lang w:val="en-AU" w:eastAsia="en-AU"/>
        </w:rPr>
        <w:t>, which is a day to be fixed by Proclamation</w:t>
      </w:r>
      <w:r w:rsidRPr="00847D86">
        <w:rPr>
          <w:lang w:val="en-AU" w:eastAsia="en-AU"/>
        </w:rPr>
        <w:t>.</w:t>
      </w:r>
    </w:p>
    <w:p w:rsidR="00871C78" w:rsidRDefault="00871C78" w:rsidP="00F04B23">
      <w:pPr>
        <w:autoSpaceDE w:val="0"/>
        <w:autoSpaceDN w:val="0"/>
        <w:adjustRightInd w:val="0"/>
        <w:jc w:val="right"/>
        <w:rPr>
          <w:u w:val="single"/>
        </w:rPr>
      </w:pPr>
    </w:p>
    <w:p w:rsidR="00871C78" w:rsidRPr="0030085C" w:rsidRDefault="00871C78" w:rsidP="00F04B23">
      <w:pPr>
        <w:autoSpaceDE w:val="0"/>
        <w:autoSpaceDN w:val="0"/>
        <w:adjustRightInd w:val="0"/>
        <w:rPr>
          <w:i/>
          <w:lang w:val="en-AU" w:eastAsia="en-AU"/>
        </w:rPr>
      </w:pPr>
      <w:r w:rsidRPr="00E81625">
        <w:tab/>
      </w:r>
      <w:r w:rsidRPr="00E81625">
        <w:tab/>
      </w:r>
      <w:r w:rsidRPr="00E81625">
        <w:tab/>
      </w:r>
      <w:r w:rsidRPr="00E81625">
        <w:tab/>
      </w:r>
      <w:r w:rsidRPr="00E81625">
        <w:tab/>
      </w:r>
      <w:r w:rsidRPr="00E81625">
        <w:tab/>
      </w:r>
      <w:r w:rsidRPr="00E81625">
        <w:tab/>
      </w:r>
      <w:r w:rsidRPr="00E81625">
        <w:rPr>
          <w:u w:val="single"/>
        </w:rPr>
        <w:t>Authority:</w:t>
      </w:r>
      <w:r w:rsidRPr="00E81625">
        <w:tab/>
      </w:r>
      <w:r>
        <w:t xml:space="preserve">Item 33 of the </w:t>
      </w:r>
      <w:r>
        <w:br/>
      </w:r>
      <w:r>
        <w:tab/>
      </w:r>
      <w:r>
        <w:tab/>
      </w:r>
      <w:r>
        <w:tab/>
      </w:r>
      <w:r w:rsidRPr="002A565B">
        <w:rPr>
          <w:i/>
        </w:rPr>
        <w:t>Business Names (Transitional and Consequential Provisions) Act 2011</w:t>
      </w:r>
    </w:p>
    <w:p w:rsidR="00871C78" w:rsidRPr="00847D86" w:rsidRDefault="00871C78" w:rsidP="00F04B23">
      <w:pPr>
        <w:autoSpaceDE w:val="0"/>
        <w:autoSpaceDN w:val="0"/>
        <w:adjustRightInd w:val="0"/>
        <w:spacing w:after="240"/>
        <w:jc w:val="right"/>
      </w:pPr>
      <w:r>
        <w:rPr>
          <w:b/>
          <w:lang w:val="en-AU" w:eastAsia="en-AU"/>
        </w:rPr>
        <w:br w:type="page"/>
      </w:r>
      <w:r w:rsidRPr="00847D86">
        <w:rPr>
          <w:b/>
          <w:lang w:val="en-AU" w:eastAsia="en-AU"/>
        </w:rPr>
        <w:lastRenderedPageBreak/>
        <w:t>ATTACHMENT</w:t>
      </w:r>
    </w:p>
    <w:p w:rsidR="00871C78" w:rsidRPr="00847D86" w:rsidRDefault="00871C78" w:rsidP="00F04B23">
      <w:pPr>
        <w:autoSpaceDE w:val="0"/>
        <w:autoSpaceDN w:val="0"/>
        <w:adjustRightInd w:val="0"/>
        <w:spacing w:after="240"/>
        <w:rPr>
          <w:u w:val="single"/>
          <w:lang w:val="en-AU" w:eastAsia="en-AU"/>
        </w:rPr>
      </w:pPr>
      <w:r w:rsidRPr="00847D86">
        <w:rPr>
          <w:u w:val="single"/>
          <w:lang w:val="en-AU" w:eastAsia="en-AU"/>
        </w:rPr>
        <w:t>Regulation 1 – Name of Regulations</w:t>
      </w:r>
    </w:p>
    <w:p w:rsidR="00871C78" w:rsidRPr="00847D86" w:rsidRDefault="00871C78" w:rsidP="00F04B23">
      <w:pPr>
        <w:autoSpaceDE w:val="0"/>
        <w:autoSpaceDN w:val="0"/>
        <w:adjustRightInd w:val="0"/>
        <w:spacing w:after="240"/>
        <w:rPr>
          <w:lang w:val="en-AU" w:eastAsia="en-AU"/>
        </w:rPr>
      </w:pPr>
      <w:r>
        <w:t xml:space="preserve">This regulation provides that the name of the Regulations is the </w:t>
      </w:r>
      <w:r w:rsidRPr="002A565B">
        <w:rPr>
          <w:i/>
        </w:rPr>
        <w:t xml:space="preserve">Business Names </w:t>
      </w:r>
      <w:r>
        <w:rPr>
          <w:i/>
        </w:rPr>
        <w:t xml:space="preserve">Registration </w:t>
      </w:r>
      <w:r w:rsidRPr="002A565B">
        <w:rPr>
          <w:i/>
        </w:rPr>
        <w:t>(Transitional and Consequential Provisions) Regulations 2011</w:t>
      </w:r>
      <w:r>
        <w:t>.</w:t>
      </w:r>
    </w:p>
    <w:p w:rsidR="00871C78" w:rsidRPr="00847D86" w:rsidRDefault="00871C78" w:rsidP="00F04B23">
      <w:pPr>
        <w:autoSpaceDE w:val="0"/>
        <w:autoSpaceDN w:val="0"/>
        <w:adjustRightInd w:val="0"/>
        <w:spacing w:after="240"/>
        <w:rPr>
          <w:u w:val="single"/>
          <w:lang w:val="en-AU" w:eastAsia="en-AU"/>
        </w:rPr>
      </w:pPr>
      <w:r w:rsidRPr="00847D86">
        <w:rPr>
          <w:u w:val="single"/>
          <w:lang w:val="en-AU" w:eastAsia="en-AU"/>
        </w:rPr>
        <w:t>Regulation 2 – Commencement</w:t>
      </w:r>
    </w:p>
    <w:p w:rsidR="00871C78" w:rsidRPr="00847D86" w:rsidRDefault="00871C78" w:rsidP="00F04B23">
      <w:pPr>
        <w:autoSpaceDE w:val="0"/>
        <w:autoSpaceDN w:val="0"/>
        <w:adjustRightInd w:val="0"/>
        <w:spacing w:after="240"/>
        <w:rPr>
          <w:iCs/>
          <w:lang w:val="en-AU" w:eastAsia="en-AU"/>
        </w:rPr>
      </w:pPr>
      <w:r>
        <w:t xml:space="preserve">This regulation provides for the Regulations to commence at the same time as the commencement of Schedule 1 to the </w:t>
      </w:r>
      <w:r w:rsidRPr="002A565B">
        <w:rPr>
          <w:i/>
        </w:rPr>
        <w:t xml:space="preserve">Business Names Registration (Transitional and Consequential Provisions) Act 2011 </w:t>
      </w:r>
      <w:r>
        <w:t>(Transitional Act).</w:t>
      </w:r>
    </w:p>
    <w:p w:rsidR="00871C78" w:rsidRPr="00847D86" w:rsidRDefault="00871C78" w:rsidP="00F04B23">
      <w:pPr>
        <w:autoSpaceDE w:val="0"/>
        <w:autoSpaceDN w:val="0"/>
        <w:adjustRightInd w:val="0"/>
        <w:spacing w:after="240"/>
        <w:rPr>
          <w:u w:val="single"/>
          <w:lang w:val="en-AU" w:eastAsia="en-AU"/>
        </w:rPr>
      </w:pPr>
      <w:r w:rsidRPr="00847D86">
        <w:rPr>
          <w:u w:val="single"/>
          <w:lang w:val="en-AU" w:eastAsia="en-AU"/>
        </w:rPr>
        <w:t>Regulation 3 – Definitions</w:t>
      </w:r>
    </w:p>
    <w:p w:rsidR="00871C78" w:rsidRDefault="00871C78" w:rsidP="00F04B23">
      <w:pPr>
        <w:autoSpaceDE w:val="0"/>
        <w:autoSpaceDN w:val="0"/>
        <w:adjustRightInd w:val="0"/>
        <w:spacing w:after="240"/>
        <w:rPr>
          <w:lang w:val="en-AU" w:eastAsia="en-AU"/>
        </w:rPr>
      </w:pPr>
      <w:r>
        <w:t>Regulation 3</w:t>
      </w:r>
      <w:r w:rsidRPr="00A70568">
        <w:t xml:space="preserve"> </w:t>
      </w:r>
      <w:r>
        <w:t>provides</w:t>
      </w:r>
      <w:r w:rsidRPr="00A70568">
        <w:t xml:space="preserve"> definitions</w:t>
      </w:r>
      <w:r>
        <w:t xml:space="preserve"> for the terms used within the</w:t>
      </w:r>
      <w:r w:rsidRPr="00A70568">
        <w:t xml:space="preserve"> R</w:t>
      </w:r>
      <w:r>
        <w:t xml:space="preserve">egulations.  </w:t>
      </w:r>
      <w:r w:rsidRPr="00847D86">
        <w:rPr>
          <w:lang w:val="en-AU" w:eastAsia="en-AU"/>
        </w:rPr>
        <w:t xml:space="preserve">  </w:t>
      </w:r>
    </w:p>
    <w:p w:rsidR="00871C78" w:rsidRDefault="00871C78" w:rsidP="009A2469">
      <w:pPr>
        <w:autoSpaceDE w:val="0"/>
        <w:autoSpaceDN w:val="0"/>
        <w:adjustRightInd w:val="0"/>
        <w:spacing w:after="240"/>
      </w:pPr>
      <w:r>
        <w:rPr>
          <w:lang w:val="en-AU" w:eastAsia="en-AU"/>
        </w:rPr>
        <w:t xml:space="preserve">‘Act’ means the </w:t>
      </w:r>
      <w:r w:rsidRPr="002A565B">
        <w:rPr>
          <w:i/>
        </w:rPr>
        <w:t>Business Names Registration (Transitional and Consequential Provisions) Act 2011</w:t>
      </w:r>
      <w:r>
        <w:rPr>
          <w:i/>
        </w:rPr>
        <w:t xml:space="preserve"> </w:t>
      </w:r>
      <w:r>
        <w:t>(Transitional Act).</w:t>
      </w:r>
    </w:p>
    <w:p w:rsidR="00871C78" w:rsidRDefault="00871C78" w:rsidP="009A2469">
      <w:pPr>
        <w:autoSpaceDE w:val="0"/>
        <w:autoSpaceDN w:val="0"/>
        <w:adjustRightInd w:val="0"/>
        <w:spacing w:after="240"/>
      </w:pPr>
      <w:r>
        <w:t xml:space="preserve">‘Alternative contact details’ means contact details that an entity has voluntarily provided to a State or Territory Government such as private email address or phone number which are contact details additional to the contact details that an entity was required to provide under either a State or Territory law or the Commonwealth law under which the business name was registered. These details will not be included on searches of the Register however they will be available for use by State and Territory Government agencies and other agencies that fall within the definition of ‘government body’ contained in section 3 of the Registration Act.   </w:t>
      </w:r>
    </w:p>
    <w:p w:rsidR="00871C78" w:rsidRDefault="00871C78" w:rsidP="00F04B23">
      <w:pPr>
        <w:autoSpaceDE w:val="0"/>
        <w:autoSpaceDN w:val="0"/>
        <w:adjustRightInd w:val="0"/>
        <w:spacing w:after="240"/>
      </w:pPr>
      <w:r>
        <w:t xml:space="preserve">‘Reference identification’ means a number or the group of numbers or letters that may be used by a State or Territory to identify a business name registered under a law of that State or Territory. </w:t>
      </w:r>
    </w:p>
    <w:p w:rsidR="00871C78" w:rsidRDefault="00871C78" w:rsidP="00F04B23">
      <w:pPr>
        <w:autoSpaceDE w:val="0"/>
        <w:autoSpaceDN w:val="0"/>
        <w:adjustRightInd w:val="0"/>
        <w:spacing w:after="240"/>
      </w:pPr>
      <w:r>
        <w:rPr>
          <w:lang w:val="en-AU" w:eastAsia="en-AU"/>
        </w:rPr>
        <w:t xml:space="preserve">‘Register’ means the Business Names Register that ASIC is required to establish under </w:t>
      </w:r>
      <w:r>
        <w:t>s</w:t>
      </w:r>
      <w:r w:rsidRPr="007B0414">
        <w:t xml:space="preserve">ection 22 </w:t>
      </w:r>
      <w:r>
        <w:t>of the Registration Act.</w:t>
      </w:r>
    </w:p>
    <w:p w:rsidR="00871C78" w:rsidRPr="006B1F3A" w:rsidRDefault="00871C78" w:rsidP="00EA769C">
      <w:pPr>
        <w:autoSpaceDE w:val="0"/>
        <w:autoSpaceDN w:val="0"/>
        <w:adjustRightInd w:val="0"/>
        <w:spacing w:after="240"/>
      </w:pPr>
      <w:r w:rsidRPr="006B1F3A">
        <w:t xml:space="preserve">Other terms such as ‘change-over day’, and ‘registration law’ that are defined in the </w:t>
      </w:r>
      <w:r w:rsidRPr="00134642">
        <w:t xml:space="preserve">Transitional Act </w:t>
      </w:r>
      <w:r w:rsidRPr="006B1F3A">
        <w:t>have the same meaning in the</w:t>
      </w:r>
      <w:r>
        <w:t xml:space="preserve"> R</w:t>
      </w:r>
      <w:r w:rsidRPr="006B1F3A">
        <w:t>egulations.</w:t>
      </w:r>
    </w:p>
    <w:p w:rsidR="00871C78" w:rsidRPr="00847D86" w:rsidRDefault="00871C78" w:rsidP="00F04B23">
      <w:pPr>
        <w:spacing w:after="240"/>
        <w:rPr>
          <w:u w:val="single"/>
          <w:lang w:val="en-AU" w:eastAsia="en-AU"/>
        </w:rPr>
      </w:pPr>
      <w:r w:rsidRPr="00847D86">
        <w:rPr>
          <w:u w:val="single"/>
          <w:lang w:val="en-AU" w:eastAsia="en-AU"/>
        </w:rPr>
        <w:t xml:space="preserve">Regulation 4 – </w:t>
      </w:r>
      <w:r>
        <w:rPr>
          <w:u w:val="single"/>
          <w:lang w:val="en-AU" w:eastAsia="en-AU"/>
        </w:rPr>
        <w:t xml:space="preserve">Details that may be included in the Register in relation to business names registered to sole traders  </w:t>
      </w:r>
    </w:p>
    <w:p w:rsidR="00871C78" w:rsidRDefault="00871C78" w:rsidP="00F04B23">
      <w:pPr>
        <w:spacing w:after="240"/>
        <w:rPr>
          <w:lang w:val="en-AU" w:eastAsia="en-AU"/>
        </w:rPr>
      </w:pPr>
      <w:r>
        <w:rPr>
          <w:lang w:val="en-AU" w:eastAsia="en-AU"/>
        </w:rPr>
        <w:t xml:space="preserve">Item 2 of Schedule 1 to the Transitional Act provides that where business names are registered to sole traders on State and Territory registers ASIC must, at the change-over day, register names that are notified to it under the provisions of the Transitional Act.  The change-over day is the date on which the Business Names Register commences. </w:t>
      </w:r>
    </w:p>
    <w:p w:rsidR="00871C78" w:rsidRDefault="00871C78" w:rsidP="00F04B23">
      <w:pPr>
        <w:spacing w:after="240"/>
        <w:rPr>
          <w:lang w:val="en-AU" w:eastAsia="en-AU"/>
        </w:rPr>
      </w:pPr>
      <w:proofErr w:type="spellStart"/>
      <w:r>
        <w:rPr>
          <w:lang w:val="en-AU" w:eastAsia="en-AU"/>
        </w:rPr>
        <w:t>Subitem</w:t>
      </w:r>
      <w:proofErr w:type="spellEnd"/>
      <w:r>
        <w:rPr>
          <w:lang w:val="en-AU" w:eastAsia="en-AU"/>
        </w:rPr>
        <w:t xml:space="preserve"> 2(2) of Schedule 1 to the Transitional Act provides that ASIC must register names by entering in the Register the information listed in </w:t>
      </w:r>
      <w:proofErr w:type="spellStart"/>
      <w:r>
        <w:rPr>
          <w:lang w:val="en-AU" w:eastAsia="en-AU"/>
        </w:rPr>
        <w:t>subitem</w:t>
      </w:r>
      <w:proofErr w:type="spellEnd"/>
      <w:r>
        <w:rPr>
          <w:lang w:val="en-AU" w:eastAsia="en-AU"/>
        </w:rPr>
        <w:t xml:space="preserve"> 2(2) which includes the business name that is registered on a notified State or Territory Register and the entity's principal place of business.  </w:t>
      </w:r>
      <w:proofErr w:type="spellStart"/>
      <w:r>
        <w:rPr>
          <w:lang w:val="en-AU" w:eastAsia="en-AU"/>
        </w:rPr>
        <w:t>Subitem</w:t>
      </w:r>
      <w:proofErr w:type="spellEnd"/>
      <w:r>
        <w:rPr>
          <w:lang w:val="en-AU" w:eastAsia="en-AU"/>
        </w:rPr>
        <w:t xml:space="preserve"> 2(4) of Schedule 1 to the Transitional Act provides that the Register may also include any other information that is prescribed. </w:t>
      </w:r>
    </w:p>
    <w:p w:rsidR="00871C78" w:rsidRDefault="00871C78" w:rsidP="00F04B23">
      <w:pPr>
        <w:spacing w:after="240"/>
        <w:rPr>
          <w:u w:val="single"/>
          <w:lang w:val="en-AU" w:eastAsia="en-AU"/>
        </w:rPr>
      </w:pPr>
      <w:r>
        <w:rPr>
          <w:lang w:val="en-AU" w:eastAsia="en-AU"/>
        </w:rPr>
        <w:t xml:space="preserve">Regulation 4 provides that the additional information that ASIC can include on the Register includes the State or Territory in which the business name is registered; the reference identification number under which the business name is registered pursuant to the provisions of a State or </w:t>
      </w:r>
      <w:r>
        <w:rPr>
          <w:lang w:val="en-AU" w:eastAsia="en-AU"/>
        </w:rPr>
        <w:lastRenderedPageBreak/>
        <w:t xml:space="preserve">Territory law; and the home address of the holder of the business name (if a person has provided a home address under a State or Territory registration law). </w:t>
      </w:r>
    </w:p>
    <w:p w:rsidR="00871C78" w:rsidRPr="00847D86" w:rsidRDefault="00871C78" w:rsidP="00F04B23">
      <w:pPr>
        <w:spacing w:after="240"/>
        <w:rPr>
          <w:u w:val="single"/>
          <w:lang w:val="en-AU" w:eastAsia="en-AU"/>
        </w:rPr>
      </w:pPr>
      <w:r w:rsidRPr="00847D86">
        <w:rPr>
          <w:u w:val="single"/>
          <w:lang w:val="en-AU" w:eastAsia="en-AU"/>
        </w:rPr>
        <w:t xml:space="preserve">Regulation 5 – </w:t>
      </w:r>
      <w:r>
        <w:rPr>
          <w:u w:val="single"/>
          <w:lang w:val="en-AU" w:eastAsia="en-AU"/>
        </w:rPr>
        <w:t xml:space="preserve">Details that may be included in the Register in relation to business names registered to groups of persons  </w:t>
      </w:r>
    </w:p>
    <w:p w:rsidR="00871C78" w:rsidRDefault="00871C78" w:rsidP="00D82AED">
      <w:pPr>
        <w:spacing w:after="240"/>
        <w:rPr>
          <w:lang w:val="en-AU" w:eastAsia="en-AU"/>
        </w:rPr>
      </w:pPr>
      <w:r>
        <w:rPr>
          <w:lang w:val="en-AU" w:eastAsia="en-AU"/>
        </w:rPr>
        <w:t xml:space="preserve">This regulation applies to business names registered on State and Territory business names registers at the time of change-over to the Register. </w:t>
      </w:r>
    </w:p>
    <w:p w:rsidR="00871C78" w:rsidRDefault="00871C78" w:rsidP="00D82AED">
      <w:pPr>
        <w:spacing w:after="240"/>
        <w:rPr>
          <w:lang w:val="en-AU" w:eastAsia="en-AU"/>
        </w:rPr>
      </w:pPr>
      <w:r>
        <w:rPr>
          <w:lang w:val="en-AU" w:eastAsia="en-AU"/>
        </w:rPr>
        <w:t xml:space="preserve">Item 3 of Schedule 1 to the Transitional Act provides that in relation to business names registered to a group of persons, ASIC must register names that are notified to it under the provisions of the Transitional Act.  </w:t>
      </w:r>
    </w:p>
    <w:p w:rsidR="00871C78" w:rsidRDefault="00871C78" w:rsidP="00A473D2">
      <w:pPr>
        <w:spacing w:after="240"/>
        <w:rPr>
          <w:lang w:val="en-AU" w:eastAsia="en-AU"/>
        </w:rPr>
      </w:pPr>
      <w:proofErr w:type="spellStart"/>
      <w:r>
        <w:rPr>
          <w:lang w:val="en-AU" w:eastAsia="en-AU"/>
        </w:rPr>
        <w:t>Subitem</w:t>
      </w:r>
      <w:proofErr w:type="spellEnd"/>
      <w:r>
        <w:rPr>
          <w:lang w:val="en-AU" w:eastAsia="en-AU"/>
        </w:rPr>
        <w:t xml:space="preserve"> 3(4) of Schedule 1 to the Transitional Act provides that ASIC must register names by entering in the Register the information listed in </w:t>
      </w:r>
      <w:proofErr w:type="spellStart"/>
      <w:r>
        <w:rPr>
          <w:lang w:val="en-AU" w:eastAsia="en-AU"/>
        </w:rPr>
        <w:t>subitem</w:t>
      </w:r>
      <w:proofErr w:type="spellEnd"/>
      <w:r>
        <w:rPr>
          <w:lang w:val="en-AU" w:eastAsia="en-AU"/>
        </w:rPr>
        <w:t xml:space="preserve"> 3(4).  </w:t>
      </w:r>
      <w:proofErr w:type="spellStart"/>
      <w:r>
        <w:rPr>
          <w:lang w:val="en-AU" w:eastAsia="en-AU"/>
        </w:rPr>
        <w:t>Subitem</w:t>
      </w:r>
      <w:proofErr w:type="spellEnd"/>
      <w:r>
        <w:rPr>
          <w:lang w:val="en-AU" w:eastAsia="en-AU"/>
        </w:rPr>
        <w:t xml:space="preserve"> 3(6) of Schedule 1 to the Transitional Act provides that the Register may also include any other information that is prescribed. </w:t>
      </w:r>
    </w:p>
    <w:p w:rsidR="00871C78" w:rsidRDefault="00871C78" w:rsidP="00C27DB7">
      <w:pPr>
        <w:spacing w:after="240"/>
        <w:rPr>
          <w:u w:val="single"/>
          <w:lang w:val="en-AU" w:eastAsia="en-AU"/>
        </w:rPr>
      </w:pPr>
      <w:r>
        <w:rPr>
          <w:lang w:val="en-AU" w:eastAsia="en-AU"/>
        </w:rPr>
        <w:t xml:space="preserve">Information that is prescribed by regulation 5 includes the State or Territory in which the business name is registered; the reference identification number under which the business name is registered pursuant to the provisions of a State or Territory law; and home address (if a person has provided a home address under a State or Territory registration law). </w:t>
      </w:r>
    </w:p>
    <w:p w:rsidR="00871C78" w:rsidRPr="00847D86" w:rsidRDefault="00871C78" w:rsidP="00F04B23">
      <w:pPr>
        <w:spacing w:after="240"/>
        <w:rPr>
          <w:u w:val="single"/>
          <w:lang w:val="en-AU" w:eastAsia="en-AU"/>
        </w:rPr>
      </w:pPr>
      <w:r w:rsidRPr="00847D86">
        <w:rPr>
          <w:u w:val="single"/>
          <w:lang w:val="en-AU" w:eastAsia="en-AU"/>
        </w:rPr>
        <w:t xml:space="preserve">Regulation 6 – </w:t>
      </w:r>
      <w:r>
        <w:rPr>
          <w:u w:val="single"/>
          <w:lang w:val="en-AU" w:eastAsia="en-AU"/>
        </w:rPr>
        <w:t>Historical information from States and Territories</w:t>
      </w:r>
    </w:p>
    <w:p w:rsidR="00871C78" w:rsidRDefault="00871C78" w:rsidP="00F04B23">
      <w:pPr>
        <w:spacing w:after="240"/>
        <w:rPr>
          <w:lang w:val="en-AU" w:eastAsia="en-AU"/>
        </w:rPr>
      </w:pPr>
      <w:r>
        <w:rPr>
          <w:lang w:val="en-AU" w:eastAsia="en-AU"/>
        </w:rPr>
        <w:t xml:space="preserve">This regulation applies to information that is received by ASIC from a State or Territory and it relates to information that a State or Territory has obtained under a law of a State or Territory before change-over.  </w:t>
      </w:r>
    </w:p>
    <w:p w:rsidR="00871C78" w:rsidRDefault="00871C78" w:rsidP="00F04B23">
      <w:pPr>
        <w:spacing w:after="240"/>
        <w:rPr>
          <w:lang w:val="en-AU" w:eastAsia="en-AU"/>
        </w:rPr>
      </w:pPr>
      <w:proofErr w:type="spellStart"/>
      <w:r>
        <w:rPr>
          <w:lang w:val="en-AU" w:eastAsia="en-AU"/>
        </w:rPr>
        <w:t>Subitem</w:t>
      </w:r>
      <w:proofErr w:type="spellEnd"/>
      <w:r>
        <w:rPr>
          <w:lang w:val="en-AU" w:eastAsia="en-AU"/>
        </w:rPr>
        <w:t xml:space="preserve"> 33(2) of Schedule 1 to the Transitional Act provides that regulations may provide for information obtained by ASIC from a State or Territory under a State or Territory registration law before change-over day to be included on the Register.   </w:t>
      </w:r>
    </w:p>
    <w:p w:rsidR="00871C78" w:rsidRDefault="00871C78" w:rsidP="00F04B23">
      <w:pPr>
        <w:spacing w:after="240"/>
        <w:rPr>
          <w:lang w:val="en-AU" w:eastAsia="en-AU"/>
        </w:rPr>
      </w:pPr>
      <w:r>
        <w:rPr>
          <w:lang w:val="en-AU" w:eastAsia="en-AU"/>
        </w:rPr>
        <w:t xml:space="preserve">At change-over, all information on State and Territory registers will be transferred to the Register.  Regulation 6 lists the information that will be available to be viewed by the public.  </w:t>
      </w:r>
    </w:p>
    <w:p w:rsidR="00871C78" w:rsidRPr="00847D86" w:rsidRDefault="00871C78" w:rsidP="00F04B23">
      <w:pPr>
        <w:spacing w:after="240"/>
        <w:rPr>
          <w:lang w:val="en-AU" w:eastAsia="en-AU"/>
        </w:rPr>
      </w:pPr>
      <w:r>
        <w:rPr>
          <w:lang w:val="en-AU" w:eastAsia="en-AU"/>
        </w:rPr>
        <w:t xml:space="preserve">Information that can be included on the Register includes details (including contact details and alternative contact details) in relation to any person to whom a business name was previously registered, alternative contact details and any home address provided by a person who had a name registered to them that was a principal place of business.  Information that can also be included on the Register is the date that ASIC was notified of information that is mentioned in </w:t>
      </w:r>
      <w:proofErr w:type="spellStart"/>
      <w:r>
        <w:rPr>
          <w:lang w:val="en-AU" w:eastAsia="en-AU"/>
        </w:rPr>
        <w:t>subregulation</w:t>
      </w:r>
      <w:proofErr w:type="spellEnd"/>
      <w:r>
        <w:rPr>
          <w:lang w:val="en-AU" w:eastAsia="en-AU"/>
        </w:rPr>
        <w:t xml:space="preserve"> 6(2) and in item 1 of Schedule 1 to the Transitional Act.  </w:t>
      </w:r>
    </w:p>
    <w:p w:rsidR="00871C78" w:rsidRPr="00067E1D" w:rsidRDefault="00871C78" w:rsidP="00F04B23"/>
    <w:p w:rsidR="00871C78" w:rsidRDefault="00871C78"/>
    <w:sectPr w:rsidR="00871C78" w:rsidSect="0044157A">
      <w:footerReference w:type="even" r:id="rId7"/>
      <w:foot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C78" w:rsidRDefault="00871C78" w:rsidP="00A43EAB">
      <w:r>
        <w:separator/>
      </w:r>
    </w:p>
  </w:endnote>
  <w:endnote w:type="continuationSeparator" w:id="0">
    <w:p w:rsidR="00871C78" w:rsidRDefault="00871C78" w:rsidP="00A43E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C78" w:rsidRDefault="00543384" w:rsidP="007B7D92">
    <w:pPr>
      <w:pStyle w:val="Footer"/>
      <w:framePr w:wrap="around" w:vAnchor="text" w:hAnchor="margin" w:xAlign="right" w:y="1"/>
      <w:rPr>
        <w:rStyle w:val="PageNumber"/>
      </w:rPr>
    </w:pPr>
    <w:r>
      <w:rPr>
        <w:rStyle w:val="PageNumber"/>
      </w:rPr>
      <w:fldChar w:fldCharType="begin"/>
    </w:r>
    <w:r w:rsidR="00871C78">
      <w:rPr>
        <w:rStyle w:val="PageNumber"/>
      </w:rPr>
      <w:instrText xml:space="preserve">PAGE  </w:instrText>
    </w:r>
    <w:r>
      <w:rPr>
        <w:rStyle w:val="PageNumber"/>
      </w:rPr>
      <w:fldChar w:fldCharType="end"/>
    </w:r>
  </w:p>
  <w:p w:rsidR="00871C78" w:rsidRDefault="00871C78" w:rsidP="004415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C78" w:rsidRDefault="00543384" w:rsidP="007B7D92">
    <w:pPr>
      <w:pStyle w:val="Footer"/>
      <w:framePr w:wrap="around" w:vAnchor="text" w:hAnchor="margin" w:xAlign="right" w:y="1"/>
      <w:rPr>
        <w:rStyle w:val="PageNumber"/>
      </w:rPr>
    </w:pPr>
    <w:r>
      <w:rPr>
        <w:rStyle w:val="PageNumber"/>
      </w:rPr>
      <w:fldChar w:fldCharType="begin"/>
    </w:r>
    <w:r w:rsidR="00871C78">
      <w:rPr>
        <w:rStyle w:val="PageNumber"/>
      </w:rPr>
      <w:instrText xml:space="preserve">PAGE  </w:instrText>
    </w:r>
    <w:r>
      <w:rPr>
        <w:rStyle w:val="PageNumber"/>
      </w:rPr>
      <w:fldChar w:fldCharType="separate"/>
    </w:r>
    <w:r w:rsidR="00EA62EB">
      <w:rPr>
        <w:rStyle w:val="PageNumber"/>
        <w:noProof/>
      </w:rPr>
      <w:t>2</w:t>
    </w:r>
    <w:r>
      <w:rPr>
        <w:rStyle w:val="PageNumber"/>
      </w:rPr>
      <w:fldChar w:fldCharType="end"/>
    </w:r>
  </w:p>
  <w:p w:rsidR="00871C78" w:rsidRDefault="00871C78" w:rsidP="004415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C78" w:rsidRDefault="00871C78" w:rsidP="00A43EAB">
      <w:r>
        <w:separator/>
      </w:r>
    </w:p>
  </w:footnote>
  <w:footnote w:type="continuationSeparator" w:id="0">
    <w:p w:rsidR="00871C78" w:rsidRDefault="00871C78" w:rsidP="00A43E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99AB89A"/>
    <w:lvl w:ilvl="0">
      <w:start w:val="1"/>
      <w:numFmt w:val="bullet"/>
      <w:pStyle w:val="Diagram"/>
      <w:lvlText w:val=""/>
      <w:lvlJc w:val="left"/>
      <w:pPr>
        <w:tabs>
          <w:tab w:val="num" w:pos="360"/>
        </w:tabs>
        <w:ind w:left="360" w:hanging="360"/>
      </w:pPr>
      <w:rPr>
        <w:rFonts w:ascii="Symbol" w:hAnsi="Symbol" w:hint="default"/>
      </w:rPr>
    </w:lvl>
  </w:abstractNum>
  <w:abstractNum w:abstractNumId="1">
    <w:nsid w:val="20226E25"/>
    <w:multiLevelType w:val="multilevel"/>
    <w:tmpl w:val="2C50736A"/>
    <w:name w:val="StandardBulletedList"/>
    <w:lvl w:ilvl="0">
      <w:start w:val="1"/>
      <w:numFmt w:val="bullet"/>
      <w:pStyle w:val="Bullet"/>
      <w:lvlText w:val="•"/>
      <w:lvlJc w:val="left"/>
      <w:pPr>
        <w:tabs>
          <w:tab w:val="num" w:pos="567"/>
        </w:tabs>
        <w:ind w:left="567" w:hanging="567"/>
      </w:pPr>
      <w:rPr>
        <w:rFonts w:ascii="Times New Roman" w:hAnsi="Times New Roman"/>
      </w:rPr>
    </w:lvl>
    <w:lvl w:ilvl="1">
      <w:start w:val="1"/>
      <w:numFmt w:val="bullet"/>
      <w:pStyle w:val="Dash"/>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4ECE6DB5"/>
    <w:multiLevelType w:val="multilevel"/>
    <w:tmpl w:val="2E745E10"/>
    <w:lvl w:ilvl="0">
      <w:start w:val="1"/>
      <w:numFmt w:val="decimal"/>
      <w:lvlText w:val="%1."/>
      <w:lvlJc w:val="left"/>
      <w:pPr>
        <w:tabs>
          <w:tab w:val="num" w:pos="720"/>
        </w:tabs>
        <w:ind w:left="720" w:hanging="720"/>
      </w:pPr>
      <w:rPr>
        <w:rFonts w:cs="Times New Roman"/>
      </w:rPr>
    </w:lvl>
    <w:lvl w:ilvl="1">
      <w:start w:val="1"/>
      <w:numFmt w:val="decimal"/>
      <w:pStyle w:val="base-text-paragraph"/>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noTabHangInd/>
    <w:noColumnBalance/>
    <w:suppressBottomSpacing/>
    <w:suppressTopSpacing/>
    <w:suppressSpBfAfterPgBrk/>
    <w:noSpaceRaiseLower/>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B23"/>
    <w:rsid w:val="00034961"/>
    <w:rsid w:val="00065864"/>
    <w:rsid w:val="00067E1D"/>
    <w:rsid w:val="00095C3F"/>
    <w:rsid w:val="000B3D30"/>
    <w:rsid w:val="000D7A44"/>
    <w:rsid w:val="00122C9F"/>
    <w:rsid w:val="00134365"/>
    <w:rsid w:val="00134642"/>
    <w:rsid w:val="0016664B"/>
    <w:rsid w:val="00171D83"/>
    <w:rsid w:val="00180E26"/>
    <w:rsid w:val="001A30F6"/>
    <w:rsid w:val="001B0D7E"/>
    <w:rsid w:val="001B126C"/>
    <w:rsid w:val="001B41C7"/>
    <w:rsid w:val="001F4623"/>
    <w:rsid w:val="00211F94"/>
    <w:rsid w:val="00214DDC"/>
    <w:rsid w:val="00216D6D"/>
    <w:rsid w:val="00226D7F"/>
    <w:rsid w:val="002400DB"/>
    <w:rsid w:val="002A4EA2"/>
    <w:rsid w:val="002A565B"/>
    <w:rsid w:val="002C2244"/>
    <w:rsid w:val="002F1F44"/>
    <w:rsid w:val="0030085C"/>
    <w:rsid w:val="00311883"/>
    <w:rsid w:val="00331AAC"/>
    <w:rsid w:val="003359E0"/>
    <w:rsid w:val="00336200"/>
    <w:rsid w:val="00361483"/>
    <w:rsid w:val="00363F9C"/>
    <w:rsid w:val="0037643E"/>
    <w:rsid w:val="003840DC"/>
    <w:rsid w:val="003B1EBD"/>
    <w:rsid w:val="003F1F24"/>
    <w:rsid w:val="003F24A7"/>
    <w:rsid w:val="00406500"/>
    <w:rsid w:val="00413A0D"/>
    <w:rsid w:val="0041756E"/>
    <w:rsid w:val="0042696D"/>
    <w:rsid w:val="00435B35"/>
    <w:rsid w:val="00440A61"/>
    <w:rsid w:val="0044157A"/>
    <w:rsid w:val="00456AEE"/>
    <w:rsid w:val="00460C65"/>
    <w:rsid w:val="00476DCD"/>
    <w:rsid w:val="00482D99"/>
    <w:rsid w:val="004A0C9A"/>
    <w:rsid w:val="004A78D9"/>
    <w:rsid w:val="004F468C"/>
    <w:rsid w:val="00534BE3"/>
    <w:rsid w:val="00543384"/>
    <w:rsid w:val="00564BC0"/>
    <w:rsid w:val="00592D6C"/>
    <w:rsid w:val="005C02DE"/>
    <w:rsid w:val="005D62F6"/>
    <w:rsid w:val="00600B9A"/>
    <w:rsid w:val="00607E73"/>
    <w:rsid w:val="0063614C"/>
    <w:rsid w:val="00672EC3"/>
    <w:rsid w:val="006A087E"/>
    <w:rsid w:val="006B1F3A"/>
    <w:rsid w:val="006D176D"/>
    <w:rsid w:val="006D514B"/>
    <w:rsid w:val="006D6AB7"/>
    <w:rsid w:val="006F48D8"/>
    <w:rsid w:val="00702100"/>
    <w:rsid w:val="007B0414"/>
    <w:rsid w:val="007B7D92"/>
    <w:rsid w:val="007E1E0B"/>
    <w:rsid w:val="007E6CB2"/>
    <w:rsid w:val="00814632"/>
    <w:rsid w:val="008360D1"/>
    <w:rsid w:val="00844962"/>
    <w:rsid w:val="00847D86"/>
    <w:rsid w:val="008576B5"/>
    <w:rsid w:val="00862378"/>
    <w:rsid w:val="00871C78"/>
    <w:rsid w:val="008847CC"/>
    <w:rsid w:val="00892093"/>
    <w:rsid w:val="008B6C69"/>
    <w:rsid w:val="008C031B"/>
    <w:rsid w:val="008C0D0B"/>
    <w:rsid w:val="008F0CCA"/>
    <w:rsid w:val="008F768C"/>
    <w:rsid w:val="008F76FA"/>
    <w:rsid w:val="00900F51"/>
    <w:rsid w:val="00926229"/>
    <w:rsid w:val="0093107C"/>
    <w:rsid w:val="009321A0"/>
    <w:rsid w:val="00944618"/>
    <w:rsid w:val="009A2469"/>
    <w:rsid w:val="009B6A85"/>
    <w:rsid w:val="009D2CAB"/>
    <w:rsid w:val="009E3F8F"/>
    <w:rsid w:val="009E78AF"/>
    <w:rsid w:val="00A22E43"/>
    <w:rsid w:val="00A32696"/>
    <w:rsid w:val="00A43EAB"/>
    <w:rsid w:val="00A4617C"/>
    <w:rsid w:val="00A473D2"/>
    <w:rsid w:val="00A62FF7"/>
    <w:rsid w:val="00A70568"/>
    <w:rsid w:val="00A858BC"/>
    <w:rsid w:val="00AA73B8"/>
    <w:rsid w:val="00AB4288"/>
    <w:rsid w:val="00B144A5"/>
    <w:rsid w:val="00B16E37"/>
    <w:rsid w:val="00B32747"/>
    <w:rsid w:val="00B642DE"/>
    <w:rsid w:val="00B84884"/>
    <w:rsid w:val="00BA1F41"/>
    <w:rsid w:val="00BA3A36"/>
    <w:rsid w:val="00BA5BC9"/>
    <w:rsid w:val="00C27DB7"/>
    <w:rsid w:val="00C426CC"/>
    <w:rsid w:val="00C44641"/>
    <w:rsid w:val="00C563B1"/>
    <w:rsid w:val="00C600A3"/>
    <w:rsid w:val="00C64277"/>
    <w:rsid w:val="00C86097"/>
    <w:rsid w:val="00C911C1"/>
    <w:rsid w:val="00CC67EF"/>
    <w:rsid w:val="00CE3D84"/>
    <w:rsid w:val="00D06C49"/>
    <w:rsid w:val="00D11458"/>
    <w:rsid w:val="00D21A48"/>
    <w:rsid w:val="00D3334C"/>
    <w:rsid w:val="00D454CB"/>
    <w:rsid w:val="00D82AED"/>
    <w:rsid w:val="00D8631C"/>
    <w:rsid w:val="00D93A41"/>
    <w:rsid w:val="00DA35EE"/>
    <w:rsid w:val="00DB76F6"/>
    <w:rsid w:val="00DC2417"/>
    <w:rsid w:val="00DE51E9"/>
    <w:rsid w:val="00DF4314"/>
    <w:rsid w:val="00DF4732"/>
    <w:rsid w:val="00E10A34"/>
    <w:rsid w:val="00E21080"/>
    <w:rsid w:val="00E25CE1"/>
    <w:rsid w:val="00E44260"/>
    <w:rsid w:val="00E81625"/>
    <w:rsid w:val="00E93D5B"/>
    <w:rsid w:val="00EA32CF"/>
    <w:rsid w:val="00EA62EB"/>
    <w:rsid w:val="00EA769C"/>
    <w:rsid w:val="00ED7F73"/>
    <w:rsid w:val="00F04497"/>
    <w:rsid w:val="00F04B23"/>
    <w:rsid w:val="00F21F82"/>
    <w:rsid w:val="00F57159"/>
    <w:rsid w:val="00F57207"/>
    <w:rsid w:val="00F90417"/>
    <w:rsid w:val="00F928AC"/>
    <w:rsid w:val="00FA32B0"/>
    <w:rsid w:val="00FA59EB"/>
    <w:rsid w:val="00FB52FD"/>
    <w:rsid w:val="00FC2093"/>
    <w:rsid w:val="00FD4ABF"/>
    <w:rsid w:val="00FE4EDF"/>
    <w:rsid w:val="00FF4AB4"/>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B2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uiPriority w:val="99"/>
    <w:rsid w:val="00CC67EF"/>
    <w:pPr>
      <w:keepNext/>
      <w:jc w:val="center"/>
    </w:pPr>
    <w:rPr>
      <w:szCs w:val="20"/>
      <w:lang w:eastAsia="en-AU"/>
    </w:rPr>
  </w:style>
  <w:style w:type="paragraph" w:customStyle="1" w:styleId="TableGraphic">
    <w:name w:val="Table Graphic"/>
    <w:basedOn w:val="Normal"/>
    <w:next w:val="Normal"/>
    <w:uiPriority w:val="99"/>
    <w:rsid w:val="00C911C1"/>
    <w:pPr>
      <w:ind w:right="-113"/>
      <w:jc w:val="both"/>
    </w:pPr>
    <w:rPr>
      <w:szCs w:val="20"/>
      <w:lang w:eastAsia="en-AU"/>
    </w:rPr>
  </w:style>
  <w:style w:type="paragraph" w:styleId="Footer">
    <w:name w:val="footer"/>
    <w:basedOn w:val="Normal"/>
    <w:link w:val="FooterChar"/>
    <w:uiPriority w:val="99"/>
    <w:rsid w:val="00F04B23"/>
    <w:pPr>
      <w:tabs>
        <w:tab w:val="center" w:pos="4153"/>
        <w:tab w:val="right" w:pos="8306"/>
      </w:tabs>
    </w:pPr>
  </w:style>
  <w:style w:type="character" w:customStyle="1" w:styleId="FooterChar">
    <w:name w:val="Footer Char"/>
    <w:basedOn w:val="DefaultParagraphFont"/>
    <w:link w:val="Footer"/>
    <w:uiPriority w:val="99"/>
    <w:locked/>
    <w:rsid w:val="00F04B23"/>
    <w:rPr>
      <w:rFonts w:ascii="Times New Roman" w:hAnsi="Times New Roman" w:cs="Times New Roman"/>
      <w:sz w:val="24"/>
      <w:szCs w:val="24"/>
      <w:lang w:val="en-US"/>
    </w:rPr>
  </w:style>
  <w:style w:type="paragraph" w:customStyle="1" w:styleId="Bullet">
    <w:name w:val="Bullet"/>
    <w:aliases w:val="b"/>
    <w:basedOn w:val="Normal"/>
    <w:link w:val="BulletChar"/>
    <w:uiPriority w:val="99"/>
    <w:rsid w:val="00F04B23"/>
    <w:pPr>
      <w:numPr>
        <w:numId w:val="1"/>
      </w:numPr>
      <w:spacing w:after="240"/>
    </w:pPr>
    <w:rPr>
      <w:szCs w:val="20"/>
      <w:lang w:val="en-AU" w:eastAsia="en-AU"/>
    </w:rPr>
  </w:style>
  <w:style w:type="paragraph" w:customStyle="1" w:styleId="Dash">
    <w:name w:val="Dash"/>
    <w:basedOn w:val="Normal"/>
    <w:uiPriority w:val="99"/>
    <w:rsid w:val="00F04B23"/>
    <w:pPr>
      <w:numPr>
        <w:ilvl w:val="1"/>
        <w:numId w:val="1"/>
      </w:numPr>
      <w:spacing w:after="240"/>
    </w:pPr>
    <w:rPr>
      <w:szCs w:val="20"/>
      <w:lang w:val="en-AU" w:eastAsia="en-AU"/>
    </w:rPr>
  </w:style>
  <w:style w:type="character" w:styleId="PageNumber">
    <w:name w:val="page number"/>
    <w:basedOn w:val="DefaultParagraphFont"/>
    <w:uiPriority w:val="99"/>
    <w:rsid w:val="00F04B23"/>
    <w:rPr>
      <w:rFonts w:cs="Times New Roman"/>
    </w:rPr>
  </w:style>
  <w:style w:type="paragraph" w:customStyle="1" w:styleId="DoubleDot">
    <w:name w:val="Double Dot"/>
    <w:basedOn w:val="Normal"/>
    <w:uiPriority w:val="99"/>
    <w:rsid w:val="00F04B23"/>
    <w:pPr>
      <w:numPr>
        <w:ilvl w:val="2"/>
        <w:numId w:val="1"/>
      </w:numPr>
      <w:spacing w:after="240"/>
    </w:pPr>
  </w:style>
  <w:style w:type="character" w:customStyle="1" w:styleId="BulletChar">
    <w:name w:val="Bullet Char"/>
    <w:basedOn w:val="DefaultParagraphFont"/>
    <w:link w:val="Bullet"/>
    <w:uiPriority w:val="99"/>
    <w:locked/>
    <w:rsid w:val="00F04B23"/>
    <w:rPr>
      <w:rFonts w:ascii="Times New Roman" w:hAnsi="Times New Roman" w:cs="Times New Roman"/>
      <w:sz w:val="20"/>
      <w:szCs w:val="20"/>
      <w:lang w:eastAsia="en-AU"/>
    </w:rPr>
  </w:style>
  <w:style w:type="character" w:styleId="Hyperlink">
    <w:name w:val="Hyperlink"/>
    <w:basedOn w:val="DefaultParagraphFont"/>
    <w:uiPriority w:val="99"/>
    <w:rsid w:val="00F04B23"/>
    <w:rPr>
      <w:rFonts w:cs="Times New Roman"/>
      <w:color w:val="0000FF"/>
      <w:u w:val="single"/>
    </w:rPr>
  </w:style>
  <w:style w:type="paragraph" w:customStyle="1" w:styleId="base-text-paragraph">
    <w:name w:val="base-text-paragraph"/>
    <w:basedOn w:val="Normal"/>
    <w:link w:val="base-text-paragraphChar"/>
    <w:uiPriority w:val="99"/>
    <w:rsid w:val="008576B5"/>
    <w:pPr>
      <w:numPr>
        <w:ilvl w:val="1"/>
        <w:numId w:val="3"/>
      </w:numPr>
      <w:spacing w:before="120" w:after="120"/>
    </w:pPr>
    <w:rPr>
      <w:sz w:val="22"/>
      <w:szCs w:val="20"/>
      <w:lang w:val="en-AU" w:eastAsia="en-AU"/>
    </w:rPr>
  </w:style>
  <w:style w:type="paragraph" w:customStyle="1" w:styleId="Diagram">
    <w:name w:val="Diagram"/>
    <w:basedOn w:val="Normal"/>
    <w:next w:val="Normal"/>
    <w:uiPriority w:val="99"/>
    <w:rsid w:val="008576B5"/>
    <w:pPr>
      <w:keepNext/>
      <w:numPr>
        <w:numId w:val="2"/>
      </w:numPr>
      <w:tabs>
        <w:tab w:val="clear" w:pos="360"/>
        <w:tab w:val="num" w:pos="1224"/>
      </w:tabs>
      <w:ind w:left="1134" w:hanging="504"/>
    </w:pPr>
    <w:rPr>
      <w:b/>
      <w:sz w:val="22"/>
      <w:szCs w:val="20"/>
      <w:lang w:val="en-AU" w:eastAsia="en-AU"/>
    </w:rPr>
  </w:style>
  <w:style w:type="character" w:customStyle="1" w:styleId="base-text-paragraphChar">
    <w:name w:val="base-text-paragraph Char"/>
    <w:basedOn w:val="DefaultParagraphFont"/>
    <w:link w:val="base-text-paragraph"/>
    <w:uiPriority w:val="99"/>
    <w:locked/>
    <w:rsid w:val="008576B5"/>
    <w:rPr>
      <w:rFonts w:ascii="Times New Roman" w:hAnsi="Times New Roman" w:cs="Times New Roman"/>
      <w:sz w:val="20"/>
      <w:szCs w:val="20"/>
      <w:lang w:eastAsia="en-AU"/>
    </w:rPr>
  </w:style>
  <w:style w:type="paragraph" w:styleId="BalloonText">
    <w:name w:val="Balloon Text"/>
    <w:basedOn w:val="Normal"/>
    <w:link w:val="BalloonTextChar"/>
    <w:uiPriority w:val="99"/>
    <w:semiHidden/>
    <w:rsid w:val="006A08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87E"/>
    <w:rPr>
      <w:rFonts w:ascii="Tahoma" w:hAnsi="Tahoma" w:cs="Tahoma"/>
      <w:sz w:val="16"/>
      <w:szCs w:val="16"/>
      <w:lang w:val="en-US"/>
    </w:rPr>
  </w:style>
  <w:style w:type="character" w:styleId="CommentReference">
    <w:name w:val="annotation reference"/>
    <w:basedOn w:val="DefaultParagraphFont"/>
    <w:uiPriority w:val="99"/>
    <w:semiHidden/>
    <w:rsid w:val="002400DB"/>
    <w:rPr>
      <w:rFonts w:cs="Times New Roman"/>
      <w:sz w:val="16"/>
      <w:szCs w:val="16"/>
    </w:rPr>
  </w:style>
  <w:style w:type="paragraph" w:styleId="CommentText">
    <w:name w:val="annotation text"/>
    <w:basedOn w:val="Normal"/>
    <w:link w:val="CommentTextChar"/>
    <w:uiPriority w:val="99"/>
    <w:semiHidden/>
    <w:rsid w:val="002400DB"/>
    <w:rPr>
      <w:sz w:val="20"/>
      <w:szCs w:val="20"/>
    </w:rPr>
  </w:style>
  <w:style w:type="character" w:customStyle="1" w:styleId="CommentTextChar">
    <w:name w:val="Comment Text Char"/>
    <w:basedOn w:val="DefaultParagraphFont"/>
    <w:link w:val="CommentText"/>
    <w:uiPriority w:val="99"/>
    <w:semiHidden/>
    <w:locked/>
    <w:rsid w:val="002400DB"/>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2400DB"/>
    <w:rPr>
      <w:b/>
      <w:bCs/>
    </w:rPr>
  </w:style>
  <w:style w:type="character" w:customStyle="1" w:styleId="CommentSubjectChar">
    <w:name w:val="Comment Subject Char"/>
    <w:basedOn w:val="CommentTextChar"/>
    <w:link w:val="CommentSubject"/>
    <w:uiPriority w:val="99"/>
    <w:semiHidden/>
    <w:locked/>
    <w:rsid w:val="002400D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7662</Characters>
  <Application>Microsoft Office Word</Application>
  <DocSecurity>0</DocSecurity>
  <Lines>63</Lines>
  <Paragraphs>18</Paragraphs>
  <ScaleCrop>false</ScaleCrop>
  <Company>Australian Government - The Treasury</Company>
  <LinksUpToDate>false</LinksUpToDate>
  <CharactersWithSpaces>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Hall, Andrew</dc:creator>
  <cp:lastModifiedBy>hilhma</cp:lastModifiedBy>
  <cp:revision>2</cp:revision>
  <cp:lastPrinted>2011-11-15T22:12:00Z</cp:lastPrinted>
  <dcterms:created xsi:type="dcterms:W3CDTF">2011-11-21T06:56:00Z</dcterms:created>
  <dcterms:modified xsi:type="dcterms:W3CDTF">2011-11-21T06:56:00Z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-1044688237</vt:i4>
  </property>
  <property fmtid="{D5CDD505-2E9C-101B-9397-08002B2CF9AE}" pid="3" name="_NewReviewCycle">
    <vt:lpwstr/>
  </property>
  <property fmtid="{D5CDD505-2E9C-101B-9397-08002B2CF9AE}" pid="4" name="_EmailSubject">
    <vt:lpwstr>Explanatory Statements</vt:lpwstr>
  </property>
  <property fmtid="{D5CDD505-2E9C-101B-9397-08002B2CF9AE}" pid="5" name="_AuthorEmail">
    <vt:lpwstr>Hannah.Armitage@TREASURY.GOV.AU</vt:lpwstr>
  </property>
  <property fmtid="{D5CDD505-2E9C-101B-9397-08002B2CF9AE}" pid="6" name="_AuthorEmailDisplayName">
    <vt:lpwstr>Armitage, Hannah</vt:lpwstr>
  </property>
  <property fmtid="{D5CDD505-2E9C-101B-9397-08002B2CF9AE}" pid="7" name="_ReviewingToolsShownOnce">
    <vt:lpwstr/>
  </property>
  <property fmtid="{D5CDD505-2E9C-101B-9397-08002B2CF9AE}" pid="8" name="AGS CancelDocNew">
    <vt:lpwstr>TRUE</vt:lpwstr>
  </property>
  <property fmtid="{D5CDD505-2E9C-101B-9397-08002B2CF9AE}" pid="9" name="VersionNumber">
    <vt:i4>0</vt:i4>
  </property>
  <property fmtid="{D5CDD505-2E9C-101B-9397-08002B2CF9AE}" pid="10" name="ClassificationPty">
    <vt:lpwstr/>
  </property>
  <property fmtid="{D5CDD505-2E9C-101B-9397-08002B2CF9AE}" pid="11" name="FileNumberPty">
    <vt:lpwstr/>
  </property>
  <property fmtid="{D5CDD505-2E9C-101B-9397-08002B2CF9AE}" pid="12" name="CorporateTmplBased">
    <vt:lpwstr>No</vt:lpwstr>
  </property>
</Properties>
</file>