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8D6" w:rsidRPr="00256E6C" w:rsidRDefault="00D238D6" w:rsidP="00D238D6">
      <w:pPr>
        <w:spacing w:before="100" w:beforeAutospacing="1" w:after="100" w:afterAutospacing="1" w:line="240" w:lineRule="auto"/>
        <w:jc w:val="center"/>
        <w:rPr>
          <w:rFonts w:eastAsia="Times New Roman" w:cstheme="minorHAnsi"/>
          <w:lang w:eastAsia="en-AU"/>
        </w:rPr>
      </w:pPr>
      <w:r w:rsidRPr="00256E6C">
        <w:rPr>
          <w:rFonts w:eastAsia="Times New Roman" w:cstheme="minorHAnsi"/>
          <w:b/>
          <w:bCs/>
          <w:lang w:eastAsia="en-AU"/>
        </w:rPr>
        <w:t>EXPLANATORY STATEMENT</w:t>
      </w:r>
    </w:p>
    <w:p w:rsidR="00D238D6" w:rsidRPr="002F2483" w:rsidRDefault="00D238D6" w:rsidP="00D238D6">
      <w:pPr>
        <w:spacing w:before="100" w:beforeAutospacing="1" w:after="100" w:afterAutospacing="1" w:line="240" w:lineRule="auto"/>
        <w:jc w:val="center"/>
        <w:rPr>
          <w:rFonts w:eastAsia="Times New Roman" w:cstheme="minorHAnsi"/>
          <w:lang w:eastAsia="en-AU"/>
        </w:rPr>
      </w:pPr>
      <w:r w:rsidRPr="002F2483">
        <w:rPr>
          <w:rFonts w:eastAsia="Times New Roman" w:cstheme="minorHAnsi"/>
          <w:b/>
          <w:bCs/>
          <w:lang w:eastAsia="en-AU"/>
        </w:rPr>
        <w:t>Issued by the Australian Communications and Media Authority</w:t>
      </w:r>
    </w:p>
    <w:p w:rsidR="00D238D6" w:rsidRPr="00256E6C" w:rsidRDefault="00D238D6" w:rsidP="00D238D6">
      <w:pPr>
        <w:spacing w:before="100" w:beforeAutospacing="1" w:after="100" w:afterAutospacing="1" w:line="240" w:lineRule="auto"/>
        <w:jc w:val="center"/>
        <w:rPr>
          <w:rFonts w:eastAsia="Times New Roman" w:cstheme="minorHAnsi"/>
          <w:lang w:eastAsia="en-AU"/>
        </w:rPr>
      </w:pPr>
      <w:r w:rsidRPr="002F2483">
        <w:rPr>
          <w:rFonts w:eastAsia="Times New Roman" w:cstheme="minorHAnsi"/>
          <w:b/>
          <w:bCs/>
          <w:i/>
          <w:iCs/>
          <w:lang w:eastAsia="en-AU"/>
        </w:rPr>
        <w:t xml:space="preserve">Radiocommunications </w:t>
      </w:r>
      <w:r>
        <w:rPr>
          <w:rFonts w:eastAsia="Times New Roman" w:cstheme="minorHAnsi"/>
          <w:b/>
          <w:bCs/>
          <w:i/>
          <w:iCs/>
          <w:lang w:eastAsia="en-AU"/>
        </w:rPr>
        <w:t xml:space="preserve">(PMTS Jamming Devices – Visiting Forces and Suppliers) </w:t>
      </w:r>
      <w:r w:rsidRPr="002F2483">
        <w:rPr>
          <w:rFonts w:eastAsia="Times New Roman" w:cstheme="minorHAnsi"/>
          <w:b/>
          <w:bCs/>
          <w:i/>
          <w:iCs/>
          <w:lang w:eastAsia="en-AU"/>
        </w:rPr>
        <w:t>Exemption Determination 2011</w:t>
      </w:r>
    </w:p>
    <w:p w:rsidR="00D238D6" w:rsidRPr="00256E6C" w:rsidRDefault="00D238D6" w:rsidP="00D238D6">
      <w:pPr>
        <w:spacing w:before="100" w:beforeAutospacing="1" w:after="100" w:afterAutospacing="1" w:line="240" w:lineRule="auto"/>
        <w:jc w:val="center"/>
        <w:rPr>
          <w:rFonts w:eastAsia="Times New Roman" w:cstheme="minorHAnsi"/>
          <w:lang w:eastAsia="en-AU"/>
        </w:rPr>
      </w:pPr>
      <w:r w:rsidRPr="00256E6C">
        <w:rPr>
          <w:rFonts w:eastAsia="Times New Roman" w:cstheme="minorHAnsi"/>
          <w:b/>
          <w:bCs/>
          <w:i/>
          <w:iCs/>
          <w:lang w:eastAsia="en-AU"/>
        </w:rPr>
        <w:t>Radiocommunications Act 1992</w:t>
      </w:r>
    </w:p>
    <w:p w:rsidR="00D238D6" w:rsidRPr="00256E6C" w:rsidRDefault="00D238D6" w:rsidP="00D238D6">
      <w:pPr>
        <w:spacing w:before="100" w:beforeAutospacing="1" w:after="120" w:line="240" w:lineRule="auto"/>
        <w:rPr>
          <w:rFonts w:eastAsia="Times New Roman" w:cstheme="minorHAnsi"/>
          <w:lang w:eastAsia="en-AU"/>
        </w:rPr>
      </w:pPr>
      <w:r w:rsidRPr="00256E6C">
        <w:rPr>
          <w:rFonts w:eastAsia="Times New Roman" w:cstheme="minorHAnsi"/>
          <w:b/>
          <w:bCs/>
          <w:lang w:eastAsia="en-AU"/>
        </w:rPr>
        <w:t>Purpose</w:t>
      </w:r>
    </w:p>
    <w:p w:rsidR="00D238D6" w:rsidRDefault="00D238D6" w:rsidP="00D238D6">
      <w:pPr>
        <w:spacing w:after="120"/>
        <w:rPr>
          <w:rFonts w:eastAsia="Times New Roman" w:cstheme="minorHAnsi"/>
          <w:lang w:eastAsia="en-AU"/>
        </w:rPr>
      </w:pPr>
      <w:r>
        <w:rPr>
          <w:rFonts w:eastAsia="Times New Roman" w:cstheme="minorHAnsi"/>
          <w:lang w:eastAsia="en-AU"/>
        </w:rPr>
        <w:t xml:space="preserve">The purpose of the </w:t>
      </w:r>
      <w:r w:rsidRPr="00A817CF">
        <w:rPr>
          <w:rFonts w:eastAsia="Times New Roman" w:cstheme="minorHAnsi"/>
          <w:i/>
          <w:lang w:eastAsia="en-AU"/>
        </w:rPr>
        <w:t xml:space="preserve">Radiocommunications (PMTS Jamming Devices – </w:t>
      </w:r>
      <w:r>
        <w:rPr>
          <w:rFonts w:eastAsia="Times New Roman" w:cstheme="minorHAnsi"/>
          <w:i/>
          <w:lang w:eastAsia="en-AU"/>
        </w:rPr>
        <w:t>Visiting Forces and Suppliers</w:t>
      </w:r>
      <w:r w:rsidRPr="00A817CF">
        <w:rPr>
          <w:rFonts w:eastAsia="Times New Roman" w:cstheme="minorHAnsi"/>
          <w:i/>
          <w:lang w:eastAsia="en-AU"/>
        </w:rPr>
        <w:t>) Exemption Determination 2011</w:t>
      </w:r>
      <w:r>
        <w:rPr>
          <w:rFonts w:eastAsia="Times New Roman" w:cstheme="minorHAnsi"/>
          <w:lang w:eastAsia="en-AU"/>
        </w:rPr>
        <w:t xml:space="preserve"> (</w:t>
      </w:r>
      <w:r w:rsidRPr="00A817CF">
        <w:rPr>
          <w:rFonts w:eastAsia="Times New Roman" w:cstheme="minorHAnsi"/>
          <w:b/>
          <w:lang w:eastAsia="en-AU"/>
        </w:rPr>
        <w:t>the Determination</w:t>
      </w:r>
      <w:r>
        <w:rPr>
          <w:rFonts w:eastAsia="Times New Roman" w:cstheme="minorHAnsi"/>
          <w:lang w:eastAsia="en-AU"/>
        </w:rPr>
        <w:t>) is to enable visiting forces and suppliers to the Department of Defence and the Defence Force (</w:t>
      </w:r>
      <w:r w:rsidR="00891B52" w:rsidRPr="00891B52">
        <w:rPr>
          <w:rFonts w:eastAsia="Times New Roman" w:cstheme="minorHAnsi"/>
          <w:b/>
          <w:lang w:eastAsia="en-AU"/>
        </w:rPr>
        <w:t>Defence</w:t>
      </w:r>
      <w:r>
        <w:rPr>
          <w:rFonts w:eastAsia="Times New Roman" w:cstheme="minorHAnsi"/>
          <w:lang w:eastAsia="en-AU"/>
        </w:rPr>
        <w:t xml:space="preserve">) and to visiting forces to conduct jamming activity on any frequency band </w:t>
      </w:r>
      <w:r w:rsidR="00B94061">
        <w:rPr>
          <w:rFonts w:eastAsia="Times New Roman" w:cstheme="minorHAnsi"/>
          <w:lang w:eastAsia="en-AU"/>
        </w:rPr>
        <w:t>used for the supply of a</w:t>
      </w:r>
      <w:r>
        <w:rPr>
          <w:rFonts w:eastAsia="Times New Roman" w:cstheme="minorHAnsi"/>
          <w:lang w:eastAsia="en-AU"/>
        </w:rPr>
        <w:t xml:space="preserve"> public mobile telecommunications service (</w:t>
      </w:r>
      <w:r w:rsidRPr="00A817CF">
        <w:rPr>
          <w:rFonts w:eastAsia="Times New Roman" w:cstheme="minorHAnsi"/>
          <w:b/>
          <w:lang w:eastAsia="en-AU"/>
        </w:rPr>
        <w:t>PMTS</w:t>
      </w:r>
      <w:r>
        <w:rPr>
          <w:rFonts w:eastAsia="Times New Roman" w:cstheme="minorHAnsi"/>
          <w:lang w:eastAsia="en-AU"/>
        </w:rPr>
        <w:t xml:space="preserve">). </w:t>
      </w:r>
    </w:p>
    <w:p w:rsidR="00D238D6" w:rsidRDefault="00D238D6" w:rsidP="00D238D6">
      <w:pPr>
        <w:spacing w:after="120"/>
        <w:rPr>
          <w:rFonts w:eastAsia="Times New Roman" w:cstheme="minorHAnsi"/>
          <w:lang w:eastAsia="en-AU"/>
        </w:rPr>
      </w:pPr>
      <w:r>
        <w:rPr>
          <w:rFonts w:eastAsia="Times New Roman" w:cstheme="minorHAnsi"/>
          <w:lang w:eastAsia="en-AU"/>
        </w:rPr>
        <w:t xml:space="preserve">The Determination </w:t>
      </w:r>
      <w:r w:rsidRPr="00051155">
        <w:rPr>
          <w:rFonts w:eastAsia="Times New Roman" w:cstheme="minorHAnsi"/>
          <w:lang w:eastAsia="en-AU"/>
        </w:rPr>
        <w:t xml:space="preserve">exempts </w:t>
      </w:r>
      <w:r>
        <w:rPr>
          <w:rFonts w:eastAsia="Times New Roman" w:cstheme="minorHAnsi"/>
          <w:lang w:eastAsia="en-AU"/>
        </w:rPr>
        <w:t xml:space="preserve">any act or omission </w:t>
      </w:r>
      <w:r w:rsidR="00B94061">
        <w:rPr>
          <w:rFonts w:eastAsia="Times New Roman" w:cstheme="minorHAnsi"/>
          <w:lang w:eastAsia="en-AU"/>
        </w:rPr>
        <w:t xml:space="preserve">by a member of a </w:t>
      </w:r>
      <w:r w:rsidRPr="00051155">
        <w:rPr>
          <w:rFonts w:eastAsia="Times New Roman" w:cstheme="minorHAnsi"/>
          <w:lang w:eastAsia="en-AU"/>
        </w:rPr>
        <w:t>visiting force</w:t>
      </w:r>
      <w:r w:rsidR="00B94061">
        <w:rPr>
          <w:rFonts w:eastAsia="Times New Roman" w:cstheme="minorHAnsi"/>
          <w:lang w:eastAsia="en-AU"/>
        </w:rPr>
        <w:t>, a member of a civilian component of a visiting force</w:t>
      </w:r>
      <w:r w:rsidRPr="00051155">
        <w:rPr>
          <w:rFonts w:eastAsia="Times New Roman" w:cstheme="minorHAnsi"/>
          <w:lang w:eastAsia="en-AU"/>
        </w:rPr>
        <w:t xml:space="preserve"> </w:t>
      </w:r>
      <w:r w:rsidR="00B94061">
        <w:rPr>
          <w:rFonts w:eastAsia="Times New Roman" w:cstheme="minorHAnsi"/>
          <w:lang w:eastAsia="en-AU"/>
        </w:rPr>
        <w:t>or a</w:t>
      </w:r>
      <w:r w:rsidR="00B94061" w:rsidRPr="00051155">
        <w:rPr>
          <w:rFonts w:eastAsia="Times New Roman" w:cstheme="minorHAnsi"/>
          <w:lang w:eastAsia="en-AU"/>
        </w:rPr>
        <w:t xml:space="preserve"> </w:t>
      </w:r>
      <w:r w:rsidRPr="00051155">
        <w:rPr>
          <w:rFonts w:eastAsia="Times New Roman" w:cstheme="minorHAnsi"/>
          <w:lang w:eastAsia="en-AU"/>
        </w:rPr>
        <w:t xml:space="preserve">supplier </w:t>
      </w:r>
      <w:r>
        <w:rPr>
          <w:rFonts w:eastAsia="Times New Roman" w:cstheme="minorHAnsi"/>
          <w:lang w:eastAsia="en-AU"/>
        </w:rPr>
        <w:t>to</w:t>
      </w:r>
      <w:r w:rsidRPr="00051155">
        <w:rPr>
          <w:rFonts w:eastAsia="Times New Roman" w:cstheme="minorHAnsi"/>
          <w:lang w:eastAsia="en-AU"/>
        </w:rPr>
        <w:t xml:space="preserve"> Defence </w:t>
      </w:r>
      <w:r w:rsidR="00446E27">
        <w:rPr>
          <w:rFonts w:eastAsia="Times New Roman" w:cstheme="minorHAnsi"/>
          <w:lang w:eastAsia="en-AU"/>
        </w:rPr>
        <w:t>or</w:t>
      </w:r>
      <w:r w:rsidR="00446E27" w:rsidRPr="00051155">
        <w:rPr>
          <w:rFonts w:eastAsia="Times New Roman" w:cstheme="minorHAnsi"/>
          <w:lang w:eastAsia="en-AU"/>
        </w:rPr>
        <w:t xml:space="preserve"> </w:t>
      </w:r>
      <w:r w:rsidR="00B94061">
        <w:rPr>
          <w:rFonts w:eastAsia="Times New Roman" w:cstheme="minorHAnsi"/>
          <w:lang w:eastAsia="en-AU"/>
        </w:rPr>
        <w:t xml:space="preserve">a </w:t>
      </w:r>
      <w:r w:rsidRPr="00051155">
        <w:rPr>
          <w:rFonts w:eastAsia="Times New Roman" w:cstheme="minorHAnsi"/>
          <w:lang w:eastAsia="en-AU"/>
        </w:rPr>
        <w:t xml:space="preserve">visiting force </w:t>
      </w:r>
      <w:r>
        <w:rPr>
          <w:rFonts w:eastAsia="Times New Roman" w:cstheme="minorHAnsi"/>
          <w:lang w:eastAsia="en-AU"/>
        </w:rPr>
        <w:t xml:space="preserve">in relation to </w:t>
      </w:r>
      <w:r w:rsidRPr="00051155">
        <w:rPr>
          <w:rFonts w:eastAsia="Times New Roman" w:cstheme="minorHAnsi"/>
          <w:lang w:eastAsia="en-AU"/>
        </w:rPr>
        <w:t xml:space="preserve">the use, operation, possession or supply of a PMTS jamming device from Parts 3.1, 4.1 and 4.2 of the </w:t>
      </w:r>
      <w:r w:rsidRPr="00051155">
        <w:rPr>
          <w:rFonts w:eastAsia="Times New Roman" w:cstheme="minorHAnsi"/>
          <w:i/>
          <w:lang w:eastAsia="en-AU"/>
        </w:rPr>
        <w:t>Radiocommunications Act 1992</w:t>
      </w:r>
      <w:r w:rsidRPr="00051155">
        <w:rPr>
          <w:rFonts w:eastAsia="Times New Roman" w:cstheme="minorHAnsi"/>
          <w:lang w:eastAsia="en-AU"/>
        </w:rPr>
        <w:t xml:space="preserve"> (</w:t>
      </w:r>
      <w:r w:rsidRPr="00051155">
        <w:rPr>
          <w:rFonts w:eastAsia="Times New Roman" w:cstheme="minorHAnsi"/>
          <w:b/>
          <w:lang w:eastAsia="en-AU"/>
        </w:rPr>
        <w:t>the Act</w:t>
      </w:r>
      <w:r w:rsidRPr="00051155">
        <w:rPr>
          <w:rFonts w:eastAsia="Times New Roman" w:cstheme="minorHAnsi"/>
          <w:lang w:eastAsia="en-AU"/>
        </w:rPr>
        <w:t>)</w:t>
      </w:r>
      <w:r>
        <w:rPr>
          <w:rFonts w:eastAsia="Times New Roman" w:cstheme="minorHAnsi"/>
          <w:lang w:eastAsia="en-AU"/>
        </w:rPr>
        <w:t xml:space="preserve"> under specified circumstances.</w:t>
      </w:r>
      <w:r>
        <w:rPr>
          <w:rStyle w:val="FootnoteReference"/>
          <w:rFonts w:eastAsia="Times New Roman" w:cstheme="minorHAnsi"/>
          <w:lang w:eastAsia="en-AU"/>
        </w:rPr>
        <w:footnoteReference w:id="1"/>
      </w:r>
      <w:r w:rsidRPr="00051155">
        <w:rPr>
          <w:rFonts w:eastAsia="Times New Roman" w:cstheme="minorHAnsi"/>
          <w:lang w:eastAsia="en-AU"/>
        </w:rPr>
        <w:t xml:space="preserve">  </w:t>
      </w:r>
    </w:p>
    <w:p w:rsidR="00D238D6" w:rsidRDefault="00D238D6" w:rsidP="00D238D6">
      <w:pPr>
        <w:spacing w:after="120"/>
        <w:rPr>
          <w:rFonts w:eastAsia="Times New Roman" w:cstheme="minorHAnsi"/>
          <w:lang w:eastAsia="en-AU"/>
        </w:rPr>
      </w:pPr>
      <w:r>
        <w:rPr>
          <w:rFonts w:eastAsia="Times New Roman" w:cstheme="minorHAnsi"/>
          <w:lang w:eastAsia="en-AU"/>
        </w:rPr>
        <w:t xml:space="preserve">The Determination supports visiting forces and Defence to carry out their functions and responsibilities and supplements the exemptions provided to Defence under sections 24 to 26 of the Act. </w:t>
      </w:r>
    </w:p>
    <w:p w:rsidR="00D238D6" w:rsidRDefault="00D238D6" w:rsidP="00D238D6">
      <w:pPr>
        <w:spacing w:after="120"/>
        <w:rPr>
          <w:rFonts w:eastAsia="Times New Roman" w:cstheme="minorHAnsi"/>
          <w:lang w:eastAsia="en-AU"/>
        </w:rPr>
      </w:pPr>
      <w:r>
        <w:rPr>
          <w:rFonts w:eastAsia="Times New Roman" w:cstheme="minorHAnsi"/>
          <w:lang w:eastAsia="en-AU"/>
        </w:rPr>
        <w:t xml:space="preserve">The Determination revokes the </w:t>
      </w:r>
      <w:r w:rsidRPr="006E3666">
        <w:rPr>
          <w:rFonts w:eastAsia="Times New Roman" w:cstheme="minorHAnsi"/>
          <w:i/>
          <w:lang w:eastAsia="en-AU"/>
        </w:rPr>
        <w:t>Radiocommunications (Prohibited Device) (Mobile Telephone Jamming Devices) Exemption Determination 2004</w:t>
      </w:r>
      <w:r>
        <w:rPr>
          <w:rFonts w:eastAsia="Times New Roman" w:cstheme="minorHAnsi"/>
          <w:lang w:eastAsia="en-AU"/>
        </w:rPr>
        <w:t xml:space="preserve"> (</w:t>
      </w:r>
      <w:r w:rsidRPr="00B721FF">
        <w:rPr>
          <w:rFonts w:eastAsia="Times New Roman" w:cstheme="minorHAnsi"/>
          <w:b/>
          <w:lang w:eastAsia="en-AU"/>
        </w:rPr>
        <w:t xml:space="preserve">the </w:t>
      </w:r>
      <w:r w:rsidR="006E3BD6">
        <w:rPr>
          <w:rFonts w:eastAsia="Times New Roman" w:cstheme="minorHAnsi"/>
          <w:b/>
          <w:lang w:eastAsia="en-AU"/>
        </w:rPr>
        <w:t xml:space="preserve">2004 </w:t>
      </w:r>
      <w:r w:rsidRPr="00B721FF">
        <w:rPr>
          <w:rFonts w:eastAsia="Times New Roman" w:cstheme="minorHAnsi"/>
          <w:b/>
          <w:lang w:eastAsia="en-AU"/>
        </w:rPr>
        <w:t>Defence ED</w:t>
      </w:r>
      <w:r>
        <w:rPr>
          <w:rFonts w:eastAsia="Times New Roman" w:cstheme="minorHAnsi"/>
          <w:lang w:eastAsia="en-AU"/>
        </w:rPr>
        <w:t>).</w:t>
      </w:r>
    </w:p>
    <w:p w:rsidR="00D238D6" w:rsidRPr="00256E6C" w:rsidRDefault="00D238D6" w:rsidP="00D238D6">
      <w:pPr>
        <w:spacing w:before="100" w:beforeAutospacing="1" w:after="120"/>
        <w:rPr>
          <w:rFonts w:eastAsia="Times New Roman" w:cstheme="minorHAnsi"/>
          <w:lang w:eastAsia="en-AU"/>
        </w:rPr>
      </w:pPr>
      <w:r w:rsidRPr="00256E6C">
        <w:rPr>
          <w:rFonts w:eastAsia="Times New Roman" w:cstheme="minorHAnsi"/>
          <w:b/>
          <w:bCs/>
          <w:lang w:eastAsia="en-AU"/>
        </w:rPr>
        <w:t>Legislative Provisions</w:t>
      </w:r>
    </w:p>
    <w:p w:rsidR="00D238D6" w:rsidRDefault="00D238D6" w:rsidP="00D238D6">
      <w:pPr>
        <w:spacing w:before="120" w:after="120"/>
        <w:rPr>
          <w:rFonts w:eastAsia="Times New Roman" w:cstheme="minorHAnsi"/>
          <w:lang w:eastAsia="en-AU"/>
        </w:rPr>
      </w:pPr>
      <w:r w:rsidRPr="00256E6C">
        <w:rPr>
          <w:rFonts w:eastAsia="Times New Roman" w:cstheme="minorHAnsi"/>
          <w:lang w:eastAsia="en-AU"/>
        </w:rPr>
        <w:t>Subsection 27(2) of the Act allows the A</w:t>
      </w:r>
      <w:r>
        <w:rPr>
          <w:rFonts w:eastAsia="Times New Roman" w:cstheme="minorHAnsi"/>
          <w:lang w:eastAsia="en-AU"/>
        </w:rPr>
        <w:t xml:space="preserve">ustralian </w:t>
      </w:r>
      <w:r w:rsidRPr="00256E6C">
        <w:rPr>
          <w:rFonts w:eastAsia="Times New Roman" w:cstheme="minorHAnsi"/>
          <w:lang w:eastAsia="en-AU"/>
        </w:rPr>
        <w:t>C</w:t>
      </w:r>
      <w:r>
        <w:rPr>
          <w:rFonts w:eastAsia="Times New Roman" w:cstheme="minorHAnsi"/>
          <w:lang w:eastAsia="en-AU"/>
        </w:rPr>
        <w:t xml:space="preserve">ommunications and </w:t>
      </w:r>
      <w:r w:rsidRPr="00256E6C">
        <w:rPr>
          <w:rFonts w:eastAsia="Times New Roman" w:cstheme="minorHAnsi"/>
          <w:lang w:eastAsia="en-AU"/>
        </w:rPr>
        <w:t>M</w:t>
      </w:r>
      <w:r>
        <w:rPr>
          <w:rFonts w:eastAsia="Times New Roman" w:cstheme="minorHAnsi"/>
          <w:lang w:eastAsia="en-AU"/>
        </w:rPr>
        <w:t xml:space="preserve">edia </w:t>
      </w:r>
      <w:r w:rsidRPr="00256E6C">
        <w:rPr>
          <w:rFonts w:eastAsia="Times New Roman" w:cstheme="minorHAnsi"/>
          <w:lang w:eastAsia="en-AU"/>
        </w:rPr>
        <w:t>A</w:t>
      </w:r>
      <w:r>
        <w:rPr>
          <w:rFonts w:eastAsia="Times New Roman" w:cstheme="minorHAnsi"/>
          <w:lang w:eastAsia="en-AU"/>
        </w:rPr>
        <w:t>uthority (</w:t>
      </w:r>
      <w:r w:rsidRPr="00AB1844">
        <w:rPr>
          <w:rFonts w:eastAsia="Times New Roman" w:cstheme="minorHAnsi"/>
          <w:b/>
          <w:lang w:eastAsia="en-AU"/>
        </w:rPr>
        <w:t>the ACMA</w:t>
      </w:r>
      <w:r>
        <w:rPr>
          <w:rFonts w:eastAsia="Times New Roman" w:cstheme="minorHAnsi"/>
          <w:lang w:eastAsia="en-AU"/>
        </w:rPr>
        <w:t>)</w:t>
      </w:r>
      <w:r w:rsidRPr="00256E6C">
        <w:rPr>
          <w:rFonts w:eastAsia="Times New Roman" w:cstheme="minorHAnsi"/>
          <w:lang w:eastAsia="en-AU"/>
        </w:rPr>
        <w:t xml:space="preserve"> to determine that acts or omissions by members of a class of persons, to whom section 27 applies, are exempt from any or all of Parts 3.1, 4.1 and 4.2 of the Act, or from specified provisions of those Parts.</w:t>
      </w:r>
      <w:r w:rsidR="00C264B5">
        <w:rPr>
          <w:rFonts w:eastAsia="Times New Roman" w:cstheme="minorHAnsi"/>
          <w:lang w:eastAsia="en-AU"/>
        </w:rPr>
        <w:t xml:space="preserve">  An exemption may be expressed to apply generally or in specified circumstances.</w:t>
      </w:r>
    </w:p>
    <w:p w:rsidR="00D238D6" w:rsidRPr="00256E6C" w:rsidRDefault="00D238D6" w:rsidP="00D238D6">
      <w:pPr>
        <w:spacing w:before="120" w:after="120"/>
        <w:rPr>
          <w:rFonts w:eastAsia="Times New Roman" w:cstheme="minorHAnsi"/>
          <w:lang w:eastAsia="en-AU"/>
        </w:rPr>
      </w:pPr>
      <w:r w:rsidRPr="00256E6C">
        <w:rPr>
          <w:rFonts w:eastAsia="Times New Roman" w:cstheme="minorHAnsi"/>
          <w:lang w:eastAsia="en-AU"/>
        </w:rPr>
        <w:t xml:space="preserve">The Act is the primary legislation under which </w:t>
      </w:r>
      <w:r w:rsidRPr="00AB1844">
        <w:rPr>
          <w:rFonts w:eastAsia="Times New Roman" w:cstheme="minorHAnsi"/>
          <w:lang w:eastAsia="en-AU"/>
        </w:rPr>
        <w:t>the ACMA</w:t>
      </w:r>
      <w:r w:rsidRPr="00256E6C">
        <w:rPr>
          <w:rFonts w:eastAsia="Times New Roman" w:cstheme="minorHAnsi"/>
          <w:lang w:eastAsia="en-AU"/>
        </w:rPr>
        <w:t xml:space="preserve"> regulates radiofr</w:t>
      </w:r>
      <w:r>
        <w:rPr>
          <w:rFonts w:eastAsia="Times New Roman" w:cstheme="minorHAnsi"/>
          <w:lang w:eastAsia="en-AU"/>
        </w:rPr>
        <w:t xml:space="preserve">equency spectrum in Australia. </w:t>
      </w:r>
      <w:r w:rsidRPr="00256E6C">
        <w:rPr>
          <w:rFonts w:eastAsia="Times New Roman" w:cstheme="minorHAnsi"/>
          <w:lang w:eastAsia="en-AU"/>
        </w:rPr>
        <w:t>In general, the Act requires that the use of radiocommunications devices:</w:t>
      </w:r>
    </w:p>
    <w:p w:rsidR="00D238D6" w:rsidRPr="00312F41" w:rsidRDefault="00D238D6" w:rsidP="00D238D6">
      <w:pPr>
        <w:pStyle w:val="ListParagraph"/>
        <w:numPr>
          <w:ilvl w:val="0"/>
          <w:numId w:val="9"/>
        </w:numPr>
        <w:spacing w:before="120" w:after="120"/>
        <w:rPr>
          <w:rFonts w:eastAsia="Times New Roman" w:cstheme="minorHAnsi"/>
          <w:lang w:eastAsia="en-AU"/>
        </w:rPr>
      </w:pPr>
      <w:r w:rsidRPr="00312F41">
        <w:rPr>
          <w:rFonts w:eastAsia="Times New Roman" w:cstheme="minorHAnsi"/>
          <w:lang w:eastAsia="en-AU"/>
        </w:rPr>
        <w:t xml:space="preserve">be licensed (Part 3.1); </w:t>
      </w:r>
    </w:p>
    <w:p w:rsidR="00D238D6" w:rsidRPr="00312F41" w:rsidRDefault="00D238D6" w:rsidP="00D238D6">
      <w:pPr>
        <w:pStyle w:val="ListParagraph"/>
        <w:numPr>
          <w:ilvl w:val="0"/>
          <w:numId w:val="9"/>
        </w:numPr>
        <w:spacing w:before="120" w:after="120"/>
        <w:rPr>
          <w:rFonts w:eastAsia="Times New Roman" w:cstheme="minorHAnsi"/>
          <w:lang w:eastAsia="en-AU"/>
        </w:rPr>
      </w:pPr>
      <w:r w:rsidRPr="00312F41">
        <w:rPr>
          <w:rFonts w:eastAsia="Times New Roman" w:cstheme="minorHAnsi"/>
          <w:lang w:eastAsia="en-AU"/>
        </w:rPr>
        <w:t>meet certain standards and other technical requirements (Part 4.1); and</w:t>
      </w:r>
    </w:p>
    <w:p w:rsidR="00D238D6" w:rsidRPr="00312F41" w:rsidRDefault="00D238D6" w:rsidP="00D238D6">
      <w:pPr>
        <w:pStyle w:val="ListParagraph"/>
        <w:numPr>
          <w:ilvl w:val="0"/>
          <w:numId w:val="9"/>
        </w:numPr>
        <w:spacing w:before="120" w:after="120"/>
        <w:rPr>
          <w:rFonts w:eastAsia="Times New Roman" w:cstheme="minorHAnsi"/>
          <w:lang w:eastAsia="en-AU"/>
        </w:rPr>
      </w:pPr>
      <w:r w:rsidRPr="00312F41">
        <w:rPr>
          <w:rFonts w:eastAsia="Times New Roman" w:cstheme="minorHAnsi"/>
          <w:lang w:eastAsia="en-AU"/>
        </w:rPr>
        <w:t>be conducted so as to avoid causing disruption or unacceptable interference to other radiocommunications services (Part 4.2).</w:t>
      </w:r>
    </w:p>
    <w:p w:rsidR="00D238D6" w:rsidRPr="00256E6C" w:rsidRDefault="00D238D6" w:rsidP="00D238D6">
      <w:pPr>
        <w:spacing w:before="120" w:after="120"/>
        <w:rPr>
          <w:rFonts w:eastAsia="Times New Roman" w:cstheme="minorHAnsi"/>
          <w:lang w:eastAsia="en-AU"/>
        </w:rPr>
      </w:pPr>
      <w:r w:rsidRPr="00256E6C">
        <w:rPr>
          <w:rFonts w:eastAsia="Times New Roman" w:cstheme="minorHAnsi"/>
          <w:lang w:eastAsia="en-AU"/>
        </w:rPr>
        <w:t xml:space="preserve">Part 3.1 of the Act identifies certain actions as offences.  For example, a person must not, without reasonable excuse, operate a </w:t>
      </w:r>
      <w:proofErr w:type="spellStart"/>
      <w:r w:rsidRPr="00256E6C">
        <w:rPr>
          <w:rFonts w:eastAsia="Times New Roman" w:cstheme="minorHAnsi"/>
          <w:lang w:eastAsia="en-AU"/>
        </w:rPr>
        <w:t>radiocommunications</w:t>
      </w:r>
      <w:proofErr w:type="spellEnd"/>
      <w:r w:rsidRPr="00256E6C">
        <w:rPr>
          <w:rFonts w:eastAsia="Times New Roman" w:cstheme="minorHAnsi"/>
          <w:lang w:eastAsia="en-AU"/>
        </w:rPr>
        <w:t xml:space="preserve"> device, nor have such a device in their possession</w:t>
      </w:r>
      <w:r w:rsidR="008073C3">
        <w:rPr>
          <w:rFonts w:eastAsia="Times New Roman" w:cstheme="minorHAnsi"/>
          <w:lang w:eastAsia="en-AU"/>
        </w:rPr>
        <w:t xml:space="preserve"> for the purpose of its operation, otherwise than as authorised by a licence </w:t>
      </w:r>
      <w:r w:rsidRPr="00256E6C">
        <w:rPr>
          <w:rFonts w:eastAsia="Times New Roman" w:cstheme="minorHAnsi"/>
          <w:lang w:eastAsia="en-AU"/>
        </w:rPr>
        <w:t xml:space="preserve">(see sections 46 and 47 of the Act). </w:t>
      </w:r>
    </w:p>
    <w:p w:rsidR="00D238D6" w:rsidRPr="00256E6C" w:rsidRDefault="00D238D6" w:rsidP="00D238D6">
      <w:pPr>
        <w:spacing w:before="120" w:after="120"/>
        <w:rPr>
          <w:rFonts w:eastAsia="Times New Roman" w:cstheme="minorHAnsi"/>
          <w:lang w:eastAsia="en-AU"/>
        </w:rPr>
      </w:pPr>
      <w:r w:rsidRPr="00256E6C">
        <w:rPr>
          <w:rFonts w:eastAsia="Times New Roman" w:cstheme="minorHAnsi"/>
          <w:lang w:eastAsia="en-AU"/>
        </w:rPr>
        <w:lastRenderedPageBreak/>
        <w:t>Part 4.1 of the Act provides for standards and other technical regulation</w:t>
      </w:r>
      <w:r>
        <w:rPr>
          <w:rFonts w:eastAsia="Times New Roman" w:cstheme="minorHAnsi"/>
          <w:lang w:eastAsia="en-AU"/>
        </w:rPr>
        <w:t xml:space="preserve"> and</w:t>
      </w:r>
      <w:r w:rsidRPr="00256E6C">
        <w:rPr>
          <w:rFonts w:eastAsia="Times New Roman" w:cstheme="minorHAnsi"/>
          <w:lang w:eastAsia="en-AU"/>
        </w:rPr>
        <w:t xml:space="preserve"> imposes prohibitions relating to non-standard devices. </w:t>
      </w:r>
    </w:p>
    <w:p w:rsidR="00D238D6" w:rsidRPr="00256E6C" w:rsidRDefault="00E01305" w:rsidP="00D238D6">
      <w:pPr>
        <w:spacing w:before="120" w:after="120"/>
        <w:rPr>
          <w:rFonts w:eastAsia="Times New Roman" w:cstheme="minorHAnsi"/>
          <w:lang w:eastAsia="en-AU"/>
        </w:rPr>
      </w:pPr>
      <w:r>
        <w:rPr>
          <w:rFonts w:eastAsia="Times New Roman" w:cstheme="minorHAnsi"/>
          <w:lang w:eastAsia="en-AU"/>
        </w:rPr>
        <w:t xml:space="preserve">In particular, </w:t>
      </w:r>
      <w:r w:rsidR="00D238D6" w:rsidRPr="00256E6C">
        <w:rPr>
          <w:rFonts w:eastAsia="Times New Roman" w:cstheme="minorHAnsi"/>
          <w:lang w:eastAsia="en-AU"/>
        </w:rPr>
        <w:t>Division 8 of Part 4.1 of the Act includes section 189 of the Act, which provides that a person must not</w:t>
      </w:r>
      <w:r>
        <w:rPr>
          <w:rFonts w:eastAsia="Times New Roman" w:cstheme="minorHAnsi"/>
          <w:lang w:eastAsia="en-AU"/>
        </w:rPr>
        <w:t>, without reasonable excuse,</w:t>
      </w:r>
      <w:r w:rsidR="00D238D6" w:rsidRPr="00256E6C">
        <w:rPr>
          <w:rFonts w:eastAsia="Times New Roman" w:cstheme="minorHAnsi"/>
          <w:lang w:eastAsia="en-AU"/>
        </w:rPr>
        <w:t xml:space="preserve"> operate or supply a device that the person knows is a device in respect of which a declaration is in force under section 190</w:t>
      </w:r>
      <w:r>
        <w:rPr>
          <w:rFonts w:eastAsia="Times New Roman" w:cstheme="minorHAnsi"/>
          <w:lang w:eastAsia="en-AU"/>
        </w:rPr>
        <w:t>,</w:t>
      </w:r>
      <w:r w:rsidR="00D238D6" w:rsidRPr="00256E6C">
        <w:rPr>
          <w:rFonts w:eastAsia="Times New Roman" w:cstheme="minorHAnsi"/>
          <w:lang w:eastAsia="en-AU"/>
        </w:rPr>
        <w:t xml:space="preserve"> or have a device that the person knows, or ought reasonably to know, is such a device in his or her possession for the purpose of operating or supplying the device.</w:t>
      </w:r>
    </w:p>
    <w:p w:rsidR="00D238D6" w:rsidRPr="00256E6C" w:rsidRDefault="00D238D6" w:rsidP="00D238D6">
      <w:pPr>
        <w:spacing w:before="120" w:after="120"/>
        <w:rPr>
          <w:rFonts w:eastAsia="Times New Roman" w:cstheme="minorHAnsi"/>
          <w:lang w:eastAsia="en-AU"/>
        </w:rPr>
      </w:pPr>
      <w:r w:rsidRPr="00256E6C">
        <w:rPr>
          <w:rFonts w:eastAsia="Times New Roman" w:cstheme="minorHAnsi"/>
          <w:lang w:eastAsia="en-AU"/>
        </w:rPr>
        <w:t xml:space="preserve">Part 4.2 </w:t>
      </w:r>
      <w:r w:rsidR="007E097A">
        <w:rPr>
          <w:rFonts w:eastAsia="Times New Roman" w:cstheme="minorHAnsi"/>
          <w:lang w:eastAsia="en-AU"/>
        </w:rPr>
        <w:t>creates</w:t>
      </w:r>
      <w:r w:rsidRPr="00256E6C">
        <w:rPr>
          <w:rFonts w:eastAsia="Times New Roman" w:cstheme="minorHAnsi"/>
          <w:lang w:eastAsia="en-AU"/>
        </w:rPr>
        <w:t xml:space="preserve"> offences </w:t>
      </w:r>
      <w:r w:rsidR="007E097A">
        <w:rPr>
          <w:rFonts w:eastAsia="Times New Roman" w:cstheme="minorHAnsi"/>
          <w:lang w:eastAsia="en-AU"/>
        </w:rPr>
        <w:t xml:space="preserve">relating to radio emission (for example, using a transmitter in a way that is likely to interfere substantially with </w:t>
      </w:r>
      <w:proofErr w:type="spellStart"/>
      <w:r w:rsidRPr="00256E6C">
        <w:rPr>
          <w:rFonts w:eastAsia="Times New Roman" w:cstheme="minorHAnsi"/>
          <w:lang w:eastAsia="en-AU"/>
        </w:rPr>
        <w:t>radiocommunications</w:t>
      </w:r>
      <w:proofErr w:type="spellEnd"/>
      <w:r w:rsidRPr="00256E6C">
        <w:rPr>
          <w:rFonts w:eastAsia="Times New Roman" w:cstheme="minorHAnsi"/>
          <w:lang w:eastAsia="en-AU"/>
        </w:rPr>
        <w:t xml:space="preserve"> </w:t>
      </w:r>
      <w:r w:rsidR="007E097A">
        <w:rPr>
          <w:rFonts w:eastAsia="Times New Roman" w:cstheme="minorHAnsi"/>
          <w:lang w:eastAsia="en-AU"/>
        </w:rPr>
        <w:t xml:space="preserve">by </w:t>
      </w:r>
      <w:r w:rsidRPr="00256E6C">
        <w:rPr>
          <w:rFonts w:eastAsia="Times New Roman" w:cstheme="minorHAnsi"/>
          <w:lang w:eastAsia="en-AU"/>
        </w:rPr>
        <w:t xml:space="preserve">certain emergency services, </w:t>
      </w:r>
      <w:r w:rsidR="007E097A">
        <w:rPr>
          <w:rFonts w:eastAsia="Times New Roman" w:cstheme="minorHAnsi"/>
          <w:lang w:eastAsia="en-AU"/>
        </w:rPr>
        <w:t>or</w:t>
      </w:r>
      <w:r w:rsidRPr="00256E6C">
        <w:rPr>
          <w:rFonts w:eastAsia="Times New Roman" w:cstheme="minorHAnsi"/>
          <w:lang w:eastAsia="en-AU"/>
        </w:rPr>
        <w:t xml:space="preserve"> endanger </w:t>
      </w:r>
      <w:r w:rsidR="007E097A">
        <w:rPr>
          <w:rFonts w:eastAsia="Times New Roman" w:cstheme="minorHAnsi"/>
          <w:lang w:eastAsia="en-AU"/>
        </w:rPr>
        <w:t xml:space="preserve">the </w:t>
      </w:r>
      <w:r w:rsidRPr="00256E6C">
        <w:rPr>
          <w:rFonts w:eastAsia="Times New Roman" w:cstheme="minorHAnsi"/>
          <w:lang w:eastAsia="en-AU"/>
        </w:rPr>
        <w:t>safety</w:t>
      </w:r>
      <w:r w:rsidR="007E097A">
        <w:rPr>
          <w:rFonts w:eastAsia="Times New Roman" w:cstheme="minorHAnsi"/>
          <w:lang w:eastAsia="en-AU"/>
        </w:rPr>
        <w:t xml:space="preserve"> of another person</w:t>
      </w:r>
      <w:r w:rsidRPr="00256E6C">
        <w:rPr>
          <w:rFonts w:eastAsia="Times New Roman" w:cstheme="minorHAnsi"/>
          <w:lang w:eastAsia="en-AU"/>
        </w:rPr>
        <w:t xml:space="preserve">. </w:t>
      </w:r>
    </w:p>
    <w:p w:rsidR="00D238D6" w:rsidRPr="00256E6C" w:rsidRDefault="00D238D6" w:rsidP="00D238D6">
      <w:pPr>
        <w:spacing w:before="120" w:after="240"/>
        <w:rPr>
          <w:rFonts w:eastAsia="Times New Roman" w:cstheme="minorHAnsi"/>
          <w:lang w:eastAsia="en-AU"/>
        </w:rPr>
      </w:pPr>
      <w:r w:rsidRPr="00256E6C">
        <w:rPr>
          <w:rFonts w:eastAsia="Times New Roman" w:cstheme="minorHAnsi"/>
          <w:lang w:eastAsia="en-AU"/>
        </w:rPr>
        <w:t xml:space="preserve">A determination made under </w:t>
      </w:r>
      <w:r>
        <w:rPr>
          <w:rFonts w:eastAsia="Times New Roman" w:cstheme="minorHAnsi"/>
          <w:lang w:eastAsia="en-AU"/>
        </w:rPr>
        <w:t>sub</w:t>
      </w:r>
      <w:r w:rsidRPr="00256E6C">
        <w:rPr>
          <w:rFonts w:eastAsia="Times New Roman" w:cstheme="minorHAnsi"/>
          <w:lang w:eastAsia="en-AU"/>
        </w:rPr>
        <w:t xml:space="preserve">section 27(2) of the Act is a legislative instrument for the purposes of the </w:t>
      </w:r>
      <w:r w:rsidRPr="00256E6C">
        <w:rPr>
          <w:rFonts w:eastAsia="Times New Roman" w:cstheme="minorHAnsi"/>
          <w:i/>
          <w:iCs/>
          <w:lang w:eastAsia="en-AU"/>
        </w:rPr>
        <w:t>Legislative Instruments Act 2003</w:t>
      </w:r>
      <w:r w:rsidRPr="00256E6C">
        <w:rPr>
          <w:rFonts w:eastAsia="Times New Roman" w:cstheme="minorHAnsi"/>
          <w:lang w:eastAsia="en-AU"/>
        </w:rPr>
        <w:t xml:space="preserve"> (</w:t>
      </w:r>
      <w:r w:rsidRPr="0006120F">
        <w:rPr>
          <w:rFonts w:eastAsia="Times New Roman" w:cstheme="minorHAnsi"/>
          <w:b/>
          <w:lang w:eastAsia="en-AU"/>
        </w:rPr>
        <w:t>the LIA</w:t>
      </w:r>
      <w:r w:rsidRPr="00256E6C">
        <w:rPr>
          <w:rFonts w:eastAsia="Times New Roman" w:cstheme="minorHAnsi"/>
          <w:lang w:eastAsia="en-AU"/>
        </w:rPr>
        <w:t>).</w:t>
      </w:r>
    </w:p>
    <w:p w:rsidR="00D238D6" w:rsidRDefault="00D238D6" w:rsidP="00D238D6">
      <w:pPr>
        <w:spacing w:before="120" w:after="120" w:line="240" w:lineRule="auto"/>
        <w:rPr>
          <w:rFonts w:eastAsia="Times New Roman" w:cstheme="minorHAnsi"/>
          <w:lang w:eastAsia="en-AU"/>
        </w:rPr>
      </w:pPr>
      <w:r w:rsidRPr="0006120F">
        <w:rPr>
          <w:rFonts w:eastAsia="Times New Roman" w:cstheme="minorHAnsi"/>
          <w:b/>
          <w:bCs/>
          <w:lang w:eastAsia="en-AU"/>
        </w:rPr>
        <w:t>Background</w:t>
      </w:r>
    </w:p>
    <w:p w:rsidR="00D238D6" w:rsidRDefault="00D238D6" w:rsidP="00D238D6">
      <w:pPr>
        <w:spacing w:before="120" w:after="120"/>
        <w:rPr>
          <w:rFonts w:eastAsia="Times New Roman" w:cstheme="minorHAnsi"/>
          <w:lang w:eastAsia="en-AU"/>
        </w:rPr>
      </w:pPr>
      <w:r>
        <w:t>In 1999, the Australian Communications Authority (</w:t>
      </w:r>
      <w:r w:rsidRPr="008369F2">
        <w:rPr>
          <w:b/>
        </w:rPr>
        <w:t>the ACA</w:t>
      </w:r>
      <w:r>
        <w:t xml:space="preserve">) </w:t>
      </w:r>
      <w:r w:rsidR="006E3BD6">
        <w:t xml:space="preserve">made a declaration under section 190 of the Act </w:t>
      </w:r>
      <w:r>
        <w:t>prohibit</w:t>
      </w:r>
      <w:r w:rsidR="006E3BD6">
        <w:t>ing the operation, supply or possession, for the purposes of operation or supply, of</w:t>
      </w:r>
      <w:r>
        <w:t xml:space="preserve"> jamming devices operating on the 825-845 MHz and 870-960 MHz frequency bands, which at the time were the only bands allocated to PMTS. </w:t>
      </w:r>
      <w:r>
        <w:rPr>
          <w:rFonts w:eastAsia="Times New Roman" w:cstheme="minorHAnsi"/>
          <w:lang w:eastAsia="en-AU"/>
        </w:rPr>
        <w:t xml:space="preserve">These devices were prohibited because of their adverse effect on </w:t>
      </w:r>
      <w:proofErr w:type="spellStart"/>
      <w:r>
        <w:rPr>
          <w:rFonts w:eastAsia="Times New Roman" w:cstheme="minorHAnsi"/>
          <w:lang w:eastAsia="en-AU"/>
        </w:rPr>
        <w:t>radiocommunications</w:t>
      </w:r>
      <w:proofErr w:type="spellEnd"/>
      <w:r>
        <w:rPr>
          <w:rFonts w:eastAsia="Times New Roman" w:cstheme="minorHAnsi"/>
          <w:lang w:eastAsia="en-AU"/>
        </w:rPr>
        <w:t xml:space="preserve">, as detailed </w:t>
      </w:r>
      <w:r w:rsidR="006E3BD6">
        <w:rPr>
          <w:rFonts w:eastAsia="Times New Roman" w:cstheme="minorHAnsi"/>
          <w:lang w:eastAsia="en-AU"/>
        </w:rPr>
        <w:t xml:space="preserve">in </w:t>
      </w:r>
      <w:r>
        <w:rPr>
          <w:rFonts w:eastAsia="Times New Roman" w:cstheme="minorHAnsi"/>
          <w:lang w:eastAsia="en-AU"/>
        </w:rPr>
        <w:t xml:space="preserve">the </w:t>
      </w:r>
      <w:r w:rsidRPr="00293559">
        <w:rPr>
          <w:rFonts w:eastAsia="Times New Roman" w:cstheme="minorHAnsi"/>
          <w:i/>
          <w:lang w:eastAsia="en-AU"/>
        </w:rPr>
        <w:t>Notification that the Australian Communications and Media Authority prohibits the operation or supply, or possession for the purpose of operation or supply, of specified devices</w:t>
      </w:r>
      <w:r>
        <w:rPr>
          <w:rFonts w:eastAsia="Times New Roman" w:cstheme="minorHAnsi"/>
          <w:i/>
          <w:lang w:eastAsia="en-AU"/>
        </w:rPr>
        <w:t xml:space="preserve"> </w:t>
      </w:r>
      <w:r>
        <w:rPr>
          <w:rFonts w:eastAsia="Times New Roman" w:cstheme="minorHAnsi"/>
          <w:lang w:eastAsia="en-AU"/>
        </w:rPr>
        <w:t>(</w:t>
      </w:r>
      <w:r w:rsidRPr="00346444">
        <w:rPr>
          <w:rFonts w:eastAsia="Times New Roman" w:cstheme="minorHAnsi"/>
          <w:b/>
          <w:lang w:eastAsia="en-AU"/>
        </w:rPr>
        <w:t>the 1999 Prohibition</w:t>
      </w:r>
      <w:r>
        <w:rPr>
          <w:rFonts w:eastAsia="Times New Roman" w:cstheme="minorHAnsi"/>
          <w:lang w:eastAsia="en-AU"/>
        </w:rPr>
        <w:t>).</w:t>
      </w:r>
    </w:p>
    <w:p w:rsidR="00D238D6" w:rsidRDefault="00D238D6" w:rsidP="00D238D6">
      <w:pPr>
        <w:spacing w:before="120" w:after="120"/>
      </w:pPr>
      <w:r>
        <w:t xml:space="preserve">In 2004, the ACA </w:t>
      </w:r>
      <w:r w:rsidR="006E3BD6">
        <w:t xml:space="preserve">made the 2004 Defence ED which </w:t>
      </w:r>
      <w:r>
        <w:t xml:space="preserve">exempted any act or omission by </w:t>
      </w:r>
      <w:r w:rsidR="006E3BD6">
        <w:t xml:space="preserve">a member of the Defence Force, an officer of the Department of Defence, a member of a visiting force or civilian component of a visiting force, and certain suppliers to the Defence Force, the Department of Defence or a visiting force, </w:t>
      </w:r>
      <w:r>
        <w:t xml:space="preserve">from section 189 and Part 4.2 of the Act </w:t>
      </w:r>
      <w:r w:rsidR="003D24BC">
        <w:t xml:space="preserve">in relation to </w:t>
      </w:r>
      <w:r w:rsidR="00E03A6D">
        <w:t xml:space="preserve">the operation, supply or possession, for the purpose of operation or supply, of a </w:t>
      </w:r>
      <w:r>
        <w:t xml:space="preserve"> mobile phone jamming </w:t>
      </w:r>
      <w:r w:rsidR="00E03A6D">
        <w:t xml:space="preserve">device designed to operate </w:t>
      </w:r>
      <w:r>
        <w:t>on the 825-845 MHz and 870-960 MHz frequency bands. The purpose of the Defence ED was to enable mobile phone jamming by those persons involved in Defence</w:t>
      </w:r>
      <w:r w:rsidR="00E03A6D">
        <w:t>-related</w:t>
      </w:r>
      <w:r>
        <w:t xml:space="preserve"> activities.</w:t>
      </w:r>
    </w:p>
    <w:p w:rsidR="00D238D6" w:rsidRDefault="00D238D6" w:rsidP="00D238D6">
      <w:pPr>
        <w:spacing w:before="120" w:after="120"/>
        <w:rPr>
          <w:rFonts w:eastAsia="Times New Roman" w:cstheme="minorHAnsi"/>
          <w:lang w:eastAsia="en-AU"/>
        </w:rPr>
      </w:pPr>
      <w:r>
        <w:rPr>
          <w:rFonts w:eastAsia="Times New Roman" w:cstheme="minorHAnsi"/>
          <w:lang w:eastAsia="en-AU"/>
        </w:rPr>
        <w:t xml:space="preserve">Following a review of mobile phone jammer regulation, in </w:t>
      </w:r>
      <w:r w:rsidR="000A4A89">
        <w:rPr>
          <w:rFonts w:eastAsia="Times New Roman" w:cstheme="minorHAnsi"/>
          <w:lang w:eastAsia="en-AU"/>
        </w:rPr>
        <w:t xml:space="preserve">March </w:t>
      </w:r>
      <w:r>
        <w:rPr>
          <w:rFonts w:eastAsia="Times New Roman" w:cstheme="minorHAnsi"/>
          <w:lang w:eastAsia="en-AU"/>
        </w:rPr>
        <w:t xml:space="preserve">2011 the ACMA revoked the 1999 Prohibition and made the </w:t>
      </w:r>
      <w:r w:rsidRPr="00E33422">
        <w:rPr>
          <w:rFonts w:eastAsia="Times New Roman" w:cstheme="minorHAnsi"/>
          <w:i/>
          <w:lang w:eastAsia="en-AU"/>
        </w:rPr>
        <w:t>Radiocommunications (Prohibition of PMTS Jamming Devices) Declaration 2011</w:t>
      </w:r>
      <w:r>
        <w:rPr>
          <w:rFonts w:eastAsia="Times New Roman" w:cstheme="minorHAnsi"/>
          <w:lang w:eastAsia="en-AU"/>
        </w:rPr>
        <w:t xml:space="preserve"> (</w:t>
      </w:r>
      <w:r w:rsidRPr="00E33422">
        <w:rPr>
          <w:rFonts w:eastAsia="Times New Roman" w:cstheme="minorHAnsi"/>
          <w:b/>
          <w:lang w:eastAsia="en-AU"/>
        </w:rPr>
        <w:t>the 2011 Prohibition</w:t>
      </w:r>
      <w:r>
        <w:rPr>
          <w:rFonts w:eastAsia="Times New Roman" w:cstheme="minorHAnsi"/>
          <w:lang w:eastAsia="en-AU"/>
        </w:rPr>
        <w:t>). This review was conducted because additional frequency bands had been allocated to PMTS since the 1999 Prohibition was made. The 2011 Prohibition prohibits</w:t>
      </w:r>
      <w:r w:rsidR="000A4A89">
        <w:rPr>
          <w:rFonts w:eastAsia="Times New Roman" w:cstheme="minorHAnsi"/>
          <w:lang w:eastAsia="en-AU"/>
        </w:rPr>
        <w:t xml:space="preserve"> the operation, supply or possession, for the purposes of operation or supply, of</w:t>
      </w:r>
      <w:r>
        <w:rPr>
          <w:rFonts w:eastAsia="Times New Roman" w:cstheme="minorHAnsi"/>
          <w:lang w:eastAsia="en-AU"/>
        </w:rPr>
        <w:t xml:space="preserve"> jamming devices </w:t>
      </w:r>
      <w:r w:rsidR="000A4A89">
        <w:rPr>
          <w:rFonts w:eastAsia="Times New Roman" w:cstheme="minorHAnsi"/>
          <w:lang w:eastAsia="en-AU"/>
        </w:rPr>
        <w:t xml:space="preserve">that operate </w:t>
      </w:r>
      <w:r>
        <w:rPr>
          <w:rFonts w:eastAsia="Times New Roman" w:cstheme="minorHAnsi"/>
          <w:lang w:eastAsia="en-AU"/>
        </w:rPr>
        <w:t xml:space="preserve">on </w:t>
      </w:r>
      <w:r w:rsidR="000A4A89">
        <w:rPr>
          <w:rFonts w:eastAsia="Times New Roman" w:cstheme="minorHAnsi"/>
          <w:lang w:eastAsia="en-AU"/>
        </w:rPr>
        <w:t xml:space="preserve">a </w:t>
      </w:r>
      <w:r>
        <w:rPr>
          <w:rFonts w:eastAsia="Times New Roman" w:cstheme="minorHAnsi"/>
          <w:lang w:eastAsia="en-AU"/>
        </w:rPr>
        <w:t xml:space="preserve">frequency band </w:t>
      </w:r>
      <w:r w:rsidR="000A4A89">
        <w:rPr>
          <w:rFonts w:eastAsia="Times New Roman" w:cstheme="minorHAnsi"/>
          <w:lang w:eastAsia="en-AU"/>
        </w:rPr>
        <w:t xml:space="preserve">used for the supply </w:t>
      </w:r>
      <w:proofErr w:type="gramStart"/>
      <w:r w:rsidR="000A4A89">
        <w:rPr>
          <w:rFonts w:eastAsia="Times New Roman" w:cstheme="minorHAnsi"/>
          <w:lang w:eastAsia="en-AU"/>
        </w:rPr>
        <w:t>of a</w:t>
      </w:r>
      <w:proofErr w:type="gramEnd"/>
      <w:r w:rsidR="000A4A89">
        <w:rPr>
          <w:rFonts w:eastAsia="Times New Roman" w:cstheme="minorHAnsi"/>
          <w:lang w:eastAsia="en-AU"/>
        </w:rPr>
        <w:t xml:space="preserve"> </w:t>
      </w:r>
      <w:r>
        <w:rPr>
          <w:rFonts w:eastAsia="Times New Roman" w:cstheme="minorHAnsi"/>
          <w:lang w:eastAsia="en-AU"/>
        </w:rPr>
        <w:t xml:space="preserve">PMTS. </w:t>
      </w:r>
    </w:p>
    <w:p w:rsidR="00D238D6" w:rsidRDefault="00D238D6" w:rsidP="00D238D6">
      <w:pPr>
        <w:spacing w:before="120" w:after="120"/>
        <w:rPr>
          <w:rFonts w:eastAsia="Times New Roman" w:cstheme="minorHAnsi"/>
          <w:lang w:eastAsia="en-AU"/>
        </w:rPr>
      </w:pPr>
      <w:r>
        <w:rPr>
          <w:rFonts w:eastAsia="Times New Roman" w:cstheme="minorHAnsi"/>
          <w:lang w:eastAsia="en-AU"/>
        </w:rPr>
        <w:t>This Determination has been made by the ACMA to</w:t>
      </w:r>
      <w:r w:rsidR="00A714AD">
        <w:rPr>
          <w:rFonts w:eastAsia="Times New Roman" w:cstheme="minorHAnsi"/>
          <w:lang w:eastAsia="en-AU"/>
        </w:rPr>
        <w:t xml:space="preserve"> ensure that those who were covered by the 2004 Defence ED can lawfully operate, supply and possess, for the purpose of operating or supplying, jamming devices that operate on a frequency band referred to in the 2011 Prohibition (namely, a frequency band used for the supply of a PMTS)</w:t>
      </w:r>
      <w:r>
        <w:rPr>
          <w:rFonts w:eastAsia="Times New Roman" w:cstheme="minorHAnsi"/>
          <w:lang w:eastAsia="en-AU"/>
        </w:rPr>
        <w:t>.</w:t>
      </w:r>
    </w:p>
    <w:p w:rsidR="00D238D6" w:rsidRDefault="00D238D6" w:rsidP="00D238D6">
      <w:pPr>
        <w:spacing w:before="120" w:after="120"/>
        <w:rPr>
          <w:rFonts w:eastAsia="Times New Roman" w:cstheme="minorHAnsi"/>
          <w:lang w:eastAsia="en-AU"/>
        </w:rPr>
      </w:pPr>
      <w:r>
        <w:rPr>
          <w:rFonts w:eastAsia="Times New Roman" w:cstheme="minorHAnsi"/>
          <w:lang w:eastAsia="en-AU"/>
        </w:rPr>
        <w:t>The ACMA also used this opportunity to redraft the instrument in line with current drafting practices and regulatory arrangements. The additional changes made are as follows:</w:t>
      </w:r>
    </w:p>
    <w:p w:rsidR="00D238D6" w:rsidRDefault="00D238D6" w:rsidP="00D238D6">
      <w:pPr>
        <w:pStyle w:val="ListParagraph"/>
        <w:numPr>
          <w:ilvl w:val="0"/>
          <w:numId w:val="8"/>
        </w:numPr>
        <w:spacing w:before="120" w:after="120"/>
        <w:rPr>
          <w:rFonts w:eastAsia="Times New Roman" w:cstheme="minorHAnsi"/>
          <w:lang w:eastAsia="en-AU"/>
        </w:rPr>
      </w:pPr>
      <w:r>
        <w:rPr>
          <w:rFonts w:eastAsia="Times New Roman" w:cstheme="minorHAnsi"/>
          <w:lang w:eastAsia="en-AU"/>
        </w:rPr>
        <w:lastRenderedPageBreak/>
        <w:t xml:space="preserve">The </w:t>
      </w:r>
      <w:r w:rsidR="00BA0F5C">
        <w:rPr>
          <w:rFonts w:eastAsia="Times New Roman" w:cstheme="minorHAnsi"/>
          <w:lang w:eastAsia="en-AU"/>
        </w:rPr>
        <w:t xml:space="preserve">classes of persons </w:t>
      </w:r>
      <w:r>
        <w:rPr>
          <w:rFonts w:eastAsia="Times New Roman" w:cstheme="minorHAnsi"/>
          <w:lang w:eastAsia="en-AU"/>
        </w:rPr>
        <w:t xml:space="preserve">to </w:t>
      </w:r>
      <w:r w:rsidR="00BA0F5C">
        <w:rPr>
          <w:rFonts w:eastAsia="Times New Roman" w:cstheme="minorHAnsi"/>
          <w:lang w:eastAsia="en-AU"/>
        </w:rPr>
        <w:t xml:space="preserve">whom </w:t>
      </w:r>
      <w:r>
        <w:rPr>
          <w:rFonts w:eastAsia="Times New Roman" w:cstheme="minorHAnsi"/>
          <w:lang w:eastAsia="en-AU"/>
        </w:rPr>
        <w:t xml:space="preserve">the exemption applies have been narrowed </w:t>
      </w:r>
      <w:r w:rsidR="00BA0F5C">
        <w:rPr>
          <w:rFonts w:eastAsia="Times New Roman" w:cstheme="minorHAnsi"/>
          <w:lang w:eastAsia="en-AU"/>
        </w:rPr>
        <w:t>so that the exemption will</w:t>
      </w:r>
      <w:r>
        <w:rPr>
          <w:rFonts w:eastAsia="Times New Roman" w:cstheme="minorHAnsi"/>
          <w:lang w:eastAsia="en-AU"/>
        </w:rPr>
        <w:t xml:space="preserve"> apply to </w:t>
      </w:r>
      <w:r w:rsidR="00BA0F5C">
        <w:rPr>
          <w:rFonts w:eastAsia="Times New Roman" w:cstheme="minorHAnsi"/>
          <w:lang w:eastAsia="en-AU"/>
        </w:rPr>
        <w:t xml:space="preserve">members of a </w:t>
      </w:r>
      <w:r>
        <w:rPr>
          <w:rFonts w:eastAsia="Times New Roman" w:cstheme="minorHAnsi"/>
          <w:lang w:eastAsia="en-AU"/>
        </w:rPr>
        <w:t>visiting force</w:t>
      </w:r>
      <w:r w:rsidR="00BA0F5C">
        <w:rPr>
          <w:rFonts w:eastAsia="Times New Roman" w:cstheme="minorHAnsi"/>
          <w:lang w:eastAsia="en-AU"/>
        </w:rPr>
        <w:t xml:space="preserve"> or a civilian component of a visiting force,</w:t>
      </w:r>
      <w:r>
        <w:rPr>
          <w:rFonts w:eastAsia="Times New Roman" w:cstheme="minorHAnsi"/>
          <w:lang w:eastAsia="en-AU"/>
        </w:rPr>
        <w:t xml:space="preserve"> and </w:t>
      </w:r>
      <w:r w:rsidR="00BA0F5C">
        <w:rPr>
          <w:rFonts w:eastAsia="Times New Roman" w:cstheme="minorHAnsi"/>
          <w:lang w:eastAsia="en-AU"/>
        </w:rPr>
        <w:t xml:space="preserve">to </w:t>
      </w:r>
      <w:r>
        <w:rPr>
          <w:rFonts w:eastAsia="Times New Roman" w:cstheme="minorHAnsi"/>
          <w:lang w:eastAsia="en-AU"/>
        </w:rPr>
        <w:t>suppliers to Defence and visiting forces</w:t>
      </w:r>
      <w:r w:rsidR="00BA0F5C">
        <w:rPr>
          <w:rFonts w:eastAsia="Times New Roman" w:cstheme="minorHAnsi"/>
          <w:lang w:eastAsia="en-AU"/>
        </w:rPr>
        <w:t xml:space="preserve">.  </w:t>
      </w:r>
      <w:r w:rsidR="00736D55">
        <w:rPr>
          <w:rFonts w:eastAsia="Times New Roman" w:cstheme="minorHAnsi"/>
          <w:lang w:eastAsia="en-AU"/>
        </w:rPr>
        <w:t>It is not necessary to include members of the Defence Force or officers of the Department of Defence in the scope of the Determination because to the extent that such persons operate, supply or possess, for the purposes of operating or supplying, jamming devices of the kind covered by the Determination, those persons are exempt from Parts 3.1, 4.1 and 4.2 of the Act by virtue of section 26 of the Act.</w:t>
      </w:r>
      <w:r w:rsidR="00BA0F5C">
        <w:rPr>
          <w:rFonts w:eastAsia="Times New Roman" w:cstheme="minorHAnsi"/>
          <w:lang w:eastAsia="en-AU"/>
        </w:rPr>
        <w:t xml:space="preserve"> </w:t>
      </w:r>
    </w:p>
    <w:p w:rsidR="00D238D6" w:rsidRDefault="00D238D6" w:rsidP="00D238D6">
      <w:pPr>
        <w:pStyle w:val="ListParagraph"/>
        <w:numPr>
          <w:ilvl w:val="0"/>
          <w:numId w:val="8"/>
        </w:numPr>
        <w:spacing w:before="120" w:after="120"/>
        <w:rPr>
          <w:rFonts w:eastAsia="Times New Roman" w:cstheme="minorHAnsi"/>
          <w:lang w:eastAsia="en-AU"/>
        </w:rPr>
      </w:pPr>
      <w:r>
        <w:rPr>
          <w:rFonts w:eastAsia="Times New Roman" w:cstheme="minorHAnsi"/>
          <w:lang w:eastAsia="en-AU"/>
        </w:rPr>
        <w:t>The exemption include</w:t>
      </w:r>
      <w:r w:rsidR="00B12DD0">
        <w:rPr>
          <w:rFonts w:eastAsia="Times New Roman" w:cstheme="minorHAnsi"/>
          <w:lang w:eastAsia="en-AU"/>
        </w:rPr>
        <w:t>s</w:t>
      </w:r>
      <w:r>
        <w:rPr>
          <w:rFonts w:eastAsia="Times New Roman" w:cstheme="minorHAnsi"/>
          <w:lang w:eastAsia="en-AU"/>
        </w:rPr>
        <w:t xml:space="preserve"> all of Parts 3.1, 4.1 and 4.2 of the Act</w:t>
      </w:r>
      <w:r w:rsidR="00B12DD0">
        <w:rPr>
          <w:rFonts w:eastAsia="Times New Roman" w:cstheme="minorHAnsi"/>
          <w:lang w:eastAsia="en-AU"/>
        </w:rPr>
        <w:t>, not only section 189 and Part 4.2 of the Act.</w:t>
      </w:r>
      <w:r>
        <w:rPr>
          <w:rFonts w:eastAsia="Times New Roman" w:cstheme="minorHAnsi"/>
          <w:lang w:eastAsia="en-AU"/>
        </w:rPr>
        <w:t xml:space="preserve"> This makes the Determination consistent with the exemption provided to members </w:t>
      </w:r>
      <w:r w:rsidR="00B12DD0">
        <w:rPr>
          <w:rFonts w:eastAsia="Times New Roman" w:cstheme="minorHAnsi"/>
          <w:lang w:eastAsia="en-AU"/>
        </w:rPr>
        <w:t>of the Defence Force and</w:t>
      </w:r>
      <w:r>
        <w:rPr>
          <w:rFonts w:eastAsia="Times New Roman" w:cstheme="minorHAnsi"/>
          <w:lang w:eastAsia="en-AU"/>
        </w:rPr>
        <w:t xml:space="preserve"> officers of </w:t>
      </w:r>
      <w:r w:rsidR="00B12DD0">
        <w:rPr>
          <w:rFonts w:eastAsia="Times New Roman" w:cstheme="minorHAnsi"/>
          <w:lang w:eastAsia="en-AU"/>
        </w:rPr>
        <w:t xml:space="preserve">the Department of </w:t>
      </w:r>
      <w:r>
        <w:rPr>
          <w:rFonts w:eastAsia="Times New Roman" w:cstheme="minorHAnsi"/>
          <w:lang w:eastAsia="en-AU"/>
        </w:rPr>
        <w:t>Defence under section 26 of the Act and is the broadest exemption available under section 27 of the Act</w:t>
      </w:r>
      <w:r w:rsidR="00B12DD0">
        <w:rPr>
          <w:rFonts w:eastAsia="Times New Roman" w:cstheme="minorHAnsi"/>
          <w:lang w:eastAsia="en-AU"/>
        </w:rPr>
        <w:t>.</w:t>
      </w:r>
      <w:r>
        <w:rPr>
          <w:rFonts w:eastAsia="Times New Roman" w:cstheme="minorHAnsi"/>
          <w:lang w:eastAsia="en-AU"/>
        </w:rPr>
        <w:t xml:space="preserve"> </w:t>
      </w:r>
    </w:p>
    <w:p w:rsidR="00D238D6" w:rsidRDefault="00D238D6" w:rsidP="00D238D6">
      <w:pPr>
        <w:pStyle w:val="ListParagraph"/>
        <w:numPr>
          <w:ilvl w:val="0"/>
          <w:numId w:val="8"/>
        </w:numPr>
        <w:spacing w:before="120" w:after="120"/>
        <w:rPr>
          <w:rFonts w:eastAsia="Times New Roman" w:cstheme="minorHAnsi"/>
          <w:lang w:eastAsia="en-AU"/>
        </w:rPr>
      </w:pPr>
      <w:r>
        <w:rPr>
          <w:rFonts w:eastAsia="Times New Roman" w:cstheme="minorHAnsi"/>
          <w:lang w:eastAsia="en-AU"/>
        </w:rPr>
        <w:t>The Determination includes a provision requiring visiting forces</w:t>
      </w:r>
      <w:r w:rsidR="00112A46">
        <w:rPr>
          <w:rFonts w:eastAsia="Times New Roman" w:cstheme="minorHAnsi"/>
          <w:lang w:eastAsia="en-AU"/>
        </w:rPr>
        <w:t>, civilian components of visiting forces</w:t>
      </w:r>
      <w:r>
        <w:rPr>
          <w:rFonts w:eastAsia="Times New Roman" w:cstheme="minorHAnsi"/>
          <w:lang w:eastAsia="en-AU"/>
        </w:rPr>
        <w:t xml:space="preserve"> and suppliers to Defence and visiting forces</w:t>
      </w:r>
      <w:r w:rsidR="00112A46">
        <w:rPr>
          <w:rFonts w:eastAsia="Times New Roman" w:cstheme="minorHAnsi"/>
          <w:lang w:eastAsia="en-AU"/>
        </w:rPr>
        <w:t>,</w:t>
      </w:r>
      <w:r>
        <w:rPr>
          <w:rFonts w:eastAsia="Times New Roman" w:cstheme="minorHAnsi"/>
          <w:lang w:eastAsia="en-AU"/>
        </w:rPr>
        <w:t xml:space="preserve"> to obtain Defence approval for jamming activity prior to operating a device</w:t>
      </w:r>
      <w:r w:rsidR="00112A46">
        <w:rPr>
          <w:rFonts w:eastAsia="Times New Roman" w:cstheme="minorHAnsi"/>
          <w:lang w:eastAsia="en-AU"/>
        </w:rPr>
        <w:t xml:space="preserve"> and that the jamming activity is undertaken in accordance with that approval</w:t>
      </w:r>
      <w:r>
        <w:rPr>
          <w:rFonts w:eastAsia="Times New Roman" w:cstheme="minorHAnsi"/>
          <w:lang w:eastAsia="en-AU"/>
        </w:rPr>
        <w:t xml:space="preserve">. This provision </w:t>
      </w:r>
      <w:r w:rsidR="00957561">
        <w:rPr>
          <w:rFonts w:eastAsia="Times New Roman" w:cstheme="minorHAnsi"/>
          <w:lang w:eastAsia="en-AU"/>
        </w:rPr>
        <w:t>will ensure</w:t>
      </w:r>
      <w:r>
        <w:rPr>
          <w:rFonts w:eastAsia="Times New Roman" w:cstheme="minorHAnsi"/>
          <w:lang w:eastAsia="en-AU"/>
        </w:rPr>
        <w:t xml:space="preserve"> that </w:t>
      </w:r>
      <w:r w:rsidR="00957561">
        <w:rPr>
          <w:rFonts w:eastAsia="Times New Roman" w:cstheme="minorHAnsi"/>
          <w:lang w:eastAsia="en-AU"/>
        </w:rPr>
        <w:t xml:space="preserve">Defence has scrutiny over the use of these devices by </w:t>
      </w:r>
      <w:r>
        <w:rPr>
          <w:rFonts w:eastAsia="Times New Roman" w:cstheme="minorHAnsi"/>
          <w:lang w:eastAsia="en-AU"/>
        </w:rPr>
        <w:t>visiting forces</w:t>
      </w:r>
      <w:r w:rsidR="00112A46">
        <w:rPr>
          <w:rFonts w:eastAsia="Times New Roman" w:cstheme="minorHAnsi"/>
          <w:lang w:eastAsia="en-AU"/>
        </w:rPr>
        <w:t>, civilian components of visiting forces</w:t>
      </w:r>
      <w:r>
        <w:rPr>
          <w:rFonts w:eastAsia="Times New Roman" w:cstheme="minorHAnsi"/>
          <w:lang w:eastAsia="en-AU"/>
        </w:rPr>
        <w:t xml:space="preserve"> and suppliers to Defence and visiting forces</w:t>
      </w:r>
      <w:r w:rsidR="00E46C45">
        <w:rPr>
          <w:rFonts w:eastAsia="Times New Roman" w:cstheme="minorHAnsi"/>
          <w:lang w:eastAsia="en-AU"/>
        </w:rPr>
        <w:t>,</w:t>
      </w:r>
      <w:r>
        <w:rPr>
          <w:rFonts w:eastAsia="Times New Roman" w:cstheme="minorHAnsi"/>
          <w:lang w:eastAsia="en-AU"/>
        </w:rPr>
        <w:t xml:space="preserve"> </w:t>
      </w:r>
      <w:r w:rsidR="008C5BDE">
        <w:rPr>
          <w:rFonts w:eastAsia="Times New Roman" w:cstheme="minorHAnsi"/>
          <w:lang w:eastAsia="en-AU"/>
        </w:rPr>
        <w:t>and enables Defence to set parameters in relation to any jamming activities</w:t>
      </w:r>
      <w:r>
        <w:rPr>
          <w:rFonts w:eastAsia="Times New Roman" w:cstheme="minorHAnsi"/>
          <w:lang w:eastAsia="en-AU"/>
        </w:rPr>
        <w:t xml:space="preserve">. </w:t>
      </w:r>
    </w:p>
    <w:p w:rsidR="00D238D6" w:rsidRPr="00256E6C" w:rsidRDefault="00D238D6" w:rsidP="00D238D6">
      <w:pPr>
        <w:spacing w:before="120" w:after="120" w:line="240" w:lineRule="auto"/>
        <w:rPr>
          <w:rFonts w:eastAsia="Times New Roman" w:cstheme="minorHAnsi"/>
          <w:lang w:eastAsia="en-AU"/>
        </w:rPr>
      </w:pPr>
      <w:r w:rsidRPr="00256E6C">
        <w:rPr>
          <w:rFonts w:eastAsia="Times New Roman" w:cstheme="minorHAnsi"/>
          <w:b/>
          <w:bCs/>
          <w:lang w:eastAsia="en-AU"/>
        </w:rPr>
        <w:t xml:space="preserve">Consultation </w:t>
      </w:r>
    </w:p>
    <w:p w:rsidR="00D238D6" w:rsidRDefault="00D238D6" w:rsidP="00D238D6">
      <w:pPr>
        <w:spacing w:before="120" w:after="120" w:line="240" w:lineRule="auto"/>
        <w:rPr>
          <w:rFonts w:eastAsia="Times New Roman" w:cstheme="minorHAnsi"/>
          <w:lang w:eastAsia="en-AU"/>
        </w:rPr>
      </w:pPr>
      <w:r>
        <w:rPr>
          <w:rFonts w:eastAsia="Times New Roman" w:cstheme="minorHAnsi"/>
          <w:lang w:eastAsia="en-AU"/>
        </w:rPr>
        <w:t>T</w:t>
      </w:r>
      <w:r w:rsidRPr="00256E6C">
        <w:rPr>
          <w:rFonts w:eastAsia="Times New Roman" w:cstheme="minorHAnsi"/>
          <w:lang w:eastAsia="en-AU"/>
        </w:rPr>
        <w:t xml:space="preserve">he ACMA consulted directly with those bodies that are likely to be affected by the Determination. The </w:t>
      </w:r>
      <w:r>
        <w:rPr>
          <w:rFonts w:eastAsia="Times New Roman" w:cstheme="minorHAnsi"/>
          <w:lang w:eastAsia="en-AU"/>
        </w:rPr>
        <w:t xml:space="preserve">Department of Defence and spectrum licensees in the 1800 MHz and 2100 MHz frequency bands </w:t>
      </w:r>
      <w:r w:rsidRPr="00256E6C">
        <w:rPr>
          <w:rFonts w:eastAsia="Times New Roman" w:cstheme="minorHAnsi"/>
          <w:lang w:eastAsia="en-AU"/>
        </w:rPr>
        <w:t>were provided with a draft of the Determination and invited to provide comment</w:t>
      </w:r>
      <w:r>
        <w:rPr>
          <w:rFonts w:eastAsia="Times New Roman" w:cstheme="minorHAnsi"/>
          <w:lang w:eastAsia="en-AU"/>
        </w:rPr>
        <w:t>.</w:t>
      </w:r>
      <w:r w:rsidRPr="00DE5C6E">
        <w:rPr>
          <w:rFonts w:eastAsia="Times New Roman" w:cstheme="minorHAnsi"/>
          <w:lang w:eastAsia="en-AU"/>
        </w:rPr>
        <w:t xml:space="preserve"> </w:t>
      </w:r>
      <w:r>
        <w:rPr>
          <w:rFonts w:eastAsia="Times New Roman" w:cstheme="minorHAnsi"/>
          <w:lang w:eastAsia="en-AU"/>
        </w:rPr>
        <w:t xml:space="preserve">The spectrum licensees consulted were </w:t>
      </w:r>
      <w:r w:rsidRPr="00256E6C">
        <w:rPr>
          <w:rFonts w:eastAsia="Times New Roman" w:cstheme="minorHAnsi"/>
          <w:lang w:eastAsia="en-AU"/>
        </w:rPr>
        <w:t>Optus, Vodafone Hutchison Austra</w:t>
      </w:r>
      <w:r>
        <w:rPr>
          <w:rFonts w:eastAsia="Times New Roman" w:cstheme="minorHAnsi"/>
          <w:lang w:eastAsia="en-AU"/>
        </w:rPr>
        <w:t>lia, Telstra and</w:t>
      </w:r>
      <w:r w:rsidRPr="00587F56">
        <w:rPr>
          <w:rFonts w:eastAsia="Times New Roman" w:cstheme="minorHAnsi"/>
          <w:lang w:eastAsia="en-AU"/>
        </w:rPr>
        <w:t xml:space="preserve"> </w:t>
      </w:r>
      <w:r>
        <w:rPr>
          <w:rFonts w:eastAsia="Times New Roman" w:cstheme="minorHAnsi"/>
          <w:lang w:eastAsia="en-AU"/>
        </w:rPr>
        <w:t>five state railway bodies.</w:t>
      </w:r>
    </w:p>
    <w:p w:rsidR="00D238D6" w:rsidRDefault="00D238D6" w:rsidP="00D238D6">
      <w:pPr>
        <w:spacing w:before="120" w:after="120" w:line="240" w:lineRule="auto"/>
        <w:rPr>
          <w:rFonts w:eastAsia="Times New Roman" w:cstheme="minorHAnsi"/>
          <w:lang w:eastAsia="en-AU"/>
        </w:rPr>
      </w:pPr>
      <w:r>
        <w:rPr>
          <w:rFonts w:eastAsia="Times New Roman" w:cstheme="minorHAnsi"/>
          <w:lang w:eastAsia="en-AU"/>
        </w:rPr>
        <w:t>The ACMA received ten submissions in response to the targeted consultation process</w:t>
      </w:r>
      <w:r w:rsidR="00E46C45">
        <w:rPr>
          <w:rFonts w:eastAsia="Times New Roman" w:cstheme="minorHAnsi"/>
          <w:lang w:eastAsia="en-AU"/>
        </w:rPr>
        <w:t xml:space="preserve">. </w:t>
      </w:r>
      <w:r>
        <w:rPr>
          <w:rFonts w:eastAsia="Times New Roman" w:cstheme="minorHAnsi"/>
          <w:lang w:eastAsia="en-AU"/>
        </w:rPr>
        <w:t>The ACMA acknowledged all submissions it received and gave due consideration to the comments provided. Additional amendment was made to the instrument in response to this consultation.</w:t>
      </w:r>
    </w:p>
    <w:p w:rsidR="00D238D6" w:rsidRDefault="00D238D6" w:rsidP="00D238D6">
      <w:pPr>
        <w:spacing w:before="120" w:after="240" w:line="240" w:lineRule="auto"/>
        <w:rPr>
          <w:rFonts w:eastAsia="Times New Roman" w:cstheme="minorHAnsi"/>
          <w:lang w:eastAsia="en-AU"/>
        </w:rPr>
      </w:pPr>
      <w:r>
        <w:rPr>
          <w:rFonts w:eastAsia="Times New Roman" w:cstheme="minorHAnsi"/>
          <w:lang w:eastAsia="en-AU"/>
        </w:rPr>
        <w:t xml:space="preserve">The ACMA is satisfied that the consultation undertaken was appropriate for the purpose of section 17 of the LIA. </w:t>
      </w:r>
    </w:p>
    <w:p w:rsidR="00D238D6" w:rsidRPr="00256E6C" w:rsidRDefault="00D238D6" w:rsidP="00D238D6">
      <w:pPr>
        <w:spacing w:before="120" w:after="120" w:line="240" w:lineRule="auto"/>
        <w:rPr>
          <w:rFonts w:eastAsia="Times New Roman" w:cstheme="minorHAnsi"/>
          <w:lang w:eastAsia="en-AU"/>
        </w:rPr>
      </w:pPr>
      <w:r w:rsidRPr="00256E6C">
        <w:rPr>
          <w:rFonts w:eastAsia="Times New Roman" w:cstheme="minorHAnsi"/>
          <w:b/>
          <w:bCs/>
          <w:lang w:eastAsia="en-AU"/>
        </w:rPr>
        <w:t>Regulatory Impact</w:t>
      </w:r>
    </w:p>
    <w:p w:rsidR="00D238D6" w:rsidRPr="00256E6C" w:rsidRDefault="00D238D6" w:rsidP="00D238D6">
      <w:pPr>
        <w:spacing w:before="120" w:after="240" w:line="240" w:lineRule="auto"/>
        <w:rPr>
          <w:rFonts w:eastAsia="Times New Roman" w:cstheme="minorHAnsi"/>
          <w:lang w:eastAsia="en-AU"/>
        </w:rPr>
      </w:pPr>
      <w:r w:rsidRPr="00256E6C">
        <w:rPr>
          <w:rFonts w:eastAsia="Times New Roman" w:cstheme="minorHAnsi"/>
          <w:lang w:eastAsia="en-AU"/>
        </w:rPr>
        <w:t xml:space="preserve">The Office of Best Practice Regulation (OBPR) has considered the matter and formed the opinion </w:t>
      </w:r>
      <w:r>
        <w:rPr>
          <w:rFonts w:eastAsia="Times New Roman" w:cstheme="minorHAnsi"/>
          <w:lang w:eastAsia="en-AU"/>
        </w:rPr>
        <w:t>that a Regulatory Impact Statement (RIS) was not required</w:t>
      </w:r>
      <w:r w:rsidRPr="00256E6C">
        <w:rPr>
          <w:rFonts w:eastAsia="Times New Roman" w:cstheme="minorHAnsi"/>
          <w:lang w:eastAsia="en-AU"/>
        </w:rPr>
        <w:t xml:space="preserve">. The </w:t>
      </w:r>
      <w:r>
        <w:rPr>
          <w:rFonts w:eastAsia="Times New Roman" w:cstheme="minorHAnsi"/>
          <w:lang w:eastAsia="en-AU"/>
        </w:rPr>
        <w:t>RIS exemption</w:t>
      </w:r>
      <w:r w:rsidRPr="00256E6C">
        <w:rPr>
          <w:rFonts w:eastAsia="Times New Roman" w:cstheme="minorHAnsi"/>
          <w:lang w:eastAsia="en-AU"/>
        </w:rPr>
        <w:t xml:space="preserve"> number is </w:t>
      </w:r>
      <w:r>
        <w:rPr>
          <w:rFonts w:eastAsia="Times New Roman" w:cstheme="minorHAnsi"/>
          <w:lang w:eastAsia="en-AU"/>
        </w:rPr>
        <w:t>12838</w:t>
      </w:r>
      <w:r w:rsidRPr="00256E6C">
        <w:rPr>
          <w:rFonts w:eastAsia="Times New Roman" w:cstheme="minorHAnsi"/>
          <w:lang w:eastAsia="en-AU"/>
        </w:rPr>
        <w:t xml:space="preserve">. </w:t>
      </w:r>
    </w:p>
    <w:p w:rsidR="00D238D6" w:rsidRPr="00256E6C" w:rsidRDefault="00D238D6" w:rsidP="00D238D6">
      <w:pPr>
        <w:spacing w:before="120" w:after="120" w:line="240" w:lineRule="auto"/>
        <w:rPr>
          <w:rFonts w:eastAsia="Times New Roman" w:cstheme="minorHAnsi"/>
          <w:lang w:eastAsia="en-AU"/>
        </w:rPr>
      </w:pPr>
      <w:r>
        <w:rPr>
          <w:rFonts w:eastAsia="Times New Roman" w:cstheme="minorHAnsi"/>
          <w:b/>
          <w:bCs/>
          <w:lang w:eastAsia="en-AU"/>
        </w:rPr>
        <w:t>Detailed description of the Declaration</w:t>
      </w:r>
    </w:p>
    <w:p w:rsidR="00D238D6" w:rsidRPr="00256E6C" w:rsidRDefault="00D238D6" w:rsidP="00D238D6">
      <w:pPr>
        <w:spacing w:before="120" w:after="120" w:line="240" w:lineRule="auto"/>
        <w:rPr>
          <w:rFonts w:eastAsia="Times New Roman" w:cstheme="minorHAnsi"/>
          <w:lang w:eastAsia="en-AU"/>
        </w:rPr>
      </w:pPr>
      <w:r>
        <w:rPr>
          <w:rFonts w:eastAsia="Times New Roman" w:cstheme="minorHAnsi"/>
          <w:lang w:eastAsia="en-AU"/>
        </w:rPr>
        <w:t>Further detail</w:t>
      </w:r>
      <w:r w:rsidRPr="00256E6C">
        <w:rPr>
          <w:rFonts w:eastAsia="Times New Roman" w:cstheme="minorHAnsi"/>
          <w:lang w:eastAsia="en-AU"/>
        </w:rPr>
        <w:t xml:space="preserve"> about the Determination</w:t>
      </w:r>
      <w:r>
        <w:rPr>
          <w:rFonts w:eastAsia="Times New Roman" w:cstheme="minorHAnsi"/>
          <w:lang w:eastAsia="en-AU"/>
        </w:rPr>
        <w:t xml:space="preserve"> is </w:t>
      </w:r>
      <w:r w:rsidRPr="00256E6C">
        <w:rPr>
          <w:rFonts w:eastAsia="Times New Roman" w:cstheme="minorHAnsi"/>
          <w:lang w:eastAsia="en-AU"/>
        </w:rPr>
        <w:t xml:space="preserve">provided in the </w:t>
      </w:r>
      <w:r w:rsidRPr="00184049">
        <w:rPr>
          <w:rFonts w:eastAsia="Times New Roman" w:cstheme="minorHAnsi"/>
          <w:b/>
          <w:lang w:eastAsia="en-AU"/>
        </w:rPr>
        <w:t>Attachment</w:t>
      </w:r>
      <w:r w:rsidRPr="00256E6C">
        <w:rPr>
          <w:rFonts w:eastAsia="Times New Roman" w:cstheme="minorHAnsi"/>
          <w:lang w:eastAsia="en-AU"/>
        </w:rPr>
        <w:t>.</w:t>
      </w:r>
    </w:p>
    <w:p w:rsidR="00D238D6" w:rsidRPr="00256E6C" w:rsidRDefault="00D238D6" w:rsidP="00D238D6">
      <w:pPr>
        <w:spacing w:before="120" w:after="120" w:line="240" w:lineRule="auto"/>
        <w:jc w:val="right"/>
        <w:rPr>
          <w:rFonts w:eastAsia="Times New Roman" w:cstheme="minorHAnsi"/>
          <w:lang w:eastAsia="en-AU"/>
        </w:rPr>
      </w:pPr>
      <w:r w:rsidRPr="00256E6C">
        <w:rPr>
          <w:rFonts w:eastAsia="Times New Roman" w:cstheme="minorHAnsi"/>
          <w:lang w:eastAsia="en-AU"/>
        </w:rPr>
        <w:br w:type="page"/>
        <w:t> </w:t>
      </w:r>
      <w:r w:rsidRPr="00256E6C">
        <w:rPr>
          <w:rFonts w:eastAsia="Times New Roman" w:cstheme="minorHAnsi"/>
          <w:b/>
          <w:bCs/>
          <w:lang w:eastAsia="en-AU"/>
        </w:rPr>
        <w:t>ATTACHMENT</w:t>
      </w:r>
    </w:p>
    <w:p w:rsidR="00D238D6" w:rsidRPr="00256E6C" w:rsidRDefault="00D238D6" w:rsidP="00D238D6">
      <w:pPr>
        <w:spacing w:before="120" w:after="240" w:line="240" w:lineRule="auto"/>
        <w:rPr>
          <w:rFonts w:eastAsia="Times New Roman" w:cstheme="minorHAnsi"/>
          <w:lang w:eastAsia="en-AU"/>
        </w:rPr>
      </w:pPr>
      <w:r w:rsidRPr="00256E6C">
        <w:rPr>
          <w:rFonts w:eastAsia="Times New Roman" w:cstheme="minorHAnsi"/>
          <w:b/>
          <w:bCs/>
          <w:lang w:eastAsia="en-AU"/>
        </w:rPr>
        <w:t>NOTES ON SECTIONS</w:t>
      </w:r>
    </w:p>
    <w:p w:rsidR="00D238D6" w:rsidRPr="00256E6C" w:rsidRDefault="00D238D6" w:rsidP="00D238D6">
      <w:pPr>
        <w:tabs>
          <w:tab w:val="left" w:pos="1134"/>
        </w:tabs>
        <w:spacing w:before="120" w:after="120" w:line="240" w:lineRule="auto"/>
        <w:rPr>
          <w:rFonts w:eastAsia="Times New Roman" w:cstheme="minorHAnsi"/>
          <w:lang w:eastAsia="en-AU"/>
        </w:rPr>
      </w:pPr>
      <w:r>
        <w:rPr>
          <w:rFonts w:eastAsia="Times New Roman" w:cstheme="minorHAnsi"/>
          <w:b/>
          <w:bCs/>
          <w:lang w:eastAsia="en-AU"/>
        </w:rPr>
        <w:t>Section 1       </w:t>
      </w:r>
      <w:r w:rsidRPr="00256E6C">
        <w:rPr>
          <w:rFonts w:eastAsia="Times New Roman" w:cstheme="minorHAnsi"/>
          <w:b/>
          <w:bCs/>
          <w:lang w:eastAsia="en-AU"/>
        </w:rPr>
        <w:t>Name of Determination</w:t>
      </w:r>
    </w:p>
    <w:p w:rsidR="00D238D6" w:rsidRPr="00256E6C" w:rsidRDefault="009251BB" w:rsidP="00D238D6">
      <w:pPr>
        <w:tabs>
          <w:tab w:val="left" w:pos="1134"/>
        </w:tabs>
        <w:spacing w:before="120" w:after="240" w:line="240" w:lineRule="auto"/>
        <w:rPr>
          <w:rFonts w:eastAsia="Times New Roman" w:cstheme="minorHAnsi"/>
          <w:lang w:eastAsia="en-AU"/>
        </w:rPr>
      </w:pPr>
      <w:r>
        <w:rPr>
          <w:rFonts w:eastAsia="Times New Roman" w:cstheme="minorHAnsi"/>
          <w:lang w:eastAsia="en-AU"/>
        </w:rPr>
        <w:t>T</w:t>
      </w:r>
      <w:r w:rsidR="00D238D6" w:rsidRPr="00256E6C">
        <w:rPr>
          <w:rFonts w:eastAsia="Times New Roman" w:cstheme="minorHAnsi"/>
          <w:lang w:eastAsia="en-AU"/>
        </w:rPr>
        <w:t xml:space="preserve">he Determination </w:t>
      </w:r>
      <w:r>
        <w:rPr>
          <w:rFonts w:eastAsia="Times New Roman" w:cstheme="minorHAnsi"/>
          <w:lang w:eastAsia="en-AU"/>
        </w:rPr>
        <w:t>is called</w:t>
      </w:r>
      <w:r w:rsidRPr="00256E6C">
        <w:rPr>
          <w:rFonts w:eastAsia="Times New Roman" w:cstheme="minorHAnsi"/>
          <w:lang w:eastAsia="en-AU"/>
        </w:rPr>
        <w:t xml:space="preserve"> </w:t>
      </w:r>
      <w:r w:rsidR="00D238D6" w:rsidRPr="00256E6C">
        <w:rPr>
          <w:rFonts w:eastAsia="Times New Roman" w:cstheme="minorHAnsi"/>
          <w:lang w:eastAsia="en-AU"/>
        </w:rPr>
        <w:t>th</w:t>
      </w:r>
      <w:r w:rsidR="00D238D6">
        <w:rPr>
          <w:rFonts w:eastAsia="Times New Roman" w:cstheme="minorHAnsi"/>
          <w:lang w:eastAsia="en-AU"/>
        </w:rPr>
        <w:t>e</w:t>
      </w:r>
      <w:r w:rsidR="00D238D6" w:rsidRPr="00E00EB9">
        <w:rPr>
          <w:rFonts w:eastAsia="Times New Roman" w:cstheme="minorHAnsi"/>
          <w:lang w:eastAsia="en-AU"/>
        </w:rPr>
        <w:t xml:space="preserve"> </w:t>
      </w:r>
      <w:r w:rsidR="00D238D6" w:rsidRPr="00E00EB9">
        <w:rPr>
          <w:rFonts w:eastAsia="Times New Roman" w:cstheme="minorHAnsi"/>
          <w:i/>
          <w:lang w:eastAsia="en-AU"/>
        </w:rPr>
        <w:t xml:space="preserve">Radiocommunications (PMTS Jamming Devices – </w:t>
      </w:r>
      <w:r w:rsidR="00D238D6">
        <w:rPr>
          <w:rFonts w:eastAsia="Times New Roman" w:cstheme="minorHAnsi"/>
          <w:i/>
          <w:lang w:eastAsia="en-AU"/>
        </w:rPr>
        <w:t>Visiting Forces and Suppliers</w:t>
      </w:r>
      <w:r w:rsidR="00D238D6" w:rsidRPr="00E00EB9">
        <w:rPr>
          <w:rFonts w:eastAsia="Times New Roman" w:cstheme="minorHAnsi"/>
          <w:i/>
          <w:lang w:eastAsia="en-AU"/>
        </w:rPr>
        <w:t>) Exemption Determination 2011</w:t>
      </w:r>
      <w:r w:rsidR="00D238D6">
        <w:rPr>
          <w:rFonts w:eastAsia="Times New Roman" w:cstheme="minorHAnsi"/>
          <w:lang w:eastAsia="en-AU"/>
        </w:rPr>
        <w:t>.</w:t>
      </w:r>
    </w:p>
    <w:p w:rsidR="00D238D6" w:rsidRPr="00256E6C" w:rsidRDefault="00D238D6" w:rsidP="00D238D6">
      <w:pPr>
        <w:tabs>
          <w:tab w:val="left" w:pos="1134"/>
        </w:tabs>
        <w:spacing w:before="120" w:after="120" w:line="240" w:lineRule="auto"/>
        <w:rPr>
          <w:rFonts w:eastAsia="Times New Roman" w:cstheme="minorHAnsi"/>
          <w:lang w:eastAsia="en-AU"/>
        </w:rPr>
      </w:pPr>
      <w:r w:rsidRPr="00256E6C">
        <w:rPr>
          <w:rFonts w:eastAsia="Times New Roman" w:cstheme="minorHAnsi"/>
          <w:b/>
          <w:bCs/>
          <w:lang w:eastAsia="en-AU"/>
        </w:rPr>
        <w:t>Section 2     </w:t>
      </w:r>
      <w:r>
        <w:rPr>
          <w:rFonts w:eastAsia="Times New Roman" w:cstheme="minorHAnsi"/>
          <w:b/>
          <w:bCs/>
          <w:lang w:eastAsia="en-AU"/>
        </w:rPr>
        <w:t xml:space="preserve"> </w:t>
      </w:r>
      <w:r w:rsidRPr="00256E6C">
        <w:rPr>
          <w:rFonts w:eastAsia="Times New Roman" w:cstheme="minorHAnsi"/>
          <w:b/>
          <w:bCs/>
          <w:lang w:eastAsia="en-AU"/>
        </w:rPr>
        <w:t>Commencement</w:t>
      </w:r>
    </w:p>
    <w:p w:rsidR="00D238D6" w:rsidRPr="00256E6C" w:rsidRDefault="009251BB" w:rsidP="00D238D6">
      <w:pPr>
        <w:tabs>
          <w:tab w:val="left" w:pos="1134"/>
        </w:tabs>
        <w:spacing w:before="120" w:after="240" w:line="240" w:lineRule="auto"/>
        <w:rPr>
          <w:rFonts w:eastAsia="Times New Roman" w:cstheme="minorHAnsi"/>
          <w:lang w:eastAsia="en-AU"/>
        </w:rPr>
      </w:pPr>
      <w:r>
        <w:rPr>
          <w:rFonts w:eastAsia="Times New Roman" w:cstheme="minorHAnsi"/>
          <w:lang w:eastAsia="en-AU"/>
        </w:rPr>
        <w:t>T</w:t>
      </w:r>
      <w:r w:rsidR="00D238D6" w:rsidRPr="00256E6C">
        <w:rPr>
          <w:rFonts w:eastAsia="Times New Roman" w:cstheme="minorHAnsi"/>
          <w:lang w:eastAsia="en-AU"/>
        </w:rPr>
        <w:t>he Determination commence</w:t>
      </w:r>
      <w:r>
        <w:rPr>
          <w:rFonts w:eastAsia="Times New Roman" w:cstheme="minorHAnsi"/>
          <w:lang w:eastAsia="en-AU"/>
        </w:rPr>
        <w:t>s</w:t>
      </w:r>
      <w:r w:rsidR="00D238D6" w:rsidRPr="00256E6C">
        <w:rPr>
          <w:rFonts w:eastAsia="Times New Roman" w:cstheme="minorHAnsi"/>
          <w:lang w:eastAsia="en-AU"/>
        </w:rPr>
        <w:t xml:space="preserve"> on the day after it is registered</w:t>
      </w:r>
      <w:r>
        <w:rPr>
          <w:rFonts w:eastAsia="Times New Roman" w:cstheme="minorHAnsi"/>
          <w:lang w:eastAsia="en-AU"/>
        </w:rPr>
        <w:t xml:space="preserve"> on the Federal Register of Legislative Instruments</w:t>
      </w:r>
      <w:r w:rsidR="00D238D6" w:rsidRPr="00256E6C">
        <w:rPr>
          <w:rFonts w:eastAsia="Times New Roman" w:cstheme="minorHAnsi"/>
          <w:lang w:eastAsia="en-AU"/>
        </w:rPr>
        <w:t>.</w:t>
      </w:r>
    </w:p>
    <w:p w:rsidR="00D238D6" w:rsidRDefault="00D238D6" w:rsidP="00D238D6">
      <w:pPr>
        <w:tabs>
          <w:tab w:val="left" w:pos="1134"/>
          <w:tab w:val="left" w:pos="1260"/>
        </w:tabs>
        <w:spacing w:before="120" w:after="120" w:line="240" w:lineRule="auto"/>
        <w:rPr>
          <w:rFonts w:eastAsia="Times New Roman" w:cstheme="minorHAnsi"/>
          <w:b/>
          <w:bCs/>
          <w:lang w:eastAsia="en-AU"/>
        </w:rPr>
      </w:pPr>
      <w:r>
        <w:rPr>
          <w:rFonts w:eastAsia="Times New Roman" w:cstheme="minorHAnsi"/>
          <w:b/>
          <w:bCs/>
          <w:lang w:eastAsia="en-AU"/>
        </w:rPr>
        <w:t xml:space="preserve">Section 3 </w:t>
      </w:r>
      <w:r>
        <w:rPr>
          <w:rFonts w:eastAsia="Times New Roman" w:cstheme="minorHAnsi"/>
          <w:b/>
          <w:bCs/>
          <w:lang w:eastAsia="en-AU"/>
        </w:rPr>
        <w:tab/>
        <w:t>Revocation</w:t>
      </w:r>
    </w:p>
    <w:p w:rsidR="00D238D6" w:rsidRPr="00E00EB9" w:rsidRDefault="00C35697" w:rsidP="00D238D6">
      <w:pPr>
        <w:tabs>
          <w:tab w:val="left" w:pos="1134"/>
        </w:tabs>
        <w:spacing w:before="120" w:after="240" w:line="240" w:lineRule="auto"/>
        <w:rPr>
          <w:rFonts w:eastAsia="Times New Roman" w:cstheme="minorHAnsi"/>
          <w:bCs/>
          <w:lang w:eastAsia="en-AU"/>
        </w:rPr>
      </w:pPr>
      <w:r>
        <w:rPr>
          <w:rFonts w:eastAsia="Times New Roman" w:cstheme="minorHAnsi"/>
          <w:bCs/>
          <w:lang w:eastAsia="en-AU"/>
        </w:rPr>
        <w:t>T</w:t>
      </w:r>
      <w:r w:rsidR="00D238D6">
        <w:rPr>
          <w:rFonts w:eastAsia="Times New Roman" w:cstheme="minorHAnsi"/>
          <w:bCs/>
          <w:lang w:eastAsia="en-AU"/>
        </w:rPr>
        <w:t xml:space="preserve">he </w:t>
      </w:r>
      <w:r w:rsidR="00D238D6" w:rsidRPr="00E00EB9">
        <w:rPr>
          <w:rFonts w:eastAsia="Times New Roman" w:cstheme="minorHAnsi"/>
          <w:bCs/>
          <w:i/>
          <w:lang w:eastAsia="en-AU"/>
        </w:rPr>
        <w:t>Radiocommunications (Prohibited Device) (Mobile Telephone Jamming Devices) Exemption Determination 2004</w:t>
      </w:r>
      <w:r>
        <w:rPr>
          <w:rFonts w:eastAsia="Times New Roman" w:cstheme="minorHAnsi"/>
          <w:bCs/>
          <w:lang w:eastAsia="en-AU"/>
        </w:rPr>
        <w:t>, which had been made under subsection 27(2) of the Act,</w:t>
      </w:r>
      <w:r w:rsidR="00D238D6">
        <w:rPr>
          <w:rFonts w:eastAsia="Times New Roman" w:cstheme="minorHAnsi"/>
          <w:bCs/>
          <w:lang w:eastAsia="en-AU"/>
        </w:rPr>
        <w:t xml:space="preserve"> is revoked.</w:t>
      </w:r>
    </w:p>
    <w:p w:rsidR="00D238D6" w:rsidRPr="00256E6C" w:rsidRDefault="00D238D6" w:rsidP="00D238D6">
      <w:pPr>
        <w:tabs>
          <w:tab w:val="left" w:pos="1134"/>
        </w:tabs>
        <w:spacing w:before="120" w:after="120" w:line="240" w:lineRule="auto"/>
        <w:rPr>
          <w:rFonts w:eastAsia="Times New Roman" w:cstheme="minorHAnsi"/>
          <w:lang w:eastAsia="en-AU"/>
        </w:rPr>
      </w:pPr>
      <w:r>
        <w:rPr>
          <w:rFonts w:eastAsia="Times New Roman" w:cstheme="minorHAnsi"/>
          <w:b/>
          <w:bCs/>
          <w:lang w:eastAsia="en-AU"/>
        </w:rPr>
        <w:t>Section 4      </w:t>
      </w:r>
      <w:r w:rsidRPr="00256E6C">
        <w:rPr>
          <w:rFonts w:eastAsia="Times New Roman" w:cstheme="minorHAnsi"/>
          <w:b/>
          <w:bCs/>
          <w:lang w:eastAsia="en-AU"/>
        </w:rPr>
        <w:t>Definitions</w:t>
      </w:r>
    </w:p>
    <w:p w:rsidR="00D238D6" w:rsidRDefault="00D238D6" w:rsidP="00D238D6">
      <w:pPr>
        <w:tabs>
          <w:tab w:val="left" w:pos="1134"/>
        </w:tabs>
        <w:spacing w:before="120" w:after="240" w:line="240" w:lineRule="auto"/>
        <w:rPr>
          <w:rFonts w:eastAsia="Times New Roman" w:cstheme="minorHAnsi"/>
          <w:lang w:eastAsia="en-AU"/>
        </w:rPr>
      </w:pPr>
      <w:r w:rsidRPr="00256E6C">
        <w:rPr>
          <w:rFonts w:eastAsia="Times New Roman" w:cstheme="minorHAnsi"/>
          <w:lang w:eastAsia="en-AU"/>
        </w:rPr>
        <w:t xml:space="preserve">Section </w:t>
      </w:r>
      <w:r>
        <w:rPr>
          <w:rFonts w:eastAsia="Times New Roman" w:cstheme="minorHAnsi"/>
          <w:lang w:eastAsia="en-AU"/>
        </w:rPr>
        <w:t>4</w:t>
      </w:r>
      <w:r w:rsidRPr="00256E6C">
        <w:rPr>
          <w:rFonts w:eastAsia="Times New Roman" w:cstheme="minorHAnsi"/>
          <w:lang w:eastAsia="en-AU"/>
        </w:rPr>
        <w:t xml:space="preserve"> defines terms used throughout the Determination. </w:t>
      </w:r>
      <w:r w:rsidR="00D536C0">
        <w:rPr>
          <w:rFonts w:eastAsia="Times New Roman" w:cstheme="minorHAnsi"/>
          <w:lang w:eastAsia="en-AU"/>
        </w:rPr>
        <w:t xml:space="preserve"> In particular, the Determination adopts the definition of “PMTS jamming device” in section 4 of the 2011 Prohibition so as to ensure that the exemption afforded by the Determination will apply in relation to jamming devices that operate on any frequency band used for the supply of a PMTS. </w:t>
      </w:r>
    </w:p>
    <w:p w:rsidR="00D238D6" w:rsidRDefault="00D238D6" w:rsidP="00D238D6">
      <w:pPr>
        <w:tabs>
          <w:tab w:val="left" w:pos="1134"/>
        </w:tabs>
        <w:spacing w:before="120" w:after="120" w:line="240" w:lineRule="auto"/>
        <w:ind w:left="1260" w:hanging="1246"/>
        <w:rPr>
          <w:rFonts w:eastAsia="Times New Roman" w:cstheme="minorHAnsi"/>
          <w:b/>
          <w:bCs/>
          <w:lang w:eastAsia="en-AU"/>
        </w:rPr>
      </w:pPr>
      <w:r>
        <w:rPr>
          <w:rFonts w:eastAsia="Times New Roman" w:cstheme="minorHAnsi"/>
          <w:b/>
          <w:bCs/>
          <w:lang w:eastAsia="en-AU"/>
        </w:rPr>
        <w:t>Section 5      Exemption in relation to certain activities by visiting forces</w:t>
      </w:r>
    </w:p>
    <w:p w:rsidR="00D238D6" w:rsidRDefault="00D238D6" w:rsidP="00D238D6">
      <w:pPr>
        <w:tabs>
          <w:tab w:val="left" w:pos="1134"/>
        </w:tabs>
        <w:spacing w:before="120" w:after="120" w:line="240" w:lineRule="auto"/>
        <w:rPr>
          <w:rFonts w:eastAsia="Times New Roman" w:cstheme="minorHAnsi"/>
          <w:lang w:eastAsia="en-AU"/>
        </w:rPr>
      </w:pPr>
      <w:r>
        <w:rPr>
          <w:rFonts w:eastAsia="Times New Roman" w:cstheme="minorHAnsi"/>
          <w:lang w:eastAsia="en-AU"/>
        </w:rPr>
        <w:t>Subsection 5(1) provides that a</w:t>
      </w:r>
      <w:r w:rsidR="00EA6ECF">
        <w:rPr>
          <w:rFonts w:eastAsia="Times New Roman" w:cstheme="minorHAnsi"/>
          <w:lang w:eastAsia="en-AU"/>
        </w:rPr>
        <w:t>n act or omission by a</w:t>
      </w:r>
      <w:r>
        <w:rPr>
          <w:rFonts w:eastAsia="Times New Roman" w:cstheme="minorHAnsi"/>
          <w:lang w:eastAsia="en-AU"/>
        </w:rPr>
        <w:t xml:space="preserve"> </w:t>
      </w:r>
      <w:r w:rsidR="00EA6ECF">
        <w:rPr>
          <w:rFonts w:eastAsia="Times New Roman" w:cstheme="minorHAnsi"/>
          <w:lang w:eastAsia="en-AU"/>
        </w:rPr>
        <w:t>“</w:t>
      </w:r>
      <w:r>
        <w:rPr>
          <w:rFonts w:eastAsia="Times New Roman" w:cstheme="minorHAnsi"/>
          <w:lang w:eastAsia="en-AU"/>
        </w:rPr>
        <w:t>visiting person</w:t>
      </w:r>
      <w:r w:rsidR="00EA6ECF">
        <w:rPr>
          <w:rFonts w:eastAsia="Times New Roman" w:cstheme="minorHAnsi"/>
          <w:lang w:eastAsia="en-AU"/>
        </w:rPr>
        <w:t>”</w:t>
      </w:r>
      <w:r>
        <w:rPr>
          <w:rFonts w:eastAsia="Times New Roman" w:cstheme="minorHAnsi"/>
          <w:lang w:eastAsia="en-AU"/>
        </w:rPr>
        <w:t xml:space="preserve"> </w:t>
      </w:r>
      <w:r w:rsidR="00EA6ECF">
        <w:rPr>
          <w:rFonts w:eastAsia="Times New Roman" w:cstheme="minorHAnsi"/>
          <w:lang w:eastAsia="en-AU"/>
        </w:rPr>
        <w:t xml:space="preserve">in relation to the use, operation, possession or supply of a PMTS jamming device </w:t>
      </w:r>
      <w:r>
        <w:rPr>
          <w:rFonts w:eastAsia="Times New Roman" w:cstheme="minorHAnsi"/>
          <w:lang w:eastAsia="en-AU"/>
        </w:rPr>
        <w:t xml:space="preserve">is exempt from Parts 3.1, 4.1 and 4.2 of the Act in the circumstances specified in </w:t>
      </w:r>
      <w:r w:rsidR="008934FA">
        <w:rPr>
          <w:rFonts w:eastAsia="Times New Roman" w:cstheme="minorHAnsi"/>
          <w:lang w:eastAsia="en-AU"/>
        </w:rPr>
        <w:t xml:space="preserve">subsection </w:t>
      </w:r>
      <w:r>
        <w:rPr>
          <w:rFonts w:eastAsia="Times New Roman" w:cstheme="minorHAnsi"/>
          <w:lang w:eastAsia="en-AU"/>
        </w:rPr>
        <w:t xml:space="preserve">(3). </w:t>
      </w:r>
    </w:p>
    <w:p w:rsidR="00D238D6" w:rsidRDefault="00D238D6" w:rsidP="00D238D6">
      <w:pPr>
        <w:tabs>
          <w:tab w:val="left" w:pos="1134"/>
        </w:tabs>
        <w:spacing w:before="120" w:after="120" w:line="240" w:lineRule="auto"/>
        <w:rPr>
          <w:rFonts w:eastAsia="Times New Roman" w:cstheme="minorHAnsi"/>
          <w:lang w:eastAsia="en-AU"/>
        </w:rPr>
      </w:pPr>
      <w:r>
        <w:rPr>
          <w:rFonts w:eastAsia="Times New Roman" w:cstheme="minorHAnsi"/>
          <w:lang w:eastAsia="en-AU"/>
        </w:rPr>
        <w:t xml:space="preserve">Subsection 5(2) defines a ‘visiting person’ to identify the class of persons to </w:t>
      </w:r>
      <w:r w:rsidR="00CC2336">
        <w:rPr>
          <w:rFonts w:eastAsia="Times New Roman" w:cstheme="minorHAnsi"/>
          <w:lang w:eastAsia="en-AU"/>
        </w:rPr>
        <w:t xml:space="preserve">whom </w:t>
      </w:r>
      <w:r w:rsidR="008934FA">
        <w:rPr>
          <w:rFonts w:eastAsia="Times New Roman" w:cstheme="minorHAnsi"/>
          <w:lang w:eastAsia="en-AU"/>
        </w:rPr>
        <w:t>the exemption afforded by</w:t>
      </w:r>
      <w:r>
        <w:rPr>
          <w:rFonts w:eastAsia="Times New Roman" w:cstheme="minorHAnsi"/>
          <w:lang w:eastAsia="en-AU"/>
        </w:rPr>
        <w:t xml:space="preserve"> this section applies. For the purpose of this section, a visiting person means a person who is a member of a visiting force or a member of a civilian component of a visiting force, performing a specified function or duty as detailed in </w:t>
      </w:r>
      <w:r w:rsidR="00F17B44">
        <w:rPr>
          <w:rFonts w:eastAsia="Times New Roman" w:cstheme="minorHAnsi"/>
          <w:lang w:eastAsia="en-AU"/>
        </w:rPr>
        <w:t xml:space="preserve">paragraph </w:t>
      </w:r>
      <w:r>
        <w:rPr>
          <w:rFonts w:eastAsia="Times New Roman" w:cstheme="minorHAnsi"/>
          <w:lang w:eastAsia="en-AU"/>
        </w:rPr>
        <w:t>5(2)(b).</w:t>
      </w:r>
      <w:r w:rsidR="00F17B44">
        <w:rPr>
          <w:rFonts w:eastAsia="Times New Roman" w:cstheme="minorHAnsi"/>
          <w:lang w:eastAsia="en-AU"/>
        </w:rPr>
        <w:t xml:space="preserve">  The wording of paragraph 5(2)(b) reflects the wording of paragraph 27(1)(a) </w:t>
      </w:r>
      <w:r w:rsidR="00F71F26">
        <w:rPr>
          <w:rFonts w:eastAsia="Times New Roman" w:cstheme="minorHAnsi"/>
          <w:lang w:eastAsia="en-AU"/>
        </w:rPr>
        <w:t xml:space="preserve">of the Act </w:t>
      </w:r>
      <w:r w:rsidR="00F17B44">
        <w:rPr>
          <w:rFonts w:eastAsia="Times New Roman" w:cstheme="minorHAnsi"/>
          <w:lang w:eastAsia="en-AU"/>
        </w:rPr>
        <w:t xml:space="preserve">so that it is clear that the relevant person must fall within the class of persons  in respect of whom an exemption may be made.  </w:t>
      </w:r>
    </w:p>
    <w:p w:rsidR="00D238D6" w:rsidRDefault="00D238D6" w:rsidP="00D238D6">
      <w:pPr>
        <w:tabs>
          <w:tab w:val="left" w:pos="1134"/>
        </w:tabs>
        <w:spacing w:before="120" w:after="240" w:line="240" w:lineRule="auto"/>
        <w:rPr>
          <w:rFonts w:eastAsia="Times New Roman" w:cstheme="minorHAnsi"/>
          <w:lang w:eastAsia="en-AU"/>
        </w:rPr>
      </w:pPr>
      <w:r>
        <w:rPr>
          <w:rFonts w:eastAsia="Times New Roman" w:cstheme="minorHAnsi"/>
          <w:lang w:eastAsia="en-AU"/>
        </w:rPr>
        <w:t xml:space="preserve">Subsection 5(3) specifies the circumstances that must exist for the exemption under subsection 5(1) to apply. This </w:t>
      </w:r>
      <w:r w:rsidR="00A22384">
        <w:rPr>
          <w:rFonts w:eastAsia="Times New Roman" w:cstheme="minorHAnsi"/>
          <w:lang w:eastAsia="en-AU"/>
        </w:rPr>
        <w:t>sub</w:t>
      </w:r>
      <w:r>
        <w:rPr>
          <w:rFonts w:eastAsia="Times New Roman" w:cstheme="minorHAnsi"/>
          <w:lang w:eastAsia="en-AU"/>
        </w:rPr>
        <w:t xml:space="preserve">section requires that </w:t>
      </w:r>
      <w:r w:rsidR="00A22384">
        <w:rPr>
          <w:rFonts w:eastAsia="Times New Roman" w:cstheme="minorHAnsi"/>
          <w:lang w:eastAsia="en-AU"/>
        </w:rPr>
        <w:t xml:space="preserve">the act or omission occur in the performance of the person’s functions or duties as a member of a visiting force or civilian component of a visiting force.  If the act or omission involves the use or operation of a PMTS jamming device, this subsection also requires that </w:t>
      </w:r>
      <w:r>
        <w:rPr>
          <w:rFonts w:eastAsia="Times New Roman" w:cstheme="minorHAnsi"/>
          <w:lang w:eastAsia="en-AU"/>
        </w:rPr>
        <w:t>the use or operation of the device be approved in writing by the Department of Defence or Defence Force</w:t>
      </w:r>
      <w:r w:rsidR="00A22384">
        <w:rPr>
          <w:rFonts w:eastAsia="Times New Roman" w:cstheme="minorHAnsi"/>
          <w:lang w:eastAsia="en-AU"/>
        </w:rPr>
        <w:t xml:space="preserve"> and that the use or operation of the device occurs in accordance with that approval</w:t>
      </w:r>
      <w:r>
        <w:rPr>
          <w:rFonts w:eastAsia="Times New Roman" w:cstheme="minorHAnsi"/>
          <w:lang w:eastAsia="en-AU"/>
        </w:rPr>
        <w:t xml:space="preserve">. </w:t>
      </w:r>
    </w:p>
    <w:p w:rsidR="00D238D6" w:rsidRDefault="00D238D6" w:rsidP="00D238D6">
      <w:pPr>
        <w:tabs>
          <w:tab w:val="left" w:pos="1134"/>
        </w:tabs>
        <w:spacing w:before="120" w:after="120" w:line="240" w:lineRule="auto"/>
        <w:ind w:left="1162" w:hanging="1190"/>
        <w:rPr>
          <w:rFonts w:eastAsia="Times New Roman" w:cstheme="minorHAnsi"/>
          <w:b/>
          <w:bCs/>
          <w:lang w:eastAsia="en-AU"/>
        </w:rPr>
      </w:pPr>
      <w:r>
        <w:rPr>
          <w:rFonts w:eastAsia="Times New Roman" w:cstheme="minorHAnsi"/>
          <w:b/>
          <w:bCs/>
          <w:lang w:eastAsia="en-AU"/>
        </w:rPr>
        <w:t>Section 6</w:t>
      </w:r>
      <w:r>
        <w:rPr>
          <w:rFonts w:eastAsia="Times New Roman" w:cstheme="minorHAnsi"/>
          <w:b/>
          <w:bCs/>
          <w:lang w:eastAsia="en-AU"/>
        </w:rPr>
        <w:tab/>
        <w:t>Exemption in relation to certain activities by suppliers of PMTS jamming devices for visiting forces</w:t>
      </w:r>
    </w:p>
    <w:p w:rsidR="00D238D6" w:rsidRDefault="00D238D6" w:rsidP="00D238D6">
      <w:pPr>
        <w:tabs>
          <w:tab w:val="left" w:pos="1134"/>
        </w:tabs>
        <w:spacing w:before="120" w:after="120" w:line="240" w:lineRule="auto"/>
        <w:rPr>
          <w:rFonts w:eastAsia="Times New Roman" w:cstheme="minorHAnsi"/>
          <w:lang w:eastAsia="en-AU"/>
        </w:rPr>
      </w:pPr>
      <w:r>
        <w:rPr>
          <w:rFonts w:eastAsia="Times New Roman" w:cstheme="minorHAnsi"/>
          <w:lang w:eastAsia="en-AU"/>
        </w:rPr>
        <w:t xml:space="preserve">Subsection 6(1) provides that </w:t>
      </w:r>
      <w:r w:rsidR="00D27C28">
        <w:rPr>
          <w:rFonts w:eastAsia="Times New Roman" w:cstheme="minorHAnsi"/>
          <w:lang w:eastAsia="en-AU"/>
        </w:rPr>
        <w:t xml:space="preserve">an act or omission by </w:t>
      </w:r>
      <w:r>
        <w:rPr>
          <w:rFonts w:eastAsia="Times New Roman" w:cstheme="minorHAnsi"/>
          <w:lang w:eastAsia="en-AU"/>
        </w:rPr>
        <w:t>a supplier</w:t>
      </w:r>
      <w:r w:rsidR="00D27C28">
        <w:rPr>
          <w:rFonts w:eastAsia="Times New Roman" w:cstheme="minorHAnsi"/>
          <w:lang w:eastAsia="en-AU"/>
        </w:rPr>
        <w:t xml:space="preserve"> in relation to the use, operation, possession or supply of a PMTS jamming device</w:t>
      </w:r>
      <w:r>
        <w:rPr>
          <w:rFonts w:eastAsia="Times New Roman" w:cstheme="minorHAnsi"/>
          <w:lang w:eastAsia="en-AU"/>
        </w:rPr>
        <w:t xml:space="preserve"> is exempt from Parts 3.1, 4.1 and 4.2 of the Act in the circumstances specified in</w:t>
      </w:r>
      <w:r w:rsidR="00C70B9B">
        <w:rPr>
          <w:rFonts w:eastAsia="Times New Roman" w:cstheme="minorHAnsi"/>
          <w:lang w:eastAsia="en-AU"/>
        </w:rPr>
        <w:t xml:space="preserve"> subsection</w:t>
      </w:r>
      <w:r>
        <w:rPr>
          <w:rFonts w:eastAsia="Times New Roman" w:cstheme="minorHAnsi"/>
          <w:lang w:eastAsia="en-AU"/>
        </w:rPr>
        <w:t xml:space="preserve"> (3). </w:t>
      </w:r>
    </w:p>
    <w:p w:rsidR="00D238D6" w:rsidRDefault="00D238D6" w:rsidP="00D238D6">
      <w:pPr>
        <w:spacing w:before="120" w:after="120" w:line="240" w:lineRule="auto"/>
        <w:rPr>
          <w:rFonts w:eastAsia="Times New Roman" w:cstheme="minorHAnsi"/>
          <w:bCs/>
          <w:lang w:eastAsia="en-AU"/>
        </w:rPr>
      </w:pPr>
      <w:r>
        <w:rPr>
          <w:rFonts w:eastAsia="Times New Roman" w:cstheme="minorHAnsi"/>
          <w:bCs/>
          <w:lang w:eastAsia="en-AU"/>
        </w:rPr>
        <w:t xml:space="preserve">Subsection 6(2) defines ‘supplier’ to identify the class of persons to </w:t>
      </w:r>
      <w:r w:rsidR="003109B7">
        <w:rPr>
          <w:rFonts w:eastAsia="Times New Roman" w:cstheme="minorHAnsi"/>
          <w:bCs/>
          <w:lang w:eastAsia="en-AU"/>
        </w:rPr>
        <w:t xml:space="preserve">whom the exemption afforded by </w:t>
      </w:r>
      <w:r>
        <w:rPr>
          <w:rFonts w:eastAsia="Times New Roman" w:cstheme="minorHAnsi"/>
          <w:bCs/>
          <w:lang w:eastAsia="en-AU"/>
        </w:rPr>
        <w:t xml:space="preserve">this section applies. </w:t>
      </w:r>
      <w:r w:rsidR="003109B7">
        <w:rPr>
          <w:rFonts w:eastAsia="Times New Roman" w:cstheme="minorHAnsi"/>
          <w:bCs/>
          <w:lang w:eastAsia="en-AU"/>
        </w:rPr>
        <w:t xml:space="preserve">In order to fall within the definition of “supplier”, </w:t>
      </w:r>
      <w:r>
        <w:rPr>
          <w:rFonts w:eastAsia="Times New Roman" w:cstheme="minorHAnsi"/>
          <w:bCs/>
          <w:lang w:eastAsia="en-AU"/>
        </w:rPr>
        <w:t xml:space="preserve">a person </w:t>
      </w:r>
      <w:r w:rsidR="003109B7">
        <w:rPr>
          <w:rFonts w:eastAsia="Times New Roman" w:cstheme="minorHAnsi"/>
          <w:bCs/>
          <w:lang w:eastAsia="en-AU"/>
        </w:rPr>
        <w:t>must be a</w:t>
      </w:r>
      <w:r>
        <w:rPr>
          <w:rFonts w:eastAsia="Times New Roman" w:cstheme="minorHAnsi"/>
          <w:bCs/>
          <w:lang w:eastAsia="en-AU"/>
        </w:rPr>
        <w:t xml:space="preserve"> party to a written agreement that is for the supply of a PMTS jamming device to a visiting force</w:t>
      </w:r>
      <w:r w:rsidR="003109B7">
        <w:rPr>
          <w:rFonts w:eastAsia="Times New Roman" w:cstheme="minorHAnsi"/>
          <w:bCs/>
          <w:lang w:eastAsia="en-AU"/>
        </w:rPr>
        <w:t>, and</w:t>
      </w:r>
      <w:r>
        <w:rPr>
          <w:rFonts w:eastAsia="Times New Roman" w:cstheme="minorHAnsi"/>
          <w:bCs/>
          <w:lang w:eastAsia="en-AU"/>
        </w:rPr>
        <w:t xml:space="preserve"> </w:t>
      </w:r>
      <w:r w:rsidR="003109B7">
        <w:rPr>
          <w:rFonts w:eastAsia="Times New Roman" w:cstheme="minorHAnsi"/>
          <w:bCs/>
          <w:lang w:eastAsia="en-AU"/>
        </w:rPr>
        <w:t xml:space="preserve">the </w:t>
      </w:r>
      <w:r>
        <w:rPr>
          <w:rFonts w:eastAsia="Times New Roman" w:cstheme="minorHAnsi"/>
          <w:bCs/>
          <w:lang w:eastAsia="en-AU"/>
        </w:rPr>
        <w:t xml:space="preserve">agreement must be approved in writing by a member of the Defence Force or an officer of the Department of Defence. </w:t>
      </w:r>
      <w:r w:rsidR="00966992">
        <w:rPr>
          <w:rFonts w:eastAsia="Times New Roman" w:cstheme="minorHAnsi"/>
          <w:bCs/>
          <w:lang w:eastAsia="en-AU"/>
        </w:rPr>
        <w:t xml:space="preserve">In addition, the person must be performing a function or duty as detailed in paragraph 6(2)(b).  The wording of paragraph </w:t>
      </w:r>
      <w:r>
        <w:rPr>
          <w:rFonts w:eastAsia="Times New Roman" w:cstheme="minorHAnsi"/>
          <w:bCs/>
          <w:lang w:eastAsia="en-AU"/>
        </w:rPr>
        <w:t xml:space="preserve">6(2)(b) </w:t>
      </w:r>
      <w:r w:rsidR="00966992">
        <w:rPr>
          <w:rFonts w:eastAsia="Times New Roman" w:cstheme="minorHAnsi"/>
          <w:bCs/>
          <w:lang w:eastAsia="en-AU"/>
        </w:rPr>
        <w:t xml:space="preserve">reflects the wording of paragraph </w:t>
      </w:r>
      <w:r>
        <w:rPr>
          <w:rFonts w:eastAsia="Times New Roman" w:cstheme="minorHAnsi"/>
          <w:bCs/>
          <w:lang w:eastAsia="en-AU"/>
        </w:rPr>
        <w:t>27(1)(a) of the Act</w:t>
      </w:r>
      <w:r w:rsidR="00966992">
        <w:rPr>
          <w:rFonts w:eastAsia="Times New Roman" w:cstheme="minorHAnsi"/>
          <w:bCs/>
          <w:lang w:eastAsia="en-AU"/>
        </w:rPr>
        <w:t xml:space="preserve"> </w:t>
      </w:r>
      <w:r w:rsidR="00966992">
        <w:rPr>
          <w:rFonts w:eastAsia="Times New Roman" w:cstheme="minorHAnsi"/>
          <w:lang w:eastAsia="en-AU"/>
        </w:rPr>
        <w:t>so that it is clear that a person will only be a supplier if the person falls within the class of persons  in respect of whom an exemption may be made</w:t>
      </w:r>
      <w:r>
        <w:rPr>
          <w:rFonts w:eastAsia="Times New Roman" w:cstheme="minorHAnsi"/>
          <w:bCs/>
          <w:lang w:eastAsia="en-AU"/>
        </w:rPr>
        <w:t xml:space="preserve">. </w:t>
      </w:r>
    </w:p>
    <w:p w:rsidR="00D238D6" w:rsidRDefault="00D238D6" w:rsidP="00D238D6">
      <w:pPr>
        <w:tabs>
          <w:tab w:val="left" w:pos="1134"/>
        </w:tabs>
        <w:spacing w:before="120" w:after="240" w:line="240" w:lineRule="auto"/>
        <w:rPr>
          <w:rFonts w:eastAsia="Times New Roman" w:cstheme="minorHAnsi"/>
          <w:lang w:eastAsia="en-AU"/>
        </w:rPr>
      </w:pPr>
      <w:r>
        <w:rPr>
          <w:rFonts w:eastAsia="Times New Roman" w:cstheme="minorHAnsi"/>
          <w:lang w:eastAsia="en-AU"/>
        </w:rPr>
        <w:t xml:space="preserve">Subsection 6(3) specifies the circumstances that must exist for the exemption under subsection 6(1) to apply. This </w:t>
      </w:r>
      <w:r w:rsidR="00FC794E">
        <w:rPr>
          <w:rFonts w:eastAsia="Times New Roman" w:cstheme="minorHAnsi"/>
          <w:lang w:eastAsia="en-AU"/>
        </w:rPr>
        <w:t>sub</w:t>
      </w:r>
      <w:r>
        <w:rPr>
          <w:rFonts w:eastAsia="Times New Roman" w:cstheme="minorHAnsi"/>
          <w:lang w:eastAsia="en-AU"/>
        </w:rPr>
        <w:t>section requires that</w:t>
      </w:r>
      <w:r w:rsidR="00DE412C">
        <w:rPr>
          <w:rFonts w:eastAsia="Times New Roman" w:cstheme="minorHAnsi"/>
          <w:lang w:eastAsia="en-AU"/>
        </w:rPr>
        <w:t xml:space="preserve"> the act or omission occurs in accordance with the relevant agreement for the supply of the device to the visiting force.  If the act or omission involves</w:t>
      </w:r>
      <w:r>
        <w:rPr>
          <w:rFonts w:eastAsia="Times New Roman" w:cstheme="minorHAnsi"/>
          <w:lang w:eastAsia="en-AU"/>
        </w:rPr>
        <w:t xml:space="preserve"> the use or operation of </w:t>
      </w:r>
      <w:r w:rsidR="00DE412C">
        <w:rPr>
          <w:rFonts w:eastAsia="Times New Roman" w:cstheme="minorHAnsi"/>
          <w:lang w:eastAsia="en-AU"/>
        </w:rPr>
        <w:t xml:space="preserve">a </w:t>
      </w:r>
      <w:r>
        <w:rPr>
          <w:rFonts w:eastAsia="Times New Roman" w:cstheme="minorHAnsi"/>
          <w:lang w:eastAsia="en-AU"/>
        </w:rPr>
        <w:t>PMTS jamming device</w:t>
      </w:r>
      <w:r w:rsidR="00DE412C">
        <w:rPr>
          <w:rFonts w:eastAsia="Times New Roman" w:cstheme="minorHAnsi"/>
          <w:lang w:eastAsia="en-AU"/>
        </w:rPr>
        <w:t>, this subsection also requires that such use or operation must have been</w:t>
      </w:r>
      <w:r>
        <w:rPr>
          <w:rFonts w:eastAsia="Times New Roman" w:cstheme="minorHAnsi"/>
          <w:lang w:eastAsia="en-AU"/>
        </w:rPr>
        <w:t xml:space="preserve"> approved in writing by the Department of Defence or Defence Force and</w:t>
      </w:r>
      <w:r w:rsidR="00DE412C">
        <w:rPr>
          <w:rFonts w:eastAsia="Times New Roman" w:cstheme="minorHAnsi"/>
          <w:lang w:eastAsia="en-AU"/>
        </w:rPr>
        <w:t xml:space="preserve"> that the use or operation of the device occurs in accordance with that approval</w:t>
      </w:r>
      <w:r>
        <w:rPr>
          <w:rFonts w:eastAsia="Times New Roman" w:cstheme="minorHAnsi"/>
          <w:lang w:eastAsia="en-AU"/>
        </w:rPr>
        <w:t xml:space="preserve">. </w:t>
      </w:r>
    </w:p>
    <w:p w:rsidR="00D238D6" w:rsidRDefault="00D238D6" w:rsidP="00D238D6">
      <w:pPr>
        <w:tabs>
          <w:tab w:val="left" w:pos="1134"/>
        </w:tabs>
        <w:spacing w:before="120" w:after="120" w:line="240" w:lineRule="auto"/>
        <w:ind w:left="1162" w:hanging="1148"/>
        <w:rPr>
          <w:rFonts w:eastAsia="Times New Roman" w:cstheme="minorHAnsi"/>
          <w:b/>
          <w:bCs/>
          <w:lang w:eastAsia="en-AU"/>
        </w:rPr>
      </w:pPr>
      <w:r>
        <w:rPr>
          <w:rFonts w:eastAsia="Times New Roman" w:cstheme="minorHAnsi"/>
          <w:b/>
          <w:bCs/>
          <w:lang w:eastAsia="en-AU"/>
        </w:rPr>
        <w:t>Section 7</w:t>
      </w:r>
      <w:r w:rsidRPr="00256E6C">
        <w:rPr>
          <w:rFonts w:eastAsia="Times New Roman" w:cstheme="minorHAnsi"/>
          <w:b/>
          <w:bCs/>
          <w:lang w:eastAsia="en-AU"/>
        </w:rPr>
        <w:t xml:space="preserve">      Exemption in relation to </w:t>
      </w:r>
      <w:r>
        <w:rPr>
          <w:rFonts w:eastAsia="Times New Roman" w:cstheme="minorHAnsi"/>
          <w:b/>
          <w:bCs/>
          <w:lang w:eastAsia="en-AU"/>
        </w:rPr>
        <w:t>certain activities by suppliers of PMTS jamming devices to Defence Force or Department of Defence</w:t>
      </w:r>
    </w:p>
    <w:p w:rsidR="00D238D6" w:rsidRDefault="00D238D6" w:rsidP="00D238D6">
      <w:pPr>
        <w:tabs>
          <w:tab w:val="left" w:pos="1134"/>
        </w:tabs>
        <w:spacing w:before="120" w:after="120" w:line="240" w:lineRule="auto"/>
        <w:rPr>
          <w:rFonts w:eastAsia="Times New Roman" w:cstheme="minorHAnsi"/>
          <w:lang w:eastAsia="en-AU"/>
        </w:rPr>
      </w:pPr>
      <w:r>
        <w:rPr>
          <w:rFonts w:eastAsia="Times New Roman" w:cstheme="minorHAnsi"/>
          <w:lang w:eastAsia="en-AU"/>
        </w:rPr>
        <w:t xml:space="preserve">Subsection 7(1) provides that </w:t>
      </w:r>
      <w:r w:rsidR="00CC3E74">
        <w:rPr>
          <w:rFonts w:eastAsia="Times New Roman" w:cstheme="minorHAnsi"/>
          <w:lang w:eastAsia="en-AU"/>
        </w:rPr>
        <w:t xml:space="preserve">an act or omission by </w:t>
      </w:r>
      <w:r>
        <w:rPr>
          <w:rFonts w:eastAsia="Times New Roman" w:cstheme="minorHAnsi"/>
          <w:lang w:eastAsia="en-AU"/>
        </w:rPr>
        <w:t xml:space="preserve">a supplier </w:t>
      </w:r>
      <w:r w:rsidR="00CC3E74">
        <w:rPr>
          <w:rFonts w:eastAsia="Times New Roman" w:cstheme="minorHAnsi"/>
          <w:lang w:eastAsia="en-AU"/>
        </w:rPr>
        <w:t xml:space="preserve">in relation to the use, operation, possession or supply of a PMTS jamming device </w:t>
      </w:r>
      <w:r>
        <w:rPr>
          <w:rFonts w:eastAsia="Times New Roman" w:cstheme="minorHAnsi"/>
          <w:lang w:eastAsia="en-AU"/>
        </w:rPr>
        <w:t>is exempt from Parts 3.1, 4.1 and 4.2 of the Act in the circumstances specified in</w:t>
      </w:r>
      <w:r w:rsidR="00CC3E74">
        <w:rPr>
          <w:rFonts w:eastAsia="Times New Roman" w:cstheme="minorHAnsi"/>
          <w:lang w:eastAsia="en-AU"/>
        </w:rPr>
        <w:t xml:space="preserve"> subsection</w:t>
      </w:r>
      <w:r>
        <w:rPr>
          <w:rFonts w:eastAsia="Times New Roman" w:cstheme="minorHAnsi"/>
          <w:lang w:eastAsia="en-AU"/>
        </w:rPr>
        <w:t xml:space="preserve"> (3). </w:t>
      </w:r>
    </w:p>
    <w:p w:rsidR="00D238D6" w:rsidRDefault="00D238D6" w:rsidP="00D238D6">
      <w:pPr>
        <w:spacing w:before="120" w:after="120" w:line="240" w:lineRule="auto"/>
        <w:rPr>
          <w:rFonts w:eastAsia="Times New Roman" w:cstheme="minorHAnsi"/>
          <w:bCs/>
          <w:lang w:eastAsia="en-AU"/>
        </w:rPr>
      </w:pPr>
      <w:r>
        <w:rPr>
          <w:rFonts w:eastAsia="Times New Roman" w:cstheme="minorHAnsi"/>
          <w:bCs/>
          <w:lang w:eastAsia="en-AU"/>
        </w:rPr>
        <w:t xml:space="preserve">Subsection 7(2) defines ‘supplier’ to identify the class of persons to </w:t>
      </w:r>
      <w:r w:rsidR="008434B9">
        <w:rPr>
          <w:rFonts w:eastAsia="Times New Roman" w:cstheme="minorHAnsi"/>
          <w:bCs/>
          <w:lang w:eastAsia="en-AU"/>
        </w:rPr>
        <w:t xml:space="preserve">whom the exemption afforded by </w:t>
      </w:r>
      <w:r>
        <w:rPr>
          <w:rFonts w:eastAsia="Times New Roman" w:cstheme="minorHAnsi"/>
          <w:bCs/>
          <w:lang w:eastAsia="en-AU"/>
        </w:rPr>
        <w:t xml:space="preserve">this section applies. </w:t>
      </w:r>
      <w:r w:rsidR="008434B9">
        <w:rPr>
          <w:rFonts w:eastAsia="Times New Roman" w:cstheme="minorHAnsi"/>
          <w:bCs/>
          <w:lang w:eastAsia="en-AU"/>
        </w:rPr>
        <w:t xml:space="preserve">In order to fall within the definition of “supplier”, </w:t>
      </w:r>
      <w:r>
        <w:rPr>
          <w:rFonts w:eastAsia="Times New Roman" w:cstheme="minorHAnsi"/>
          <w:bCs/>
          <w:lang w:eastAsia="en-AU"/>
        </w:rPr>
        <w:t xml:space="preserve">a person </w:t>
      </w:r>
      <w:r w:rsidR="008434B9">
        <w:rPr>
          <w:rFonts w:eastAsia="Times New Roman" w:cstheme="minorHAnsi"/>
          <w:bCs/>
          <w:lang w:eastAsia="en-AU"/>
        </w:rPr>
        <w:t>must be a</w:t>
      </w:r>
      <w:r>
        <w:rPr>
          <w:rFonts w:eastAsia="Times New Roman" w:cstheme="minorHAnsi"/>
          <w:bCs/>
          <w:lang w:eastAsia="en-AU"/>
        </w:rPr>
        <w:t xml:space="preserve"> party to a written agreement that is for the supply of a PMTS jamming device to the Defence Force or the Department of Defence</w:t>
      </w:r>
      <w:r w:rsidR="008434B9">
        <w:rPr>
          <w:rFonts w:eastAsia="Times New Roman" w:cstheme="minorHAnsi"/>
          <w:bCs/>
          <w:lang w:eastAsia="en-AU"/>
        </w:rPr>
        <w:t>, and the</w:t>
      </w:r>
      <w:r>
        <w:rPr>
          <w:rFonts w:eastAsia="Times New Roman" w:cstheme="minorHAnsi"/>
          <w:bCs/>
          <w:lang w:eastAsia="en-AU"/>
        </w:rPr>
        <w:t xml:space="preserve"> agreement must be signed by a member of the Defence Force or an officer of the Department of Defence in the performance of his or her functions. </w:t>
      </w:r>
      <w:r w:rsidR="008434B9">
        <w:rPr>
          <w:rFonts w:eastAsia="Times New Roman" w:cstheme="minorHAnsi"/>
          <w:bCs/>
          <w:lang w:eastAsia="en-AU"/>
        </w:rPr>
        <w:t xml:space="preserve">In addition, the person must be performing a function or duty as </w:t>
      </w:r>
      <w:r w:rsidR="00E341E8">
        <w:rPr>
          <w:rFonts w:eastAsia="Times New Roman" w:cstheme="minorHAnsi"/>
          <w:bCs/>
          <w:lang w:eastAsia="en-AU"/>
        </w:rPr>
        <w:t>detailed</w:t>
      </w:r>
      <w:r w:rsidR="008434B9">
        <w:rPr>
          <w:rFonts w:eastAsia="Times New Roman" w:cstheme="minorHAnsi"/>
          <w:bCs/>
          <w:lang w:eastAsia="en-AU"/>
        </w:rPr>
        <w:t xml:space="preserve"> in paragraph 7(2)(b).  The wording of paragraph </w:t>
      </w:r>
      <w:r>
        <w:rPr>
          <w:rFonts w:eastAsia="Times New Roman" w:cstheme="minorHAnsi"/>
          <w:bCs/>
          <w:lang w:eastAsia="en-AU"/>
        </w:rPr>
        <w:t xml:space="preserve">7(2)(b) </w:t>
      </w:r>
      <w:r w:rsidR="008434B9">
        <w:rPr>
          <w:rFonts w:eastAsia="Times New Roman" w:cstheme="minorHAnsi"/>
          <w:bCs/>
          <w:lang w:eastAsia="en-AU"/>
        </w:rPr>
        <w:t xml:space="preserve">reflects the wording of </w:t>
      </w:r>
      <w:r>
        <w:rPr>
          <w:rFonts w:eastAsia="Times New Roman" w:cstheme="minorHAnsi"/>
          <w:bCs/>
          <w:lang w:eastAsia="en-AU"/>
        </w:rPr>
        <w:t xml:space="preserve"> </w:t>
      </w:r>
      <w:r w:rsidR="008434B9">
        <w:rPr>
          <w:rFonts w:eastAsia="Times New Roman" w:cstheme="minorHAnsi"/>
          <w:bCs/>
          <w:lang w:eastAsia="en-AU"/>
        </w:rPr>
        <w:t xml:space="preserve">paragraph </w:t>
      </w:r>
      <w:r>
        <w:rPr>
          <w:rFonts w:eastAsia="Times New Roman" w:cstheme="minorHAnsi"/>
          <w:bCs/>
          <w:lang w:eastAsia="en-AU"/>
        </w:rPr>
        <w:t>27(1)(a) of the Act</w:t>
      </w:r>
      <w:r w:rsidR="008434B9">
        <w:rPr>
          <w:rFonts w:eastAsia="Times New Roman" w:cstheme="minorHAnsi"/>
          <w:bCs/>
          <w:lang w:eastAsia="en-AU"/>
        </w:rPr>
        <w:t xml:space="preserve"> </w:t>
      </w:r>
      <w:r w:rsidR="008434B9">
        <w:rPr>
          <w:rFonts w:eastAsia="Times New Roman" w:cstheme="minorHAnsi"/>
          <w:lang w:eastAsia="en-AU"/>
        </w:rPr>
        <w:t>so that it is clear that a person will only be a supplier if the person falls within the class of persons  in respect of whom an exemption may be made</w:t>
      </w:r>
      <w:r>
        <w:rPr>
          <w:rFonts w:eastAsia="Times New Roman" w:cstheme="minorHAnsi"/>
          <w:bCs/>
          <w:lang w:eastAsia="en-AU"/>
        </w:rPr>
        <w:t>.</w:t>
      </w:r>
    </w:p>
    <w:p w:rsidR="00D238D6" w:rsidRPr="0071751F" w:rsidRDefault="00D238D6" w:rsidP="00D238D6">
      <w:pPr>
        <w:tabs>
          <w:tab w:val="left" w:pos="1134"/>
        </w:tabs>
        <w:spacing w:before="120" w:after="240" w:line="240" w:lineRule="auto"/>
        <w:rPr>
          <w:rFonts w:eastAsia="Times New Roman" w:cstheme="minorHAnsi"/>
          <w:lang w:eastAsia="en-AU"/>
        </w:rPr>
      </w:pPr>
      <w:r>
        <w:rPr>
          <w:rFonts w:eastAsia="Times New Roman" w:cstheme="minorHAnsi"/>
          <w:lang w:eastAsia="en-AU"/>
        </w:rPr>
        <w:t xml:space="preserve">Subsection 7(3) specifies the circumstances that must exist for the exemption under subsection 7(1) to apply. This </w:t>
      </w:r>
      <w:r w:rsidR="0010452B">
        <w:rPr>
          <w:rFonts w:eastAsia="Times New Roman" w:cstheme="minorHAnsi"/>
          <w:lang w:eastAsia="en-AU"/>
        </w:rPr>
        <w:t>sub</w:t>
      </w:r>
      <w:r>
        <w:rPr>
          <w:rFonts w:eastAsia="Times New Roman" w:cstheme="minorHAnsi"/>
          <w:lang w:eastAsia="en-AU"/>
        </w:rPr>
        <w:t>section requires that</w:t>
      </w:r>
      <w:r w:rsidR="0010452B">
        <w:rPr>
          <w:rFonts w:eastAsia="Times New Roman" w:cstheme="minorHAnsi"/>
          <w:lang w:eastAsia="en-AU"/>
        </w:rPr>
        <w:t xml:space="preserve"> the act or omission occurs in accordance with the relevant agreement for the supply of the device to the Defence Force or the Department of Defence.  If the act or omission involves </w:t>
      </w:r>
      <w:r>
        <w:rPr>
          <w:rFonts w:eastAsia="Times New Roman" w:cstheme="minorHAnsi"/>
          <w:lang w:eastAsia="en-AU"/>
        </w:rPr>
        <w:t>the use or operation of the PMTS jamming device</w:t>
      </w:r>
      <w:r w:rsidR="0010452B">
        <w:rPr>
          <w:rFonts w:eastAsia="Times New Roman" w:cstheme="minorHAnsi"/>
          <w:lang w:eastAsia="en-AU"/>
        </w:rPr>
        <w:t>, this subsection also requires that such use operation must have</w:t>
      </w:r>
      <w:r>
        <w:rPr>
          <w:rFonts w:eastAsia="Times New Roman" w:cstheme="minorHAnsi"/>
          <w:lang w:eastAsia="en-AU"/>
        </w:rPr>
        <w:t xml:space="preserve"> be</w:t>
      </w:r>
      <w:r w:rsidR="0010452B">
        <w:rPr>
          <w:rFonts w:eastAsia="Times New Roman" w:cstheme="minorHAnsi"/>
          <w:lang w:eastAsia="en-AU"/>
        </w:rPr>
        <w:t>en</w:t>
      </w:r>
      <w:r>
        <w:rPr>
          <w:rFonts w:eastAsia="Times New Roman" w:cstheme="minorHAnsi"/>
          <w:lang w:eastAsia="en-AU"/>
        </w:rPr>
        <w:t xml:space="preserve"> approved in writing by the Department of Defence or Defence Force and that the </w:t>
      </w:r>
      <w:r w:rsidR="0010452B">
        <w:rPr>
          <w:rFonts w:eastAsia="Times New Roman" w:cstheme="minorHAnsi"/>
          <w:lang w:eastAsia="en-AU"/>
        </w:rPr>
        <w:t>use or operation of the device occurs in accordance with that approval.</w:t>
      </w:r>
    </w:p>
    <w:p w:rsidR="00D238D6" w:rsidRPr="006867EF" w:rsidRDefault="00D238D6" w:rsidP="00D238D6">
      <w:pPr>
        <w:spacing w:before="120" w:after="120" w:line="240" w:lineRule="auto"/>
        <w:contextualSpacing/>
        <w:rPr>
          <w:rFonts w:eastAsia="Times New Roman" w:cstheme="minorHAnsi"/>
          <w:bCs/>
          <w:lang w:eastAsia="en-AU"/>
        </w:rPr>
      </w:pPr>
    </w:p>
    <w:p w:rsidR="00D238D6" w:rsidRDefault="00D238D6" w:rsidP="00D238D6">
      <w:pPr>
        <w:spacing w:before="100" w:beforeAutospacing="1" w:after="120" w:line="240" w:lineRule="auto"/>
        <w:contextualSpacing/>
        <w:rPr>
          <w:rFonts w:eastAsia="Times New Roman" w:cstheme="minorHAnsi"/>
          <w:bCs/>
          <w:lang w:eastAsia="en-AU"/>
        </w:rPr>
      </w:pPr>
    </w:p>
    <w:p w:rsidR="00D238D6" w:rsidRDefault="00D238D6" w:rsidP="00D238D6">
      <w:pPr>
        <w:spacing w:before="100" w:beforeAutospacing="1" w:after="120" w:line="240" w:lineRule="auto"/>
        <w:rPr>
          <w:rFonts w:eastAsia="Times New Roman" w:cstheme="minorHAnsi"/>
          <w:bCs/>
          <w:lang w:eastAsia="en-AU"/>
        </w:rPr>
      </w:pPr>
    </w:p>
    <w:p w:rsidR="00D238D6" w:rsidRPr="006867EF" w:rsidRDefault="00D238D6" w:rsidP="00D238D6">
      <w:pPr>
        <w:spacing w:before="120" w:after="100" w:afterAutospacing="1" w:line="240" w:lineRule="auto"/>
        <w:rPr>
          <w:rFonts w:eastAsia="Times New Roman" w:cstheme="minorHAnsi"/>
          <w:lang w:eastAsia="en-AU"/>
        </w:rPr>
      </w:pPr>
    </w:p>
    <w:p w:rsidR="00CC2FCA" w:rsidRPr="00D238D6" w:rsidRDefault="00CC2FCA" w:rsidP="00D238D6"/>
    <w:sectPr w:rsidR="00CC2FCA" w:rsidRPr="00D238D6" w:rsidSect="00F63FF5">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4BC" w:rsidRDefault="003D24BC" w:rsidP="00BC1A90">
      <w:pPr>
        <w:spacing w:after="0" w:line="240" w:lineRule="auto"/>
      </w:pPr>
      <w:r>
        <w:separator/>
      </w:r>
    </w:p>
  </w:endnote>
  <w:endnote w:type="continuationSeparator" w:id="0">
    <w:p w:rsidR="003D24BC" w:rsidRDefault="003D24BC" w:rsidP="00BC1A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382713"/>
      <w:docPartObj>
        <w:docPartGallery w:val="Page Numbers (Bottom of Page)"/>
        <w:docPartUnique/>
      </w:docPartObj>
    </w:sdtPr>
    <w:sdtContent>
      <w:p w:rsidR="003D24BC" w:rsidRDefault="001B0B3D">
        <w:pPr>
          <w:pStyle w:val="Footer"/>
          <w:jc w:val="right"/>
        </w:pPr>
        <w:fldSimple w:instr=" PAGE   \* MERGEFORMAT ">
          <w:r w:rsidR="0036105A">
            <w:rPr>
              <w:noProof/>
            </w:rPr>
            <w:t>2</w:t>
          </w:r>
        </w:fldSimple>
      </w:p>
    </w:sdtContent>
  </w:sdt>
  <w:p w:rsidR="003D24BC" w:rsidRDefault="003D24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4BC" w:rsidRDefault="003D24BC" w:rsidP="00BC1A90">
      <w:pPr>
        <w:spacing w:after="0" w:line="240" w:lineRule="auto"/>
      </w:pPr>
      <w:r>
        <w:separator/>
      </w:r>
    </w:p>
  </w:footnote>
  <w:footnote w:type="continuationSeparator" w:id="0">
    <w:p w:rsidR="003D24BC" w:rsidRDefault="003D24BC" w:rsidP="00BC1A90">
      <w:pPr>
        <w:spacing w:after="0" w:line="240" w:lineRule="auto"/>
      </w:pPr>
      <w:r>
        <w:continuationSeparator/>
      </w:r>
    </w:p>
  </w:footnote>
  <w:footnote w:id="1">
    <w:p w:rsidR="003D24BC" w:rsidRDefault="003D24BC" w:rsidP="00D238D6">
      <w:pPr>
        <w:pStyle w:val="FootnoteText"/>
        <w:ind w:left="284" w:hanging="284"/>
      </w:pPr>
      <w:r>
        <w:rPr>
          <w:rStyle w:val="FootnoteReference"/>
        </w:rPr>
        <w:footnoteRef/>
      </w:r>
      <w:r>
        <w:t xml:space="preserve"> </w:t>
      </w:r>
      <w:r>
        <w:tab/>
        <w:t xml:space="preserve">PMTS jamming device has the same meaning as in the </w:t>
      </w:r>
      <w:r w:rsidRPr="001838D7">
        <w:rPr>
          <w:i/>
        </w:rPr>
        <w:t>Radiocommunications (Prohibition of PMTS Jamming Devices) Declaration</w:t>
      </w:r>
      <w:r>
        <w:t xml:space="preserve"> 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70F95"/>
    <w:multiLevelType w:val="hybridMultilevel"/>
    <w:tmpl w:val="D742875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B053C0"/>
    <w:multiLevelType w:val="hybridMultilevel"/>
    <w:tmpl w:val="58FEA04E"/>
    <w:lvl w:ilvl="0" w:tplc="2E76BF8A">
      <w:start w:val="1"/>
      <w:numFmt w:val="lowerLetter"/>
      <w:lvlText w:val="(%1)"/>
      <w:lvlJc w:val="left"/>
      <w:pPr>
        <w:ind w:left="1324" w:hanging="360"/>
      </w:pPr>
      <w:rPr>
        <w:rFonts w:hint="default"/>
      </w:rPr>
    </w:lvl>
    <w:lvl w:ilvl="1" w:tplc="0C090003">
      <w:start w:val="1"/>
      <w:numFmt w:val="bullet"/>
      <w:lvlText w:val="o"/>
      <w:lvlJc w:val="left"/>
      <w:pPr>
        <w:ind w:left="2044" w:hanging="360"/>
      </w:pPr>
      <w:rPr>
        <w:rFonts w:ascii="Courier New" w:hAnsi="Courier New" w:cs="Courier New" w:hint="default"/>
      </w:rPr>
    </w:lvl>
    <w:lvl w:ilvl="2" w:tplc="0C090005" w:tentative="1">
      <w:start w:val="1"/>
      <w:numFmt w:val="bullet"/>
      <w:lvlText w:val=""/>
      <w:lvlJc w:val="left"/>
      <w:pPr>
        <w:ind w:left="2764" w:hanging="360"/>
      </w:pPr>
      <w:rPr>
        <w:rFonts w:ascii="Wingdings" w:hAnsi="Wingdings" w:hint="default"/>
      </w:rPr>
    </w:lvl>
    <w:lvl w:ilvl="3" w:tplc="0C090001" w:tentative="1">
      <w:start w:val="1"/>
      <w:numFmt w:val="bullet"/>
      <w:lvlText w:val=""/>
      <w:lvlJc w:val="left"/>
      <w:pPr>
        <w:ind w:left="3484" w:hanging="360"/>
      </w:pPr>
      <w:rPr>
        <w:rFonts w:ascii="Symbol" w:hAnsi="Symbol" w:hint="default"/>
      </w:rPr>
    </w:lvl>
    <w:lvl w:ilvl="4" w:tplc="0C090003" w:tentative="1">
      <w:start w:val="1"/>
      <w:numFmt w:val="bullet"/>
      <w:lvlText w:val="o"/>
      <w:lvlJc w:val="left"/>
      <w:pPr>
        <w:ind w:left="4204" w:hanging="360"/>
      </w:pPr>
      <w:rPr>
        <w:rFonts w:ascii="Courier New" w:hAnsi="Courier New" w:cs="Courier New" w:hint="default"/>
      </w:rPr>
    </w:lvl>
    <w:lvl w:ilvl="5" w:tplc="0C090005" w:tentative="1">
      <w:start w:val="1"/>
      <w:numFmt w:val="bullet"/>
      <w:lvlText w:val=""/>
      <w:lvlJc w:val="left"/>
      <w:pPr>
        <w:ind w:left="4924" w:hanging="360"/>
      </w:pPr>
      <w:rPr>
        <w:rFonts w:ascii="Wingdings" w:hAnsi="Wingdings" w:hint="default"/>
      </w:rPr>
    </w:lvl>
    <w:lvl w:ilvl="6" w:tplc="0C090001" w:tentative="1">
      <w:start w:val="1"/>
      <w:numFmt w:val="bullet"/>
      <w:lvlText w:val=""/>
      <w:lvlJc w:val="left"/>
      <w:pPr>
        <w:ind w:left="5644" w:hanging="360"/>
      </w:pPr>
      <w:rPr>
        <w:rFonts w:ascii="Symbol" w:hAnsi="Symbol" w:hint="default"/>
      </w:rPr>
    </w:lvl>
    <w:lvl w:ilvl="7" w:tplc="0C090003" w:tentative="1">
      <w:start w:val="1"/>
      <w:numFmt w:val="bullet"/>
      <w:lvlText w:val="o"/>
      <w:lvlJc w:val="left"/>
      <w:pPr>
        <w:ind w:left="6364" w:hanging="360"/>
      </w:pPr>
      <w:rPr>
        <w:rFonts w:ascii="Courier New" w:hAnsi="Courier New" w:cs="Courier New" w:hint="default"/>
      </w:rPr>
    </w:lvl>
    <w:lvl w:ilvl="8" w:tplc="0C090005" w:tentative="1">
      <w:start w:val="1"/>
      <w:numFmt w:val="bullet"/>
      <w:lvlText w:val=""/>
      <w:lvlJc w:val="left"/>
      <w:pPr>
        <w:ind w:left="7084" w:hanging="360"/>
      </w:pPr>
      <w:rPr>
        <w:rFonts w:ascii="Wingdings" w:hAnsi="Wingdings" w:hint="default"/>
      </w:rPr>
    </w:lvl>
  </w:abstractNum>
  <w:abstractNum w:abstractNumId="2">
    <w:nsid w:val="0E2F5565"/>
    <w:multiLevelType w:val="hybridMultilevel"/>
    <w:tmpl w:val="7CE6E77E"/>
    <w:lvl w:ilvl="0" w:tplc="C8E47BBA">
      <w:numFmt w:val="bullet"/>
      <w:lvlText w:val="-"/>
      <w:lvlJc w:val="left"/>
      <w:pPr>
        <w:ind w:left="912" w:hanging="555"/>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72C1514"/>
    <w:multiLevelType w:val="hybridMultilevel"/>
    <w:tmpl w:val="ED268E4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C965FCB"/>
    <w:multiLevelType w:val="hybridMultilevel"/>
    <w:tmpl w:val="D4CE867E"/>
    <w:lvl w:ilvl="0" w:tplc="79042D1C">
      <w:start w:val="1"/>
      <w:numFmt w:val="lowerLetter"/>
      <w:lvlText w:val="(%1)"/>
      <w:lvlJc w:val="lef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1793B43"/>
    <w:multiLevelType w:val="hybridMultilevel"/>
    <w:tmpl w:val="9160974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2506149"/>
    <w:multiLevelType w:val="hybridMultilevel"/>
    <w:tmpl w:val="E124CAE8"/>
    <w:lvl w:ilvl="0" w:tplc="0C090005">
      <w:start w:val="1"/>
      <w:numFmt w:val="bullet"/>
      <w:lvlText w:val=""/>
      <w:lvlJc w:val="left"/>
      <w:pPr>
        <w:ind w:left="720" w:hanging="360"/>
      </w:pPr>
      <w:rPr>
        <w:rFonts w:ascii="Wingdings" w:hAnsi="Wingdings" w:hint="default"/>
      </w:rPr>
    </w:lvl>
    <w:lvl w:ilvl="1" w:tplc="8FBE136C">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83F778C"/>
    <w:multiLevelType w:val="hybridMultilevel"/>
    <w:tmpl w:val="2BD63740"/>
    <w:lvl w:ilvl="0" w:tplc="52108560">
      <w:numFmt w:val="bullet"/>
      <w:lvlText w:val="·"/>
      <w:lvlJc w:val="left"/>
      <w:pPr>
        <w:ind w:left="712" w:hanging="360"/>
      </w:pPr>
      <w:rPr>
        <w:rFonts w:ascii="Calibri" w:eastAsia="Times New Roman" w:hAnsi="Calibri" w:cs="Calibri" w:hint="default"/>
      </w:rPr>
    </w:lvl>
    <w:lvl w:ilvl="1" w:tplc="0C090003" w:tentative="1">
      <w:start w:val="1"/>
      <w:numFmt w:val="bullet"/>
      <w:lvlText w:val="o"/>
      <w:lvlJc w:val="left"/>
      <w:pPr>
        <w:ind w:left="1432" w:hanging="360"/>
      </w:pPr>
      <w:rPr>
        <w:rFonts w:ascii="Courier New" w:hAnsi="Courier New" w:cs="Courier New" w:hint="default"/>
      </w:rPr>
    </w:lvl>
    <w:lvl w:ilvl="2" w:tplc="0C090005" w:tentative="1">
      <w:start w:val="1"/>
      <w:numFmt w:val="bullet"/>
      <w:lvlText w:val=""/>
      <w:lvlJc w:val="left"/>
      <w:pPr>
        <w:ind w:left="2152" w:hanging="360"/>
      </w:pPr>
      <w:rPr>
        <w:rFonts w:ascii="Wingdings" w:hAnsi="Wingdings" w:hint="default"/>
      </w:rPr>
    </w:lvl>
    <w:lvl w:ilvl="3" w:tplc="0C090001" w:tentative="1">
      <w:start w:val="1"/>
      <w:numFmt w:val="bullet"/>
      <w:lvlText w:val=""/>
      <w:lvlJc w:val="left"/>
      <w:pPr>
        <w:ind w:left="2872" w:hanging="360"/>
      </w:pPr>
      <w:rPr>
        <w:rFonts w:ascii="Symbol" w:hAnsi="Symbol" w:hint="default"/>
      </w:rPr>
    </w:lvl>
    <w:lvl w:ilvl="4" w:tplc="0C090003" w:tentative="1">
      <w:start w:val="1"/>
      <w:numFmt w:val="bullet"/>
      <w:lvlText w:val="o"/>
      <w:lvlJc w:val="left"/>
      <w:pPr>
        <w:ind w:left="3592" w:hanging="360"/>
      </w:pPr>
      <w:rPr>
        <w:rFonts w:ascii="Courier New" w:hAnsi="Courier New" w:cs="Courier New" w:hint="default"/>
      </w:rPr>
    </w:lvl>
    <w:lvl w:ilvl="5" w:tplc="0C090005" w:tentative="1">
      <w:start w:val="1"/>
      <w:numFmt w:val="bullet"/>
      <w:lvlText w:val=""/>
      <w:lvlJc w:val="left"/>
      <w:pPr>
        <w:ind w:left="4312" w:hanging="360"/>
      </w:pPr>
      <w:rPr>
        <w:rFonts w:ascii="Wingdings" w:hAnsi="Wingdings" w:hint="default"/>
      </w:rPr>
    </w:lvl>
    <w:lvl w:ilvl="6" w:tplc="0C090001" w:tentative="1">
      <w:start w:val="1"/>
      <w:numFmt w:val="bullet"/>
      <w:lvlText w:val=""/>
      <w:lvlJc w:val="left"/>
      <w:pPr>
        <w:ind w:left="5032" w:hanging="360"/>
      </w:pPr>
      <w:rPr>
        <w:rFonts w:ascii="Symbol" w:hAnsi="Symbol" w:hint="default"/>
      </w:rPr>
    </w:lvl>
    <w:lvl w:ilvl="7" w:tplc="0C090003" w:tentative="1">
      <w:start w:val="1"/>
      <w:numFmt w:val="bullet"/>
      <w:lvlText w:val="o"/>
      <w:lvlJc w:val="left"/>
      <w:pPr>
        <w:ind w:left="5752" w:hanging="360"/>
      </w:pPr>
      <w:rPr>
        <w:rFonts w:ascii="Courier New" w:hAnsi="Courier New" w:cs="Courier New" w:hint="default"/>
      </w:rPr>
    </w:lvl>
    <w:lvl w:ilvl="8" w:tplc="0C090005" w:tentative="1">
      <w:start w:val="1"/>
      <w:numFmt w:val="bullet"/>
      <w:lvlText w:val=""/>
      <w:lvlJc w:val="left"/>
      <w:pPr>
        <w:ind w:left="6472" w:hanging="360"/>
      </w:pPr>
      <w:rPr>
        <w:rFonts w:ascii="Wingdings" w:hAnsi="Wingdings" w:hint="default"/>
      </w:rPr>
    </w:lvl>
  </w:abstractNum>
  <w:abstractNum w:abstractNumId="8">
    <w:nsid w:val="406C33B2"/>
    <w:multiLevelType w:val="hybridMultilevel"/>
    <w:tmpl w:val="FC8ACCBC"/>
    <w:lvl w:ilvl="0" w:tplc="C8E47BBA">
      <w:numFmt w:val="bullet"/>
      <w:lvlText w:val="-"/>
      <w:lvlJc w:val="left"/>
      <w:pPr>
        <w:ind w:left="912" w:hanging="555"/>
      </w:pPr>
      <w:rPr>
        <w:rFonts w:ascii="Calibri" w:eastAsia="Times New Roman" w:hAnsi="Calibri" w:cs="Calibri"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9">
    <w:nsid w:val="60F601A3"/>
    <w:multiLevelType w:val="hybridMultilevel"/>
    <w:tmpl w:val="0778F94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EF2017D"/>
    <w:multiLevelType w:val="hybridMultilevel"/>
    <w:tmpl w:val="9F0E5B82"/>
    <w:lvl w:ilvl="0" w:tplc="0C090001">
      <w:start w:val="1"/>
      <w:numFmt w:val="bullet"/>
      <w:lvlText w:val=""/>
      <w:lvlJc w:val="left"/>
      <w:pPr>
        <w:ind w:left="1072" w:hanging="360"/>
      </w:pPr>
      <w:rPr>
        <w:rFonts w:ascii="Symbol" w:hAnsi="Symbol" w:hint="default"/>
      </w:rPr>
    </w:lvl>
    <w:lvl w:ilvl="1" w:tplc="0C090003" w:tentative="1">
      <w:start w:val="1"/>
      <w:numFmt w:val="bullet"/>
      <w:lvlText w:val="o"/>
      <w:lvlJc w:val="left"/>
      <w:pPr>
        <w:ind w:left="1792" w:hanging="360"/>
      </w:pPr>
      <w:rPr>
        <w:rFonts w:ascii="Courier New" w:hAnsi="Courier New" w:cs="Courier New" w:hint="default"/>
      </w:rPr>
    </w:lvl>
    <w:lvl w:ilvl="2" w:tplc="0C090005" w:tentative="1">
      <w:start w:val="1"/>
      <w:numFmt w:val="bullet"/>
      <w:lvlText w:val=""/>
      <w:lvlJc w:val="left"/>
      <w:pPr>
        <w:ind w:left="2512" w:hanging="360"/>
      </w:pPr>
      <w:rPr>
        <w:rFonts w:ascii="Wingdings" w:hAnsi="Wingdings" w:hint="default"/>
      </w:rPr>
    </w:lvl>
    <w:lvl w:ilvl="3" w:tplc="0C090001" w:tentative="1">
      <w:start w:val="1"/>
      <w:numFmt w:val="bullet"/>
      <w:lvlText w:val=""/>
      <w:lvlJc w:val="left"/>
      <w:pPr>
        <w:ind w:left="3232" w:hanging="360"/>
      </w:pPr>
      <w:rPr>
        <w:rFonts w:ascii="Symbol" w:hAnsi="Symbol" w:hint="default"/>
      </w:rPr>
    </w:lvl>
    <w:lvl w:ilvl="4" w:tplc="0C090003" w:tentative="1">
      <w:start w:val="1"/>
      <w:numFmt w:val="bullet"/>
      <w:lvlText w:val="o"/>
      <w:lvlJc w:val="left"/>
      <w:pPr>
        <w:ind w:left="3952" w:hanging="360"/>
      </w:pPr>
      <w:rPr>
        <w:rFonts w:ascii="Courier New" w:hAnsi="Courier New" w:cs="Courier New" w:hint="default"/>
      </w:rPr>
    </w:lvl>
    <w:lvl w:ilvl="5" w:tplc="0C090005" w:tentative="1">
      <w:start w:val="1"/>
      <w:numFmt w:val="bullet"/>
      <w:lvlText w:val=""/>
      <w:lvlJc w:val="left"/>
      <w:pPr>
        <w:ind w:left="4672" w:hanging="360"/>
      </w:pPr>
      <w:rPr>
        <w:rFonts w:ascii="Wingdings" w:hAnsi="Wingdings" w:hint="default"/>
      </w:rPr>
    </w:lvl>
    <w:lvl w:ilvl="6" w:tplc="0C090001" w:tentative="1">
      <w:start w:val="1"/>
      <w:numFmt w:val="bullet"/>
      <w:lvlText w:val=""/>
      <w:lvlJc w:val="left"/>
      <w:pPr>
        <w:ind w:left="5392" w:hanging="360"/>
      </w:pPr>
      <w:rPr>
        <w:rFonts w:ascii="Symbol" w:hAnsi="Symbol" w:hint="default"/>
      </w:rPr>
    </w:lvl>
    <w:lvl w:ilvl="7" w:tplc="0C090003" w:tentative="1">
      <w:start w:val="1"/>
      <w:numFmt w:val="bullet"/>
      <w:lvlText w:val="o"/>
      <w:lvlJc w:val="left"/>
      <w:pPr>
        <w:ind w:left="6112" w:hanging="360"/>
      </w:pPr>
      <w:rPr>
        <w:rFonts w:ascii="Courier New" w:hAnsi="Courier New" w:cs="Courier New" w:hint="default"/>
      </w:rPr>
    </w:lvl>
    <w:lvl w:ilvl="8" w:tplc="0C090005" w:tentative="1">
      <w:start w:val="1"/>
      <w:numFmt w:val="bullet"/>
      <w:lvlText w:val=""/>
      <w:lvlJc w:val="left"/>
      <w:pPr>
        <w:ind w:left="6832" w:hanging="360"/>
      </w:pPr>
      <w:rPr>
        <w:rFonts w:ascii="Wingdings" w:hAnsi="Wingdings" w:hint="default"/>
      </w:rPr>
    </w:lvl>
  </w:abstractNum>
  <w:abstractNum w:abstractNumId="11">
    <w:nsid w:val="7A5E4488"/>
    <w:multiLevelType w:val="hybridMultilevel"/>
    <w:tmpl w:val="9BF6D68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7"/>
  </w:num>
  <w:num w:numId="4">
    <w:abstractNumId w:val="3"/>
  </w:num>
  <w:num w:numId="5">
    <w:abstractNumId w:val="4"/>
  </w:num>
  <w:num w:numId="6">
    <w:abstractNumId w:val="1"/>
  </w:num>
  <w:num w:numId="7">
    <w:abstractNumId w:val="6"/>
  </w:num>
  <w:num w:numId="8">
    <w:abstractNumId w:val="9"/>
  </w:num>
  <w:num w:numId="9">
    <w:abstractNumId w:val="5"/>
  </w:num>
  <w:num w:numId="10">
    <w:abstractNumId w:val="8"/>
  </w:num>
  <w:num w:numId="11">
    <w:abstractNumId w:val="2"/>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1A90"/>
    <w:rsid w:val="0000164D"/>
    <w:rsid w:val="000155B8"/>
    <w:rsid w:val="00051155"/>
    <w:rsid w:val="0006120F"/>
    <w:rsid w:val="00062B70"/>
    <w:rsid w:val="000767F3"/>
    <w:rsid w:val="000807A1"/>
    <w:rsid w:val="00086492"/>
    <w:rsid w:val="000907B5"/>
    <w:rsid w:val="00093413"/>
    <w:rsid w:val="00096D0A"/>
    <w:rsid w:val="000A1B5B"/>
    <w:rsid w:val="000A2D89"/>
    <w:rsid w:val="000A4A89"/>
    <w:rsid w:val="000B0D9E"/>
    <w:rsid w:val="000B3609"/>
    <w:rsid w:val="000B779A"/>
    <w:rsid w:val="000C1367"/>
    <w:rsid w:val="000C1FAB"/>
    <w:rsid w:val="000D1060"/>
    <w:rsid w:val="000E113D"/>
    <w:rsid w:val="000E1EA2"/>
    <w:rsid w:val="000E6762"/>
    <w:rsid w:val="0010452B"/>
    <w:rsid w:val="00112A46"/>
    <w:rsid w:val="001172D3"/>
    <w:rsid w:val="00124E55"/>
    <w:rsid w:val="00146711"/>
    <w:rsid w:val="00164790"/>
    <w:rsid w:val="00165F6B"/>
    <w:rsid w:val="00166955"/>
    <w:rsid w:val="00167E85"/>
    <w:rsid w:val="001838D7"/>
    <w:rsid w:val="00184049"/>
    <w:rsid w:val="001B0B3D"/>
    <w:rsid w:val="001B2893"/>
    <w:rsid w:val="001B71C4"/>
    <w:rsid w:val="001C0207"/>
    <w:rsid w:val="001D086F"/>
    <w:rsid w:val="001D29AE"/>
    <w:rsid w:val="001F0679"/>
    <w:rsid w:val="00207249"/>
    <w:rsid w:val="00221FC6"/>
    <w:rsid w:val="00237FDA"/>
    <w:rsid w:val="0025684D"/>
    <w:rsid w:val="002729FA"/>
    <w:rsid w:val="00280143"/>
    <w:rsid w:val="0028054A"/>
    <w:rsid w:val="00284B13"/>
    <w:rsid w:val="00293160"/>
    <w:rsid w:val="00293559"/>
    <w:rsid w:val="002A297F"/>
    <w:rsid w:val="002B7ECA"/>
    <w:rsid w:val="002C7B40"/>
    <w:rsid w:val="002E43EC"/>
    <w:rsid w:val="002F2483"/>
    <w:rsid w:val="002F5C50"/>
    <w:rsid w:val="00305AE6"/>
    <w:rsid w:val="003109B7"/>
    <w:rsid w:val="00312F41"/>
    <w:rsid w:val="00323BE2"/>
    <w:rsid w:val="00336EB4"/>
    <w:rsid w:val="00337C2D"/>
    <w:rsid w:val="00346444"/>
    <w:rsid w:val="0034726C"/>
    <w:rsid w:val="0036105A"/>
    <w:rsid w:val="0036294F"/>
    <w:rsid w:val="003804C7"/>
    <w:rsid w:val="00382A80"/>
    <w:rsid w:val="003975D0"/>
    <w:rsid w:val="003B36F7"/>
    <w:rsid w:val="003C09DF"/>
    <w:rsid w:val="003C7F10"/>
    <w:rsid w:val="003D24BC"/>
    <w:rsid w:val="003D705C"/>
    <w:rsid w:val="00403DE9"/>
    <w:rsid w:val="00421AA7"/>
    <w:rsid w:val="00422E3C"/>
    <w:rsid w:val="00427CB6"/>
    <w:rsid w:val="00446E27"/>
    <w:rsid w:val="004537FE"/>
    <w:rsid w:val="00464DD5"/>
    <w:rsid w:val="004911D0"/>
    <w:rsid w:val="004943A5"/>
    <w:rsid w:val="004A00E4"/>
    <w:rsid w:val="004A0F49"/>
    <w:rsid w:val="004B1FE9"/>
    <w:rsid w:val="004B313A"/>
    <w:rsid w:val="004B5193"/>
    <w:rsid w:val="004C40E3"/>
    <w:rsid w:val="004C547C"/>
    <w:rsid w:val="004F40A5"/>
    <w:rsid w:val="0051160F"/>
    <w:rsid w:val="0052298A"/>
    <w:rsid w:val="00524CCD"/>
    <w:rsid w:val="00540154"/>
    <w:rsid w:val="005440EF"/>
    <w:rsid w:val="00547423"/>
    <w:rsid w:val="00562271"/>
    <w:rsid w:val="00587F56"/>
    <w:rsid w:val="005A7632"/>
    <w:rsid w:val="005E0E40"/>
    <w:rsid w:val="005E6A8F"/>
    <w:rsid w:val="00602549"/>
    <w:rsid w:val="0061023D"/>
    <w:rsid w:val="00614AE4"/>
    <w:rsid w:val="00615212"/>
    <w:rsid w:val="006179EB"/>
    <w:rsid w:val="0063042A"/>
    <w:rsid w:val="00630CBC"/>
    <w:rsid w:val="00631234"/>
    <w:rsid w:val="006451AA"/>
    <w:rsid w:val="0064583D"/>
    <w:rsid w:val="00683379"/>
    <w:rsid w:val="006867EF"/>
    <w:rsid w:val="00695501"/>
    <w:rsid w:val="006A074F"/>
    <w:rsid w:val="006C356C"/>
    <w:rsid w:val="006D2B6C"/>
    <w:rsid w:val="006D64CC"/>
    <w:rsid w:val="006E2E61"/>
    <w:rsid w:val="006E3666"/>
    <w:rsid w:val="006E3BD6"/>
    <w:rsid w:val="006F54C2"/>
    <w:rsid w:val="0071751F"/>
    <w:rsid w:val="00726C62"/>
    <w:rsid w:val="00735B9F"/>
    <w:rsid w:val="00736D55"/>
    <w:rsid w:val="00737A1B"/>
    <w:rsid w:val="007474BA"/>
    <w:rsid w:val="00762D5D"/>
    <w:rsid w:val="00764F25"/>
    <w:rsid w:val="00773150"/>
    <w:rsid w:val="0077783B"/>
    <w:rsid w:val="007810EA"/>
    <w:rsid w:val="00784228"/>
    <w:rsid w:val="007871F5"/>
    <w:rsid w:val="00787E1D"/>
    <w:rsid w:val="00790265"/>
    <w:rsid w:val="00791AD7"/>
    <w:rsid w:val="007D0C3B"/>
    <w:rsid w:val="007E097A"/>
    <w:rsid w:val="007F2C93"/>
    <w:rsid w:val="007F71C9"/>
    <w:rsid w:val="00805F7D"/>
    <w:rsid w:val="008073C3"/>
    <w:rsid w:val="00807437"/>
    <w:rsid w:val="008369F2"/>
    <w:rsid w:val="008434B9"/>
    <w:rsid w:val="00862253"/>
    <w:rsid w:val="008763DC"/>
    <w:rsid w:val="00883453"/>
    <w:rsid w:val="00891B52"/>
    <w:rsid w:val="008934FA"/>
    <w:rsid w:val="00894B25"/>
    <w:rsid w:val="008954AD"/>
    <w:rsid w:val="008B28CC"/>
    <w:rsid w:val="008C5BDE"/>
    <w:rsid w:val="008D5713"/>
    <w:rsid w:val="008E521F"/>
    <w:rsid w:val="008E6D8A"/>
    <w:rsid w:val="008F620A"/>
    <w:rsid w:val="00902B76"/>
    <w:rsid w:val="009104CE"/>
    <w:rsid w:val="009251BB"/>
    <w:rsid w:val="00943E0D"/>
    <w:rsid w:val="00957561"/>
    <w:rsid w:val="00966992"/>
    <w:rsid w:val="0098225B"/>
    <w:rsid w:val="00983BDB"/>
    <w:rsid w:val="009B1885"/>
    <w:rsid w:val="009E0341"/>
    <w:rsid w:val="009E0A46"/>
    <w:rsid w:val="009E2C98"/>
    <w:rsid w:val="00A01900"/>
    <w:rsid w:val="00A11972"/>
    <w:rsid w:val="00A22384"/>
    <w:rsid w:val="00A2476D"/>
    <w:rsid w:val="00A24C0A"/>
    <w:rsid w:val="00A62158"/>
    <w:rsid w:val="00A714AD"/>
    <w:rsid w:val="00A817CF"/>
    <w:rsid w:val="00AA66E2"/>
    <w:rsid w:val="00AB2182"/>
    <w:rsid w:val="00AC2C52"/>
    <w:rsid w:val="00AC3422"/>
    <w:rsid w:val="00AE4971"/>
    <w:rsid w:val="00B04556"/>
    <w:rsid w:val="00B06765"/>
    <w:rsid w:val="00B12DD0"/>
    <w:rsid w:val="00B13F10"/>
    <w:rsid w:val="00B34E46"/>
    <w:rsid w:val="00B41CA8"/>
    <w:rsid w:val="00B50C08"/>
    <w:rsid w:val="00B513A2"/>
    <w:rsid w:val="00B721FF"/>
    <w:rsid w:val="00B849B7"/>
    <w:rsid w:val="00B85774"/>
    <w:rsid w:val="00B94061"/>
    <w:rsid w:val="00BA0F5C"/>
    <w:rsid w:val="00BC13F2"/>
    <w:rsid w:val="00BC1A90"/>
    <w:rsid w:val="00BC7134"/>
    <w:rsid w:val="00BD61C0"/>
    <w:rsid w:val="00BE1670"/>
    <w:rsid w:val="00BE2BBF"/>
    <w:rsid w:val="00BF1E6C"/>
    <w:rsid w:val="00C07668"/>
    <w:rsid w:val="00C264B5"/>
    <w:rsid w:val="00C35697"/>
    <w:rsid w:val="00C40457"/>
    <w:rsid w:val="00C40AB8"/>
    <w:rsid w:val="00C55488"/>
    <w:rsid w:val="00C623AE"/>
    <w:rsid w:val="00C62884"/>
    <w:rsid w:val="00C65AFF"/>
    <w:rsid w:val="00C70B9B"/>
    <w:rsid w:val="00C902FA"/>
    <w:rsid w:val="00CB62A7"/>
    <w:rsid w:val="00CC2336"/>
    <w:rsid w:val="00CC2FCA"/>
    <w:rsid w:val="00CC3E74"/>
    <w:rsid w:val="00CC62DE"/>
    <w:rsid w:val="00CE146E"/>
    <w:rsid w:val="00CF22C1"/>
    <w:rsid w:val="00CF5274"/>
    <w:rsid w:val="00D03DB1"/>
    <w:rsid w:val="00D041E1"/>
    <w:rsid w:val="00D238D6"/>
    <w:rsid w:val="00D25D00"/>
    <w:rsid w:val="00D27C28"/>
    <w:rsid w:val="00D3326E"/>
    <w:rsid w:val="00D536C0"/>
    <w:rsid w:val="00D57FB1"/>
    <w:rsid w:val="00D7799E"/>
    <w:rsid w:val="00D80BD6"/>
    <w:rsid w:val="00D87674"/>
    <w:rsid w:val="00D92AFC"/>
    <w:rsid w:val="00DA71C3"/>
    <w:rsid w:val="00DA7702"/>
    <w:rsid w:val="00DB36F6"/>
    <w:rsid w:val="00DC0F9E"/>
    <w:rsid w:val="00DC721A"/>
    <w:rsid w:val="00DD5813"/>
    <w:rsid w:val="00DE412C"/>
    <w:rsid w:val="00DE5C6E"/>
    <w:rsid w:val="00E00EB9"/>
    <w:rsid w:val="00E01305"/>
    <w:rsid w:val="00E02C09"/>
    <w:rsid w:val="00E03A6D"/>
    <w:rsid w:val="00E234DD"/>
    <w:rsid w:val="00E271EF"/>
    <w:rsid w:val="00E319E1"/>
    <w:rsid w:val="00E33422"/>
    <w:rsid w:val="00E341E8"/>
    <w:rsid w:val="00E46C45"/>
    <w:rsid w:val="00E573E5"/>
    <w:rsid w:val="00E84C68"/>
    <w:rsid w:val="00EA2264"/>
    <w:rsid w:val="00EA6ECF"/>
    <w:rsid w:val="00EC113C"/>
    <w:rsid w:val="00EC31D4"/>
    <w:rsid w:val="00ED788E"/>
    <w:rsid w:val="00EE1C51"/>
    <w:rsid w:val="00EE1E27"/>
    <w:rsid w:val="00EE2552"/>
    <w:rsid w:val="00EF0B13"/>
    <w:rsid w:val="00EF5749"/>
    <w:rsid w:val="00F14119"/>
    <w:rsid w:val="00F17B44"/>
    <w:rsid w:val="00F21DE0"/>
    <w:rsid w:val="00F271D4"/>
    <w:rsid w:val="00F30CBB"/>
    <w:rsid w:val="00F3266D"/>
    <w:rsid w:val="00F34E15"/>
    <w:rsid w:val="00F505B7"/>
    <w:rsid w:val="00F63FF5"/>
    <w:rsid w:val="00F71F26"/>
    <w:rsid w:val="00F7770F"/>
    <w:rsid w:val="00F9202F"/>
    <w:rsid w:val="00F92D1F"/>
    <w:rsid w:val="00F92F5A"/>
    <w:rsid w:val="00F9511C"/>
    <w:rsid w:val="00FB73F7"/>
    <w:rsid w:val="00FC1A09"/>
    <w:rsid w:val="00FC735C"/>
    <w:rsid w:val="00FC794E"/>
    <w:rsid w:val="00FD7DA2"/>
    <w:rsid w:val="00FE17BE"/>
    <w:rsid w:val="00FE2736"/>
    <w:rsid w:val="00FE36A5"/>
    <w:rsid w:val="00FF0DF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8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C1A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1A90"/>
    <w:rPr>
      <w:sz w:val="20"/>
      <w:szCs w:val="20"/>
    </w:rPr>
  </w:style>
  <w:style w:type="character" w:styleId="FootnoteReference">
    <w:name w:val="footnote reference"/>
    <w:basedOn w:val="DefaultParagraphFont"/>
    <w:semiHidden/>
    <w:unhideWhenUsed/>
    <w:rsid w:val="00BC1A90"/>
    <w:rPr>
      <w:vertAlign w:val="superscript"/>
    </w:rPr>
  </w:style>
  <w:style w:type="paragraph" w:styleId="ListParagraph">
    <w:name w:val="List Paragraph"/>
    <w:basedOn w:val="Normal"/>
    <w:uiPriority w:val="34"/>
    <w:qFormat/>
    <w:rsid w:val="00D57FB1"/>
    <w:pPr>
      <w:ind w:left="720"/>
      <w:contextualSpacing/>
    </w:pPr>
  </w:style>
  <w:style w:type="character" w:styleId="CommentReference">
    <w:name w:val="annotation reference"/>
    <w:basedOn w:val="DefaultParagraphFont"/>
    <w:unhideWhenUsed/>
    <w:rsid w:val="003C7F10"/>
    <w:rPr>
      <w:sz w:val="16"/>
      <w:szCs w:val="16"/>
    </w:rPr>
  </w:style>
  <w:style w:type="paragraph" w:styleId="CommentText">
    <w:name w:val="annotation text"/>
    <w:basedOn w:val="Normal"/>
    <w:link w:val="CommentTextChar"/>
    <w:unhideWhenUsed/>
    <w:rsid w:val="003C7F10"/>
    <w:pPr>
      <w:spacing w:line="240" w:lineRule="auto"/>
    </w:pPr>
    <w:rPr>
      <w:sz w:val="20"/>
      <w:szCs w:val="20"/>
    </w:rPr>
  </w:style>
  <w:style w:type="character" w:customStyle="1" w:styleId="CommentTextChar">
    <w:name w:val="Comment Text Char"/>
    <w:basedOn w:val="DefaultParagraphFont"/>
    <w:link w:val="CommentText"/>
    <w:rsid w:val="003C7F10"/>
    <w:rPr>
      <w:sz w:val="20"/>
      <w:szCs w:val="20"/>
    </w:rPr>
  </w:style>
  <w:style w:type="paragraph" w:styleId="CommentSubject">
    <w:name w:val="annotation subject"/>
    <w:basedOn w:val="CommentText"/>
    <w:next w:val="CommentText"/>
    <w:link w:val="CommentSubjectChar"/>
    <w:uiPriority w:val="99"/>
    <w:semiHidden/>
    <w:unhideWhenUsed/>
    <w:rsid w:val="003C7F10"/>
    <w:rPr>
      <w:b/>
      <w:bCs/>
    </w:rPr>
  </w:style>
  <w:style w:type="character" w:customStyle="1" w:styleId="CommentSubjectChar">
    <w:name w:val="Comment Subject Char"/>
    <w:basedOn w:val="CommentTextChar"/>
    <w:link w:val="CommentSubject"/>
    <w:uiPriority w:val="99"/>
    <w:semiHidden/>
    <w:rsid w:val="003C7F10"/>
    <w:rPr>
      <w:b/>
      <w:bCs/>
    </w:rPr>
  </w:style>
  <w:style w:type="paragraph" w:styleId="BalloonText">
    <w:name w:val="Balloon Text"/>
    <w:basedOn w:val="Normal"/>
    <w:link w:val="BalloonTextChar"/>
    <w:uiPriority w:val="99"/>
    <w:semiHidden/>
    <w:unhideWhenUsed/>
    <w:rsid w:val="003C7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F10"/>
    <w:rPr>
      <w:rFonts w:ascii="Tahoma" w:hAnsi="Tahoma" w:cs="Tahoma"/>
      <w:sz w:val="16"/>
      <w:szCs w:val="16"/>
    </w:rPr>
  </w:style>
  <w:style w:type="paragraph" w:customStyle="1" w:styleId="ACMABodyText">
    <w:name w:val="ACMA Body Text"/>
    <w:link w:val="ACMABodyTextChar"/>
    <w:rsid w:val="009104CE"/>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
    <w:name w:val="ACMA Body Text Char"/>
    <w:basedOn w:val="DefaultParagraphFont"/>
    <w:link w:val="ACMABodyText"/>
    <w:rsid w:val="009104CE"/>
    <w:rPr>
      <w:rFonts w:ascii="Times New Roman" w:eastAsia="Times New Roman" w:hAnsi="Times New Roman" w:cs="Times New Roman"/>
      <w:snapToGrid w:val="0"/>
      <w:sz w:val="24"/>
      <w:szCs w:val="20"/>
    </w:rPr>
  </w:style>
  <w:style w:type="paragraph" w:customStyle="1" w:styleId="P1">
    <w:name w:val="P1"/>
    <w:aliases w:val="(a)"/>
    <w:basedOn w:val="Normal"/>
    <w:rsid w:val="009104CE"/>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R2">
    <w:name w:val="R2"/>
    <w:aliases w:val="(2)"/>
    <w:basedOn w:val="Normal"/>
    <w:rsid w:val="009104CE"/>
    <w:pPr>
      <w:keepLines/>
      <w:tabs>
        <w:tab w:val="right" w:pos="794"/>
      </w:tabs>
      <w:spacing w:before="180" w:after="0" w:line="260" w:lineRule="exact"/>
      <w:ind w:left="964" w:hanging="964"/>
      <w:jc w:val="both"/>
    </w:pPr>
    <w:rPr>
      <w:rFonts w:ascii="Times New Roman" w:eastAsia="Times New Roman" w:hAnsi="Times New Roman" w:cs="Times New Roman"/>
      <w:sz w:val="24"/>
      <w:szCs w:val="24"/>
    </w:rPr>
  </w:style>
  <w:style w:type="paragraph" w:customStyle="1" w:styleId="definition">
    <w:name w:val="definition"/>
    <w:basedOn w:val="Normal"/>
    <w:rsid w:val="00983BDB"/>
    <w:pPr>
      <w:spacing w:before="80" w:after="0" w:line="260" w:lineRule="exact"/>
      <w:ind w:left="964"/>
      <w:jc w:val="both"/>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0766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07668"/>
  </w:style>
  <w:style w:type="paragraph" w:styleId="Footer">
    <w:name w:val="footer"/>
    <w:basedOn w:val="Normal"/>
    <w:link w:val="FooterChar"/>
    <w:uiPriority w:val="99"/>
    <w:unhideWhenUsed/>
    <w:rsid w:val="00C07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668"/>
  </w:style>
</w:styles>
</file>

<file path=word/webSettings.xml><?xml version="1.0" encoding="utf-8"?>
<w:webSettings xmlns:r="http://schemas.openxmlformats.org/officeDocument/2006/relationships" xmlns:w="http://schemas.openxmlformats.org/wordprocessingml/2006/main">
  <w:divs>
    <w:div w:id="14884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40E90-D184-42A4-B877-8A2A229FF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2143</Words>
  <Characters>12220</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14335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MGanino</dc:creator>
  <cp:lastModifiedBy>Helen Turnbull</cp:lastModifiedBy>
  <cp:revision>2</cp:revision>
  <cp:lastPrinted>2011-09-07T02:59:00Z</cp:lastPrinted>
  <dcterms:created xsi:type="dcterms:W3CDTF">2011-11-10T22:21:00Z</dcterms:created>
  <dcterms:modified xsi:type="dcterms:W3CDTF">2011-11-10T22:21:00Z</dcterms:modified>
</cp:coreProperties>
</file>